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ACD78E" w:themeColor="accent4" w:themeTint="99"/>
  <w:body>
    <w:p>
      <w:pPr>
        <w:tabs>
          <w:tab w:val="left" w:pos="4620"/>
        </w:tabs>
        <w:rPr>
          <w:rFonts w:hint="eastAsia"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rPr>
          <w:rFonts w:eastAsia="仿宋"/>
          <w:color w:val="auto"/>
          <w:sz w:val="44"/>
          <w:szCs w:val="44"/>
        </w:rPr>
      </w:pPr>
    </w:p>
    <w:p>
      <w:pPr>
        <w:adjustRightInd w:val="0"/>
        <w:snapToGrid w:val="0"/>
        <w:spacing w:line="288" w:lineRule="auto"/>
        <w:ind w:firstLine="1040"/>
        <w:jc w:val="center"/>
        <w:rPr>
          <w:rFonts w:hint="eastAsia" w:ascii="仿宋_GB2312" w:eastAsia="仿宋_GB2312"/>
          <w:color w:val="auto"/>
          <w:sz w:val="36"/>
          <w:szCs w:val="36"/>
        </w:rPr>
      </w:pPr>
    </w:p>
    <w:p>
      <w:pPr>
        <w:adjustRightInd w:val="0"/>
        <w:snapToGrid w:val="0"/>
        <w:spacing w:line="288" w:lineRule="auto"/>
        <w:ind w:left="2160" w:hanging="2160" w:hangingChars="600"/>
        <w:jc w:val="left"/>
        <w:rPr>
          <w:rFonts w:hint="eastAsia" w:ascii="仿宋" w:hAnsi="仿宋" w:eastAsia="仿宋" w:cs="仿宋"/>
          <w:color w:val="auto"/>
          <w:sz w:val="36"/>
          <w:szCs w:val="36"/>
          <w:u w:val="single"/>
        </w:rPr>
      </w:pPr>
      <w:r>
        <w:rPr>
          <w:rFonts w:hint="eastAsia" w:ascii="仿宋" w:hAnsi="仿宋" w:eastAsia="仿宋" w:cs="仿宋"/>
          <w:color w:val="auto"/>
          <w:sz w:val="36"/>
          <w:szCs w:val="36"/>
        </w:rPr>
        <w:t>项目名称：</w:t>
      </w:r>
      <w:r>
        <w:rPr>
          <w:rFonts w:hint="eastAsia" w:ascii="仿宋" w:hAnsi="仿宋" w:eastAsia="仿宋" w:cs="仿宋"/>
          <w:color w:val="auto"/>
          <w:sz w:val="36"/>
          <w:szCs w:val="36"/>
          <w:u w:val="single"/>
        </w:rPr>
        <w:t xml:space="preserve">   </w:t>
      </w:r>
      <w:bookmarkStart w:id="6" w:name="_GoBack"/>
      <w:r>
        <w:rPr>
          <w:rFonts w:hint="eastAsia" w:ascii="仿宋" w:hAnsi="仿宋" w:eastAsia="仿宋" w:cs="仿宋"/>
          <w:color w:val="auto"/>
          <w:sz w:val="36"/>
          <w:szCs w:val="36"/>
          <w:u w:val="single"/>
          <w:lang w:eastAsia="zh-CN"/>
        </w:rPr>
        <w:t>安徽圣远年生产20万吨水泥制品项目</w:t>
      </w:r>
      <w:bookmarkEnd w:id="6"/>
      <w:r>
        <w:rPr>
          <w:rFonts w:hint="eastAsia" w:ascii="仿宋" w:hAnsi="仿宋" w:eastAsia="仿宋" w:cs="仿宋"/>
          <w:color w:val="auto"/>
          <w:sz w:val="36"/>
          <w:szCs w:val="36"/>
          <w:u w:val="single"/>
        </w:rPr>
        <w:t xml:space="preserve">                            </w:t>
      </w:r>
    </w:p>
    <w:p>
      <w:pPr>
        <w:adjustRightInd w:val="0"/>
        <w:snapToGrid w:val="0"/>
        <w:spacing w:line="288" w:lineRule="auto"/>
        <w:ind w:left="3600" w:hanging="3600" w:hangingChars="1000"/>
        <w:jc w:val="left"/>
        <w:rPr>
          <w:rFonts w:hint="eastAsia" w:ascii="仿宋" w:hAnsi="仿宋" w:eastAsia="仿宋" w:cs="仿宋"/>
          <w:color w:val="auto"/>
          <w:sz w:val="36"/>
          <w:szCs w:val="36"/>
          <w:u w:val="single"/>
        </w:rPr>
      </w:pPr>
      <w:r>
        <w:rPr>
          <w:rFonts w:hint="eastAsia" w:ascii="仿宋" w:hAnsi="仿宋" w:eastAsia="仿宋" w:cs="仿宋"/>
          <w:color w:val="auto"/>
          <w:sz w:val="36"/>
          <w:szCs w:val="36"/>
        </w:rPr>
        <w:t xml:space="preserve">建设单位（盖章）： </w:t>
      </w:r>
      <w:r>
        <w:rPr>
          <w:rFonts w:hint="eastAsia" w:ascii="仿宋" w:hAnsi="仿宋" w:eastAsia="仿宋" w:cs="仿宋"/>
          <w:color w:val="auto"/>
          <w:sz w:val="36"/>
          <w:szCs w:val="36"/>
          <w:u w:val="single"/>
          <w:lang w:eastAsia="zh-CN"/>
        </w:rPr>
        <w:t>安徽圣远交通设施工程有限公司</w:t>
      </w:r>
      <w:r>
        <w:rPr>
          <w:rFonts w:hint="eastAsia" w:ascii="仿宋" w:hAnsi="仿宋" w:eastAsia="仿宋" w:cs="仿宋"/>
          <w:color w:val="auto"/>
          <w:sz w:val="36"/>
          <w:szCs w:val="36"/>
          <w:u w:val="single"/>
        </w:rPr>
        <w:t xml:space="preserve">                       </w:t>
      </w:r>
    </w:p>
    <w:p>
      <w:pPr>
        <w:adjustRightInd w:val="0"/>
        <w:snapToGrid w:val="0"/>
        <w:spacing w:line="288" w:lineRule="auto"/>
        <w:jc w:val="left"/>
        <w:rPr>
          <w:rFonts w:ascii="仿宋_GB2312" w:eastAsia="仿宋_GB2312"/>
          <w:color w:val="auto"/>
          <w:sz w:val="36"/>
          <w:szCs w:val="36"/>
          <w:u w:val="single"/>
        </w:rPr>
      </w:pPr>
      <w:r>
        <w:rPr>
          <w:rFonts w:hint="eastAsia" w:ascii="仿宋" w:hAnsi="仿宋" w:eastAsia="仿宋" w:cs="仿宋"/>
          <w:color w:val="auto"/>
          <w:sz w:val="36"/>
          <w:szCs w:val="36"/>
        </w:rPr>
        <w:t>编制日期：</w:t>
      </w:r>
      <w:r>
        <w:rPr>
          <w:rFonts w:hint="eastAsia" w:ascii="仿宋" w:hAnsi="仿宋" w:eastAsia="仿宋" w:cs="仿宋"/>
          <w:color w:val="auto"/>
          <w:sz w:val="36"/>
          <w:szCs w:val="36"/>
          <w:u w:val="single"/>
        </w:rPr>
        <w:t xml:space="preserve">          202</w:t>
      </w:r>
      <w:r>
        <w:rPr>
          <w:rFonts w:hint="eastAsia" w:ascii="仿宋" w:hAnsi="仿宋" w:eastAsia="仿宋" w:cs="仿宋"/>
          <w:color w:val="auto"/>
          <w:sz w:val="36"/>
          <w:szCs w:val="36"/>
          <w:u w:val="single"/>
          <w:lang w:val="en-US" w:eastAsia="zh-CN"/>
        </w:rPr>
        <w:t>5</w:t>
      </w:r>
      <w:r>
        <w:rPr>
          <w:rFonts w:hint="eastAsia" w:ascii="仿宋" w:hAnsi="仿宋" w:eastAsia="仿宋" w:cs="仿宋"/>
          <w:color w:val="auto"/>
          <w:sz w:val="36"/>
          <w:szCs w:val="36"/>
          <w:u w:val="single"/>
        </w:rPr>
        <w:t>年</w:t>
      </w:r>
      <w:r>
        <w:rPr>
          <w:rFonts w:hint="eastAsia" w:ascii="仿宋" w:hAnsi="仿宋" w:eastAsia="仿宋" w:cs="仿宋"/>
          <w:color w:val="auto"/>
          <w:sz w:val="36"/>
          <w:szCs w:val="36"/>
          <w:u w:val="single"/>
          <w:lang w:val="en-US" w:eastAsia="zh-CN"/>
        </w:rPr>
        <w:t>12</w:t>
      </w:r>
      <w:r>
        <w:rPr>
          <w:rFonts w:hint="eastAsia" w:ascii="仿宋" w:hAnsi="仿宋" w:eastAsia="仿宋" w:cs="仿宋"/>
          <w:color w:val="auto"/>
          <w:sz w:val="36"/>
          <w:szCs w:val="36"/>
          <w:u w:val="single"/>
        </w:rPr>
        <w:t xml:space="preserve">月                   </w:t>
      </w:r>
    </w:p>
    <w:p>
      <w:pPr>
        <w:adjustRightInd w:val="0"/>
        <w:snapToGrid w:val="0"/>
        <w:spacing w:line="288" w:lineRule="auto"/>
        <w:ind w:firstLine="1040"/>
        <w:rPr>
          <w:rFonts w:ascii="仿宋_GB2312" w:eastAsia="仿宋_GB2312"/>
          <w:color w:val="auto"/>
          <w:sz w:val="36"/>
          <w:szCs w:val="36"/>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bookmarkEnd w:id="0"/>
    <w:p>
      <w:pPr>
        <w:adjustRightInd w:val="0"/>
        <w:snapToGrid w:val="0"/>
        <w:spacing w:line="288" w:lineRule="auto"/>
        <w:jc w:val="center"/>
        <w:rPr>
          <w:rFonts w:hint="eastAsia" w:ascii="黑体" w:hAnsi="黑体" w:eastAsia="黑体"/>
          <w:snapToGrid w:val="0"/>
          <w:color w:val="auto"/>
          <w:sz w:val="30"/>
          <w:szCs w:val="30"/>
        </w:rPr>
      </w:pPr>
      <w:r>
        <w:rPr>
          <w:rFonts w:hint="eastAsia" w:ascii="楷体_GB2312" w:eastAsia="楷体_GB2312"/>
          <w:color w:val="auto"/>
          <w:sz w:val="36"/>
          <w:szCs w:val="36"/>
        </w:rPr>
        <w:t>中华人民共和国生态环境部</w:t>
      </w:r>
    </w:p>
    <w:p>
      <w:pPr>
        <w:pStyle w:val="19"/>
        <w:jc w:val="center"/>
        <w:outlineLvl w:val="0"/>
        <w:rPr>
          <w:rFonts w:hint="eastAsia" w:ascii="黑体" w:hAnsi="黑体" w:eastAsia="黑体"/>
          <w:snapToGrid w:val="0"/>
          <w:color w:val="auto"/>
          <w:sz w:val="30"/>
          <w:szCs w:val="30"/>
        </w:rPr>
        <w:sectPr>
          <w:footerReference r:id="rId3" w:type="default"/>
          <w:pgSz w:w="11906" w:h="16838"/>
          <w:pgMar w:top="1701" w:right="1531" w:bottom="1701" w:left="1531" w:header="851" w:footer="851" w:gutter="0"/>
          <w:pgNumType w:start="1"/>
          <w:cols w:space="720" w:num="1"/>
          <w:docGrid w:linePitch="312" w:charSpace="0"/>
        </w:sectPr>
      </w:pPr>
    </w:p>
    <w:p>
      <w:pPr>
        <w:pStyle w:val="19"/>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4"/>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40"/>
        <w:gridCol w:w="2264"/>
        <w:gridCol w:w="2066"/>
        <w:gridCol w:w="26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7020" w:type="dxa"/>
            <w:gridSpan w:val="3"/>
            <w:vAlign w:val="center"/>
          </w:tcPr>
          <w:p>
            <w:pPr>
              <w:adjustRightInd w:val="0"/>
              <w:snapToGrid w:val="0"/>
              <w:jc w:val="center"/>
              <w:rPr>
                <w:rFonts w:hint="eastAsia" w:eastAsia="宋体"/>
                <w:color w:val="auto"/>
                <w:sz w:val="24"/>
                <w:lang w:eastAsia="zh-CN"/>
              </w:rPr>
            </w:pPr>
            <w:r>
              <w:rPr>
                <w:rFonts w:hint="eastAsia"/>
                <w:color w:val="auto"/>
                <w:sz w:val="24"/>
                <w:lang w:eastAsia="zh-CN"/>
              </w:rPr>
              <w:t>安徽圣远年生产20万吨水泥制品项目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7020" w:type="dxa"/>
            <w:gridSpan w:val="3"/>
            <w:vAlign w:val="center"/>
          </w:tcPr>
          <w:p>
            <w:pPr>
              <w:adjustRightInd w:val="0"/>
              <w:snapToGrid w:val="0"/>
              <w:jc w:val="center"/>
              <w:rPr>
                <w:rFonts w:hint="eastAsia" w:eastAsia="宋体"/>
                <w:color w:val="auto"/>
                <w:sz w:val="24"/>
                <w:lang w:eastAsia="zh-CN"/>
              </w:rPr>
            </w:pPr>
            <w:r>
              <w:rPr>
                <w:rFonts w:hint="eastAsia"/>
                <w:color w:val="auto"/>
                <w:sz w:val="24"/>
                <w:highlight w:val="none"/>
                <w:lang w:eastAsia="zh-CN"/>
              </w:rPr>
              <w:t>2509-340422-04-01</w:t>
            </w:r>
            <w:r>
              <w:rPr>
                <w:rFonts w:hint="eastAsia"/>
                <w:color w:val="auto"/>
                <w:sz w:val="24"/>
                <w:highlight w:val="none"/>
                <w:lang w:val="en-US" w:eastAsia="zh-CN"/>
              </w:rPr>
              <w:t>-</w:t>
            </w:r>
            <w:r>
              <w:rPr>
                <w:rFonts w:hint="eastAsia"/>
                <w:color w:val="auto"/>
                <w:sz w:val="24"/>
                <w:highlight w:val="none"/>
                <w:lang w:eastAsia="zh-CN"/>
              </w:rPr>
              <w:t>623879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2264" w:type="dxa"/>
            <w:vAlign w:val="center"/>
          </w:tcPr>
          <w:p>
            <w:pPr>
              <w:adjustRightInd w:val="0"/>
              <w:snapToGrid w:val="0"/>
              <w:jc w:val="center"/>
              <w:rPr>
                <w:rFonts w:hint="default" w:eastAsia="宋体"/>
                <w:color w:val="auto"/>
                <w:sz w:val="24"/>
                <w:lang w:val="en-US" w:eastAsia="zh-CN"/>
              </w:rPr>
            </w:pPr>
            <w:r>
              <w:rPr>
                <w:rFonts w:hint="eastAsia"/>
                <w:color w:val="auto"/>
                <w:sz w:val="24"/>
                <w:lang w:eastAsia="zh-CN"/>
              </w:rPr>
              <w:t>殷平平</w:t>
            </w:r>
          </w:p>
        </w:tc>
        <w:tc>
          <w:tcPr>
            <w:tcW w:w="2066" w:type="dxa"/>
            <w:vAlign w:val="center"/>
          </w:tcPr>
          <w:p>
            <w:pPr>
              <w:adjustRightInd w:val="0"/>
              <w:snapToGrid w:val="0"/>
              <w:jc w:val="center"/>
              <w:rPr>
                <w:color w:val="auto"/>
                <w:sz w:val="24"/>
              </w:rPr>
            </w:pPr>
            <w:r>
              <w:rPr>
                <w:color w:val="auto"/>
                <w:sz w:val="24"/>
              </w:rPr>
              <w:t>联系方式</w:t>
            </w:r>
          </w:p>
        </w:tc>
        <w:tc>
          <w:tcPr>
            <w:tcW w:w="2690" w:type="dxa"/>
            <w:vAlign w:val="center"/>
          </w:tcPr>
          <w:p>
            <w:pPr>
              <w:tabs>
                <w:tab w:val="center" w:pos="1400"/>
                <w:tab w:val="right" w:pos="2681"/>
              </w:tabs>
              <w:adjustRightInd w:val="0"/>
              <w:snapToGrid w:val="0"/>
              <w:jc w:val="left"/>
              <w:rPr>
                <w:rFonts w:hint="default" w:eastAsia="宋体"/>
                <w:color w:val="auto"/>
                <w:sz w:val="24"/>
                <w:lang w:val="en-US" w:eastAsia="zh-CN"/>
              </w:rPr>
            </w:pPr>
            <w:r>
              <w:rPr>
                <w:rFonts w:hint="eastAsia"/>
                <w:color w:val="auto"/>
                <w:sz w:val="24"/>
              </w:rPr>
              <w:tab/>
            </w:r>
            <w:r>
              <w:rPr>
                <w:rFonts w:hint="eastAsia"/>
                <w:color w:val="auto"/>
                <w:sz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7020" w:type="dxa"/>
            <w:gridSpan w:val="3"/>
            <w:vAlign w:val="center"/>
          </w:tcPr>
          <w:p>
            <w:pPr>
              <w:adjustRightInd w:val="0"/>
              <w:snapToGrid w:val="0"/>
              <w:jc w:val="center"/>
              <w:rPr>
                <w:rFonts w:hint="eastAsia" w:eastAsia="宋体"/>
                <w:color w:val="auto"/>
                <w:sz w:val="24"/>
                <w:lang w:eastAsia="zh-CN"/>
              </w:rPr>
            </w:pPr>
            <w:r>
              <w:rPr>
                <w:rFonts w:hint="eastAsia"/>
                <w:color w:val="auto"/>
                <w:sz w:val="24"/>
                <w:lang w:eastAsia="zh-CN"/>
              </w:rPr>
              <w:t>安徽省淮南市寿县丰庄镇前圩村</w:t>
            </w:r>
            <w:r>
              <w:rPr>
                <w:rFonts w:hint="eastAsia"/>
                <w:color w:val="auto"/>
                <w:sz w:val="24"/>
                <w:szCs w:val="24"/>
                <w:lang w:eastAsia="zh-CN"/>
              </w:rPr>
              <w:t>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7020" w:type="dxa"/>
            <w:gridSpan w:val="3"/>
            <w:vAlign w:val="center"/>
          </w:tcPr>
          <w:p>
            <w:pPr>
              <w:jc w:val="center"/>
              <w:rPr>
                <w:color w:val="auto"/>
                <w:sz w:val="24"/>
              </w:rPr>
            </w:pPr>
            <w:r>
              <w:rPr>
                <w:color w:val="auto"/>
                <w:sz w:val="24"/>
              </w:rPr>
              <w:t>（</w:t>
            </w:r>
            <w:r>
              <w:rPr>
                <w:color w:val="auto"/>
                <w:sz w:val="24"/>
                <w:u w:val="single"/>
              </w:rPr>
              <w:t xml:space="preserve"> 116 </w:t>
            </w:r>
            <w:r>
              <w:rPr>
                <w:color w:val="auto"/>
                <w:sz w:val="24"/>
              </w:rPr>
              <w:t>度</w:t>
            </w:r>
            <w:r>
              <w:rPr>
                <w:color w:val="auto"/>
                <w:sz w:val="24"/>
                <w:u w:val="single"/>
              </w:rPr>
              <w:t xml:space="preserve"> </w:t>
            </w:r>
            <w:r>
              <w:rPr>
                <w:rFonts w:hint="eastAsia"/>
                <w:color w:val="auto"/>
                <w:sz w:val="24"/>
                <w:u w:val="single"/>
                <w:lang w:val="en-US" w:eastAsia="zh-CN"/>
              </w:rPr>
              <w:t>34</w:t>
            </w:r>
            <w:r>
              <w:rPr>
                <w:color w:val="auto"/>
                <w:sz w:val="24"/>
              </w:rPr>
              <w:t>分</w:t>
            </w:r>
            <w:r>
              <w:rPr>
                <w:color w:val="auto"/>
                <w:sz w:val="24"/>
                <w:u w:val="single"/>
              </w:rPr>
              <w:t xml:space="preserve"> </w:t>
            </w:r>
            <w:r>
              <w:rPr>
                <w:rFonts w:hint="eastAsia"/>
                <w:color w:val="auto"/>
                <w:sz w:val="24"/>
                <w:u w:val="single"/>
                <w:lang w:val="en-US" w:eastAsia="zh-CN"/>
              </w:rPr>
              <w:t>42.380</w:t>
            </w:r>
            <w:r>
              <w:rPr>
                <w:color w:val="auto"/>
                <w:sz w:val="24"/>
              </w:rPr>
              <w:t>秒，</w:t>
            </w:r>
            <w:r>
              <w:rPr>
                <w:color w:val="auto"/>
                <w:sz w:val="24"/>
                <w:u w:val="single"/>
              </w:rPr>
              <w:t xml:space="preserve"> 3</w:t>
            </w:r>
            <w:r>
              <w:rPr>
                <w:rFonts w:hint="eastAsia"/>
                <w:color w:val="auto"/>
                <w:sz w:val="24"/>
                <w:u w:val="single"/>
                <w:lang w:val="en-US" w:eastAsia="zh-CN"/>
              </w:rPr>
              <w:t>2</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lang w:val="en-US" w:eastAsia="zh-CN"/>
              </w:rPr>
              <w:t>29</w:t>
            </w:r>
            <w:r>
              <w:rPr>
                <w:color w:val="auto"/>
                <w:sz w:val="24"/>
                <w:u w:val="single"/>
              </w:rPr>
              <w:t xml:space="preserve"> </w:t>
            </w:r>
            <w:r>
              <w:rPr>
                <w:color w:val="auto"/>
                <w:sz w:val="24"/>
              </w:rPr>
              <w:t>分</w:t>
            </w:r>
            <w:r>
              <w:rPr>
                <w:rFonts w:hint="eastAsia"/>
                <w:color w:val="auto"/>
                <w:sz w:val="24"/>
                <w:u w:val="single"/>
                <w:lang w:val="en-US" w:eastAsia="zh-CN"/>
              </w:rPr>
              <w:t>48.856</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2264" w:type="dxa"/>
            <w:vAlign w:val="center"/>
          </w:tcPr>
          <w:p>
            <w:pPr>
              <w:widowControl/>
              <w:adjustRightInd/>
              <w:snapToGrid/>
              <w:jc w:val="center"/>
              <w:rPr>
                <w:rFonts w:hint="eastAsia"/>
                <w:color w:val="auto"/>
                <w:sz w:val="24"/>
              </w:rPr>
            </w:pPr>
            <w:r>
              <w:rPr>
                <w:rFonts w:hint="eastAsia"/>
                <w:color w:val="auto"/>
                <w:sz w:val="24"/>
              </w:rPr>
              <w:t>C3021水泥制品制造</w:t>
            </w:r>
          </w:p>
        </w:tc>
        <w:tc>
          <w:tcPr>
            <w:tcW w:w="2066" w:type="dxa"/>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行业类别</w:t>
            </w:r>
          </w:p>
        </w:tc>
        <w:tc>
          <w:tcPr>
            <w:tcW w:w="2690" w:type="dxa"/>
            <w:vAlign w:val="center"/>
          </w:tcPr>
          <w:p>
            <w:pPr>
              <w:adjustRightInd w:val="0"/>
              <w:snapToGrid w:val="0"/>
              <w:jc w:val="center"/>
              <w:rPr>
                <w:rFonts w:hint="eastAsia" w:eastAsia="宋体"/>
                <w:color w:val="auto"/>
                <w:sz w:val="24"/>
                <w:lang w:eastAsia="zh-CN"/>
              </w:rPr>
            </w:pPr>
            <w:r>
              <w:rPr>
                <w:rFonts w:hint="eastAsia"/>
                <w:color w:val="auto"/>
                <w:sz w:val="24"/>
              </w:rPr>
              <w:t>二十七、非金属矿物制品业30中55、石膏、水泥制品及其类似制品制造 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2264" w:type="dxa"/>
            <w:vAlign w:val="center"/>
          </w:tcPr>
          <w:p>
            <w:pPr>
              <w:jc w:val="left"/>
              <w:rPr>
                <w:color w:val="auto"/>
                <w:sz w:val="24"/>
              </w:rPr>
            </w:pPr>
            <w:r>
              <w:rPr>
                <w:rFonts w:hint="eastAsia"/>
                <w:color w:val="auto"/>
                <w:sz w:val="24"/>
              </w:rPr>
              <w:t>☑</w:t>
            </w:r>
            <w:r>
              <w:rPr>
                <w:color w:val="auto"/>
                <w:sz w:val="24"/>
              </w:rPr>
              <w:t>新建（迁建）</w:t>
            </w:r>
          </w:p>
          <w:p>
            <w:pPr>
              <w:jc w:val="left"/>
              <w:rPr>
                <w:color w:val="auto"/>
                <w:sz w:val="24"/>
              </w:rPr>
            </w:pPr>
            <w:r>
              <w:rPr>
                <w:rFonts w:hint="eastAsia"/>
                <w:color w:val="auto"/>
                <w:sz w:val="24"/>
              </w:rPr>
              <w:t>□</w:t>
            </w:r>
            <w:r>
              <w:rPr>
                <w:color w:val="auto"/>
                <w:sz w:val="24"/>
              </w:rPr>
              <w:t>改建</w:t>
            </w:r>
          </w:p>
          <w:p>
            <w:pPr>
              <w:jc w:val="left"/>
              <w:rPr>
                <w:color w:val="auto"/>
                <w:sz w:val="24"/>
              </w:rPr>
            </w:pPr>
            <w:r>
              <w:rPr>
                <w:rFonts w:hint="eastAsia"/>
                <w:color w:val="auto"/>
                <w:sz w:val="24"/>
              </w:rPr>
              <w:t>□</w:t>
            </w:r>
            <w:r>
              <w:rPr>
                <w:color w:val="auto"/>
                <w:sz w:val="24"/>
              </w:rPr>
              <w:t>扩建</w:t>
            </w:r>
          </w:p>
          <w:p>
            <w:pPr>
              <w:jc w:val="left"/>
              <w:rPr>
                <w:color w:val="auto"/>
                <w:sz w:val="24"/>
              </w:rPr>
            </w:pPr>
            <w:r>
              <w:rPr>
                <w:rFonts w:hint="eastAsia"/>
                <w:color w:val="auto"/>
                <w:sz w:val="24"/>
              </w:rPr>
              <w:t>□</w:t>
            </w:r>
            <w:r>
              <w:rPr>
                <w:color w:val="auto"/>
                <w:sz w:val="24"/>
              </w:rPr>
              <w:t>技术改造</w:t>
            </w:r>
          </w:p>
        </w:tc>
        <w:tc>
          <w:tcPr>
            <w:tcW w:w="2066" w:type="dxa"/>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690" w:type="dxa"/>
            <w:vAlign w:val="center"/>
          </w:tcPr>
          <w:p>
            <w:pPr>
              <w:jc w:val="left"/>
              <w:rPr>
                <w:rFonts w:ascii="宋体" w:hAnsi="宋体"/>
                <w:color w:val="auto"/>
                <w:sz w:val="24"/>
              </w:rPr>
            </w:pPr>
            <w:r>
              <w:rPr>
                <w:rFonts w:hint="eastAsia" w:ascii="MS Gothic" w:hAnsi="MS Gothic" w:eastAsia="MS Gothic" w:cs="MS Gothic"/>
                <w:color w:val="auto"/>
                <w:sz w:val="24"/>
              </w:rPr>
              <w:t>☑</w:t>
            </w:r>
            <w:r>
              <w:rPr>
                <w:rFonts w:ascii="宋体" w:hAnsi="宋体"/>
                <w:color w:val="auto"/>
                <w:sz w:val="24"/>
              </w:rPr>
              <w:t>首次申报项目</w:t>
            </w:r>
          </w:p>
          <w:p>
            <w:pPr>
              <w:jc w:val="left"/>
              <w:rPr>
                <w:rFonts w:ascii="宋体" w:hAnsi="宋体"/>
                <w:color w:val="auto"/>
                <w:sz w:val="24"/>
              </w:rPr>
            </w:pPr>
            <w:r>
              <w:rPr>
                <w:rFonts w:ascii="宋体" w:hAnsi="宋体"/>
                <w:color w:val="auto"/>
                <w:sz w:val="24"/>
              </w:rPr>
              <w:t>□不予批准后再次申报项目</w:t>
            </w:r>
          </w:p>
          <w:p>
            <w:pPr>
              <w:jc w:val="left"/>
              <w:rPr>
                <w:rFonts w:ascii="宋体" w:hAnsi="宋体"/>
                <w:color w:val="auto"/>
                <w:sz w:val="24"/>
              </w:rPr>
            </w:pPr>
            <w:r>
              <w:rPr>
                <w:rFonts w:ascii="宋体" w:hAnsi="宋体"/>
                <w:color w:val="auto"/>
                <w:sz w:val="24"/>
              </w:rPr>
              <w:t>□超五年重新审核项目</w:t>
            </w:r>
          </w:p>
          <w:p>
            <w:pPr>
              <w:jc w:val="left"/>
              <w:rPr>
                <w:color w:val="auto"/>
                <w:sz w:val="24"/>
              </w:rPr>
            </w:pPr>
            <w:r>
              <w:rPr>
                <w:rFonts w:hint="eastAsia" w:ascii="宋体" w:hAnsi="宋体"/>
                <w:color w:val="auto"/>
                <w:sz w:val="24"/>
              </w:rPr>
              <w:t>□</w:t>
            </w:r>
            <w:r>
              <w:rPr>
                <w:rFonts w:ascii="宋体" w:hAnsi="宋体"/>
                <w:color w:val="auto"/>
                <w:sz w:val="24"/>
              </w:rPr>
              <w:t>重大</w:t>
            </w:r>
            <w:r>
              <w:rPr>
                <w:color w:val="auto"/>
                <w:sz w:val="24"/>
              </w:rPr>
              <w:t>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2264" w:type="dxa"/>
            <w:vAlign w:val="center"/>
          </w:tcPr>
          <w:p>
            <w:pPr>
              <w:adjustRightInd w:val="0"/>
              <w:snapToGrid w:val="0"/>
              <w:jc w:val="center"/>
              <w:rPr>
                <w:rFonts w:hint="eastAsia" w:eastAsia="宋体"/>
                <w:color w:val="auto"/>
                <w:sz w:val="24"/>
                <w:lang w:eastAsia="zh-CN"/>
              </w:rPr>
            </w:pPr>
            <w:r>
              <w:rPr>
                <w:rFonts w:hint="eastAsia"/>
                <w:color w:val="auto"/>
                <w:sz w:val="24"/>
                <w:lang w:eastAsia="zh-CN"/>
              </w:rPr>
              <w:t>寿县发展和改革委员会</w:t>
            </w:r>
          </w:p>
        </w:tc>
        <w:tc>
          <w:tcPr>
            <w:tcW w:w="2066" w:type="dxa"/>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2690" w:type="dxa"/>
            <w:vAlign w:val="center"/>
          </w:tcPr>
          <w:p>
            <w:pPr>
              <w:adjustRightInd w:val="0"/>
              <w:snapToGrid w:val="0"/>
              <w:jc w:val="center"/>
              <w:rPr>
                <w:rFonts w:hint="eastAsia"/>
                <w:color w:val="auto"/>
                <w:sz w:val="24"/>
              </w:rPr>
            </w:pP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总投资（万元）</w:t>
            </w:r>
          </w:p>
        </w:tc>
        <w:tc>
          <w:tcPr>
            <w:tcW w:w="2264"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2000</w:t>
            </w:r>
          </w:p>
        </w:tc>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环保投资（万元）</w:t>
            </w:r>
          </w:p>
        </w:tc>
        <w:tc>
          <w:tcPr>
            <w:tcW w:w="2690"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环保投资占比（%）</w:t>
            </w:r>
          </w:p>
        </w:tc>
        <w:tc>
          <w:tcPr>
            <w:tcW w:w="2264"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1.4</w:t>
            </w:r>
          </w:p>
        </w:tc>
        <w:tc>
          <w:tcPr>
            <w:tcW w:w="2066"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施工工期</w:t>
            </w:r>
          </w:p>
        </w:tc>
        <w:tc>
          <w:tcPr>
            <w:tcW w:w="2690" w:type="dxa"/>
            <w:vAlign w:val="center"/>
          </w:tcPr>
          <w:p>
            <w:pPr>
              <w:adjustRightInd w:val="0"/>
              <w:snapToGrid w:val="0"/>
              <w:jc w:val="center"/>
              <w:rPr>
                <w:color w:val="auto"/>
                <w:sz w:val="24"/>
                <w:highlight w:val="none"/>
              </w:rPr>
            </w:pPr>
            <w:r>
              <w:rPr>
                <w:rFonts w:hint="eastAsia"/>
                <w:color w:val="auto"/>
                <w:sz w:val="24"/>
                <w:highlight w:val="none"/>
              </w:rPr>
              <w:t xml:space="preserve">3个月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040" w:type="dxa"/>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2264" w:type="dxa"/>
            <w:vAlign w:val="center"/>
          </w:tcPr>
          <w:p>
            <w:pPr>
              <w:jc w:val="left"/>
              <w:rPr>
                <w:rFonts w:ascii="宋体" w:hAnsi="宋体"/>
                <w:color w:val="auto"/>
                <w:sz w:val="24"/>
                <w:highlight w:val="none"/>
              </w:rPr>
            </w:pPr>
            <w:r>
              <w:rPr>
                <w:rFonts w:ascii="宋体" w:hAnsi="宋体"/>
                <w:color w:val="auto"/>
                <w:sz w:val="24"/>
                <w:highlight w:val="none"/>
              </w:rPr>
              <w:t>☑否</w:t>
            </w:r>
          </w:p>
          <w:p>
            <w:pPr>
              <w:jc w:val="left"/>
              <w:rPr>
                <w:color w:val="auto"/>
                <w:sz w:val="24"/>
                <w:highlight w:val="none"/>
              </w:rPr>
            </w:pPr>
            <w:r>
              <w:rPr>
                <w:rFonts w:ascii="宋体" w:hAnsi="宋体"/>
                <w:color w:val="auto"/>
                <w:sz w:val="24"/>
                <w:highlight w:val="none"/>
              </w:rPr>
              <w:t>□是：</w:t>
            </w:r>
          </w:p>
        </w:tc>
        <w:tc>
          <w:tcPr>
            <w:tcW w:w="2066" w:type="dxa"/>
            <w:tcMar>
              <w:top w:w="16" w:type="dxa"/>
              <w:left w:w="16" w:type="dxa"/>
              <w:right w:w="16" w:type="dxa"/>
            </w:tcMar>
            <w:vAlign w:val="center"/>
          </w:tcPr>
          <w:p>
            <w:pPr>
              <w:adjustRightInd w:val="0"/>
              <w:snapToGrid w:val="0"/>
              <w:jc w:val="center"/>
              <w:rPr>
                <w:color w:val="auto"/>
                <w:spacing w:val="-6"/>
                <w:sz w:val="24"/>
                <w:highlight w:val="none"/>
              </w:rPr>
            </w:pPr>
            <w:r>
              <w:rPr>
                <w:color w:val="auto"/>
                <w:spacing w:val="-6"/>
                <w:sz w:val="24"/>
                <w:highlight w:val="none"/>
              </w:rPr>
              <w:t>用地（用海）</w:t>
            </w:r>
          </w:p>
          <w:p>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2690" w:type="dxa"/>
            <w:vAlign w:val="center"/>
          </w:tcPr>
          <w:p>
            <w:pPr>
              <w:adjustRightInd w:val="0"/>
              <w:snapToGrid w:val="0"/>
              <w:jc w:val="center"/>
              <w:rPr>
                <w:rFonts w:hint="default" w:eastAsia="宋体"/>
                <w:color w:val="auto"/>
                <w:sz w:val="24"/>
                <w:highlight w:val="none"/>
                <w:lang w:val="en-US" w:eastAsia="zh-CN"/>
              </w:rPr>
            </w:pPr>
            <w:r>
              <w:rPr>
                <w:rStyle w:val="23"/>
                <w:rFonts w:hint="eastAsia"/>
                <w:color w:val="auto"/>
                <w:kern w:val="0"/>
                <w:sz w:val="24"/>
                <w:szCs w:val="24"/>
                <w:highlight w:val="none"/>
                <w:lang w:val="en-US" w:eastAsia="zh-CN"/>
              </w:rPr>
              <w:t>4000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2040" w:type="dxa"/>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7020" w:type="dxa"/>
            <w:gridSpan w:val="3"/>
            <w:vAlign w:val="center"/>
          </w:tcPr>
          <w:p>
            <w:pPr>
              <w:autoSpaceDE w:val="0"/>
              <w:autoSpaceDN w:val="0"/>
              <w:adjustRightInd w:val="0"/>
              <w:snapToGrid w:val="0"/>
              <w:jc w:val="center"/>
              <w:rPr>
                <w:color w:val="auto"/>
                <w:kern w:val="0"/>
                <w:sz w:val="24"/>
              </w:rPr>
            </w:pPr>
            <w:r>
              <w:rPr>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2040" w:type="dxa"/>
            <w:vAlign w:val="center"/>
          </w:tcPr>
          <w:p>
            <w:pPr>
              <w:autoSpaceDE w:val="0"/>
              <w:autoSpaceDN w:val="0"/>
              <w:adjustRightInd w:val="0"/>
              <w:snapToGrid w:val="0"/>
              <w:jc w:val="center"/>
              <w:rPr>
                <w:color w:val="auto"/>
                <w:kern w:val="0"/>
                <w:sz w:val="24"/>
              </w:rPr>
            </w:pPr>
            <w:r>
              <w:rPr>
                <w:color w:val="auto"/>
                <w:sz w:val="24"/>
              </w:rPr>
              <w:t>规划情况</w:t>
            </w:r>
          </w:p>
        </w:tc>
        <w:tc>
          <w:tcPr>
            <w:tcW w:w="7020" w:type="dxa"/>
            <w:gridSpan w:val="3"/>
            <w:vAlign w:val="center"/>
          </w:tcPr>
          <w:p>
            <w:pPr>
              <w:widowControl/>
              <w:spacing w:line="240" w:lineRule="auto"/>
              <w:jc w:val="center"/>
              <w:rPr>
                <w:rFonts w:hint="eastAsia" w:eastAsia="宋体"/>
                <w:color w:val="auto"/>
                <w:lang w:eastAsia="zh-CN"/>
              </w:rPr>
            </w:pPr>
            <w:r>
              <w:rPr>
                <w:rStyle w:val="29"/>
                <w:rFonts w:hint="default"/>
                <w:color w:val="auto"/>
                <w:sz w:val="24"/>
              </w:rPr>
              <w:t>《寿县</w:t>
            </w:r>
            <w:r>
              <w:rPr>
                <w:rStyle w:val="29"/>
                <w:rFonts w:hint="eastAsia"/>
                <w:color w:val="auto"/>
                <w:sz w:val="24"/>
                <w:lang w:eastAsia="zh-CN"/>
              </w:rPr>
              <w:t>丰庄镇国土空间总体规划</w:t>
            </w:r>
            <w:r>
              <w:rPr>
                <w:rStyle w:val="29"/>
                <w:rFonts w:hint="default" w:ascii="Times New Roman" w:hAnsi="Times New Roman" w:cs="Times New Roman"/>
                <w:color w:val="auto"/>
                <w:sz w:val="24"/>
                <w:lang w:eastAsia="zh-CN"/>
              </w:rPr>
              <w:t>（</w:t>
            </w:r>
            <w:r>
              <w:rPr>
                <w:rStyle w:val="29"/>
                <w:rFonts w:hint="default" w:ascii="Times New Roman" w:hAnsi="Times New Roman" w:cs="Times New Roman"/>
                <w:color w:val="auto"/>
                <w:sz w:val="24"/>
                <w:lang w:val="en-US" w:eastAsia="zh-CN"/>
              </w:rPr>
              <w:t>2021-2035年</w:t>
            </w:r>
            <w:r>
              <w:rPr>
                <w:rStyle w:val="29"/>
                <w:rFonts w:hint="default" w:ascii="Times New Roman" w:hAnsi="Times New Roman" w:cs="Times New Roman"/>
                <w:color w:val="auto"/>
                <w:sz w:val="24"/>
                <w:lang w:eastAsia="zh-CN"/>
              </w:rPr>
              <w:t>）</w:t>
            </w:r>
            <w:r>
              <w:rPr>
                <w:rStyle w:val="29"/>
                <w:rFonts w:hint="default" w:ascii="Times New Roman" w:hAnsi="Times New Roman" w:cs="Times New Roman"/>
                <w:color w:val="auto"/>
                <w:sz w:val="24"/>
              </w:rPr>
              <w:t xml:space="preserve">》 </w:t>
            </w:r>
            <w:r>
              <w:rPr>
                <w:rStyle w:val="29"/>
                <w:rFonts w:hint="default" w:ascii="Times New Roman" w:hAnsi="Times New Roman" w:cs="Times New Roman"/>
                <w:b w:val="0"/>
                <w:bCs/>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2040" w:type="dxa"/>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highlight w:val="yellow"/>
              </w:rPr>
            </w:pPr>
            <w:r>
              <w:rPr>
                <w:color w:val="auto"/>
                <w:sz w:val="24"/>
              </w:rPr>
              <w:t>评价情况</w:t>
            </w:r>
          </w:p>
        </w:tc>
        <w:tc>
          <w:tcPr>
            <w:tcW w:w="7020" w:type="dxa"/>
            <w:gridSpan w:val="3"/>
            <w:vAlign w:val="center"/>
          </w:tcPr>
          <w:p>
            <w:pPr>
              <w:spacing w:line="240" w:lineRule="auto"/>
              <w:jc w:val="center"/>
              <w:rPr>
                <w:color w:val="auto"/>
                <w:sz w:val="24"/>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80" w:hRule="atLeast"/>
          <w:jc w:val="center"/>
        </w:trPr>
        <w:tc>
          <w:tcPr>
            <w:tcW w:w="2040" w:type="dxa"/>
            <w:vAlign w:val="center"/>
          </w:tcPr>
          <w:p>
            <w:pPr>
              <w:adjustRightInd w:val="0"/>
              <w:snapToGrid w:val="0"/>
              <w:jc w:val="center"/>
              <w:rPr>
                <w:color w:val="auto"/>
                <w:sz w:val="24"/>
              </w:rPr>
            </w:pPr>
            <w:r>
              <w:rPr>
                <w:color w:val="auto"/>
                <w:kern w:val="0"/>
                <w:sz w:val="24"/>
              </w:rPr>
              <w:t>规划及规划环境影响评价符合性分析</w:t>
            </w:r>
          </w:p>
        </w:tc>
        <w:tc>
          <w:tcPr>
            <w:tcW w:w="7020" w:type="dxa"/>
            <w:gridSpan w:val="3"/>
            <w:vAlign w:val="center"/>
          </w:tcPr>
          <w:p>
            <w:pPr>
              <w:pStyle w:val="32"/>
              <w:numPr>
                <w:ilvl w:val="0"/>
                <w:numId w:val="2"/>
              </w:numPr>
              <w:tabs>
                <w:tab w:val="left" w:pos="439"/>
              </w:tabs>
              <w:spacing w:line="360" w:lineRule="auto"/>
              <w:ind w:firstLine="480" w:firstLineChars="200"/>
              <w:jc w:val="both"/>
              <w:rPr>
                <w:rStyle w:val="29"/>
                <w:rFonts w:hint="default"/>
                <w:b/>
                <w:color w:val="auto"/>
                <w:sz w:val="24"/>
              </w:rPr>
            </w:pPr>
            <w:r>
              <w:rPr>
                <w:rFonts w:hint="eastAsia"/>
                <w:color w:val="auto"/>
                <w:sz w:val="24"/>
                <w:szCs w:val="24"/>
                <w:lang w:eastAsia="zh-CN"/>
              </w:rPr>
              <w:t>与</w:t>
            </w:r>
            <w:r>
              <w:rPr>
                <w:rStyle w:val="29"/>
                <w:rFonts w:hint="default"/>
                <w:color w:val="auto"/>
                <w:sz w:val="24"/>
              </w:rPr>
              <w:t>《寿县</w:t>
            </w:r>
            <w:r>
              <w:rPr>
                <w:rStyle w:val="29"/>
                <w:rFonts w:hint="eastAsia"/>
                <w:color w:val="auto"/>
                <w:sz w:val="24"/>
                <w:lang w:eastAsia="zh-CN"/>
              </w:rPr>
              <w:t>丰庄镇国土空间总体规划</w:t>
            </w:r>
            <w:r>
              <w:rPr>
                <w:rStyle w:val="29"/>
                <w:rFonts w:hint="default" w:ascii="Times New Roman" w:hAnsi="Times New Roman" w:cs="Times New Roman"/>
                <w:color w:val="auto"/>
                <w:sz w:val="24"/>
                <w:lang w:eastAsia="zh-CN"/>
              </w:rPr>
              <w:t>（</w:t>
            </w:r>
            <w:r>
              <w:rPr>
                <w:rStyle w:val="29"/>
                <w:rFonts w:hint="default" w:ascii="Times New Roman" w:hAnsi="Times New Roman" w:cs="Times New Roman"/>
                <w:color w:val="auto"/>
                <w:sz w:val="24"/>
                <w:lang w:val="en-US" w:eastAsia="zh-CN"/>
              </w:rPr>
              <w:t>2021-2035年</w:t>
            </w:r>
            <w:r>
              <w:rPr>
                <w:rStyle w:val="29"/>
                <w:rFonts w:hint="default" w:ascii="Times New Roman" w:hAnsi="Times New Roman" w:cs="Times New Roman"/>
                <w:color w:val="auto"/>
                <w:sz w:val="24"/>
                <w:lang w:eastAsia="zh-CN"/>
              </w:rPr>
              <w:t>）</w:t>
            </w:r>
            <w:r>
              <w:rPr>
                <w:rStyle w:val="29"/>
                <w:rFonts w:hint="default" w:ascii="Times New Roman" w:hAnsi="Times New Roman" w:cs="Times New Roman"/>
                <w:color w:val="auto"/>
                <w:sz w:val="24"/>
              </w:rPr>
              <w:t>》</w:t>
            </w:r>
            <w:r>
              <w:rPr>
                <w:rStyle w:val="29"/>
                <w:rFonts w:hint="eastAsia" w:eastAsia="宋体"/>
                <w:b w:val="0"/>
                <w:bCs/>
                <w:color w:val="auto"/>
                <w:sz w:val="24"/>
                <w:lang w:eastAsia="zh-CN"/>
              </w:rPr>
              <w:t>相符性分析</w:t>
            </w:r>
          </w:p>
          <w:p>
            <w:pPr>
              <w:pStyle w:val="32"/>
              <w:numPr>
                <w:ilvl w:val="0"/>
                <w:numId w:val="0"/>
              </w:numPr>
              <w:tabs>
                <w:tab w:val="left" w:pos="439"/>
              </w:tabs>
              <w:spacing w:line="360" w:lineRule="auto"/>
              <w:ind w:firstLine="480" w:firstLineChars="200"/>
              <w:jc w:val="both"/>
              <w:rPr>
                <w:rFonts w:hint="eastAsia" w:eastAsia="宋体"/>
                <w:color w:val="auto"/>
                <w:sz w:val="24"/>
                <w:szCs w:val="24"/>
                <w:lang w:eastAsia="zh-CN"/>
              </w:rPr>
            </w:pPr>
            <w:r>
              <w:rPr>
                <w:rFonts w:hint="eastAsia" w:ascii="Segoe UI" w:hAnsi="Segoe UI" w:eastAsia="宋体" w:cs="Segoe UI"/>
                <w:i w:val="0"/>
                <w:iCs w:val="0"/>
                <w:caps w:val="0"/>
                <w:color w:val="auto"/>
                <w:spacing w:val="0"/>
                <w:sz w:val="24"/>
                <w:szCs w:val="24"/>
                <w:shd w:val="clear" w:fill="FFFFFF"/>
                <w:lang w:eastAsia="zh-CN"/>
              </w:rPr>
              <w:t>根据</w:t>
            </w:r>
            <w:r>
              <w:rPr>
                <w:rFonts w:ascii="Segoe UI" w:hAnsi="Segoe UI" w:eastAsia="Segoe UI" w:cs="Segoe UI"/>
                <w:i w:val="0"/>
                <w:iCs w:val="0"/>
                <w:caps w:val="0"/>
                <w:color w:val="auto"/>
                <w:spacing w:val="0"/>
                <w:sz w:val="24"/>
                <w:szCs w:val="24"/>
                <w:shd w:val="clear" w:fill="FFFFFF"/>
              </w:rPr>
              <w:t>《寿县丰庄镇国土空间总体规划（2021-2035年）》用地布局图（附图1）、规划分区与用途管控图</w:t>
            </w:r>
            <w:r>
              <w:rPr>
                <w:rFonts w:hint="eastAsia" w:ascii="Segoe UI" w:hAnsi="Segoe UI" w:eastAsia="宋体" w:cs="Segoe UI"/>
                <w:i w:val="0"/>
                <w:iCs w:val="0"/>
                <w:caps w:val="0"/>
                <w:color w:val="auto"/>
                <w:spacing w:val="0"/>
                <w:sz w:val="24"/>
                <w:szCs w:val="24"/>
                <w:shd w:val="clear" w:fill="FFFFFF"/>
                <w:lang w:eastAsia="zh-CN"/>
              </w:rPr>
              <w:t>（附图</w:t>
            </w:r>
            <w:r>
              <w:rPr>
                <w:rFonts w:hint="eastAsia" w:ascii="Segoe UI" w:hAnsi="Segoe UI" w:eastAsia="宋体" w:cs="Segoe UI"/>
                <w:i w:val="0"/>
                <w:iCs w:val="0"/>
                <w:caps w:val="0"/>
                <w:color w:val="auto"/>
                <w:spacing w:val="0"/>
                <w:sz w:val="24"/>
                <w:szCs w:val="24"/>
                <w:shd w:val="clear" w:fill="FFFFFF"/>
                <w:lang w:val="en-US" w:eastAsia="zh-CN"/>
              </w:rPr>
              <w:t>2</w:t>
            </w:r>
            <w:r>
              <w:rPr>
                <w:rFonts w:hint="eastAsia" w:ascii="Segoe UI" w:hAnsi="Segoe UI" w:eastAsia="宋体" w:cs="Segoe UI"/>
                <w:i w:val="0"/>
                <w:iCs w:val="0"/>
                <w:caps w:val="0"/>
                <w:color w:val="auto"/>
                <w:spacing w:val="0"/>
                <w:sz w:val="24"/>
                <w:szCs w:val="24"/>
                <w:shd w:val="clear" w:fill="FFFFFF"/>
                <w:lang w:eastAsia="zh-CN"/>
              </w:rPr>
              <w:t>）</w:t>
            </w:r>
            <w:r>
              <w:rPr>
                <w:rFonts w:ascii="Segoe UI" w:hAnsi="Segoe UI" w:eastAsia="Segoe UI" w:cs="Segoe UI"/>
                <w:i w:val="0"/>
                <w:iCs w:val="0"/>
                <w:caps w:val="0"/>
                <w:color w:val="auto"/>
                <w:spacing w:val="0"/>
                <w:sz w:val="24"/>
                <w:szCs w:val="24"/>
                <w:shd w:val="clear" w:fill="FFFFFF"/>
              </w:rPr>
              <w:t>及镇政府出具的土地性质说明（附件3），项目所在地块属</w:t>
            </w:r>
            <w:r>
              <w:rPr>
                <w:rStyle w:val="21"/>
                <w:rFonts w:hint="default" w:ascii="Segoe UI" w:hAnsi="Segoe UI" w:eastAsia="Segoe UI" w:cs="Segoe UI"/>
                <w:b/>
                <w:bCs/>
                <w:i w:val="0"/>
                <w:iCs w:val="0"/>
                <w:caps w:val="0"/>
                <w:color w:val="auto"/>
                <w:spacing w:val="0"/>
                <w:sz w:val="24"/>
                <w:szCs w:val="24"/>
                <w:shd w:val="clear" w:fill="FFFFFF"/>
                <w:vertAlign w:val="baseline"/>
              </w:rPr>
              <w:t>工业用地</w:t>
            </w:r>
            <w:r>
              <w:rPr>
                <w:rFonts w:hint="default" w:ascii="Segoe UI" w:hAnsi="Segoe UI" w:eastAsia="Segoe UI" w:cs="Segoe UI"/>
                <w:i w:val="0"/>
                <w:iCs w:val="0"/>
                <w:caps w:val="0"/>
                <w:color w:val="auto"/>
                <w:spacing w:val="0"/>
                <w:sz w:val="24"/>
                <w:szCs w:val="24"/>
                <w:shd w:val="clear" w:fill="FFFFFF"/>
              </w:rPr>
              <w:t>，位于</w:t>
            </w:r>
            <w:r>
              <w:rPr>
                <w:rStyle w:val="21"/>
                <w:rFonts w:hint="default" w:ascii="Segoe UI" w:hAnsi="Segoe UI" w:eastAsia="Segoe UI" w:cs="Segoe UI"/>
                <w:b/>
                <w:bCs/>
                <w:i w:val="0"/>
                <w:iCs w:val="0"/>
                <w:caps w:val="0"/>
                <w:color w:val="auto"/>
                <w:spacing w:val="0"/>
                <w:sz w:val="24"/>
                <w:szCs w:val="24"/>
                <w:shd w:val="clear" w:fill="FFFFFF"/>
                <w:vertAlign w:val="baseline"/>
              </w:rPr>
              <w:t>村庄建设区</w:t>
            </w:r>
            <w:r>
              <w:rPr>
                <w:rFonts w:hint="default" w:ascii="Segoe UI" w:hAnsi="Segoe UI" w:eastAsia="Segoe UI" w:cs="Segoe UI"/>
                <w:i w:val="0"/>
                <w:iCs w:val="0"/>
                <w:caps w:val="0"/>
                <w:color w:val="auto"/>
                <w:spacing w:val="0"/>
                <w:sz w:val="24"/>
                <w:szCs w:val="24"/>
                <w:shd w:val="clear" w:fill="FFFFFF"/>
              </w:rPr>
              <w:t>。同时，根据寿县丰庄镇"三区三线"图（附图</w:t>
            </w:r>
            <w:r>
              <w:rPr>
                <w:rFonts w:hint="eastAsia" w:ascii="Segoe UI" w:hAnsi="Segoe UI" w:eastAsia="宋体" w:cs="Segoe UI"/>
                <w:i w:val="0"/>
                <w:iCs w:val="0"/>
                <w:caps w:val="0"/>
                <w:color w:val="auto"/>
                <w:spacing w:val="0"/>
                <w:sz w:val="24"/>
                <w:szCs w:val="24"/>
                <w:shd w:val="clear" w:fill="FFFFFF"/>
                <w:lang w:val="en-US" w:eastAsia="zh-CN"/>
              </w:rPr>
              <w:t>3</w:t>
            </w:r>
            <w:r>
              <w:rPr>
                <w:rFonts w:hint="default" w:ascii="Segoe UI" w:hAnsi="Segoe UI" w:eastAsia="Segoe UI" w:cs="Segoe UI"/>
                <w:i w:val="0"/>
                <w:iCs w:val="0"/>
                <w:caps w:val="0"/>
                <w:color w:val="auto"/>
                <w:spacing w:val="0"/>
                <w:sz w:val="24"/>
                <w:szCs w:val="24"/>
                <w:shd w:val="clear" w:fill="FFFFFF"/>
              </w:rPr>
              <w:t>），项目</w:t>
            </w:r>
            <w:r>
              <w:rPr>
                <w:rStyle w:val="21"/>
                <w:rFonts w:hint="default" w:ascii="Segoe UI" w:hAnsi="Segoe UI" w:eastAsia="Segoe UI" w:cs="Segoe UI"/>
                <w:b/>
                <w:bCs/>
                <w:i w:val="0"/>
                <w:iCs w:val="0"/>
                <w:caps w:val="0"/>
                <w:color w:val="auto"/>
                <w:spacing w:val="0"/>
                <w:sz w:val="24"/>
                <w:szCs w:val="24"/>
                <w:shd w:val="clear" w:fill="FFFFFF"/>
                <w:vertAlign w:val="baseline"/>
              </w:rPr>
              <w:t>不占用永久基本农田和生态保护红线</w:t>
            </w:r>
            <w:r>
              <w:rPr>
                <w:rFonts w:hint="default" w:ascii="Segoe UI" w:hAnsi="Segoe UI" w:eastAsia="Segoe UI" w:cs="Segoe UI"/>
                <w:i w:val="0"/>
                <w:iCs w:val="0"/>
                <w:caps w:val="0"/>
                <w:color w:val="auto"/>
                <w:spacing w:val="0"/>
                <w:sz w:val="24"/>
                <w:szCs w:val="24"/>
                <w:shd w:val="clear" w:fill="FFFFFF"/>
              </w:rPr>
              <w:t>。因此，项目选址符合镇国土空间总体规划要求。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40" w:type="dxa"/>
            <w:vAlign w:val="center"/>
          </w:tcPr>
          <w:p>
            <w:pPr>
              <w:spacing w:line="360" w:lineRule="auto"/>
              <w:jc w:val="center"/>
              <w:outlineLvl w:val="0"/>
              <w:rPr>
                <w:rFonts w:hint="eastAsia" w:ascii="宋体" w:hAnsi="宋体" w:cs="宋体"/>
                <w:color w:val="auto"/>
                <w:kern w:val="0"/>
                <w:sz w:val="24"/>
              </w:rPr>
            </w:pPr>
            <w:r>
              <w:rPr>
                <w:rFonts w:hint="eastAsia" w:ascii="宋体" w:hAnsi="宋体" w:cs="宋体"/>
                <w:color w:val="auto"/>
                <w:kern w:val="0"/>
                <w:sz w:val="24"/>
              </w:rPr>
              <w:t>其他符合性分析</w:t>
            </w:r>
          </w:p>
          <w:p>
            <w:pPr>
              <w:pStyle w:val="32"/>
              <w:rPr>
                <w:rFonts w:hint="eastAsia"/>
                <w:color w:val="auto"/>
              </w:rPr>
            </w:pPr>
          </w:p>
        </w:tc>
        <w:tc>
          <w:tcPr>
            <w:tcW w:w="7020" w:type="dxa"/>
            <w:gridSpan w:val="3"/>
            <w:vAlign w:val="center"/>
          </w:tcPr>
          <w:p>
            <w:pPr>
              <w:spacing w:line="360" w:lineRule="auto"/>
              <w:ind w:firstLine="482" w:firstLineChars="200"/>
              <w:jc w:val="left"/>
              <w:outlineLvl w:val="0"/>
              <w:rPr>
                <w:rFonts w:hint="eastAsia"/>
                <w:b/>
                <w:bCs/>
                <w:color w:val="auto"/>
                <w:sz w:val="24"/>
              </w:rPr>
            </w:pPr>
            <w:r>
              <w:rPr>
                <w:rFonts w:hint="eastAsia"/>
                <w:b/>
                <w:bCs/>
                <w:color w:val="auto"/>
                <w:sz w:val="24"/>
                <w:lang w:eastAsia="zh-CN"/>
              </w:rPr>
              <w:t>1.</w:t>
            </w:r>
            <w:r>
              <w:rPr>
                <w:rFonts w:hint="eastAsia"/>
                <w:b/>
                <w:bCs/>
                <w:color w:val="auto"/>
                <w:sz w:val="24"/>
              </w:rPr>
              <w:t>产业政策符合性分析</w:t>
            </w:r>
          </w:p>
          <w:p>
            <w:pPr>
              <w:adjustRightInd w:val="0"/>
              <w:snapToGrid w:val="0"/>
              <w:spacing w:line="360" w:lineRule="auto"/>
              <w:jc w:val="both"/>
              <w:rPr>
                <w:color w:val="auto"/>
                <w:sz w:val="24"/>
              </w:rPr>
            </w:pPr>
            <w:r>
              <w:rPr>
                <w:rFonts w:hint="eastAsia"/>
                <w:color w:val="auto"/>
                <w:sz w:val="24"/>
              </w:rPr>
              <w:t xml:space="preserve">    </w:t>
            </w:r>
            <w:r>
              <w:rPr>
                <w:color w:val="auto"/>
                <w:sz w:val="24"/>
              </w:rPr>
              <w:t>本项目</w:t>
            </w:r>
            <w:r>
              <w:rPr>
                <w:rFonts w:hint="eastAsia"/>
                <w:color w:val="auto"/>
                <w:sz w:val="24"/>
                <w:lang w:eastAsia="zh-CN"/>
              </w:rPr>
              <w:t>属于</w:t>
            </w:r>
            <w:r>
              <w:rPr>
                <w:rFonts w:hint="eastAsia"/>
                <w:color w:val="auto"/>
                <w:sz w:val="24"/>
              </w:rPr>
              <w:t>C3021水泥制品制造</w:t>
            </w:r>
            <w:r>
              <w:rPr>
                <w:color w:val="auto"/>
                <w:sz w:val="24"/>
              </w:rPr>
              <w:t>，</w:t>
            </w:r>
            <w:r>
              <w:rPr>
                <w:rFonts w:hint="eastAsia"/>
                <w:color w:val="auto"/>
                <w:sz w:val="24"/>
              </w:rPr>
              <w:t>根据</w:t>
            </w:r>
            <w:r>
              <w:rPr>
                <w:color w:val="auto"/>
                <w:sz w:val="24"/>
              </w:rPr>
              <w:t>《产业结构调整指导目录（20</w:t>
            </w:r>
            <w:r>
              <w:rPr>
                <w:rFonts w:hint="eastAsia"/>
                <w:color w:val="auto"/>
                <w:sz w:val="24"/>
              </w:rPr>
              <w:t>24</w:t>
            </w:r>
            <w:r>
              <w:rPr>
                <w:color w:val="auto"/>
                <w:sz w:val="24"/>
              </w:rPr>
              <w:t>年本）》，</w:t>
            </w:r>
            <w:r>
              <w:rPr>
                <w:rFonts w:hint="eastAsia"/>
                <w:color w:val="auto"/>
                <w:sz w:val="24"/>
              </w:rPr>
              <w:t>本项目不属于</w:t>
            </w:r>
            <w:r>
              <w:rPr>
                <w:color w:val="auto"/>
                <w:sz w:val="24"/>
              </w:rPr>
              <w:t>鼓励类、限制类或淘汰类项目，</w:t>
            </w:r>
            <w:r>
              <w:rPr>
                <w:rFonts w:hint="eastAsia"/>
                <w:color w:val="auto"/>
                <w:sz w:val="24"/>
              </w:rPr>
              <w:t>属于</w:t>
            </w:r>
            <w:r>
              <w:rPr>
                <w:color w:val="auto"/>
                <w:sz w:val="24"/>
              </w:rPr>
              <w:t>允许类，</w:t>
            </w:r>
            <w:r>
              <w:rPr>
                <w:rFonts w:hint="eastAsia"/>
                <w:color w:val="auto"/>
                <w:sz w:val="24"/>
              </w:rPr>
              <w:t>且本项目已取得</w:t>
            </w:r>
            <w:r>
              <w:rPr>
                <w:rFonts w:hint="eastAsia"/>
                <w:color w:val="auto"/>
                <w:sz w:val="24"/>
                <w:lang w:eastAsia="zh-CN"/>
              </w:rPr>
              <w:t>寿县发展和改革委员会</w:t>
            </w:r>
            <w:r>
              <w:rPr>
                <w:rFonts w:hint="eastAsia"/>
                <w:color w:val="auto"/>
                <w:sz w:val="24"/>
              </w:rPr>
              <w:t>备案文件</w:t>
            </w:r>
            <w:r>
              <w:rPr>
                <w:rFonts w:hint="eastAsia"/>
                <w:color w:val="auto"/>
                <w:sz w:val="24"/>
                <w:highlight w:val="none"/>
              </w:rPr>
              <w:t>，项目代码为</w:t>
            </w:r>
            <w:r>
              <w:rPr>
                <w:rFonts w:hint="eastAsia"/>
                <w:color w:val="auto"/>
                <w:sz w:val="24"/>
                <w:highlight w:val="none"/>
                <w:lang w:eastAsia="zh-CN"/>
              </w:rPr>
              <w:t>2509-340422-04-01623879</w:t>
            </w:r>
            <w:r>
              <w:rPr>
                <w:rFonts w:hint="eastAsia"/>
                <w:color w:val="auto"/>
                <w:sz w:val="24"/>
                <w:highlight w:val="none"/>
              </w:rPr>
              <w:t>，</w:t>
            </w:r>
            <w:r>
              <w:rPr>
                <w:color w:val="auto"/>
                <w:sz w:val="24"/>
              </w:rPr>
              <w:t>因此项目建设符合国家产业政策。</w:t>
            </w:r>
          </w:p>
          <w:p>
            <w:pPr>
              <w:autoSpaceDE w:val="0"/>
              <w:autoSpaceDN w:val="0"/>
              <w:adjustRightInd w:val="0"/>
              <w:snapToGrid w:val="0"/>
              <w:spacing w:line="360" w:lineRule="auto"/>
              <w:ind w:firstLine="482" w:firstLineChars="200"/>
              <w:jc w:val="left"/>
              <w:rPr>
                <w:b/>
                <w:bCs/>
                <w:color w:val="auto"/>
                <w:kern w:val="0"/>
                <w:sz w:val="24"/>
              </w:rPr>
            </w:pPr>
            <w:r>
              <w:rPr>
                <w:rFonts w:hint="eastAsia"/>
                <w:b/>
                <w:bCs/>
                <w:color w:val="auto"/>
                <w:kern w:val="0"/>
                <w:sz w:val="24"/>
                <w:lang w:eastAsia="zh-CN"/>
              </w:rPr>
              <w:t>2.</w:t>
            </w:r>
            <w:r>
              <w:rPr>
                <w:rFonts w:hint="eastAsia"/>
                <w:b/>
                <w:bCs/>
                <w:color w:val="auto"/>
                <w:kern w:val="0"/>
                <w:sz w:val="24"/>
              </w:rPr>
              <w:t>选址合理性分析</w:t>
            </w:r>
          </w:p>
          <w:p>
            <w:pPr>
              <w:autoSpaceDE w:val="0"/>
              <w:autoSpaceDN w:val="0"/>
              <w:adjustRightInd w:val="0"/>
              <w:snapToGrid w:val="0"/>
              <w:spacing w:line="360" w:lineRule="auto"/>
              <w:ind w:firstLine="480" w:firstLineChars="200"/>
              <w:jc w:val="left"/>
              <w:rPr>
                <w:rFonts w:hint="eastAsia"/>
                <w:color w:val="auto"/>
                <w:kern w:val="0"/>
                <w:sz w:val="24"/>
              </w:rPr>
            </w:pPr>
            <w:r>
              <w:rPr>
                <w:rFonts w:hint="eastAsia"/>
                <w:color w:val="auto"/>
                <w:kern w:val="0"/>
                <w:sz w:val="24"/>
              </w:rPr>
              <w:t>（1）与用地规划相符性分析</w:t>
            </w:r>
          </w:p>
          <w:p>
            <w:pPr>
              <w:spacing w:line="360" w:lineRule="auto"/>
              <w:ind w:firstLine="480" w:firstLineChars="200"/>
              <w:rPr>
                <w:rFonts w:hint="eastAsia"/>
                <w:color w:val="auto"/>
                <w:kern w:val="0"/>
                <w:highlight w:val="none"/>
              </w:rPr>
            </w:pPr>
            <w:r>
              <w:rPr>
                <w:rFonts w:hint="eastAsia"/>
                <w:color w:val="auto"/>
                <w:sz w:val="24"/>
              </w:rPr>
              <w:t>本项目位于</w:t>
            </w:r>
            <w:r>
              <w:rPr>
                <w:rFonts w:hint="eastAsia"/>
                <w:color w:val="auto"/>
                <w:sz w:val="24"/>
                <w:lang w:eastAsia="zh-CN"/>
              </w:rPr>
              <w:t>淮南市寿县丰庄镇前圩村</w:t>
            </w:r>
            <w:r>
              <w:rPr>
                <w:rFonts w:hint="eastAsia"/>
                <w:color w:val="auto"/>
                <w:sz w:val="24"/>
              </w:rPr>
              <w:t>。</w:t>
            </w:r>
            <w:r>
              <w:rPr>
                <w:rFonts w:hint="eastAsia"/>
                <w:color w:val="auto"/>
                <w:sz w:val="24"/>
                <w:highlight w:val="none"/>
                <w:lang w:eastAsia="zh-CN"/>
              </w:rPr>
              <w:t>租赁</w:t>
            </w:r>
            <w:r>
              <w:rPr>
                <w:rFonts w:hint="default" w:ascii="Times New Roman" w:hAnsi="Times New Roman" w:cs="Times New Roman"/>
                <w:color w:val="auto"/>
                <w:sz w:val="24"/>
                <w:highlight w:val="none"/>
                <w:lang w:eastAsia="zh-CN"/>
              </w:rPr>
              <w:t>寿县丰庄镇前圩村工业园区闲置厂房</w:t>
            </w:r>
            <w:r>
              <w:rPr>
                <w:rFonts w:hint="eastAsia" w:cs="Times New Roman"/>
                <w:color w:val="auto"/>
                <w:sz w:val="24"/>
                <w:highlight w:val="none"/>
                <w:lang w:eastAsia="zh-CN"/>
              </w:rPr>
              <w:t>用于</w:t>
            </w:r>
            <w:r>
              <w:rPr>
                <w:rFonts w:hint="eastAsia"/>
                <w:color w:val="auto"/>
                <w:sz w:val="24"/>
                <w:highlight w:val="none"/>
              </w:rPr>
              <w:t>本项目建设。</w:t>
            </w:r>
            <w:r>
              <w:rPr>
                <w:rFonts w:hint="eastAsia"/>
                <w:color w:val="auto"/>
                <w:sz w:val="24"/>
                <w:highlight w:val="none"/>
                <w:lang w:val="en-US" w:eastAsia="zh-CN"/>
              </w:rPr>
              <w:t>且</w:t>
            </w:r>
            <w:r>
              <w:rPr>
                <w:rFonts w:hint="eastAsia"/>
                <w:color w:val="auto"/>
                <w:sz w:val="24"/>
                <w:highlight w:val="none"/>
              </w:rPr>
              <w:t>根据</w:t>
            </w:r>
            <w:r>
              <w:rPr>
                <w:rFonts w:hint="eastAsia"/>
                <w:color w:val="auto"/>
                <w:sz w:val="24"/>
                <w:highlight w:val="none"/>
                <w:lang w:eastAsia="zh-CN"/>
              </w:rPr>
              <w:t>寿县丰庄镇人民政府出具的土地性质说明材料</w:t>
            </w:r>
            <w:r>
              <w:rPr>
                <w:rFonts w:hint="eastAsia"/>
                <w:color w:val="auto"/>
                <w:sz w:val="24"/>
                <w:highlight w:val="none"/>
              </w:rPr>
              <w:t>（附件3）</w:t>
            </w:r>
            <w:r>
              <w:rPr>
                <w:color w:val="auto"/>
                <w:sz w:val="24"/>
                <w:highlight w:val="none"/>
              </w:rPr>
              <w:t>，项目所在地块属于工业用地，用地性质与规划相符。</w:t>
            </w:r>
          </w:p>
          <w:p>
            <w:pPr>
              <w:autoSpaceDE w:val="0"/>
              <w:autoSpaceDN w:val="0"/>
              <w:adjustRightInd w:val="0"/>
              <w:snapToGrid w:val="0"/>
              <w:spacing w:line="360" w:lineRule="auto"/>
              <w:ind w:firstLine="480" w:firstLineChars="200"/>
              <w:jc w:val="left"/>
              <w:rPr>
                <w:rFonts w:hint="eastAsia"/>
                <w:color w:val="auto"/>
                <w:kern w:val="0"/>
                <w:sz w:val="24"/>
              </w:rPr>
            </w:pPr>
            <w:r>
              <w:rPr>
                <w:rFonts w:hint="eastAsia"/>
                <w:color w:val="auto"/>
                <w:kern w:val="0"/>
                <w:sz w:val="24"/>
              </w:rPr>
              <w:t>（2）与周边环境相容性分析</w:t>
            </w:r>
          </w:p>
          <w:p>
            <w:pPr>
              <w:spacing w:line="360" w:lineRule="auto"/>
              <w:ind w:firstLine="480" w:firstLineChars="200"/>
              <w:rPr>
                <w:color w:val="auto"/>
                <w:kern w:val="0"/>
                <w:sz w:val="24"/>
              </w:rPr>
            </w:pPr>
            <w:r>
              <w:rPr>
                <w:rFonts w:hint="eastAsia"/>
                <w:color w:val="auto"/>
                <w:sz w:val="24"/>
                <w:lang w:val="zh-CN"/>
              </w:rPr>
              <w:t>项目位于</w:t>
            </w:r>
            <w:r>
              <w:rPr>
                <w:rFonts w:hint="eastAsia"/>
                <w:color w:val="auto"/>
                <w:sz w:val="24"/>
                <w:lang w:eastAsia="zh-CN"/>
              </w:rPr>
              <w:t>淮南市寿县丰庄镇前圩村</w:t>
            </w:r>
            <w:r>
              <w:rPr>
                <w:rFonts w:hint="eastAsia"/>
                <w:color w:val="auto"/>
                <w:sz w:val="24"/>
                <w:lang w:val="zh-CN"/>
              </w:rPr>
              <w:t>，项目区北侧为农田，南侧为空置厂房，西侧为空置厂房，东侧为占正路，</w:t>
            </w:r>
            <w:r>
              <w:rPr>
                <w:rFonts w:ascii="宋体" w:hAnsi="宋体" w:cs="宋体"/>
                <w:color w:val="auto"/>
                <w:sz w:val="24"/>
                <w:highlight w:val="none"/>
              </w:rPr>
              <w:t>根据现场勘查，</w:t>
            </w:r>
            <w:r>
              <w:rPr>
                <w:rFonts w:ascii="宋体" w:hAnsi="宋体" w:cs="宋体"/>
                <w:color w:val="auto"/>
                <w:sz w:val="24"/>
              </w:rPr>
              <w:t>本项目评价区域内无生态保护区、自然保护区、风景旅游区、文化遗产保护区及饮用水源保护区等环境敏感目标。外环境制约因素小，本项目对运营期产生的污染物可实现达标排放，对周边环境影响是可接受的，因此本项目建设与周边环境是相容的。</w:t>
            </w:r>
          </w:p>
          <w:p>
            <w:pPr>
              <w:autoSpaceDE w:val="0"/>
              <w:autoSpaceDN w:val="0"/>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rPr>
              <w:t>（3）对外环境的影响</w:t>
            </w:r>
          </w:p>
          <w:p>
            <w:pPr>
              <w:spacing w:line="360" w:lineRule="auto"/>
              <w:ind w:firstLine="480" w:firstLineChars="200"/>
              <w:rPr>
                <w:rFonts w:hint="eastAsia"/>
                <w:color w:val="auto"/>
                <w:kern w:val="0"/>
                <w:sz w:val="24"/>
                <w:highlight w:val="none"/>
              </w:rPr>
            </w:pPr>
            <w:r>
              <w:rPr>
                <w:rFonts w:hint="eastAsia"/>
                <w:color w:val="auto"/>
                <w:kern w:val="0"/>
                <w:sz w:val="24"/>
                <w:highlight w:val="none"/>
              </w:rPr>
              <w:t>本项目生产过程中产生的废水主要是生活污水</w:t>
            </w:r>
            <w:r>
              <w:rPr>
                <w:rFonts w:hint="eastAsia"/>
                <w:color w:val="auto"/>
                <w:kern w:val="0"/>
                <w:sz w:val="24"/>
                <w:highlight w:val="none"/>
                <w:lang w:eastAsia="zh-CN"/>
              </w:rPr>
              <w:t>、养护废水、进出车辆冲洗废水、设备冲洗废水</w:t>
            </w:r>
            <w:r>
              <w:rPr>
                <w:rFonts w:hint="eastAsia"/>
                <w:color w:val="auto"/>
                <w:kern w:val="0"/>
                <w:sz w:val="24"/>
                <w:highlight w:val="none"/>
              </w:rPr>
              <w:t>，生活污水</w:t>
            </w:r>
            <w:r>
              <w:rPr>
                <w:rFonts w:hint="default" w:ascii="Times New Roman" w:hAnsi="Times New Roman" w:cs="Times New Roman"/>
                <w:sz w:val="24"/>
                <w:szCs w:val="24"/>
                <w:highlight w:val="none"/>
              </w:rPr>
              <w:t>经化粪池预处理后定期由吸污车转运至</w:t>
            </w:r>
            <w:r>
              <w:rPr>
                <w:rFonts w:hint="eastAsia" w:ascii="Times New Roman" w:hAnsi="Times New Roman" w:eastAsia="宋体" w:cs="Times New Roman"/>
                <w:sz w:val="24"/>
                <w:szCs w:val="24"/>
                <w:highlight w:val="none"/>
                <w:lang w:eastAsia="zh-CN"/>
              </w:rPr>
              <w:t>丰庄镇新村街污水处理站</w:t>
            </w:r>
            <w:r>
              <w:rPr>
                <w:rFonts w:hint="default" w:ascii="Times New Roman" w:hAnsi="Times New Roman" w:eastAsia="宋体" w:cs="Times New Roman"/>
                <w:sz w:val="24"/>
                <w:szCs w:val="24"/>
                <w:highlight w:val="none"/>
                <w:lang w:eastAsia="zh-CN"/>
              </w:rPr>
              <w:t>处理</w:t>
            </w:r>
            <w:r>
              <w:rPr>
                <w:rFonts w:hint="eastAsia" w:cs="Times New Roman"/>
                <w:sz w:val="24"/>
                <w:szCs w:val="24"/>
                <w:highlight w:val="none"/>
                <w:lang w:eastAsia="zh-CN"/>
              </w:rPr>
              <w:t>，</w:t>
            </w:r>
            <w:r>
              <w:rPr>
                <w:rFonts w:hint="eastAsia"/>
                <w:color w:val="auto"/>
                <w:kern w:val="0"/>
                <w:sz w:val="24"/>
                <w:highlight w:val="none"/>
                <w:lang w:eastAsia="zh-CN"/>
              </w:rPr>
              <w:t>养护废水、进出车辆冲洗废水、设备冲洗废水经三级沉淀池沉淀后回用</w:t>
            </w:r>
            <w:r>
              <w:rPr>
                <w:rFonts w:hint="eastAsia"/>
                <w:color w:val="auto"/>
                <w:kern w:val="0"/>
                <w:sz w:val="24"/>
                <w:highlight w:val="none"/>
              </w:rPr>
              <w:t>。产生的废气、噪声和固废通过设置相应的处理措施，可实现达标排放，对周围环境影响较小。且不会降低评价区域原有功能级别，对区域环境影响是可接受的。</w:t>
            </w:r>
          </w:p>
          <w:p>
            <w:pPr>
              <w:autoSpaceDE w:val="0"/>
              <w:autoSpaceDN w:val="0"/>
              <w:adjustRightInd w:val="0"/>
              <w:snapToGrid w:val="0"/>
              <w:spacing w:line="360" w:lineRule="auto"/>
              <w:ind w:firstLine="480" w:firstLineChars="200"/>
              <w:jc w:val="left"/>
              <w:rPr>
                <w:color w:val="auto"/>
                <w:highlight w:val="none"/>
              </w:rPr>
            </w:pPr>
            <w:r>
              <w:rPr>
                <w:rFonts w:hint="eastAsia"/>
                <w:color w:val="auto"/>
                <w:kern w:val="0"/>
                <w:sz w:val="24"/>
                <w:highlight w:val="none"/>
              </w:rPr>
              <w:t>综上，本项目选址合理。</w:t>
            </w:r>
          </w:p>
          <w:p>
            <w:pPr>
              <w:spacing w:line="360" w:lineRule="auto"/>
              <w:ind w:firstLine="0" w:firstLineChars="0"/>
              <w:jc w:val="left"/>
              <w:outlineLvl w:val="0"/>
              <w:rPr>
                <w:rFonts w:hint="eastAsia"/>
                <w:b/>
                <w:bCs/>
                <w:color w:val="auto"/>
                <w:sz w:val="24"/>
                <w:highlight w:val="none"/>
              </w:rPr>
            </w:pPr>
            <w:r>
              <w:rPr>
                <w:rFonts w:hint="eastAsia"/>
                <w:b/>
                <w:bCs/>
                <w:color w:val="auto"/>
                <w:sz w:val="24"/>
                <w:highlight w:val="none"/>
                <w:lang w:eastAsia="zh-CN"/>
              </w:rPr>
              <w:t>3.</w:t>
            </w:r>
            <w:r>
              <w:rPr>
                <w:b/>
                <w:bCs/>
                <w:color w:val="auto"/>
                <w:sz w:val="24"/>
                <w:highlight w:val="none"/>
              </w:rPr>
              <w:t>项目“三线一单”符合性分析</w:t>
            </w:r>
          </w:p>
          <w:p>
            <w:pPr>
              <w:spacing w:line="360" w:lineRule="auto"/>
              <w:ind w:firstLine="482" w:firstLineChars="200"/>
              <w:jc w:val="left"/>
              <w:rPr>
                <w:rFonts w:hint="eastAsia"/>
                <w:b/>
                <w:color w:val="auto"/>
                <w:sz w:val="24"/>
                <w:highlight w:val="none"/>
              </w:rPr>
            </w:pPr>
            <w:r>
              <w:rPr>
                <w:rFonts w:hint="eastAsia"/>
                <w:b/>
                <w:color w:val="auto"/>
                <w:sz w:val="24"/>
                <w:highlight w:val="none"/>
              </w:rPr>
              <w:t>（1）生态红线</w:t>
            </w:r>
          </w:p>
          <w:p>
            <w:pPr>
              <w:spacing w:line="360" w:lineRule="auto"/>
              <w:ind w:firstLine="480" w:firstLineChars="200"/>
              <w:jc w:val="left"/>
              <w:rPr>
                <w:color w:val="auto"/>
                <w:sz w:val="24"/>
                <w:highlight w:val="none"/>
              </w:rPr>
            </w:pPr>
            <w:r>
              <w:rPr>
                <w:color w:val="auto"/>
                <w:sz w:val="24"/>
                <w:highlight w:val="none"/>
              </w:rPr>
              <w:t>项目位于</w:t>
            </w:r>
            <w:r>
              <w:rPr>
                <w:rFonts w:hint="eastAsia"/>
                <w:color w:val="auto"/>
                <w:sz w:val="24"/>
                <w:highlight w:val="none"/>
                <w:lang w:eastAsia="zh-CN"/>
              </w:rPr>
              <w:t>安徽省淮南市寿县丰庄镇前圩村境内</w:t>
            </w:r>
            <w:r>
              <w:rPr>
                <w:color w:val="auto"/>
                <w:sz w:val="24"/>
                <w:highlight w:val="none"/>
              </w:rPr>
              <w:t>，周边区域不涉及重点生态功能区、生态敏感区、生态脆弱区、禁止开发区以及其他未列入上述范围、但具有重要生态功能或生态环境敏感、脆弱的区域</w:t>
            </w:r>
            <w:r>
              <w:rPr>
                <w:rFonts w:hint="eastAsia"/>
                <w:color w:val="auto"/>
                <w:sz w:val="24"/>
                <w:highlight w:val="none"/>
                <w:lang w:eastAsia="zh-CN"/>
              </w:rPr>
              <w:t>（详见附图</w:t>
            </w:r>
            <w:r>
              <w:rPr>
                <w:rFonts w:hint="eastAsia"/>
                <w:color w:val="auto"/>
                <w:sz w:val="24"/>
                <w:highlight w:val="none"/>
                <w:lang w:val="en-US" w:eastAsia="zh-CN"/>
              </w:rPr>
              <w:t>5</w:t>
            </w:r>
            <w:r>
              <w:rPr>
                <w:rFonts w:hint="eastAsia"/>
                <w:color w:val="auto"/>
                <w:sz w:val="24"/>
                <w:highlight w:val="none"/>
                <w:lang w:eastAsia="zh-CN"/>
              </w:rPr>
              <w:t>）</w:t>
            </w:r>
            <w:r>
              <w:rPr>
                <w:color w:val="auto"/>
                <w:sz w:val="24"/>
                <w:highlight w:val="none"/>
              </w:rPr>
              <w:t>。因此，本项目满足</w:t>
            </w:r>
            <w:r>
              <w:rPr>
                <w:rFonts w:hint="eastAsia"/>
                <w:color w:val="auto"/>
                <w:sz w:val="24"/>
                <w:highlight w:val="none"/>
              </w:rPr>
              <w:t>淮南</w:t>
            </w:r>
            <w:r>
              <w:rPr>
                <w:color w:val="auto"/>
                <w:sz w:val="24"/>
                <w:highlight w:val="none"/>
              </w:rPr>
              <w:t>市生态保护红线空间管控要求。</w:t>
            </w:r>
          </w:p>
          <w:p>
            <w:pPr>
              <w:spacing w:line="360" w:lineRule="auto"/>
              <w:ind w:firstLine="482" w:firstLineChars="200"/>
              <w:rPr>
                <w:b/>
                <w:bCs/>
                <w:color w:val="auto"/>
                <w:sz w:val="24"/>
              </w:rPr>
            </w:pPr>
            <w:r>
              <w:rPr>
                <w:b/>
                <w:bCs/>
                <w:color w:val="auto"/>
                <w:sz w:val="24"/>
              </w:rPr>
              <w:t>（2）环境质量底线</w:t>
            </w:r>
          </w:p>
          <w:p>
            <w:pPr>
              <w:widowControl/>
              <w:spacing w:line="360" w:lineRule="auto"/>
              <w:ind w:firstLine="480" w:firstLineChars="200"/>
              <w:rPr>
                <w:rFonts w:hint="default" w:ascii="Times New Roman" w:hAnsi="Times New Roman" w:cs="Times New Roman"/>
                <w:color w:val="auto"/>
                <w:sz w:val="24"/>
                <w:szCs w:val="24"/>
                <w:lang w:val="en-US" w:eastAsia="zh-CN"/>
              </w:rPr>
            </w:pPr>
            <w:r>
              <w:rPr>
                <w:color w:val="auto"/>
                <w:sz w:val="24"/>
              </w:rPr>
              <w:t>根据淮南市生态环境局发布的《202</w:t>
            </w:r>
            <w:r>
              <w:rPr>
                <w:rFonts w:hint="eastAsia"/>
                <w:color w:val="auto"/>
                <w:sz w:val="24"/>
                <w:lang w:val="en-US" w:eastAsia="zh-CN"/>
              </w:rPr>
              <w:t>4</w:t>
            </w:r>
            <w:r>
              <w:rPr>
                <w:color w:val="auto"/>
                <w:sz w:val="24"/>
              </w:rPr>
              <w:t>年淮南市环境质量状况公报》，区域 PM</w:t>
            </w:r>
            <w:r>
              <w:rPr>
                <w:color w:val="auto"/>
                <w:sz w:val="24"/>
                <w:vertAlign w:val="subscript"/>
              </w:rPr>
              <w:t>2.5</w:t>
            </w:r>
            <w:r>
              <w:rPr>
                <w:color w:val="auto"/>
                <w:sz w:val="24"/>
              </w:rPr>
              <w:t>超过《环境空气质量标准》（GB3095-2012）二级标准要求，区域大气环境质量不达标，</w:t>
            </w:r>
            <w:r>
              <w:rPr>
                <w:rFonts w:hint="eastAsia"/>
                <w:color w:val="auto"/>
                <w:sz w:val="24"/>
              </w:rPr>
              <w:t>淮南市生态环境局就空气质量不达标提出一系列举措，依据《淮南市大气污染防治行动计划实施方案》等工作文件，淮南市通过集中专项整治“小散乱污”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r>
              <w:rPr>
                <w:rFonts w:hint="eastAsia" w:ascii="Times New Roman" w:hAnsi="Times New Roman" w:eastAsia="宋体" w:cs="Times New Roman"/>
                <w:color w:val="auto"/>
                <w:kern w:val="0"/>
                <w:sz w:val="24"/>
                <w:szCs w:val="24"/>
                <w:lang w:val="en-US" w:eastAsia="zh-CN" w:bidi="ar"/>
              </w:rPr>
              <w:t>。本项目运行后，大气环境、</w:t>
            </w:r>
            <w:r>
              <w:rPr>
                <w:rFonts w:hint="default" w:ascii="Times New Roman" w:hAnsi="Times New Roman" w:cs="Times New Roman"/>
                <w:color w:val="auto"/>
                <w:sz w:val="24"/>
                <w:szCs w:val="24"/>
                <w:lang w:val="en-US" w:eastAsia="zh-CN"/>
              </w:rPr>
              <w:t>地表水环境、声环境等均符合相应的标准要求，符合环境质量底线要求。本项目</w:t>
            </w:r>
            <w:r>
              <w:rPr>
                <w:rFonts w:hint="eastAsia" w:cs="Times New Roman"/>
                <w:color w:val="auto"/>
                <w:sz w:val="24"/>
                <w:szCs w:val="24"/>
                <w:lang w:val="en-US" w:eastAsia="zh-CN"/>
              </w:rPr>
              <w:t>生产</w:t>
            </w:r>
            <w:r>
              <w:rPr>
                <w:rFonts w:hint="default" w:ascii="Times New Roman" w:hAnsi="Times New Roman" w:cs="Times New Roman"/>
                <w:color w:val="auto"/>
                <w:sz w:val="24"/>
                <w:szCs w:val="24"/>
                <w:lang w:val="en-US" w:eastAsia="zh-CN"/>
              </w:rPr>
              <w:t>废水</w:t>
            </w:r>
            <w:r>
              <w:rPr>
                <w:rFonts w:hint="eastAsia" w:ascii="Times New Roman" w:hAnsi="Times New Roman" w:cs="Times New Roman"/>
                <w:color w:val="auto"/>
                <w:sz w:val="24"/>
                <w:szCs w:val="24"/>
                <w:lang w:val="en-US" w:eastAsia="zh-CN"/>
              </w:rPr>
              <w:t>不外排，</w:t>
            </w:r>
            <w:r>
              <w:rPr>
                <w:rFonts w:hint="eastAsia" w:cs="Times New Roman"/>
                <w:color w:val="auto"/>
                <w:sz w:val="24"/>
                <w:szCs w:val="24"/>
                <w:lang w:val="en-US" w:eastAsia="zh-CN"/>
              </w:rPr>
              <w:t>生活污水、</w:t>
            </w:r>
            <w:r>
              <w:rPr>
                <w:rFonts w:hint="default" w:ascii="Times New Roman" w:hAnsi="Times New Roman" w:cs="Times New Roman"/>
                <w:color w:val="auto"/>
                <w:sz w:val="24"/>
                <w:szCs w:val="24"/>
                <w:lang w:val="en-US" w:eastAsia="zh-CN"/>
              </w:rPr>
              <w:t>废气、噪声经治理后均可达标排放，对区域环境影响可接受，不会触及环境质量底线。</w:t>
            </w:r>
          </w:p>
          <w:p>
            <w:pPr>
              <w:spacing w:line="360" w:lineRule="auto"/>
              <w:ind w:firstLine="482" w:firstLineChars="200"/>
              <w:rPr>
                <w:b/>
                <w:bCs/>
                <w:color w:val="auto"/>
                <w:sz w:val="24"/>
              </w:rPr>
            </w:pPr>
            <w:r>
              <w:rPr>
                <w:b/>
                <w:bCs/>
                <w:color w:val="auto"/>
                <w:sz w:val="24"/>
              </w:rPr>
              <w:t>（3）资源利用上线</w:t>
            </w:r>
          </w:p>
          <w:p>
            <w:pPr>
              <w:spacing w:line="360" w:lineRule="auto"/>
              <w:ind w:firstLine="480" w:firstLineChars="200"/>
              <w:rPr>
                <w:color w:val="auto"/>
                <w:sz w:val="24"/>
              </w:rPr>
            </w:pPr>
            <w:r>
              <w:rPr>
                <w:color w:val="auto"/>
                <w:sz w:val="24"/>
              </w:rPr>
              <w:t>本项目供水、供电均由</w:t>
            </w:r>
            <w:r>
              <w:rPr>
                <w:rFonts w:hint="eastAsia"/>
                <w:color w:val="auto"/>
                <w:sz w:val="24"/>
                <w:lang w:eastAsia="zh-CN"/>
              </w:rPr>
              <w:t>厂</w:t>
            </w:r>
            <w:r>
              <w:rPr>
                <w:color w:val="auto"/>
                <w:sz w:val="24"/>
              </w:rPr>
              <w:t>区供水、供电</w:t>
            </w:r>
            <w:r>
              <w:rPr>
                <w:rFonts w:hint="eastAsia"/>
                <w:color w:val="auto"/>
                <w:sz w:val="24"/>
              </w:rPr>
              <w:t>、供气</w:t>
            </w:r>
            <w:r>
              <w:rPr>
                <w:color w:val="auto"/>
                <w:sz w:val="24"/>
              </w:rPr>
              <w:t>管网提供，生产中考虑水的重复利用，选用低耗节能的生产设备及仪器仪表；废水、废气均采取相应的治理措施进行治理，可保证废水、废气达标排放，符合资源利用上线。</w:t>
            </w:r>
          </w:p>
          <w:p>
            <w:pPr>
              <w:spacing w:line="360" w:lineRule="auto"/>
              <w:ind w:firstLine="480" w:firstLineChars="200"/>
              <w:rPr>
                <w:color w:val="auto"/>
                <w:sz w:val="24"/>
                <w:highlight w:val="none"/>
              </w:rPr>
            </w:pPr>
            <w:r>
              <w:rPr>
                <w:color w:val="auto"/>
                <w:sz w:val="24"/>
                <w:highlight w:val="none"/>
              </w:rPr>
              <w:t>（4）环境准入清单</w:t>
            </w:r>
          </w:p>
          <w:p>
            <w:pPr>
              <w:pStyle w:val="8"/>
              <w:keepNext w:val="0"/>
              <w:keepLines w:val="0"/>
              <w:pageBreakBefore w:val="0"/>
              <w:widowControl w:val="0"/>
              <w:kinsoku/>
              <w:wordWrap/>
              <w:overflowPunct/>
              <w:topLinePunct w:val="0"/>
              <w:bidi w:val="0"/>
              <w:spacing w:line="360" w:lineRule="auto"/>
              <w:ind w:firstLine="480" w:firstLineChars="200"/>
              <w:jc w:val="left"/>
              <w:textAlignment w:val="auto"/>
              <w:rPr>
                <w:rFonts w:hint="eastAsia"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根据</w:t>
            </w:r>
            <w:r>
              <w:rPr>
                <w:rFonts w:hint="default" w:ascii="Times New Roman" w:hAnsi="Times New Roman" w:eastAsia="宋体" w:cs="Times New Roman"/>
                <w:color w:val="auto"/>
                <w:kern w:val="0"/>
                <w:sz w:val="24"/>
                <w:szCs w:val="24"/>
                <w:highlight w:val="none"/>
              </w:rPr>
              <w:t>《淮南市</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三线一单</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环境准入清单》</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项目所在区域</w:t>
            </w:r>
            <w:r>
              <w:rPr>
                <w:rFonts w:hint="eastAsia" w:cs="Times New Roman"/>
                <w:color w:val="auto"/>
                <w:kern w:val="0"/>
                <w:sz w:val="24"/>
                <w:szCs w:val="24"/>
                <w:highlight w:val="none"/>
                <w:lang w:eastAsia="zh-CN"/>
              </w:rPr>
              <w:t>属于</w:t>
            </w:r>
            <w:r>
              <w:rPr>
                <w:rFonts w:hint="eastAsia" w:ascii="Times New Roman" w:hAnsi="Times New Roman" w:eastAsia="宋体" w:cs="Times New Roman"/>
                <w:color w:val="auto"/>
                <w:kern w:val="0"/>
                <w:sz w:val="24"/>
                <w:szCs w:val="24"/>
                <w:highlight w:val="none"/>
                <w:lang w:val="en-US" w:eastAsia="zh-CN"/>
              </w:rPr>
              <w:t>“一般管控单元</w:t>
            </w:r>
            <w:r>
              <w:rPr>
                <w:rFonts w:hint="eastAsia" w:cs="Times New Roman"/>
                <w:color w:val="auto"/>
                <w:kern w:val="0"/>
                <w:sz w:val="24"/>
                <w:szCs w:val="24"/>
                <w:highlight w:val="none"/>
                <w:lang w:val="en-US" w:eastAsia="zh-CN"/>
              </w:rPr>
              <w:t>7</w:t>
            </w:r>
            <w:r>
              <w:rPr>
                <w:rFonts w:hint="eastAsia" w:ascii="Times New Roman" w:hAnsi="Times New Roman" w:eastAsia="宋体" w:cs="Times New Roman"/>
                <w:color w:val="auto"/>
                <w:kern w:val="0"/>
                <w:sz w:val="24"/>
                <w:szCs w:val="24"/>
                <w:highlight w:val="none"/>
                <w:lang w:val="en-US" w:eastAsia="zh-CN"/>
              </w:rPr>
              <w:t>（ZH340422300</w:t>
            </w:r>
            <w:r>
              <w:rPr>
                <w:rFonts w:hint="eastAsia" w:cs="Times New Roman"/>
                <w:color w:val="auto"/>
                <w:kern w:val="0"/>
                <w:sz w:val="24"/>
                <w:szCs w:val="24"/>
                <w:highlight w:val="none"/>
                <w:lang w:val="en-US" w:eastAsia="zh-CN"/>
              </w:rPr>
              <w:t>05</w:t>
            </w:r>
            <w:r>
              <w:rPr>
                <w:rFonts w:hint="eastAsia" w:ascii="Times New Roman" w:hAnsi="Times New Roman" w:eastAsia="宋体" w:cs="Times New Roman"/>
                <w:color w:val="auto"/>
                <w:kern w:val="0"/>
                <w:sz w:val="24"/>
                <w:szCs w:val="24"/>
                <w:highlight w:val="none"/>
                <w:lang w:val="en-US" w:eastAsia="zh-CN"/>
              </w:rPr>
              <w:t>） ”，</w:t>
            </w:r>
            <w:r>
              <w:rPr>
                <w:rFonts w:hint="default" w:ascii="Times New Roman" w:hAnsi="Times New Roman" w:cs="Times New Roman"/>
                <w:color w:val="auto"/>
                <w:sz w:val="24"/>
                <w:szCs w:val="24"/>
                <w:highlight w:val="none"/>
                <w:lang w:val="en-US" w:eastAsia="zh-CN"/>
              </w:rPr>
              <w:t>项目评价范围内不涉及</w:t>
            </w:r>
            <w:r>
              <w:rPr>
                <w:rFonts w:hint="eastAsia" w:cs="Times New Roman"/>
                <w:color w:val="auto"/>
                <w:sz w:val="24"/>
                <w:szCs w:val="24"/>
                <w:highlight w:val="none"/>
                <w:lang w:val="en-US" w:eastAsia="zh-CN"/>
              </w:rPr>
              <w:t>生态保护红线</w:t>
            </w:r>
            <w:r>
              <w:rPr>
                <w:rFonts w:hint="default" w:ascii="Times New Roman" w:hAnsi="Times New Roman" w:cs="Times New Roman"/>
                <w:color w:val="auto"/>
                <w:sz w:val="24"/>
                <w:szCs w:val="24"/>
                <w:highlight w:val="none"/>
                <w:lang w:val="en-US" w:eastAsia="zh-CN"/>
              </w:rPr>
              <w:t>区域，不属于禁止开发建</w:t>
            </w:r>
            <w:r>
              <w:rPr>
                <w:rFonts w:hint="default" w:ascii="Times New Roman" w:hAnsi="Times New Roman" w:cs="Times New Roman"/>
                <w:color w:val="auto"/>
                <w:sz w:val="24"/>
                <w:szCs w:val="24"/>
                <w:lang w:val="en-US" w:eastAsia="zh-CN"/>
              </w:rPr>
              <w:t>设活动、限制开发建设活动、不符合空间布局要求活动的范围内，符合单元有关空间布局约束、污染物排放管控、环境风险防控、资源开发效率要求等相关管控要求</w:t>
            </w:r>
            <w:r>
              <w:rPr>
                <w:rFonts w:hint="eastAsia" w:cs="Times New Roman"/>
                <w:color w:val="auto"/>
                <w:sz w:val="24"/>
                <w:szCs w:val="24"/>
                <w:lang w:val="en-US" w:eastAsia="zh-CN"/>
              </w:rPr>
              <w:t xml:space="preserve">。   </w:t>
            </w:r>
          </w:p>
          <w:p>
            <w:pPr>
              <w:pStyle w:val="8"/>
              <w:keepNext w:val="0"/>
              <w:keepLines w:val="0"/>
              <w:pageBreakBefore w:val="0"/>
              <w:widowControl w:val="0"/>
              <w:kinsoku/>
              <w:wordWrap/>
              <w:overflowPunct/>
              <w:topLinePunct w:val="0"/>
              <w:bidi w:val="0"/>
              <w:spacing w:line="360" w:lineRule="auto"/>
              <w:ind w:firstLine="480" w:firstLineChars="200"/>
              <w:jc w:val="left"/>
              <w:textAlignment w:val="auto"/>
              <w:rPr>
                <w:rFonts w:hint="eastAsia" w:cs="Times New Roman"/>
                <w:color w:val="auto"/>
                <w:sz w:val="24"/>
                <w:szCs w:val="24"/>
                <w:lang w:val="en-US" w:eastAsia="zh-CN"/>
              </w:rPr>
            </w:pPr>
            <w:r>
              <w:rPr>
                <w:color w:val="auto"/>
              </w:rPr>
              <w:drawing>
                <wp:anchor distT="0" distB="0" distL="114300" distR="114300" simplePos="0" relativeHeight="251667456" behindDoc="0" locked="0" layoutInCell="1" allowOverlap="1">
                  <wp:simplePos x="0" y="0"/>
                  <wp:positionH relativeFrom="column">
                    <wp:posOffset>2563495</wp:posOffset>
                  </wp:positionH>
                  <wp:positionV relativeFrom="paragraph">
                    <wp:posOffset>1380490</wp:posOffset>
                  </wp:positionV>
                  <wp:extent cx="1332230" cy="1343660"/>
                  <wp:effectExtent l="0" t="0" r="1270" b="889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1332230" cy="1343660"/>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1266825</wp:posOffset>
                      </wp:positionH>
                      <wp:positionV relativeFrom="paragraph">
                        <wp:posOffset>555625</wp:posOffset>
                      </wp:positionV>
                      <wp:extent cx="1009015" cy="352425"/>
                      <wp:effectExtent l="4445" t="5080" r="72390" b="290195"/>
                      <wp:wrapNone/>
                      <wp:docPr id="31" name="圆角矩形标注 31"/>
                      <wp:cNvGraphicFramePr/>
                      <a:graphic xmlns:a="http://schemas.openxmlformats.org/drawingml/2006/main">
                        <a:graphicData uri="http://schemas.microsoft.com/office/word/2010/wordprocessingShape">
                          <wps:wsp>
                            <wps:cNvSpPr/>
                            <wps:spPr>
                              <a:xfrm>
                                <a:off x="0" y="0"/>
                                <a:ext cx="1009015" cy="352425"/>
                              </a:xfrm>
                              <a:prstGeom prst="wedgeRoundRectCallout">
                                <a:avLst>
                                  <a:gd name="adj1" fmla="val 53486"/>
                                  <a:gd name="adj2" fmla="val 126755"/>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本项目位置</w:t>
                                  </w:r>
                                </w:p>
                              </w:txbxContent>
                            </wps:txbx>
                            <wps:bodyPr upright="1"/>
                          </wps:wsp>
                        </a:graphicData>
                      </a:graphic>
                    </wp:anchor>
                  </w:drawing>
                </mc:Choice>
                <mc:Fallback>
                  <w:pict>
                    <v:shape id="_x0000_s1026" o:spid="_x0000_s1026" o:spt="62" type="#_x0000_t62" style="position:absolute;left:0pt;margin-left:99.75pt;margin-top:43.75pt;height:27.75pt;width:79.45pt;z-index:251662336;mso-width-relative:page;mso-height-relative:page;" fillcolor="#FFFFFF" filled="t" stroked="t" coordsize="21600,21600" o:gfxdata="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INGeTaAAAACgEAAA8AAAAAAAAAAQAgAAAAIgAAAGRycy9k&#10;b3ducmV2LnhtbFBLAQIUABQAAAAIAIdO4kCmkOLOOQIAAHAEAAAOAAAAAAAAAAEAIAAAACkBAABk&#10;cnMvZTJvRG9jLnhtbFBLBQYAAAAABgAGAFkBAADUBQAAAAA=&#10;" adj="22353,38179,14400">
                      <v:fill on="t" focussize="0,0"/>
                      <v:stroke color="#000000" joinstyle="miter"/>
                      <v:imagedata o:title=""/>
                      <o:lock v:ext="edit" aspectratio="f"/>
                      <v:textbox>
                        <w:txbxContent>
                          <w:p>
                            <w:pPr>
                              <w:rPr>
                                <w:rFonts w:hint="eastAsia" w:eastAsia="宋体"/>
                                <w:lang w:eastAsia="zh-CN"/>
                              </w:rPr>
                            </w:pPr>
                            <w:r>
                              <w:rPr>
                                <w:rFonts w:hint="eastAsia"/>
                                <w:lang w:eastAsia="zh-CN"/>
                              </w:rPr>
                              <w:t>本项目位置</w:t>
                            </w:r>
                          </w:p>
                        </w:txbxContent>
                      </v:textbox>
                    </v:shape>
                  </w:pict>
                </mc:Fallback>
              </mc:AlternateContent>
            </w:r>
            <w:r>
              <w:rPr>
                <w:rFonts w:hint="eastAsia" w:cs="Times New Roman"/>
                <w:color w:val="auto"/>
                <w:sz w:val="24"/>
                <w:szCs w:val="24"/>
                <w:lang w:val="en-US" w:eastAsia="zh-CN"/>
              </w:rPr>
              <w:t xml:space="preserve"> </w:t>
            </w:r>
            <w:r>
              <w:rPr>
                <w:color w:val="auto"/>
              </w:rPr>
              <w:drawing>
                <wp:inline distT="0" distB="0" distL="114300" distR="114300">
                  <wp:extent cx="3455670" cy="2754630"/>
                  <wp:effectExtent l="0" t="0" r="11430"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3455670" cy="2754630"/>
                          </a:xfrm>
                          <a:prstGeom prst="rect">
                            <a:avLst/>
                          </a:prstGeom>
                          <a:noFill/>
                          <a:ln>
                            <a:noFill/>
                          </a:ln>
                        </pic:spPr>
                      </pic:pic>
                    </a:graphicData>
                  </a:graphic>
                </wp:inline>
              </w:drawing>
            </w:r>
          </w:p>
          <w:p>
            <w:pPr>
              <w:pStyle w:val="8"/>
              <w:keepNext w:val="0"/>
              <w:keepLines w:val="0"/>
              <w:pageBreakBefore w:val="0"/>
              <w:widowControl w:val="0"/>
              <w:kinsoku/>
              <w:wordWrap/>
              <w:overflowPunct/>
              <w:topLinePunct w:val="0"/>
              <w:bidi w:val="0"/>
              <w:spacing w:line="360" w:lineRule="auto"/>
              <w:ind w:firstLine="422" w:firstLineChars="200"/>
              <w:jc w:val="center"/>
              <w:textAlignment w:val="auto"/>
              <w:rPr>
                <w:rFonts w:hint="default"/>
                <w:b/>
                <w:bCs/>
                <w:color w:val="auto"/>
                <w:sz w:val="21"/>
                <w:szCs w:val="21"/>
                <w:lang w:val="en-US" w:eastAsia="zh-CN"/>
              </w:rPr>
            </w:pPr>
            <w:r>
              <w:rPr>
                <w:rFonts w:hint="eastAsia"/>
                <w:b/>
                <w:bCs/>
                <w:color w:val="auto"/>
                <w:sz w:val="21"/>
                <w:szCs w:val="21"/>
                <w:lang w:val="en-US" w:eastAsia="zh-CN"/>
              </w:rPr>
              <w:t>图1 本项目与“三线一单”管控单元对应关系图</w:t>
            </w:r>
          </w:p>
          <w:p>
            <w:pPr>
              <w:pStyle w:val="32"/>
              <w:ind w:left="0" w:leftChars="0" w:firstLine="0" w:firstLineChars="0"/>
              <w:jc w:val="center"/>
              <w:rPr>
                <w:rFonts w:hint="default" w:ascii="Times New Roman"/>
                <w:b/>
                <w:bCs/>
                <w:color w:val="auto"/>
                <w:sz w:val="21"/>
                <w:szCs w:val="21"/>
                <w:lang w:val="en-US" w:eastAsia="zh-CN"/>
              </w:rPr>
            </w:pPr>
            <w:r>
              <w:rPr>
                <w:rFonts w:hint="eastAsia" w:ascii="Times New Roman"/>
                <w:b/>
                <w:bCs/>
                <w:color w:val="auto"/>
                <w:sz w:val="21"/>
                <w:szCs w:val="21"/>
                <w:lang w:eastAsia="zh-CN"/>
              </w:rPr>
              <w:t>表</w:t>
            </w:r>
            <w:r>
              <w:rPr>
                <w:rFonts w:hint="eastAsia" w:ascii="Times New Roman"/>
                <w:b/>
                <w:bCs/>
                <w:color w:val="auto"/>
                <w:sz w:val="21"/>
                <w:szCs w:val="21"/>
                <w:lang w:val="en-US" w:eastAsia="zh-CN"/>
              </w:rPr>
              <w:t>1-1 本项目与生态管控单元的符合性分析</w:t>
            </w:r>
          </w:p>
          <w:tbl>
            <w:tblPr>
              <w:tblStyle w:val="25"/>
              <w:tblW w:w="67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465"/>
              <w:gridCol w:w="4110"/>
              <w:gridCol w:w="765"/>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76"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环境管控单元分类及编码</w:t>
                  </w:r>
                </w:p>
              </w:tc>
              <w:tc>
                <w:tcPr>
                  <w:tcW w:w="465"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管控类别</w:t>
                  </w:r>
                </w:p>
              </w:tc>
              <w:tc>
                <w:tcPr>
                  <w:tcW w:w="4110"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管控要求</w:t>
                  </w:r>
                </w:p>
              </w:tc>
              <w:tc>
                <w:tcPr>
                  <w:tcW w:w="765"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协调性分析</w:t>
                  </w:r>
                </w:p>
              </w:tc>
              <w:tc>
                <w:tcPr>
                  <w:tcW w:w="678"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6"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hAnsi="Times New Roman" w:eastAsia="宋体" w:cs="Times New Roman"/>
                      <w:color w:val="auto"/>
                      <w:kern w:val="0"/>
                      <w:sz w:val="21"/>
                      <w:szCs w:val="21"/>
                      <w:highlight w:val="none"/>
                      <w:lang w:val="en-US" w:eastAsia="zh-CN"/>
                    </w:rPr>
                    <w:t>一般管控单元</w:t>
                  </w:r>
                  <w:r>
                    <w:rPr>
                      <w:rFonts w:hint="eastAsia" w:cs="Times New Roman"/>
                      <w:color w:val="auto"/>
                      <w:kern w:val="0"/>
                      <w:sz w:val="21"/>
                      <w:szCs w:val="21"/>
                      <w:highlight w:val="none"/>
                      <w:lang w:val="en-US" w:eastAsia="zh-CN"/>
                    </w:rPr>
                    <w:t>7</w:t>
                  </w:r>
                  <w:r>
                    <w:rPr>
                      <w:rFonts w:hint="eastAsia" w:ascii="Times New Roman" w:hAnsi="Times New Roman" w:eastAsia="宋体" w:cs="Times New Roman"/>
                      <w:color w:val="auto"/>
                      <w:kern w:val="0"/>
                      <w:sz w:val="21"/>
                      <w:szCs w:val="21"/>
                      <w:highlight w:val="none"/>
                      <w:lang w:val="en-US" w:eastAsia="zh-CN"/>
                    </w:rPr>
                    <w:t>（ZH340422300</w:t>
                  </w:r>
                  <w:r>
                    <w:rPr>
                      <w:rFonts w:hint="eastAsia" w:cs="Times New Roman"/>
                      <w:color w:val="auto"/>
                      <w:kern w:val="0"/>
                      <w:sz w:val="21"/>
                      <w:szCs w:val="21"/>
                      <w:highlight w:val="none"/>
                      <w:lang w:val="en-US" w:eastAsia="zh-CN"/>
                    </w:rPr>
                    <w:t>05</w:t>
                  </w:r>
                  <w:r>
                    <w:rPr>
                      <w:rFonts w:hint="eastAsia" w:ascii="Times New Roman" w:hAnsi="Times New Roman" w:eastAsia="宋体" w:cs="Times New Roman"/>
                      <w:color w:val="auto"/>
                      <w:kern w:val="0"/>
                      <w:sz w:val="21"/>
                      <w:szCs w:val="21"/>
                      <w:highlight w:val="none"/>
                      <w:lang w:val="en-US" w:eastAsia="zh-CN"/>
                    </w:rPr>
                    <w:t>）</w:t>
                  </w:r>
                </w:p>
              </w:tc>
              <w:tc>
                <w:tcPr>
                  <w:tcW w:w="465"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val="0"/>
                      <w:bCs w:val="0"/>
                      <w:color w:val="auto"/>
                      <w:sz w:val="21"/>
                      <w:szCs w:val="21"/>
                      <w:vertAlign w:val="baseline"/>
                      <w:lang w:eastAsia="zh-CN"/>
                    </w:rPr>
                    <w:t>空间布局约束</w:t>
                  </w:r>
                </w:p>
              </w:tc>
              <w:tc>
                <w:tcPr>
                  <w:tcW w:w="4110"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ascii="宋体" w:hAnsi="宋体" w:eastAsia="宋体" w:cs="宋体"/>
                      <w:color w:val="auto"/>
                      <w:sz w:val="21"/>
                      <w:szCs w:val="21"/>
                    </w:rPr>
                    <w:t>禁止任何单位和个人在基本农田保护区内建窑、建房、建坟、挖砂、采石、采矿、取土、 堆放固体废弃物或者进行其他破坏基本农田的活动。禁止任何单位和个人占用基本农田发 展林果业和挖塘养鱼。禁止生产、销售、使用国家明令禁止的农业投入品。农业投入品生 产者、销售者和使用者应当及时回收农药、肥料等农业投入品的包装废弃物和农用薄膜， 并将农药包装废弃物交由专门的机构或者组织进行无害化处理。在永久基本农田集中区域，不得规划新建可能造成土壤污染的建设项目。基本农田保护区内禁止下列行为：1.擅自将耕 地改为非耕地；2.闲置、荒芜耕地；3.建窑、建房、建坟……10.其他破坏基本农田的行为。在基本农田保护区内不得设立非农业开发区和工业小区。各级人民政府应当采取措施对耕 地实行特殊保护，禁止违法占用耕地从事非农业建设，严格控制耕地转为林地、草地、园 地等其他农用地，确保耕地优先用于粮食和蔬菜、油、棉、糖等农产品生产。实行耕地保 护补偿激励制度，具体按照国家和省有关规定执行。加大优先保护类耕地保护力度，综合 采取占补数量和质量平衡、高标准农田建设、周边污染企业搬迁整治等措施。 提倡和鼓励 农业生产者对其经营的基本农田施用有机肥料，合理施用化肥和农药。利用基本农田从事 农业生产的单位和个人应当保持和培肥地力。严格控制在优先保护类耕地集中区域新建有 色金属冶炼、石油加工、化工、焦化、电镀、制革等行业企业，有关环境保护主管部门依 法不予审批可能造成耕地土壤污染的建设项目环境影响报告书或者报告表。优先保护类耕 地集中区域现有可能造成土壤污染的相关行业企业应当按照有关规定采取措施，防止对耕 地造成污染。设施农业用地选址应当按照保护耕地、节约集约利用土地的原则，少占或者 不占耕地。确需占用耕地的，应当采取措施加强对耕地耕作层的保护；设施农业用地不再 使用的，应当及时组织恢复种植条件。在永久基本农田集中区域，已建成可能造成土壤污 染的建设项目，应当限期关闭拆除。禁止任何单位和个人闲置、荒芜基本农田。</w:t>
                  </w:r>
                </w:p>
              </w:tc>
              <w:tc>
                <w:tcPr>
                  <w:tcW w:w="765"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lang w:eastAsia="zh-CN"/>
                    </w:rPr>
                    <w:t>租赁寿县丰庄镇前圩村工业园区闲置厂房</w:t>
                  </w:r>
                  <w:r>
                    <w:rPr>
                      <w:rFonts w:hint="eastAsia" w:ascii="Times New Roman" w:cs="Times New Roman"/>
                      <w:color w:val="auto"/>
                      <w:sz w:val="21"/>
                      <w:szCs w:val="21"/>
                      <w:highlight w:val="none"/>
                      <w:lang w:eastAsia="zh-CN"/>
                    </w:rPr>
                    <w:t>进行生产建设，不属于基本农田保护区</w:t>
                  </w:r>
                </w:p>
              </w:tc>
              <w:tc>
                <w:tcPr>
                  <w:tcW w:w="678" w:type="dxa"/>
                  <w:vAlign w:val="center"/>
                </w:tcPr>
                <w:p>
                  <w:pPr>
                    <w:pStyle w:val="32"/>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b/>
                      <w:bCs/>
                      <w:color w:val="auto"/>
                      <w:sz w:val="21"/>
                      <w:szCs w:val="21"/>
                      <w:vertAlign w:val="baseline"/>
                      <w:lang w:eastAsia="zh-CN"/>
                    </w:rPr>
                  </w:pPr>
                  <w:r>
                    <w:rPr>
                      <w:rFonts w:hint="eastAsia" w:ascii="Times New Roman"/>
                      <w:b w:val="0"/>
                      <w:bCs w:val="0"/>
                      <w:color w:val="auto"/>
                      <w:sz w:val="21"/>
                      <w:szCs w:val="21"/>
                      <w:vertAlign w:val="baseline"/>
                      <w:lang w:eastAsia="zh-CN"/>
                    </w:rPr>
                    <w:t>符合</w:t>
                  </w:r>
                </w:p>
              </w:tc>
            </w:tr>
          </w:tbl>
          <w:p>
            <w:pPr>
              <w:pStyle w:val="32"/>
              <w:rPr>
                <w:rFonts w:hint="eastAsia" w:ascii="Times New Roman"/>
                <w:b/>
                <w:bCs/>
                <w:color w:val="auto"/>
                <w:sz w:val="24"/>
                <w:szCs w:val="24"/>
                <w:lang w:eastAsia="zh-CN"/>
              </w:rPr>
            </w:pPr>
          </w:p>
          <w:p>
            <w:pPr>
              <w:pStyle w:val="32"/>
              <w:rPr>
                <w:rFonts w:ascii="Times New Roman"/>
                <w:b/>
                <w:bCs/>
                <w:color w:val="auto"/>
                <w:sz w:val="24"/>
                <w:szCs w:val="24"/>
              </w:rPr>
            </w:pPr>
            <w:r>
              <w:rPr>
                <w:rFonts w:hint="eastAsia" w:ascii="Times New Roman"/>
                <w:b/>
                <w:bCs/>
                <w:color w:val="auto"/>
                <w:sz w:val="24"/>
                <w:szCs w:val="24"/>
                <w:lang w:val="en-US" w:eastAsia="zh-CN"/>
              </w:rPr>
              <w:t>4</w:t>
            </w:r>
            <w:r>
              <w:rPr>
                <w:rFonts w:hint="eastAsia" w:ascii="Times New Roman"/>
                <w:b/>
                <w:bCs/>
                <w:color w:val="auto"/>
                <w:sz w:val="24"/>
                <w:szCs w:val="24"/>
                <w:lang w:eastAsia="zh-CN"/>
              </w:rPr>
              <w:t>.</w:t>
            </w:r>
            <w:r>
              <w:rPr>
                <w:rFonts w:hint="eastAsia" w:ascii="Times New Roman"/>
                <w:b/>
                <w:bCs/>
                <w:color w:val="auto"/>
                <w:sz w:val="24"/>
                <w:szCs w:val="24"/>
              </w:rPr>
              <w:t>与相关政策符合性分析</w:t>
            </w:r>
          </w:p>
          <w:p>
            <w:pPr>
              <w:pStyle w:val="32"/>
              <w:ind w:firstLine="0"/>
              <w:jc w:val="center"/>
              <w:rPr>
                <w:rFonts w:hint="eastAsia" w:ascii="Times New Roman"/>
                <w:b/>
                <w:bCs/>
                <w:color w:val="auto"/>
                <w:sz w:val="21"/>
                <w:szCs w:val="21"/>
              </w:rPr>
            </w:pPr>
            <w:r>
              <w:rPr>
                <w:rFonts w:hint="eastAsia" w:ascii="Times New Roman"/>
                <w:b/>
                <w:bCs/>
                <w:color w:val="auto"/>
                <w:sz w:val="21"/>
                <w:szCs w:val="21"/>
              </w:rPr>
              <w:t>表1-</w:t>
            </w:r>
            <w:r>
              <w:rPr>
                <w:rFonts w:hint="eastAsia" w:ascii="Times New Roman"/>
                <w:b/>
                <w:bCs/>
                <w:color w:val="auto"/>
                <w:sz w:val="21"/>
                <w:szCs w:val="21"/>
                <w:lang w:val="en-US" w:eastAsia="zh-CN"/>
              </w:rPr>
              <w:t>2</w:t>
            </w:r>
            <w:r>
              <w:rPr>
                <w:rFonts w:hint="eastAsia" w:ascii="Times New Roman"/>
                <w:b/>
                <w:bCs/>
                <w:color w:val="auto"/>
                <w:sz w:val="21"/>
                <w:szCs w:val="21"/>
              </w:rPr>
              <w:t xml:space="preserve"> 与相关政策符合性分析</w:t>
            </w:r>
          </w:p>
          <w:tbl>
            <w:tblPr>
              <w:tblStyle w:val="25"/>
              <w:tblW w:w="67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3354"/>
              <w:gridCol w:w="1573"/>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17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政策名称</w:t>
                  </w:r>
                </w:p>
              </w:tc>
              <w:tc>
                <w:tcPr>
                  <w:tcW w:w="335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相关条款要求</w:t>
                  </w:r>
                </w:p>
              </w:tc>
              <w:tc>
                <w:tcPr>
                  <w:tcW w:w="157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本项目情况</w:t>
                  </w:r>
                </w:p>
              </w:tc>
              <w:tc>
                <w:tcPr>
                  <w:tcW w:w="69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trPr>
              <w:tc>
                <w:tcPr>
                  <w:tcW w:w="1170" w:type="dxa"/>
                  <w:vMerge w:val="restart"/>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《关于印发</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安徽省建筑工程施工和预拌砼生产扬尘污染防治标准（试行）</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的通知》（皖环发</w:t>
                  </w:r>
                  <w:r>
                    <w:rPr>
                      <w:rFonts w:hint="eastAsia" w:cs="Times New Roman"/>
                      <w:color w:val="auto"/>
                      <w:kern w:val="0"/>
                      <w:sz w:val="21"/>
                      <w:szCs w:val="21"/>
                      <w:lang w:val="en-US" w:eastAsia="zh-CN" w:bidi="ar-SA"/>
                    </w:rPr>
                    <w:t>〔2019〕17号</w:t>
                  </w:r>
                  <w:r>
                    <w:rPr>
                      <w:rFonts w:hint="default" w:ascii="Times New Roman" w:hAnsi="Times New Roman" w:eastAsia="宋体" w:cs="Times New Roman"/>
                      <w:color w:val="auto"/>
                      <w:kern w:val="0"/>
                      <w:sz w:val="21"/>
                      <w:szCs w:val="21"/>
                      <w:lang w:val="en-US" w:eastAsia="zh-CN" w:bidi="ar-SA"/>
                    </w:rPr>
                    <w:t>）</w:t>
                  </w:r>
                </w:p>
              </w:tc>
              <w:tc>
                <w:tcPr>
                  <w:tcW w:w="33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配套建设的扬尘污染防治设施应与主体工程同时设计、同时施工、同时投产使用</w:t>
                  </w:r>
                </w:p>
              </w:tc>
              <w:tc>
                <w:tcPr>
                  <w:tcW w:w="157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本项目严格执行</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三同时</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制度</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3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边界应按规定建连续封闭围墙，同时可加装声屏障或种植乔木、灌木。主要道路、停车场等应进行硬化处理，未硬化空地必须进行绿化、美化</w:t>
                  </w:r>
                </w:p>
              </w:tc>
              <w:tc>
                <w:tcPr>
                  <w:tcW w:w="157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本项目</w:t>
                  </w:r>
                  <w:r>
                    <w:rPr>
                      <w:rFonts w:hint="eastAsia" w:ascii="Times New Roman" w:hAnsi="Times New Roman" w:eastAsia="宋体" w:cs="Times New Roman"/>
                      <w:bCs/>
                      <w:color w:val="auto"/>
                      <w:sz w:val="21"/>
                      <w:szCs w:val="21"/>
                      <w:lang w:val="en-US" w:eastAsia="zh-CN"/>
                    </w:rPr>
                    <w:t>厂</w:t>
                  </w:r>
                  <w:r>
                    <w:rPr>
                      <w:rFonts w:hint="default" w:ascii="Times New Roman" w:hAnsi="Times New Roman" w:eastAsia="宋体" w:cs="Times New Roman"/>
                      <w:bCs/>
                      <w:color w:val="auto"/>
                      <w:sz w:val="21"/>
                      <w:szCs w:val="21"/>
                      <w:lang w:val="en-US" w:eastAsia="zh-CN"/>
                    </w:rPr>
                    <w:t>界建设连续封闭围墙，同时种植乔木、灌木；</w:t>
                  </w:r>
                  <w:r>
                    <w:rPr>
                      <w:rFonts w:hint="eastAsia" w:ascii="Times New Roman" w:hAnsi="Times New Roman" w:cs="Times New Roman"/>
                      <w:bCs/>
                      <w:color w:val="auto"/>
                      <w:sz w:val="21"/>
                      <w:szCs w:val="21"/>
                      <w:lang w:val="en-US" w:eastAsia="zh-CN"/>
                    </w:rPr>
                    <w:t>厂区</w:t>
                  </w:r>
                  <w:r>
                    <w:rPr>
                      <w:rFonts w:hint="default" w:ascii="Times New Roman" w:hAnsi="Times New Roman" w:eastAsia="宋体" w:cs="Times New Roman"/>
                      <w:bCs/>
                      <w:color w:val="auto"/>
                      <w:sz w:val="21"/>
                      <w:szCs w:val="21"/>
                      <w:lang w:val="en-US" w:eastAsia="zh-CN"/>
                    </w:rPr>
                    <w:t>除绿化外其余区域全部硬化</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8" w:hRule="atLeast"/>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3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砂石堆场与配料设施应整体封闭，骨料传输皮带机与生产主机楼包括粉料筒仓应整体封闭</w:t>
                  </w:r>
                </w:p>
              </w:tc>
              <w:tc>
                <w:tcPr>
                  <w:tcW w:w="157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本项目</w:t>
                  </w:r>
                  <w:r>
                    <w:rPr>
                      <w:rFonts w:hint="eastAsia" w:ascii="Times New Roman" w:hAnsi="Times New Roman" w:cs="Times New Roman"/>
                      <w:bCs/>
                      <w:color w:val="auto"/>
                      <w:sz w:val="21"/>
                      <w:szCs w:val="21"/>
                      <w:lang w:val="en-US" w:eastAsia="zh-CN"/>
                    </w:rPr>
                    <w:t>原料</w:t>
                  </w:r>
                  <w:r>
                    <w:rPr>
                      <w:rFonts w:hint="default" w:ascii="Times New Roman" w:hAnsi="Times New Roman" w:eastAsia="宋体" w:cs="Times New Roman"/>
                      <w:bCs/>
                      <w:color w:val="auto"/>
                      <w:sz w:val="21"/>
                      <w:szCs w:val="21"/>
                      <w:lang w:val="en-US" w:eastAsia="zh-CN"/>
                    </w:rPr>
                    <w:t>堆场</w:t>
                  </w:r>
                  <w:r>
                    <w:rPr>
                      <w:rFonts w:hint="eastAsia" w:ascii="Times New Roman" w:hAnsi="Times New Roman" w:cs="Times New Roman"/>
                      <w:bCs/>
                      <w:color w:val="auto"/>
                      <w:sz w:val="21"/>
                      <w:szCs w:val="21"/>
                      <w:lang w:val="en-US" w:eastAsia="zh-CN"/>
                    </w:rPr>
                    <w:t>在封闭车间，</w:t>
                  </w:r>
                  <w:r>
                    <w:rPr>
                      <w:rFonts w:hint="eastAsia" w:ascii="Times New Roman" w:hAnsi="Times New Roman" w:eastAsia="宋体" w:cs="Times New Roman"/>
                      <w:bCs/>
                      <w:color w:val="auto"/>
                      <w:sz w:val="21"/>
                      <w:szCs w:val="21"/>
                      <w:lang w:val="en-US" w:eastAsia="zh-CN"/>
                    </w:rPr>
                    <w:t>配料</w:t>
                  </w:r>
                  <w:r>
                    <w:rPr>
                      <w:rFonts w:hint="default" w:ascii="Times New Roman" w:hAnsi="Times New Roman" w:eastAsia="宋体" w:cs="Times New Roman"/>
                      <w:bCs/>
                      <w:color w:val="auto"/>
                      <w:sz w:val="21"/>
                      <w:szCs w:val="21"/>
                      <w:lang w:val="en-US" w:eastAsia="zh-CN"/>
                    </w:rPr>
                    <w:t>设施传输皮带机</w:t>
                  </w:r>
                  <w:r>
                    <w:rPr>
                      <w:rFonts w:hint="eastAsia" w:ascii="Times New Roman" w:hAnsi="Times New Roman"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搅拌机</w:t>
                  </w:r>
                  <w:r>
                    <w:rPr>
                      <w:rFonts w:hint="eastAsia" w:ascii="Times New Roman" w:hAnsi="Times New Roman" w:cs="Times New Roman"/>
                      <w:bCs/>
                      <w:color w:val="auto"/>
                      <w:sz w:val="21"/>
                      <w:szCs w:val="21"/>
                      <w:lang w:val="en-US" w:eastAsia="zh-CN"/>
                    </w:rPr>
                    <w:t>均位于</w:t>
                  </w:r>
                  <w:r>
                    <w:rPr>
                      <w:rFonts w:hint="default" w:ascii="Times New Roman" w:hAnsi="Times New Roman" w:eastAsia="宋体" w:cs="Times New Roman"/>
                      <w:bCs/>
                      <w:color w:val="auto"/>
                      <w:sz w:val="21"/>
                      <w:szCs w:val="21"/>
                      <w:lang w:val="en-US" w:eastAsia="zh-CN"/>
                    </w:rPr>
                    <w:t>封闭</w:t>
                  </w:r>
                  <w:r>
                    <w:rPr>
                      <w:rFonts w:hint="eastAsia" w:ascii="Times New Roman" w:hAnsi="Times New Roman" w:cs="Times New Roman"/>
                      <w:bCs/>
                      <w:color w:val="auto"/>
                      <w:sz w:val="21"/>
                      <w:szCs w:val="21"/>
                      <w:lang w:val="en-US" w:eastAsia="zh-CN"/>
                    </w:rPr>
                    <w:t>厂房内，水泥罐整体封闭，且位于密闭厂房内。</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3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搅拌主机、骨料集料仓及粉料筒仓应按照强制式除尘脉冲清理设备，滤芯宜采用专用除尘布袋，除尘机宜安装用于判断芯使用有效性的压力感应设备。除尘设备必须保持正常使用状态，滤芯、除尘布袋等易损件必须定期保养、更换</w:t>
                  </w:r>
                </w:p>
              </w:tc>
              <w:tc>
                <w:tcPr>
                  <w:tcW w:w="157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产尘点设置脉冲布袋除尘器，除尘器滤芯采用专用除尘布袋，定期保养更换</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170" w:type="dxa"/>
                  <w:vMerge w:val="continue"/>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33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应建设车辆出厂冲洗设施。运输车辆出厂前必须冲洗清理，车体应保持清洁，冲洗废水应循环使用</w:t>
                  </w:r>
                </w:p>
              </w:tc>
              <w:tc>
                <w:tcPr>
                  <w:tcW w:w="157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lang w:val="en-US" w:eastAsia="zh-CN"/>
                    </w:rPr>
                    <w:t>厂区出口设置车辆冲洗平台并配套沉淀池，冲洗废水</w:t>
                  </w:r>
                  <w:r>
                    <w:rPr>
                      <w:rFonts w:hint="eastAsia" w:ascii="Times New Roman" w:hAnsi="Times New Roman" w:eastAsia="宋体" w:cs="Times New Roman"/>
                      <w:bCs/>
                      <w:color w:val="auto"/>
                      <w:sz w:val="21"/>
                      <w:szCs w:val="21"/>
                      <w:lang w:val="en-US" w:eastAsia="zh-CN"/>
                    </w:rPr>
                    <w:t>回用</w:t>
                  </w:r>
                </w:p>
              </w:tc>
              <w:tc>
                <w:tcPr>
                  <w:tcW w:w="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170"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《安徽省2021</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2022年秋冬季大气污染综合治理攻坚行动方案》（皖大气办〔2021〕7号）</w:t>
                  </w:r>
                </w:p>
              </w:tc>
              <w:tc>
                <w:tcPr>
                  <w:tcW w:w="335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以石化、化工、煤化工、焦化、钢铁、建材、有色、煤电等行业为重点，全面梳理排查拟建、在建和存量“两高”项目，对“两高”项目实行清单管理，进行分类处置、动态监控。严格落实能耗“双控”、产能置换、污染物区域削减、煤炭减量替代等要求。对标国内外产品能效、环保先进水平，推动在建和拟建“两高”项目能效、环保水平提升，推进存量“两高”项目改造升级</w:t>
                  </w:r>
                </w:p>
              </w:tc>
              <w:tc>
                <w:tcPr>
                  <w:tcW w:w="157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w:t>
                  </w:r>
                  <w:r>
                    <w:rPr>
                      <w:rFonts w:hint="default" w:ascii="Times New Roman" w:hAnsi="Times New Roman" w:eastAsia="宋体" w:cs="Times New Roman"/>
                      <w:color w:val="auto"/>
                      <w:sz w:val="21"/>
                      <w:szCs w:val="21"/>
                      <w:vertAlign w:val="baseline"/>
                      <w:lang w:val="en-US" w:eastAsia="zh-CN"/>
                    </w:rPr>
                    <w:t>不属于</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两高</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项目，建设</w:t>
                  </w:r>
                  <w:r>
                    <w:rPr>
                      <w:rFonts w:hint="eastAsia"/>
                      <w:color w:val="auto"/>
                      <w:lang w:eastAsia="zh-CN"/>
                    </w:rPr>
                    <w:t>单位</w:t>
                  </w:r>
                  <w:r>
                    <w:rPr>
                      <w:rFonts w:hint="default" w:ascii="Times New Roman" w:hAnsi="Times New Roman" w:eastAsia="宋体" w:cs="Times New Roman"/>
                      <w:color w:val="auto"/>
                      <w:sz w:val="21"/>
                      <w:szCs w:val="21"/>
                      <w:vertAlign w:val="baseline"/>
                      <w:lang w:val="en-US" w:eastAsia="zh-CN"/>
                    </w:rPr>
                    <w:t>按要求进行总量申请，完成污染物区域削减</w:t>
                  </w:r>
                </w:p>
              </w:tc>
              <w:tc>
                <w:tcPr>
                  <w:tcW w:w="697"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pPr>
              <w:pStyle w:val="32"/>
              <w:ind w:firstLine="0"/>
              <w:jc w:val="center"/>
              <w:rPr>
                <w:rFonts w:hint="eastAsia" w:ascii="Times New Roman"/>
                <w:b/>
                <w:bCs/>
                <w:color w:val="auto"/>
                <w:sz w:val="21"/>
                <w:szCs w:val="21"/>
              </w:rPr>
            </w:pPr>
          </w:p>
          <w:p>
            <w:pPr>
              <w:pStyle w:val="32"/>
              <w:ind w:firstLine="0"/>
              <w:jc w:val="left"/>
              <w:rPr>
                <w:rFonts w:ascii="Times New Roman"/>
                <w:color w:val="auto"/>
                <w:sz w:val="21"/>
                <w:szCs w:val="21"/>
              </w:rPr>
            </w:pPr>
          </w:p>
        </w:tc>
      </w:tr>
    </w:tbl>
    <w:p>
      <w:pPr>
        <w:pStyle w:val="19"/>
        <w:jc w:val="center"/>
        <w:outlineLvl w:val="0"/>
        <w:rPr>
          <w:rFonts w:hint="eastAsia" w:ascii="黑体" w:hAnsi="黑体" w:eastAsia="黑体"/>
          <w:snapToGrid w:val="0"/>
          <w:color w:val="auto"/>
          <w:sz w:val="30"/>
          <w:szCs w:val="30"/>
        </w:rPr>
      </w:pPr>
    </w:p>
    <w:p>
      <w:pPr>
        <w:pStyle w:val="19"/>
        <w:jc w:val="center"/>
        <w:outlineLvl w:val="0"/>
        <w:rPr>
          <w:rFonts w:hint="eastAsia" w:ascii="黑体" w:hAnsi="黑体" w:eastAsia="黑体"/>
          <w:snapToGrid w:val="0"/>
          <w:color w:val="auto"/>
          <w:sz w:val="30"/>
          <w:szCs w:val="30"/>
        </w:rPr>
      </w:pPr>
    </w:p>
    <w:p>
      <w:pPr>
        <w:pStyle w:val="19"/>
        <w:jc w:val="center"/>
        <w:outlineLvl w:val="0"/>
        <w:rPr>
          <w:rFonts w:hint="eastAsia" w:ascii="黑体" w:hAnsi="黑体" w:eastAsia="黑体"/>
          <w:snapToGrid w:val="0"/>
          <w:color w:val="auto"/>
          <w:sz w:val="30"/>
          <w:szCs w:val="30"/>
        </w:rPr>
      </w:pPr>
    </w:p>
    <w:p>
      <w:pPr>
        <w:pStyle w:val="19"/>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4"/>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6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0" w:type="dxa"/>
            <w:vAlign w:val="center"/>
          </w:tcPr>
          <w:p>
            <w:pPr>
              <w:pStyle w:val="19"/>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建</w:t>
            </w:r>
            <w:r>
              <w:rPr>
                <w:rFonts w:ascii="Times New Roman" w:hAnsi="Times New Roman"/>
                <w:color w:val="auto"/>
                <w:sz w:val="21"/>
                <w:szCs w:val="21"/>
              </w:rPr>
              <w:t>设内容</w:t>
            </w:r>
          </w:p>
        </w:tc>
        <w:tc>
          <w:tcPr>
            <w:tcW w:w="8610" w:type="dxa"/>
            <w:vAlign w:val="top"/>
          </w:tcPr>
          <w:p>
            <w:pPr>
              <w:pStyle w:val="6"/>
              <w:widowControl w:val="0"/>
              <w:snapToGrid/>
              <w:spacing w:before="0" w:after="0" w:line="360" w:lineRule="auto"/>
              <w:ind w:right="0" w:firstLine="482" w:firstLineChars="200"/>
              <w:textAlignment w:val="baseline"/>
              <w:rPr>
                <w:color w:val="auto"/>
                <w:sz w:val="24"/>
              </w:rPr>
            </w:pPr>
            <w:r>
              <w:rPr>
                <w:rFonts w:hint="eastAsia"/>
                <w:b/>
                <w:bCs/>
                <w:color w:val="auto"/>
                <w:sz w:val="24"/>
                <w:lang w:eastAsia="zh-CN"/>
              </w:rPr>
              <w:t>1.</w:t>
            </w:r>
            <w:r>
              <w:rPr>
                <w:rFonts w:hint="eastAsia"/>
                <w:b/>
                <w:bCs/>
                <w:color w:val="auto"/>
                <w:sz w:val="24"/>
              </w:rPr>
              <w:t>项目由来</w:t>
            </w:r>
          </w:p>
          <w:p>
            <w:pPr>
              <w:spacing w:line="360" w:lineRule="auto"/>
              <w:ind w:firstLine="480"/>
              <w:rPr>
                <w:rFonts w:hint="eastAsia"/>
                <w:color w:val="auto"/>
                <w:sz w:val="24"/>
                <w:lang w:val="en-US" w:eastAsia="zh-CN"/>
              </w:rPr>
            </w:pPr>
            <w:r>
              <w:rPr>
                <w:rFonts w:hint="eastAsia"/>
                <w:color w:val="auto"/>
                <w:sz w:val="24"/>
                <w:lang w:eastAsia="zh-CN"/>
              </w:rPr>
              <w:t>安徽圣远年生产20万吨水泥制品项目，</w:t>
            </w:r>
            <w:r>
              <w:rPr>
                <w:rFonts w:hint="eastAsia"/>
                <w:color w:val="auto"/>
                <w:sz w:val="24"/>
              </w:rPr>
              <w:t>位于</w:t>
            </w:r>
            <w:r>
              <w:rPr>
                <w:rFonts w:hint="eastAsia"/>
                <w:color w:val="auto"/>
                <w:sz w:val="24"/>
                <w:lang w:eastAsia="zh-CN"/>
              </w:rPr>
              <w:t>安徽省淮南市寿县丰庄镇前圩村。本项目</w:t>
            </w:r>
            <w:r>
              <w:rPr>
                <w:rFonts w:hint="default" w:ascii="Times New Roman" w:hAnsi="Times New Roman" w:cs="Times New Roman"/>
                <w:color w:val="auto"/>
                <w:sz w:val="24"/>
                <w:highlight w:val="none"/>
                <w:lang w:eastAsia="zh-CN"/>
              </w:rPr>
              <w:t>租赁寿县丰庄镇前圩村工业园区闲置厂房</w:t>
            </w:r>
            <w:r>
              <w:rPr>
                <w:rFonts w:hint="eastAsia" w:cs="Times New Roman"/>
                <w:color w:val="auto"/>
                <w:sz w:val="24"/>
                <w:highlight w:val="none"/>
                <w:lang w:eastAsia="zh-CN"/>
              </w:rPr>
              <w:t>作为生产车间，并在厂区新建</w:t>
            </w:r>
            <w:r>
              <w:rPr>
                <w:rFonts w:hint="eastAsia" w:cs="Times New Roman"/>
                <w:color w:val="auto"/>
                <w:sz w:val="24"/>
                <w:highlight w:val="none"/>
                <w:lang w:val="en-US" w:eastAsia="zh-CN"/>
              </w:rPr>
              <w:t>成品仓库1栋，</w:t>
            </w:r>
            <w:r>
              <w:rPr>
                <w:rFonts w:ascii="Segoe UI" w:hAnsi="Segoe UI" w:eastAsia="Segoe UI" w:cs="Segoe UI"/>
                <w:i w:val="0"/>
                <w:iCs w:val="0"/>
                <w:caps w:val="0"/>
                <w:color w:val="auto"/>
                <w:spacing w:val="0"/>
                <w:sz w:val="24"/>
                <w:szCs w:val="24"/>
                <w:shd w:val="clear" w:fill="FFFFFF"/>
              </w:rPr>
              <w:t>以满足生产需求。</w:t>
            </w:r>
            <w:r>
              <w:rPr>
                <w:rFonts w:hint="eastAsia"/>
                <w:color w:val="auto"/>
                <w:sz w:val="24"/>
                <w:lang w:eastAsia="zh-CN"/>
              </w:rPr>
              <w:t>该项目已于</w:t>
            </w:r>
            <w:r>
              <w:rPr>
                <w:rFonts w:hint="eastAsia"/>
                <w:color w:val="auto"/>
                <w:sz w:val="24"/>
                <w:lang w:val="en-US" w:eastAsia="zh-CN"/>
              </w:rPr>
              <w:t>2025年9月24日在寿县发展和改革委员会备案，项目代码为2509-340422-04-01-623879。</w:t>
            </w:r>
          </w:p>
          <w:p>
            <w:pPr>
              <w:autoSpaceDE w:val="0"/>
              <w:autoSpaceDN w:val="0"/>
              <w:spacing w:line="360" w:lineRule="auto"/>
              <w:ind w:firstLine="480" w:firstLineChars="200"/>
              <w:rPr>
                <w:rFonts w:hint="default" w:ascii="Segoe UI" w:hAnsi="Segoe UI" w:eastAsia="Segoe UI" w:cs="Segoe UI"/>
                <w:i w:val="0"/>
                <w:iCs w:val="0"/>
                <w:caps w:val="0"/>
                <w:color w:val="auto"/>
                <w:spacing w:val="0"/>
                <w:sz w:val="24"/>
                <w:szCs w:val="24"/>
                <w:highlight w:val="none"/>
                <w:shd w:val="clear" w:fill="FFFFFF"/>
              </w:rPr>
            </w:pPr>
            <w:r>
              <w:rPr>
                <w:rFonts w:hint="eastAsia" w:eastAsia="宋体" w:cs="Times New Roman"/>
                <w:i w:val="0"/>
                <w:iCs w:val="0"/>
                <w:caps w:val="0"/>
                <w:color w:val="auto"/>
                <w:spacing w:val="0"/>
                <w:sz w:val="24"/>
                <w:szCs w:val="24"/>
                <w:highlight w:val="none"/>
                <w:shd w:val="clear" w:fill="FFFFFF"/>
                <w:lang w:eastAsia="zh-CN"/>
              </w:rPr>
              <w:t>项目备案面积为</w:t>
            </w:r>
            <w:r>
              <w:rPr>
                <w:rFonts w:hint="default" w:ascii="Times New Roman" w:hAnsi="Times New Roman" w:eastAsia="Segoe UI" w:cs="Times New Roman"/>
                <w:i w:val="0"/>
                <w:iCs w:val="0"/>
                <w:caps w:val="0"/>
                <w:color w:val="auto"/>
                <w:spacing w:val="0"/>
                <w:sz w:val="24"/>
                <w:szCs w:val="24"/>
                <w:highlight w:val="none"/>
                <w:shd w:val="clear" w:fill="FFFFFF"/>
              </w:rPr>
              <w:t>4000m²</w:t>
            </w:r>
            <w:r>
              <w:rPr>
                <w:rFonts w:hint="eastAsia"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Segoe UI" w:cs="Times New Roman"/>
                <w:i w:val="0"/>
                <w:iCs w:val="0"/>
                <w:caps w:val="0"/>
                <w:color w:val="auto"/>
                <w:spacing w:val="0"/>
                <w:sz w:val="24"/>
                <w:szCs w:val="24"/>
                <w:highlight w:val="none"/>
                <w:shd w:val="clear" w:fill="FFFFFF"/>
              </w:rPr>
              <w:t>项目厂区建（构）筑物总占地面积</w:t>
            </w:r>
            <w:r>
              <w:rPr>
                <w:rStyle w:val="21"/>
                <w:rFonts w:hint="eastAsia" w:eastAsia="宋体" w:cs="Times New Roman"/>
                <w:b w:val="0"/>
                <w:bCs w:val="0"/>
                <w:i w:val="0"/>
                <w:iCs w:val="0"/>
                <w:caps w:val="0"/>
                <w:color w:val="auto"/>
                <w:spacing w:val="0"/>
                <w:sz w:val="24"/>
                <w:szCs w:val="24"/>
                <w:highlight w:val="none"/>
                <w:shd w:val="clear" w:fill="FFFFFF"/>
                <w:vertAlign w:val="baseline"/>
                <w:lang w:val="en-US" w:eastAsia="zh-CN"/>
              </w:rPr>
              <w:t>2660</w:t>
            </w:r>
            <w:r>
              <w:rPr>
                <w:rStyle w:val="21"/>
                <w:rFonts w:hint="default" w:ascii="Times New Roman" w:hAnsi="Times New Roman" w:eastAsia="Segoe UI" w:cs="Times New Roman"/>
                <w:b w:val="0"/>
                <w:bCs w:val="0"/>
                <w:i w:val="0"/>
                <w:iCs w:val="0"/>
                <w:caps w:val="0"/>
                <w:color w:val="auto"/>
                <w:spacing w:val="0"/>
                <w:sz w:val="24"/>
                <w:szCs w:val="24"/>
                <w:highlight w:val="none"/>
                <w:shd w:val="clear" w:fill="FFFFFF"/>
                <w:vertAlign w:val="baseline"/>
              </w:rPr>
              <w:t>m²</w:t>
            </w:r>
            <w:r>
              <w:rPr>
                <w:rFonts w:hint="default" w:ascii="Times New Roman" w:hAnsi="Times New Roman" w:eastAsia="Segoe UI" w:cs="Times New Roman"/>
                <w:i w:val="0"/>
                <w:iCs w:val="0"/>
                <w:caps w:val="0"/>
                <w:color w:val="auto"/>
                <w:spacing w:val="0"/>
                <w:sz w:val="24"/>
                <w:szCs w:val="24"/>
                <w:highlight w:val="none"/>
                <w:shd w:val="clear" w:fill="FFFFFF"/>
              </w:rPr>
              <w:t>，其中：生产厂房1</w:t>
            </w:r>
            <w:r>
              <w:rPr>
                <w:rFonts w:hint="eastAsia" w:eastAsia="宋体" w:cs="Times New Roman"/>
                <w:i w:val="0"/>
                <w:iCs w:val="0"/>
                <w:caps w:val="0"/>
                <w:color w:val="auto"/>
                <w:spacing w:val="0"/>
                <w:sz w:val="24"/>
                <w:szCs w:val="24"/>
                <w:highlight w:val="none"/>
                <w:shd w:val="clear" w:fill="FFFFFF"/>
                <w:lang w:val="en-US" w:eastAsia="zh-CN"/>
              </w:rPr>
              <w:t>6</w:t>
            </w:r>
            <w:r>
              <w:rPr>
                <w:rFonts w:hint="default" w:ascii="Times New Roman" w:hAnsi="Times New Roman" w:eastAsia="Segoe UI" w:cs="Times New Roman"/>
                <w:i w:val="0"/>
                <w:iCs w:val="0"/>
                <w:caps w:val="0"/>
                <w:color w:val="auto"/>
                <w:spacing w:val="0"/>
                <w:sz w:val="24"/>
                <w:szCs w:val="24"/>
                <w:highlight w:val="none"/>
                <w:shd w:val="clear" w:fill="FFFFFF"/>
              </w:rPr>
              <w:t>00m²、办公楼260m²、原料仓库800m²</w:t>
            </w:r>
            <w:r>
              <w:rPr>
                <w:rFonts w:hint="eastAsia"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Segoe UI" w:cs="Times New Roman"/>
                <w:i w:val="0"/>
                <w:iCs w:val="0"/>
                <w:caps w:val="0"/>
                <w:color w:val="auto"/>
                <w:spacing w:val="0"/>
                <w:sz w:val="24"/>
                <w:szCs w:val="24"/>
                <w:highlight w:val="none"/>
                <w:shd w:val="clear" w:fill="FFFFFF"/>
              </w:rPr>
              <w:t>余下部分为厂区道路及配套用地。</w:t>
            </w:r>
          </w:p>
          <w:p>
            <w:pPr>
              <w:autoSpaceDE w:val="0"/>
              <w:autoSpaceDN w:val="0"/>
              <w:spacing w:line="360" w:lineRule="auto"/>
              <w:ind w:firstLine="480" w:firstLineChars="200"/>
              <w:rPr>
                <w:b/>
                <w:bCs/>
                <w:color w:val="auto"/>
                <w:szCs w:val="21"/>
              </w:rPr>
            </w:pPr>
            <w:r>
              <w:rPr>
                <w:color w:val="auto"/>
                <w:sz w:val="24"/>
              </w:rPr>
              <w:t>根据《中华人民共和国环境影响评价法》的有关规定和《建设项目环境影响评价分类管理名录》（2021年版），本项目环评类别判断如下表</w:t>
            </w:r>
            <w:r>
              <w:rPr>
                <w:rStyle w:val="23"/>
                <w:rFonts w:hint="eastAsia"/>
                <w:color w:val="auto"/>
                <w:kern w:val="0"/>
                <w:szCs w:val="20"/>
              </w:rPr>
              <w:t>。</w:t>
            </w:r>
          </w:p>
          <w:p>
            <w:pPr>
              <w:pStyle w:val="6"/>
              <w:spacing w:before="0" w:after="0" w:line="240" w:lineRule="auto"/>
              <w:ind w:right="0"/>
              <w:jc w:val="center"/>
              <w:rPr>
                <w:b/>
                <w:bCs/>
                <w:color w:val="auto"/>
                <w:sz w:val="21"/>
                <w:szCs w:val="21"/>
              </w:rPr>
            </w:pPr>
            <w:r>
              <w:rPr>
                <w:b/>
                <w:bCs/>
                <w:color w:val="auto"/>
                <w:sz w:val="21"/>
                <w:szCs w:val="21"/>
              </w:rPr>
              <w:t>表2-1  环评类别判断一览表</w:t>
            </w:r>
          </w:p>
          <w:tbl>
            <w:tblPr>
              <w:tblStyle w:val="24"/>
              <w:tblW w:w="83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455"/>
              <w:gridCol w:w="2469"/>
              <w:gridCol w:w="1396"/>
              <w:gridCol w:w="890"/>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2" w:type="dxa"/>
                  <w:gridSpan w:val="2"/>
                  <w:vMerge w:val="restart"/>
                  <w:tcBorders>
                    <w:top w:val="single" w:color="auto" w:sz="4" w:space="0"/>
                    <w:left w:val="single" w:color="auto" w:sz="4" w:space="0"/>
                    <w:bottom w:val="single" w:color="auto" w:sz="4" w:space="0"/>
                    <w:tl2br w:val="single" w:color="auto" w:sz="4" w:space="0"/>
                  </w:tcBorders>
                  <w:vAlign w:val="center"/>
                </w:tcPr>
                <w:p>
                  <w:pPr>
                    <w:kinsoku w:val="0"/>
                    <w:overflowPunct w:val="0"/>
                    <w:autoSpaceDE w:val="0"/>
                    <w:autoSpaceDN w:val="0"/>
                    <w:jc w:val="right"/>
                    <w:rPr>
                      <w:snapToGrid w:val="0"/>
                      <w:color w:val="auto"/>
                      <w:kern w:val="24"/>
                      <w:szCs w:val="21"/>
                    </w:rPr>
                  </w:pPr>
                  <w:r>
                    <w:rPr>
                      <w:snapToGrid w:val="0"/>
                      <w:color w:val="auto"/>
                      <w:kern w:val="24"/>
                      <w:szCs w:val="21"/>
                    </w:rPr>
                    <w:t>环评类别</w:t>
                  </w:r>
                </w:p>
                <w:p>
                  <w:pPr>
                    <w:kinsoku w:val="0"/>
                    <w:overflowPunct w:val="0"/>
                    <w:autoSpaceDE w:val="0"/>
                    <w:autoSpaceDN w:val="0"/>
                    <w:jc w:val="left"/>
                    <w:rPr>
                      <w:snapToGrid w:val="0"/>
                      <w:color w:val="auto"/>
                      <w:kern w:val="24"/>
                      <w:szCs w:val="21"/>
                    </w:rPr>
                  </w:pPr>
                  <w:r>
                    <w:rPr>
                      <w:snapToGrid w:val="0"/>
                      <w:color w:val="auto"/>
                      <w:kern w:val="24"/>
                      <w:szCs w:val="21"/>
                    </w:rPr>
                    <w:t>项目类别</w:t>
                  </w:r>
                </w:p>
              </w:tc>
              <w:tc>
                <w:tcPr>
                  <w:tcW w:w="4755" w:type="dxa"/>
                  <w:gridSpan w:val="3"/>
                  <w:tcBorders>
                    <w:top w:val="single" w:color="auto" w:sz="4" w:space="0"/>
                    <w:bottom w:val="single" w:color="auto" w:sz="4" w:space="0"/>
                    <w:right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环境影响评价类别</w:t>
                  </w:r>
                </w:p>
              </w:tc>
              <w:tc>
                <w:tcPr>
                  <w:tcW w:w="1593" w:type="dxa"/>
                  <w:vMerge w:val="restart"/>
                  <w:tcBorders>
                    <w:top w:val="single" w:color="auto" w:sz="4" w:space="0"/>
                    <w:right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项目环评类别判定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42" w:type="dxa"/>
                  <w:gridSpan w:val="2"/>
                  <w:vMerge w:val="continue"/>
                  <w:tcBorders>
                    <w:left w:val="single" w:color="auto" w:sz="4" w:space="0"/>
                    <w:bottom w:val="single" w:color="auto" w:sz="4" w:space="0"/>
                    <w:tl2br w:val="single" w:color="auto" w:sz="4" w:space="0"/>
                  </w:tcBorders>
                  <w:vAlign w:val="center"/>
                </w:tcPr>
                <w:p>
                  <w:pPr>
                    <w:kinsoku w:val="0"/>
                    <w:overflowPunct w:val="0"/>
                    <w:autoSpaceDE w:val="0"/>
                    <w:autoSpaceDN w:val="0"/>
                    <w:jc w:val="left"/>
                    <w:rPr>
                      <w:snapToGrid w:val="0"/>
                      <w:color w:val="auto"/>
                      <w:kern w:val="24"/>
                      <w:szCs w:val="21"/>
                    </w:rPr>
                  </w:pPr>
                </w:p>
              </w:tc>
              <w:tc>
                <w:tcPr>
                  <w:tcW w:w="2469" w:type="dxa"/>
                  <w:tcBorders>
                    <w:bottom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报告书</w:t>
                  </w:r>
                </w:p>
              </w:tc>
              <w:tc>
                <w:tcPr>
                  <w:tcW w:w="1396" w:type="dxa"/>
                  <w:tcBorders>
                    <w:bottom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报告表</w:t>
                  </w:r>
                </w:p>
              </w:tc>
              <w:tc>
                <w:tcPr>
                  <w:tcW w:w="890" w:type="dxa"/>
                  <w:tcBorders>
                    <w:bottom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登记表</w:t>
                  </w:r>
                </w:p>
              </w:tc>
              <w:tc>
                <w:tcPr>
                  <w:tcW w:w="1593" w:type="dxa"/>
                  <w:vMerge w:val="continue"/>
                  <w:tcBorders>
                    <w:right w:val="single" w:color="auto" w:sz="4" w:space="0"/>
                  </w:tcBorders>
                  <w:vAlign w:val="center"/>
                </w:tcPr>
                <w:p>
                  <w:pPr>
                    <w:kinsoku w:val="0"/>
                    <w:overflowPunct w:val="0"/>
                    <w:autoSpaceDE w:val="0"/>
                    <w:autoSpaceDN w:val="0"/>
                    <w:jc w:val="center"/>
                    <w:rPr>
                      <w:snapToGrid w:val="0"/>
                      <w:color w:val="auto"/>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pPr>
                    <w:kinsoku w:val="0"/>
                    <w:overflowPunct w:val="0"/>
                    <w:autoSpaceDE w:val="0"/>
                    <w:autoSpaceDN w:val="0"/>
                    <w:jc w:val="center"/>
                    <w:rPr>
                      <w:rFonts w:hint="default" w:eastAsia="宋体"/>
                      <w:snapToGrid w:val="0"/>
                      <w:color w:val="auto"/>
                      <w:kern w:val="24"/>
                      <w:szCs w:val="21"/>
                      <w:lang w:val="en-US" w:eastAsia="zh-CN"/>
                    </w:rPr>
                  </w:pPr>
                  <w:r>
                    <w:rPr>
                      <w:rFonts w:hint="eastAsia"/>
                      <w:snapToGrid w:val="0"/>
                      <w:color w:val="auto"/>
                      <w:kern w:val="24"/>
                      <w:szCs w:val="21"/>
                      <w:lang w:val="en-US" w:eastAsia="zh-CN"/>
                    </w:rPr>
                    <w:t>55</w:t>
                  </w:r>
                </w:p>
              </w:tc>
              <w:tc>
                <w:tcPr>
                  <w:tcW w:w="1455" w:type="dxa"/>
                  <w:tcBorders>
                    <w:top w:val="single" w:color="auto" w:sz="4" w:space="0"/>
                    <w:left w:val="single" w:color="auto" w:sz="4" w:space="0"/>
                    <w:bottom w:val="single" w:color="auto" w:sz="4" w:space="0"/>
                  </w:tcBorders>
                  <w:vAlign w:val="center"/>
                </w:tcPr>
                <w:p>
                  <w:pPr>
                    <w:kinsoku w:val="0"/>
                    <w:overflowPunct w:val="0"/>
                    <w:autoSpaceDE w:val="0"/>
                    <w:autoSpaceDN w:val="0"/>
                    <w:jc w:val="center"/>
                    <w:rPr>
                      <w:snapToGrid w:val="0"/>
                      <w:color w:val="auto"/>
                      <w:kern w:val="24"/>
                      <w:szCs w:val="21"/>
                    </w:rPr>
                  </w:pPr>
                  <w:r>
                    <w:rPr>
                      <w:rFonts w:hint="eastAsia"/>
                      <w:snapToGrid w:val="0"/>
                      <w:color w:val="auto"/>
                      <w:kern w:val="24"/>
                      <w:szCs w:val="21"/>
                    </w:rPr>
                    <w:t>石膏、水泥制品及类似制品制造 302</w:t>
                  </w:r>
                </w:p>
              </w:tc>
              <w:tc>
                <w:tcPr>
                  <w:tcW w:w="2469" w:type="dxa"/>
                  <w:tcBorders>
                    <w:top w:val="single" w:color="auto" w:sz="4" w:space="0"/>
                    <w:bottom w:val="single" w:color="auto" w:sz="4" w:space="0"/>
                  </w:tcBorders>
                  <w:vAlign w:val="center"/>
                </w:tcPr>
                <w:p>
                  <w:pPr>
                    <w:widowControl/>
                    <w:jc w:val="center"/>
                    <w:rPr>
                      <w:snapToGrid w:val="0"/>
                      <w:color w:val="auto"/>
                      <w:kern w:val="24"/>
                      <w:szCs w:val="21"/>
                    </w:rPr>
                  </w:pPr>
                  <w:r>
                    <w:rPr>
                      <w:rFonts w:hint="eastAsia" w:ascii="宋体" w:hAnsi="宋体" w:eastAsia="宋体" w:cs="宋体"/>
                      <w:color w:val="auto"/>
                      <w:kern w:val="0"/>
                      <w:sz w:val="21"/>
                      <w:szCs w:val="21"/>
                      <w:lang w:val="en-US" w:eastAsia="zh-CN" w:bidi="ar"/>
                    </w:rPr>
                    <w:t>/</w:t>
                  </w:r>
                </w:p>
              </w:tc>
              <w:tc>
                <w:tcPr>
                  <w:tcW w:w="1396" w:type="dxa"/>
                  <w:tcBorders>
                    <w:top w:val="single" w:color="auto" w:sz="4" w:space="0"/>
                    <w:bottom w:val="single" w:color="auto" w:sz="4" w:space="0"/>
                  </w:tcBorders>
                  <w:vAlign w:val="center"/>
                </w:tcPr>
                <w:p>
                  <w:pPr>
                    <w:kinsoku w:val="0"/>
                    <w:overflowPunct w:val="0"/>
                    <w:autoSpaceDE w:val="0"/>
                    <w:autoSpaceDN w:val="0"/>
                    <w:jc w:val="center"/>
                    <w:rPr>
                      <w:snapToGrid w:val="0"/>
                      <w:color w:val="auto"/>
                      <w:kern w:val="24"/>
                      <w:szCs w:val="21"/>
                    </w:rPr>
                  </w:pPr>
                  <w:r>
                    <w:rPr>
                      <w:rFonts w:hint="eastAsia"/>
                      <w:snapToGrid w:val="0"/>
                      <w:color w:val="auto"/>
                      <w:kern w:val="24"/>
                      <w:szCs w:val="21"/>
                    </w:rPr>
                    <w:t>商品混凝土；砼结构构件制造；水泥制品制造</w:t>
                  </w:r>
                </w:p>
              </w:tc>
              <w:tc>
                <w:tcPr>
                  <w:tcW w:w="890" w:type="dxa"/>
                  <w:tcBorders>
                    <w:top w:val="single" w:color="auto" w:sz="4" w:space="0"/>
                    <w:bottom w:val="single" w:color="auto" w:sz="4" w:space="0"/>
                  </w:tcBorders>
                  <w:vAlign w:val="center"/>
                </w:tcPr>
                <w:p>
                  <w:pPr>
                    <w:kinsoku w:val="0"/>
                    <w:overflowPunct w:val="0"/>
                    <w:autoSpaceDE w:val="0"/>
                    <w:autoSpaceDN w:val="0"/>
                    <w:jc w:val="center"/>
                    <w:rPr>
                      <w:snapToGrid w:val="0"/>
                      <w:color w:val="auto"/>
                      <w:kern w:val="24"/>
                      <w:szCs w:val="21"/>
                    </w:rPr>
                  </w:pPr>
                  <w:r>
                    <w:rPr>
                      <w:snapToGrid w:val="0"/>
                      <w:color w:val="auto"/>
                      <w:kern w:val="24"/>
                      <w:szCs w:val="21"/>
                    </w:rPr>
                    <w:t>/</w:t>
                  </w:r>
                </w:p>
              </w:tc>
              <w:tc>
                <w:tcPr>
                  <w:tcW w:w="1593" w:type="dxa"/>
                  <w:tcBorders>
                    <w:top w:val="single" w:color="auto" w:sz="4" w:space="0"/>
                    <w:bottom w:val="single" w:color="auto" w:sz="4" w:space="0"/>
                    <w:right w:val="single" w:color="auto" w:sz="4" w:space="0"/>
                  </w:tcBorders>
                  <w:vAlign w:val="center"/>
                </w:tcPr>
                <w:p>
                  <w:pPr>
                    <w:kinsoku w:val="0"/>
                    <w:overflowPunct w:val="0"/>
                    <w:autoSpaceDE w:val="0"/>
                    <w:autoSpaceDN w:val="0"/>
                    <w:jc w:val="center"/>
                    <w:rPr>
                      <w:snapToGrid w:val="0"/>
                      <w:color w:val="auto"/>
                      <w:kern w:val="24"/>
                      <w:szCs w:val="21"/>
                    </w:rPr>
                  </w:pPr>
                  <w:r>
                    <w:rPr>
                      <w:rFonts w:hint="eastAsia"/>
                      <w:snapToGrid w:val="0"/>
                      <w:color w:val="auto"/>
                      <w:kern w:val="24"/>
                      <w:szCs w:val="21"/>
                    </w:rPr>
                    <w:t>本项目</w:t>
                  </w:r>
                  <w:r>
                    <w:rPr>
                      <w:rFonts w:hint="eastAsia"/>
                      <w:snapToGrid w:val="0"/>
                      <w:color w:val="auto"/>
                      <w:kern w:val="24"/>
                      <w:szCs w:val="21"/>
                      <w:lang w:eastAsia="zh-CN"/>
                    </w:rPr>
                    <w:t>为水泥制品制造</w:t>
                  </w:r>
                  <w:r>
                    <w:rPr>
                      <w:rFonts w:hint="eastAsia"/>
                      <w:snapToGrid w:val="0"/>
                      <w:color w:val="auto"/>
                      <w:kern w:val="24"/>
                      <w:szCs w:val="21"/>
                    </w:rPr>
                    <w:t>，因此需要编制报告表</w:t>
                  </w:r>
                </w:p>
              </w:tc>
            </w:tr>
          </w:tbl>
          <w:p>
            <w:pPr>
              <w:pStyle w:val="6"/>
              <w:spacing w:before="0" w:after="0" w:line="240" w:lineRule="auto"/>
              <w:ind w:right="0"/>
              <w:jc w:val="center"/>
              <w:rPr>
                <w:b/>
                <w:bCs/>
                <w:color w:val="auto"/>
                <w:sz w:val="21"/>
                <w:szCs w:val="21"/>
              </w:rPr>
            </w:pPr>
          </w:p>
          <w:p>
            <w:pPr>
              <w:autoSpaceDE w:val="0"/>
              <w:autoSpaceDN w:val="0"/>
              <w:spacing w:line="360" w:lineRule="auto"/>
              <w:ind w:firstLine="480" w:firstLineChars="200"/>
              <w:rPr>
                <w:color w:val="auto"/>
                <w:sz w:val="24"/>
              </w:rPr>
            </w:pPr>
            <w:r>
              <w:rPr>
                <w:rFonts w:hint="eastAsia"/>
                <w:color w:val="auto"/>
                <w:sz w:val="24"/>
                <w:lang w:eastAsia="zh-CN"/>
              </w:rPr>
              <w:t>安徽圣远交通设施工程有限公司</w:t>
            </w:r>
            <w:r>
              <w:rPr>
                <w:color w:val="auto"/>
                <w:sz w:val="24"/>
              </w:rPr>
              <w:t>委托我单位编制</w:t>
            </w:r>
            <w:r>
              <w:rPr>
                <w:rFonts w:hint="eastAsia"/>
                <w:color w:val="auto"/>
                <w:sz w:val="24"/>
                <w:lang w:eastAsia="zh-CN"/>
              </w:rPr>
              <w:t>“安徽圣远年生产20万吨水泥制品项目”</w:t>
            </w:r>
            <w:r>
              <w:rPr>
                <w:color w:val="auto"/>
                <w:sz w:val="24"/>
              </w:rPr>
              <w:t>环境影响报告表，我单位接受委托后，认真研究了该项目的有关资料，在踏勘现场的社会、自然环境状况，调查、收集建设项目资料的基础上，根据项目所在区域的环境特征、结合工程实际污染特性等因素，</w:t>
            </w:r>
            <w:r>
              <w:rPr>
                <w:rFonts w:hint="eastAsia"/>
                <w:color w:val="auto"/>
                <w:sz w:val="24"/>
              </w:rPr>
              <w:t>编</w:t>
            </w:r>
            <w:r>
              <w:rPr>
                <w:color w:val="auto"/>
                <w:sz w:val="24"/>
              </w:rPr>
              <w:t>制了本项目环境影响报告表。</w:t>
            </w:r>
          </w:p>
          <w:p>
            <w:pPr>
              <w:pStyle w:val="8"/>
              <w:spacing w:line="360" w:lineRule="auto"/>
              <w:ind w:firstLine="480" w:firstLineChars="200"/>
              <w:rPr>
                <w:rFonts w:hint="eastAsia"/>
                <w:color w:val="auto"/>
              </w:rPr>
            </w:pPr>
            <w:r>
              <w:rPr>
                <w:color w:val="auto"/>
              </w:rPr>
              <w:t>根据《固定污染源排污许可分类管理名录》</w:t>
            </w:r>
            <w:r>
              <w:rPr>
                <w:rFonts w:hint="eastAsia"/>
                <w:color w:val="auto"/>
                <w:lang w:eastAsia="zh-CN"/>
              </w:rPr>
              <w:t>（</w:t>
            </w:r>
            <w:r>
              <w:rPr>
                <w:color w:val="auto"/>
              </w:rPr>
              <w:t>2019年版</w:t>
            </w:r>
            <w:r>
              <w:rPr>
                <w:rFonts w:hint="eastAsia"/>
                <w:color w:val="auto"/>
                <w:lang w:eastAsia="zh-CN"/>
              </w:rPr>
              <w:t>）</w:t>
            </w:r>
            <w:r>
              <w:rPr>
                <w:rFonts w:hint="eastAsia"/>
                <w:color w:val="auto"/>
              </w:rPr>
              <w:t>，本项目排污许可类别判定如下所示：</w:t>
            </w:r>
          </w:p>
          <w:p>
            <w:pPr>
              <w:pStyle w:val="6"/>
              <w:spacing w:before="0" w:after="0" w:line="240" w:lineRule="auto"/>
              <w:ind w:right="0"/>
              <w:jc w:val="center"/>
              <w:rPr>
                <w:b/>
                <w:bCs/>
                <w:color w:val="auto"/>
                <w:sz w:val="21"/>
                <w:szCs w:val="21"/>
              </w:rPr>
            </w:pPr>
            <w:r>
              <w:rPr>
                <w:b/>
                <w:bCs/>
                <w:color w:val="auto"/>
                <w:sz w:val="21"/>
                <w:szCs w:val="21"/>
              </w:rPr>
              <w:t>表2-2  排污许可类别判断一览表</w:t>
            </w:r>
          </w:p>
          <w:tbl>
            <w:tblPr>
              <w:tblStyle w:val="24"/>
              <w:tblW w:w="83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229"/>
              <w:gridCol w:w="1065"/>
              <w:gridCol w:w="1177"/>
              <w:gridCol w:w="2115"/>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16" w:type="dxa"/>
                  <w:gridSpan w:val="2"/>
                  <w:vMerge w:val="restart"/>
                  <w:tcBorders>
                    <w:top w:val="single" w:color="auto" w:sz="4" w:space="0"/>
                    <w:left w:val="single" w:color="auto" w:sz="4" w:space="0"/>
                    <w:bottom w:val="single" w:color="auto" w:sz="4" w:space="0"/>
                    <w:tl2br w:val="single" w:color="auto" w:sz="4" w:space="0"/>
                  </w:tcBorders>
                  <w:vAlign w:val="center"/>
                </w:tcPr>
                <w:p>
                  <w:pPr>
                    <w:kinsoku/>
                    <w:overflowPunct/>
                    <w:autoSpaceDE w:val="0"/>
                    <w:autoSpaceDN w:val="0"/>
                    <w:jc w:val="right"/>
                    <w:rPr>
                      <w:snapToGrid w:val="0"/>
                      <w:color w:val="auto"/>
                      <w:kern w:val="24"/>
                      <w:szCs w:val="21"/>
                    </w:rPr>
                  </w:pPr>
                  <w:r>
                    <w:rPr>
                      <w:snapToGrid w:val="0"/>
                      <w:color w:val="auto"/>
                      <w:kern w:val="24"/>
                      <w:szCs w:val="21"/>
                    </w:rPr>
                    <w:t>许可类别</w:t>
                  </w:r>
                </w:p>
                <w:p>
                  <w:pPr>
                    <w:kinsoku/>
                    <w:overflowPunct/>
                    <w:autoSpaceDE w:val="0"/>
                    <w:autoSpaceDN w:val="0"/>
                    <w:jc w:val="left"/>
                    <w:rPr>
                      <w:snapToGrid w:val="0"/>
                      <w:color w:val="auto"/>
                      <w:kern w:val="24"/>
                      <w:szCs w:val="21"/>
                    </w:rPr>
                  </w:pPr>
                  <w:r>
                    <w:rPr>
                      <w:snapToGrid w:val="0"/>
                      <w:color w:val="auto"/>
                      <w:kern w:val="24"/>
                      <w:szCs w:val="21"/>
                    </w:rPr>
                    <w:t>项目类别</w:t>
                  </w:r>
                </w:p>
              </w:tc>
              <w:tc>
                <w:tcPr>
                  <w:tcW w:w="4357" w:type="dxa"/>
                  <w:gridSpan w:val="3"/>
                  <w:tcBorders>
                    <w:top w:val="single" w:color="auto" w:sz="4" w:space="0"/>
                    <w:bottom w:val="single" w:color="auto" w:sz="4" w:space="0"/>
                    <w:right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排污许可类别</w:t>
                  </w:r>
                </w:p>
              </w:tc>
              <w:tc>
                <w:tcPr>
                  <w:tcW w:w="2217" w:type="dxa"/>
                  <w:vMerge w:val="restart"/>
                  <w:tcBorders>
                    <w:top w:val="single" w:color="auto" w:sz="4" w:space="0"/>
                    <w:right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项目排污许可类别判定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16" w:type="dxa"/>
                  <w:gridSpan w:val="2"/>
                  <w:vMerge w:val="continue"/>
                  <w:tcBorders>
                    <w:left w:val="single" w:color="auto" w:sz="4" w:space="0"/>
                    <w:bottom w:val="single" w:color="auto" w:sz="4" w:space="0"/>
                    <w:tl2br w:val="single" w:color="auto" w:sz="4" w:space="0"/>
                  </w:tcBorders>
                  <w:vAlign w:val="center"/>
                </w:tcPr>
                <w:p>
                  <w:pPr>
                    <w:kinsoku/>
                    <w:overflowPunct/>
                    <w:autoSpaceDE w:val="0"/>
                    <w:autoSpaceDN w:val="0"/>
                    <w:jc w:val="left"/>
                    <w:rPr>
                      <w:snapToGrid w:val="0"/>
                      <w:color w:val="auto"/>
                      <w:kern w:val="24"/>
                      <w:szCs w:val="21"/>
                    </w:rPr>
                  </w:pPr>
                </w:p>
              </w:tc>
              <w:tc>
                <w:tcPr>
                  <w:tcW w:w="1065" w:type="dxa"/>
                  <w:tcBorders>
                    <w:bottom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重点管理</w:t>
                  </w:r>
                </w:p>
              </w:tc>
              <w:tc>
                <w:tcPr>
                  <w:tcW w:w="1177" w:type="dxa"/>
                  <w:tcBorders>
                    <w:bottom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简化管理</w:t>
                  </w:r>
                </w:p>
              </w:tc>
              <w:tc>
                <w:tcPr>
                  <w:tcW w:w="2115" w:type="dxa"/>
                  <w:tcBorders>
                    <w:bottom w:val="single" w:color="auto" w:sz="4" w:space="0"/>
                  </w:tcBorders>
                  <w:vAlign w:val="center"/>
                </w:tcPr>
                <w:p>
                  <w:pPr>
                    <w:kinsoku/>
                    <w:overflowPunct/>
                    <w:autoSpaceDE w:val="0"/>
                    <w:autoSpaceDN w:val="0"/>
                    <w:jc w:val="center"/>
                    <w:rPr>
                      <w:snapToGrid w:val="0"/>
                      <w:color w:val="auto"/>
                      <w:kern w:val="24"/>
                      <w:szCs w:val="21"/>
                    </w:rPr>
                  </w:pPr>
                  <w:r>
                    <w:rPr>
                      <w:snapToGrid w:val="0"/>
                      <w:color w:val="auto"/>
                      <w:kern w:val="24"/>
                      <w:szCs w:val="21"/>
                    </w:rPr>
                    <w:t>登记管理</w:t>
                  </w:r>
                </w:p>
              </w:tc>
              <w:tc>
                <w:tcPr>
                  <w:tcW w:w="2217" w:type="dxa"/>
                  <w:vMerge w:val="continue"/>
                  <w:tcBorders>
                    <w:right w:val="single" w:color="auto" w:sz="4" w:space="0"/>
                  </w:tcBorders>
                  <w:vAlign w:val="center"/>
                </w:tcPr>
                <w:p>
                  <w:pPr>
                    <w:kinsoku/>
                    <w:overflowPunct/>
                    <w:autoSpaceDE w:val="0"/>
                    <w:autoSpaceDN w:val="0"/>
                    <w:jc w:val="center"/>
                    <w:rPr>
                      <w:snapToGrid w:val="0"/>
                      <w:color w:val="auto"/>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7" w:type="dxa"/>
                  <w:tcBorders>
                    <w:top w:val="single" w:color="auto" w:sz="4" w:space="0"/>
                    <w:left w:val="single" w:color="auto" w:sz="4" w:space="0"/>
                    <w:bottom w:val="single" w:color="auto" w:sz="4" w:space="0"/>
                    <w:right w:val="single" w:color="auto" w:sz="4" w:space="0"/>
                  </w:tcBorders>
                  <w:vAlign w:val="center"/>
                </w:tcPr>
                <w:p>
                  <w:pPr>
                    <w:kinsoku/>
                    <w:overflowPunct/>
                    <w:autoSpaceDE w:val="0"/>
                    <w:autoSpaceDN w:val="0"/>
                    <w:jc w:val="center"/>
                    <w:rPr>
                      <w:rFonts w:hint="default" w:eastAsia="宋体"/>
                      <w:snapToGrid w:val="0"/>
                      <w:color w:val="auto"/>
                      <w:kern w:val="24"/>
                      <w:szCs w:val="21"/>
                      <w:lang w:val="en-US" w:eastAsia="zh-CN"/>
                    </w:rPr>
                  </w:pPr>
                  <w:r>
                    <w:rPr>
                      <w:rFonts w:hint="eastAsia"/>
                      <w:snapToGrid w:val="0"/>
                      <w:color w:val="auto"/>
                      <w:kern w:val="24"/>
                      <w:szCs w:val="21"/>
                      <w:lang w:val="en-US" w:eastAsia="zh-CN"/>
                    </w:rPr>
                    <w:t>63</w:t>
                  </w:r>
                </w:p>
              </w:tc>
              <w:tc>
                <w:tcPr>
                  <w:tcW w:w="1229" w:type="dxa"/>
                  <w:tcBorders>
                    <w:top w:val="single" w:color="auto" w:sz="4" w:space="0"/>
                    <w:left w:val="single" w:color="auto" w:sz="4" w:space="0"/>
                    <w:bottom w:val="single" w:color="auto" w:sz="4" w:space="0"/>
                  </w:tcBorders>
                  <w:vAlign w:val="center"/>
                </w:tcPr>
                <w:p>
                  <w:pPr>
                    <w:kinsoku/>
                    <w:overflowPunct/>
                    <w:autoSpaceDE w:val="0"/>
                    <w:autoSpaceDN w:val="0"/>
                    <w:jc w:val="center"/>
                    <w:rPr>
                      <w:snapToGrid w:val="0"/>
                      <w:color w:val="auto"/>
                      <w:kern w:val="24"/>
                      <w:szCs w:val="21"/>
                    </w:rPr>
                  </w:pPr>
                  <w:r>
                    <w:rPr>
                      <w:color w:val="auto"/>
                      <w:szCs w:val="21"/>
                    </w:rPr>
                    <w:t>水泥、石灰和石膏制造 301，石膏、 水泥制品及类似制品制造 302</w:t>
                  </w:r>
                </w:p>
              </w:tc>
              <w:tc>
                <w:tcPr>
                  <w:tcW w:w="1065" w:type="dxa"/>
                  <w:tcBorders>
                    <w:top w:val="single" w:color="auto" w:sz="4" w:space="0"/>
                    <w:bottom w:val="single" w:color="auto" w:sz="4" w:space="0"/>
                  </w:tcBorders>
                  <w:vAlign w:val="center"/>
                </w:tcPr>
                <w:p>
                  <w:pPr>
                    <w:widowControl/>
                    <w:jc w:val="center"/>
                    <w:rPr>
                      <w:snapToGrid w:val="0"/>
                      <w:color w:val="auto"/>
                      <w:kern w:val="24"/>
                      <w:szCs w:val="21"/>
                    </w:rPr>
                  </w:pPr>
                  <w:r>
                    <w:rPr>
                      <w:rFonts w:hint="eastAsia"/>
                      <w:snapToGrid w:val="0"/>
                      <w:color w:val="auto"/>
                      <w:kern w:val="24"/>
                      <w:szCs w:val="21"/>
                    </w:rPr>
                    <w:t>水泥（熟料）制造</w:t>
                  </w:r>
                </w:p>
              </w:tc>
              <w:tc>
                <w:tcPr>
                  <w:tcW w:w="1177" w:type="dxa"/>
                  <w:tcBorders>
                    <w:top w:val="single" w:color="auto" w:sz="4" w:space="0"/>
                    <w:bottom w:val="single" w:color="auto" w:sz="4" w:space="0"/>
                  </w:tcBorders>
                  <w:vAlign w:val="center"/>
                </w:tcPr>
                <w:p>
                  <w:pPr>
                    <w:kinsoku/>
                    <w:overflowPunct/>
                    <w:autoSpaceDE w:val="0"/>
                    <w:autoSpaceDN w:val="0"/>
                    <w:jc w:val="center"/>
                    <w:rPr>
                      <w:snapToGrid w:val="0"/>
                      <w:color w:val="auto"/>
                      <w:kern w:val="24"/>
                      <w:szCs w:val="21"/>
                    </w:rPr>
                  </w:pPr>
                  <w:r>
                    <w:rPr>
                      <w:rFonts w:hint="eastAsia"/>
                      <w:snapToGrid w:val="0"/>
                      <w:color w:val="auto"/>
                      <w:kern w:val="24"/>
                      <w:szCs w:val="21"/>
                    </w:rPr>
                    <w:t>水泥粉磨站、石灰和石膏制造 3012</w:t>
                  </w:r>
                </w:p>
              </w:tc>
              <w:tc>
                <w:tcPr>
                  <w:tcW w:w="2115" w:type="dxa"/>
                  <w:tcBorders>
                    <w:top w:val="single" w:color="auto" w:sz="4" w:space="0"/>
                    <w:bottom w:val="single" w:color="auto" w:sz="4" w:space="0"/>
                  </w:tcBorders>
                  <w:vAlign w:val="center"/>
                </w:tcPr>
                <w:p>
                  <w:pPr>
                    <w:kinsoku/>
                    <w:overflowPunct/>
                    <w:autoSpaceDE w:val="0"/>
                    <w:autoSpaceDN w:val="0"/>
                    <w:jc w:val="center"/>
                    <w:rPr>
                      <w:rFonts w:hint="eastAsia"/>
                      <w:snapToGrid w:val="0"/>
                      <w:color w:val="auto"/>
                      <w:kern w:val="24"/>
                      <w:szCs w:val="21"/>
                    </w:rPr>
                  </w:pPr>
                  <w:r>
                    <w:rPr>
                      <w:rFonts w:hint="eastAsia"/>
                      <w:snapToGrid w:val="0"/>
                      <w:color w:val="auto"/>
                      <w:kern w:val="24"/>
                      <w:szCs w:val="21"/>
                    </w:rPr>
                    <w:t>水泥制品制造 3021，砼结构构件制造3022，石棉水泥制品制造 3023，轻质</w:t>
                  </w:r>
                </w:p>
                <w:p>
                  <w:pPr>
                    <w:kinsoku/>
                    <w:overflowPunct/>
                    <w:autoSpaceDE w:val="0"/>
                    <w:autoSpaceDN w:val="0"/>
                    <w:jc w:val="center"/>
                    <w:rPr>
                      <w:rFonts w:hint="eastAsia"/>
                      <w:snapToGrid w:val="0"/>
                      <w:color w:val="auto"/>
                      <w:kern w:val="24"/>
                      <w:szCs w:val="21"/>
                    </w:rPr>
                  </w:pPr>
                  <w:r>
                    <w:rPr>
                      <w:rFonts w:hint="eastAsia"/>
                      <w:snapToGrid w:val="0"/>
                      <w:color w:val="auto"/>
                      <w:kern w:val="24"/>
                      <w:szCs w:val="21"/>
                    </w:rPr>
                    <w:t>建筑材料制造 3024，其他水泥类似制品制造 3029</w:t>
                  </w:r>
                </w:p>
                <w:p>
                  <w:pPr>
                    <w:kinsoku/>
                    <w:overflowPunct/>
                    <w:autoSpaceDE w:val="0"/>
                    <w:autoSpaceDN w:val="0"/>
                    <w:jc w:val="center"/>
                    <w:rPr>
                      <w:snapToGrid w:val="0"/>
                      <w:color w:val="auto"/>
                      <w:kern w:val="24"/>
                      <w:szCs w:val="21"/>
                    </w:rPr>
                  </w:pPr>
                </w:p>
              </w:tc>
              <w:tc>
                <w:tcPr>
                  <w:tcW w:w="2217" w:type="dxa"/>
                  <w:tcBorders>
                    <w:top w:val="single" w:color="auto" w:sz="4" w:space="0"/>
                    <w:right w:val="single" w:color="auto" w:sz="4" w:space="0"/>
                  </w:tcBorders>
                  <w:vAlign w:val="center"/>
                </w:tcPr>
                <w:p>
                  <w:pPr>
                    <w:kinsoku/>
                    <w:overflowPunct/>
                    <w:autoSpaceDE w:val="0"/>
                    <w:autoSpaceDN w:val="0"/>
                    <w:jc w:val="center"/>
                    <w:rPr>
                      <w:rFonts w:hint="eastAsia" w:eastAsia="宋体"/>
                      <w:snapToGrid w:val="0"/>
                      <w:color w:val="auto"/>
                      <w:kern w:val="24"/>
                      <w:szCs w:val="21"/>
                      <w:lang w:eastAsia="zh-CN"/>
                    </w:rPr>
                  </w:pPr>
                  <w:r>
                    <w:rPr>
                      <w:rFonts w:hint="eastAsia"/>
                      <w:snapToGrid w:val="0"/>
                      <w:color w:val="auto"/>
                      <w:kern w:val="24"/>
                      <w:szCs w:val="21"/>
                      <w:lang w:eastAsia="zh-CN"/>
                    </w:rPr>
                    <w:t>本项目属于C3021水泥制品制造</w:t>
                  </w:r>
                  <w:r>
                    <w:rPr>
                      <w:rFonts w:hint="eastAsia" w:ascii="Times New Roman" w:hAnsi="Times New Roman" w:eastAsia="宋体" w:cs="Times New Roman"/>
                      <w:color w:val="auto"/>
                      <w:sz w:val="21"/>
                      <w:szCs w:val="21"/>
                      <w:lang w:eastAsia="zh-CN"/>
                    </w:rPr>
                    <w:t>，</w:t>
                  </w:r>
                  <w:r>
                    <w:rPr>
                      <w:rFonts w:hint="eastAsia"/>
                      <w:snapToGrid w:val="0"/>
                      <w:color w:val="auto"/>
                      <w:kern w:val="24"/>
                      <w:szCs w:val="21"/>
                    </w:rPr>
                    <w:t>因此属于登记管理。</w:t>
                  </w:r>
                </w:p>
              </w:tc>
            </w:tr>
          </w:tbl>
          <w:p>
            <w:pPr>
              <w:pStyle w:val="6"/>
              <w:spacing w:before="0" w:after="0" w:line="240" w:lineRule="auto"/>
              <w:ind w:right="0"/>
              <w:jc w:val="center"/>
              <w:rPr>
                <w:b/>
                <w:bCs/>
                <w:color w:val="auto"/>
                <w:sz w:val="21"/>
                <w:szCs w:val="21"/>
              </w:rPr>
            </w:pPr>
          </w:p>
          <w:p>
            <w:pPr>
              <w:pStyle w:val="32"/>
              <w:rPr>
                <w:rFonts w:ascii="Times New Roman"/>
                <w:b/>
                <w:bCs/>
                <w:color w:val="auto"/>
                <w:sz w:val="24"/>
                <w:szCs w:val="24"/>
              </w:rPr>
            </w:pPr>
            <w:r>
              <w:rPr>
                <w:rFonts w:ascii="Times New Roman"/>
                <w:b/>
                <w:bCs/>
                <w:color w:val="auto"/>
                <w:sz w:val="24"/>
                <w:szCs w:val="24"/>
              </w:rPr>
              <w:t>2项目概况</w:t>
            </w:r>
          </w:p>
          <w:p>
            <w:pPr>
              <w:pStyle w:val="32"/>
              <w:rPr>
                <w:rFonts w:hint="eastAsia" w:ascii="Times New Roman" w:eastAsia="宋体"/>
                <w:color w:val="auto"/>
                <w:sz w:val="24"/>
                <w:szCs w:val="24"/>
                <w:lang w:eastAsia="zh-CN"/>
              </w:rPr>
            </w:pPr>
            <w:r>
              <w:rPr>
                <w:rFonts w:ascii="Times New Roman"/>
                <w:color w:val="auto"/>
                <w:sz w:val="24"/>
                <w:szCs w:val="24"/>
              </w:rPr>
              <w:t>项目名称：</w:t>
            </w:r>
            <w:r>
              <w:rPr>
                <w:rFonts w:hint="eastAsia" w:ascii="Times New Roman"/>
                <w:color w:val="auto"/>
                <w:sz w:val="24"/>
                <w:szCs w:val="24"/>
                <w:lang w:eastAsia="zh-CN"/>
              </w:rPr>
              <w:t>安徽圣远年生产20万吨水泥制品项目</w:t>
            </w:r>
          </w:p>
          <w:p>
            <w:pPr>
              <w:pStyle w:val="32"/>
              <w:rPr>
                <w:rFonts w:hint="eastAsia" w:ascii="Times New Roman" w:eastAsia="宋体"/>
                <w:color w:val="auto"/>
                <w:sz w:val="24"/>
                <w:szCs w:val="24"/>
                <w:lang w:eastAsia="zh-CN"/>
              </w:rPr>
            </w:pPr>
            <w:r>
              <w:rPr>
                <w:rFonts w:ascii="Times New Roman"/>
                <w:color w:val="auto"/>
                <w:sz w:val="24"/>
                <w:szCs w:val="24"/>
              </w:rPr>
              <w:t>建设单位：</w:t>
            </w:r>
            <w:r>
              <w:rPr>
                <w:rFonts w:hint="eastAsia" w:ascii="Times New Roman"/>
                <w:color w:val="auto"/>
                <w:sz w:val="24"/>
                <w:szCs w:val="24"/>
                <w:lang w:eastAsia="zh-CN"/>
              </w:rPr>
              <w:t>安徽圣远交通设施工程有限公司</w:t>
            </w:r>
          </w:p>
          <w:p>
            <w:pPr>
              <w:pStyle w:val="32"/>
              <w:rPr>
                <w:rFonts w:hint="eastAsia" w:ascii="Times New Roman"/>
                <w:color w:val="auto"/>
                <w:sz w:val="24"/>
                <w:szCs w:val="24"/>
              </w:rPr>
            </w:pPr>
            <w:r>
              <w:rPr>
                <w:rFonts w:ascii="Times New Roman"/>
                <w:color w:val="auto"/>
                <w:sz w:val="24"/>
                <w:szCs w:val="24"/>
              </w:rPr>
              <w:t>性质：</w:t>
            </w:r>
            <w:r>
              <w:rPr>
                <w:rFonts w:hint="eastAsia" w:ascii="Times New Roman"/>
                <w:color w:val="auto"/>
                <w:sz w:val="24"/>
                <w:szCs w:val="24"/>
              </w:rPr>
              <w:t>新建</w:t>
            </w:r>
          </w:p>
          <w:p>
            <w:pPr>
              <w:pStyle w:val="32"/>
              <w:rPr>
                <w:rFonts w:hint="eastAsia" w:ascii="Times New Roman" w:eastAsia="宋体"/>
                <w:color w:val="auto"/>
                <w:sz w:val="24"/>
                <w:szCs w:val="24"/>
                <w:lang w:eastAsia="zh-CN"/>
              </w:rPr>
            </w:pPr>
            <w:r>
              <w:rPr>
                <w:rFonts w:ascii="Times New Roman"/>
                <w:color w:val="auto"/>
                <w:sz w:val="24"/>
                <w:szCs w:val="24"/>
              </w:rPr>
              <w:t>建设地点：</w:t>
            </w:r>
            <w:r>
              <w:rPr>
                <w:rFonts w:hint="eastAsia" w:ascii="Times New Roman"/>
                <w:color w:val="auto"/>
                <w:sz w:val="24"/>
                <w:szCs w:val="24"/>
                <w:lang w:eastAsia="zh-CN"/>
              </w:rPr>
              <w:t>安徽省淮南市寿县丰庄镇前圩村</w:t>
            </w:r>
          </w:p>
          <w:p>
            <w:pPr>
              <w:pStyle w:val="32"/>
              <w:rPr>
                <w:rFonts w:hint="default" w:ascii="Times New Roman" w:hAnsi="Times New Roman" w:cs="Times New Roman"/>
                <w:color w:val="auto"/>
                <w:sz w:val="24"/>
                <w:lang w:eastAsia="zh-CN"/>
              </w:rPr>
            </w:pPr>
            <w:r>
              <w:rPr>
                <w:rFonts w:hint="default" w:ascii="Times New Roman" w:hAnsi="Times New Roman" w:cs="Times New Roman"/>
                <w:color w:val="auto"/>
                <w:sz w:val="24"/>
                <w:highlight w:val="none"/>
              </w:rPr>
              <w:t>建设内容：项目总投资</w:t>
            </w:r>
            <w:r>
              <w:rPr>
                <w:rFonts w:hint="default" w:ascii="Times New Roman" w:hAnsi="Times New Roman" w:cs="Times New Roman"/>
                <w:color w:val="auto"/>
                <w:sz w:val="24"/>
                <w:highlight w:val="none"/>
                <w:lang w:val="en-US" w:eastAsia="zh-CN"/>
              </w:rPr>
              <w:t>2000</w:t>
            </w:r>
            <w:r>
              <w:rPr>
                <w:rFonts w:hint="default" w:ascii="Times New Roman" w:hAnsi="Times New Roman" w:cs="Times New Roman"/>
                <w:color w:val="auto"/>
                <w:sz w:val="24"/>
                <w:highlight w:val="none"/>
              </w:rPr>
              <w:t>万元，</w:t>
            </w:r>
            <w:r>
              <w:rPr>
                <w:rFonts w:hint="default" w:ascii="Times New Roman" w:hAnsi="Times New Roman" w:cs="Times New Roman"/>
                <w:color w:val="auto"/>
                <w:sz w:val="24"/>
                <w:highlight w:val="none"/>
                <w:lang w:eastAsia="zh-CN"/>
              </w:rPr>
              <w:t>租赁寿县丰庄镇前圩村工业园区闲置厂房用于建设</w:t>
            </w:r>
            <w:r>
              <w:rPr>
                <w:rFonts w:hint="default" w:ascii="Times New Roman" w:hAnsi="Times New Roman" w:cs="Times New Roman"/>
                <w:color w:val="auto"/>
                <w:sz w:val="24"/>
                <w:szCs w:val="24"/>
                <w:lang w:eastAsia="zh-CN"/>
              </w:rPr>
              <w:t>安徽圣远年生产20万吨水泥制品项目</w:t>
            </w:r>
            <w:r>
              <w:rPr>
                <w:rFonts w:hint="default" w:ascii="Times New Roman" w:hAnsi="Times New Roman" w:cs="Times New Roman"/>
                <w:color w:val="auto"/>
                <w:sz w:val="24"/>
                <w:highlight w:val="none"/>
                <w:lang w:val="en-US" w:eastAsia="zh-CN"/>
              </w:rPr>
              <w:t>，建设一条水泥预制品生产线，购置机械设备、水泥筒仓、储水罐及办公生活设施，从事水泥制品生产。项目建成后可年生产20万吨水泥制品。</w:t>
            </w:r>
          </w:p>
          <w:p>
            <w:pPr>
              <w:autoSpaceDE w:val="0"/>
              <w:autoSpaceDN w:val="0"/>
              <w:spacing w:line="360" w:lineRule="auto"/>
              <w:ind w:firstLine="480" w:firstLineChars="200"/>
              <w:rPr>
                <w:color w:val="auto"/>
                <w:sz w:val="24"/>
              </w:rPr>
            </w:pPr>
            <w:r>
              <w:rPr>
                <w:color w:val="auto"/>
                <w:sz w:val="24"/>
              </w:rPr>
              <w:t>主要建设内容见下表</w:t>
            </w:r>
            <w:r>
              <w:rPr>
                <w:rFonts w:hint="eastAsia"/>
                <w:color w:val="auto"/>
                <w:sz w:val="24"/>
              </w:rPr>
              <w:t>。</w:t>
            </w:r>
          </w:p>
          <w:p>
            <w:pPr>
              <w:pStyle w:val="6"/>
              <w:spacing w:before="0" w:after="0" w:line="240" w:lineRule="auto"/>
              <w:ind w:right="0"/>
              <w:jc w:val="center"/>
              <w:rPr>
                <w:b/>
                <w:bCs/>
                <w:color w:val="auto"/>
                <w:sz w:val="21"/>
                <w:szCs w:val="21"/>
              </w:rPr>
            </w:pPr>
            <w:r>
              <w:rPr>
                <w:b/>
                <w:bCs/>
                <w:color w:val="auto"/>
                <w:sz w:val="21"/>
                <w:szCs w:val="21"/>
              </w:rPr>
              <w:t>表2-3  主要建设内容一览表</w:t>
            </w:r>
          </w:p>
          <w:tbl>
            <w:tblPr>
              <w:tblStyle w:val="24"/>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885"/>
              <w:gridCol w:w="5767"/>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pPr>
                    <w:jc w:val="center"/>
                    <w:rPr>
                      <w:b/>
                      <w:bCs/>
                      <w:color w:val="auto"/>
                      <w:szCs w:val="21"/>
                    </w:rPr>
                  </w:pPr>
                  <w:r>
                    <w:rPr>
                      <w:b/>
                      <w:bCs/>
                      <w:color w:val="auto"/>
                      <w:szCs w:val="21"/>
                    </w:rPr>
                    <w:t>工程</w:t>
                  </w:r>
                </w:p>
                <w:p>
                  <w:pPr>
                    <w:jc w:val="center"/>
                    <w:rPr>
                      <w:b/>
                      <w:bCs/>
                      <w:color w:val="auto"/>
                      <w:szCs w:val="21"/>
                    </w:rPr>
                  </w:pPr>
                  <w:r>
                    <w:rPr>
                      <w:b/>
                      <w:bCs/>
                      <w:color w:val="auto"/>
                      <w:szCs w:val="21"/>
                    </w:rPr>
                    <w:t>类别</w:t>
                  </w:r>
                </w:p>
              </w:tc>
              <w:tc>
                <w:tcPr>
                  <w:tcW w:w="885" w:type="dxa"/>
                  <w:tcBorders>
                    <w:top w:val="single" w:color="auto" w:sz="4" w:space="0"/>
                    <w:bottom w:val="single" w:color="auto" w:sz="4" w:space="0"/>
                    <w:right w:val="single" w:color="auto" w:sz="4" w:space="0"/>
                  </w:tcBorders>
                  <w:vAlign w:val="center"/>
                </w:tcPr>
                <w:p>
                  <w:pPr>
                    <w:jc w:val="center"/>
                    <w:rPr>
                      <w:rFonts w:hint="eastAsia"/>
                      <w:b/>
                      <w:bCs/>
                      <w:color w:val="auto"/>
                      <w:szCs w:val="21"/>
                    </w:rPr>
                  </w:pPr>
                  <w:r>
                    <w:rPr>
                      <w:rFonts w:hint="eastAsia"/>
                      <w:b/>
                      <w:bCs/>
                      <w:color w:val="auto"/>
                      <w:szCs w:val="21"/>
                    </w:rPr>
                    <w:t>工程</w:t>
                  </w:r>
                </w:p>
                <w:p>
                  <w:pPr>
                    <w:jc w:val="center"/>
                    <w:rPr>
                      <w:b/>
                      <w:bCs/>
                      <w:color w:val="auto"/>
                      <w:szCs w:val="21"/>
                    </w:rPr>
                  </w:pPr>
                  <w:r>
                    <w:rPr>
                      <w:rFonts w:hint="eastAsia"/>
                      <w:b/>
                      <w:bCs/>
                      <w:color w:val="auto"/>
                      <w:szCs w:val="21"/>
                    </w:rPr>
                    <w:t>名称</w:t>
                  </w:r>
                </w:p>
              </w:tc>
              <w:tc>
                <w:tcPr>
                  <w:tcW w:w="5767" w:type="dxa"/>
                  <w:tcBorders>
                    <w:top w:val="single" w:color="auto" w:sz="4" w:space="0"/>
                    <w:bottom w:val="single" w:color="auto" w:sz="4" w:space="0"/>
                    <w:right w:val="single" w:color="auto" w:sz="4" w:space="0"/>
                  </w:tcBorders>
                  <w:vAlign w:val="center"/>
                </w:tcPr>
                <w:p>
                  <w:pPr>
                    <w:jc w:val="center"/>
                    <w:rPr>
                      <w:rFonts w:hint="eastAsia"/>
                      <w:b/>
                      <w:bCs/>
                      <w:color w:val="auto"/>
                      <w:szCs w:val="21"/>
                    </w:rPr>
                  </w:pPr>
                  <w:r>
                    <w:rPr>
                      <w:rFonts w:hint="eastAsia"/>
                      <w:b/>
                      <w:bCs/>
                      <w:color w:val="auto"/>
                      <w:szCs w:val="21"/>
                    </w:rPr>
                    <w:t>工程内容及规模</w:t>
                  </w:r>
                </w:p>
              </w:tc>
              <w:tc>
                <w:tcPr>
                  <w:tcW w:w="944" w:type="dxa"/>
                  <w:tcBorders>
                    <w:top w:val="single" w:color="auto" w:sz="4" w:space="0"/>
                    <w:bottom w:val="single" w:color="auto" w:sz="4" w:space="0"/>
                    <w:right w:val="single" w:color="auto" w:sz="4" w:space="0"/>
                  </w:tcBorders>
                  <w:vAlign w:val="center"/>
                </w:tcPr>
                <w:p>
                  <w:pPr>
                    <w:jc w:val="center"/>
                    <w:rPr>
                      <w:rFonts w:hint="eastAsia"/>
                      <w:b/>
                      <w:bCs/>
                      <w:color w:val="auto"/>
                      <w:szCs w:val="21"/>
                    </w:rPr>
                  </w:pPr>
                  <w:r>
                    <w:rPr>
                      <w:rFonts w:hint="eastAsia"/>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restart"/>
                  <w:tcBorders>
                    <w:left w:val="single" w:color="auto" w:sz="4" w:space="0"/>
                    <w:right w:val="single" w:color="auto" w:sz="4" w:space="0"/>
                  </w:tcBorders>
                  <w:vAlign w:val="center"/>
                </w:tcPr>
                <w:p>
                  <w:pPr>
                    <w:jc w:val="center"/>
                    <w:rPr>
                      <w:rFonts w:hint="eastAsia" w:eastAsia="宋体"/>
                      <w:color w:val="auto"/>
                      <w:szCs w:val="21"/>
                      <w:lang w:eastAsia="zh-CN"/>
                    </w:rPr>
                  </w:pPr>
                  <w:r>
                    <w:rPr>
                      <w:rFonts w:hint="eastAsia"/>
                      <w:color w:val="auto"/>
                      <w:szCs w:val="21"/>
                      <w:lang w:eastAsia="zh-CN"/>
                    </w:rPr>
                    <w:t>主体工程</w:t>
                  </w:r>
                </w:p>
              </w:tc>
              <w:tc>
                <w:tcPr>
                  <w:tcW w:w="885" w:type="dxa"/>
                  <w:tcBorders>
                    <w:top w:val="single" w:color="auto" w:sz="4" w:space="0"/>
                    <w:bottom w:val="single" w:color="auto" w:sz="4" w:space="0"/>
                    <w:right w:val="single" w:color="auto" w:sz="4" w:space="0"/>
                  </w:tcBorders>
                  <w:vAlign w:val="center"/>
                </w:tcPr>
                <w:p>
                  <w:pPr>
                    <w:adjustRightInd w:val="0"/>
                    <w:jc w:val="center"/>
                    <w:rPr>
                      <w:rFonts w:hint="eastAsia" w:eastAsia="宋体"/>
                      <w:color w:val="auto"/>
                      <w:szCs w:val="21"/>
                      <w:lang w:eastAsia="zh-CN"/>
                    </w:rPr>
                  </w:pPr>
                  <w:r>
                    <w:rPr>
                      <w:rFonts w:hint="eastAsia"/>
                      <w:color w:val="auto"/>
                      <w:szCs w:val="21"/>
                      <w:lang w:eastAsia="zh-CN"/>
                    </w:rPr>
                    <w:t>生产厂房</w:t>
                  </w:r>
                </w:p>
              </w:tc>
              <w:tc>
                <w:tcPr>
                  <w:tcW w:w="5767" w:type="dxa"/>
                  <w:tcBorders>
                    <w:top w:val="single" w:color="auto" w:sz="4" w:space="0"/>
                    <w:bottom w:val="single" w:color="auto" w:sz="4" w:space="0"/>
                    <w:right w:val="single" w:color="auto" w:sz="4" w:space="0"/>
                  </w:tcBorders>
                  <w:vAlign w:val="center"/>
                </w:tcPr>
                <w:p>
                  <w:pPr>
                    <w:adjustRightInd w:val="0"/>
                    <w:jc w:val="center"/>
                    <w:rPr>
                      <w:rFonts w:hint="default" w:eastAsia="宋体"/>
                      <w:color w:val="auto"/>
                      <w:szCs w:val="21"/>
                      <w:highlight w:val="none"/>
                      <w:lang w:val="en-US" w:eastAsia="zh-CN"/>
                    </w:rPr>
                  </w:pPr>
                  <w:r>
                    <w:rPr>
                      <w:rFonts w:hint="eastAsia"/>
                      <w:color w:val="auto"/>
                      <w:szCs w:val="21"/>
                      <w:highlight w:val="none"/>
                      <w:lang w:eastAsia="zh-CN"/>
                    </w:rPr>
                    <w:t>位于厂区西侧，占地面积</w:t>
                  </w:r>
                  <w:r>
                    <w:rPr>
                      <w:rFonts w:hint="eastAsia"/>
                      <w:color w:val="auto"/>
                      <w:szCs w:val="21"/>
                      <w:highlight w:val="none"/>
                      <w:lang w:val="en-US" w:eastAsia="zh-CN"/>
                    </w:rPr>
                    <w:t>1400m</w:t>
                  </w:r>
                  <w:r>
                    <w:rPr>
                      <w:rFonts w:hint="eastAsia"/>
                      <w:color w:val="auto"/>
                      <w:szCs w:val="21"/>
                      <w:highlight w:val="none"/>
                      <w:vertAlign w:val="superscript"/>
                      <w:lang w:val="en-US" w:eastAsia="zh-CN"/>
                    </w:rPr>
                    <w:t>2</w:t>
                  </w:r>
                  <w:r>
                    <w:rPr>
                      <w:rFonts w:hint="eastAsia"/>
                      <w:color w:val="auto"/>
                      <w:szCs w:val="21"/>
                      <w:highlight w:val="none"/>
                      <w:lang w:val="en-US" w:eastAsia="zh-CN"/>
                    </w:rPr>
                    <w:t>，在厂区西侧设置水泥制品生产线1条。</w:t>
                  </w:r>
                </w:p>
              </w:tc>
              <w:tc>
                <w:tcPr>
                  <w:tcW w:w="944" w:type="dxa"/>
                  <w:tcBorders>
                    <w:top w:val="single" w:color="auto" w:sz="4" w:space="0"/>
                    <w:bottom w:val="single" w:color="auto" w:sz="4" w:space="0"/>
                    <w:right w:val="single" w:color="auto" w:sz="4" w:space="0"/>
                  </w:tcBorders>
                  <w:vAlign w:val="center"/>
                </w:tcPr>
                <w:p>
                  <w:pPr>
                    <w:adjustRightInd w:val="0"/>
                    <w:jc w:val="center"/>
                    <w:rPr>
                      <w:rFonts w:hint="eastAsia" w:eastAsia="宋体"/>
                      <w:color w:val="auto"/>
                      <w:szCs w:val="21"/>
                      <w:lang w:eastAsia="zh-CN"/>
                    </w:rPr>
                  </w:pPr>
                  <w:r>
                    <w:rPr>
                      <w:rFonts w:hint="eastAsia"/>
                      <w:color w:val="auto"/>
                      <w:szCs w:val="21"/>
                      <w:lang w:eastAsia="zh-CN"/>
                    </w:rPr>
                    <w:t>依托现有厂房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tcBorders>
                    <w:left w:val="single" w:color="auto" w:sz="4" w:space="0"/>
                    <w:right w:val="single" w:color="auto" w:sz="4" w:space="0"/>
                  </w:tcBorders>
                  <w:vAlign w:val="center"/>
                </w:tcPr>
                <w:p>
                  <w:pPr>
                    <w:jc w:val="center"/>
                    <w:rPr>
                      <w:color w:val="auto"/>
                      <w:szCs w:val="21"/>
                    </w:rPr>
                  </w:pPr>
                  <w:r>
                    <w:rPr>
                      <w:color w:val="auto"/>
                      <w:szCs w:val="21"/>
                    </w:rPr>
                    <w:t>辅助工程</w:t>
                  </w:r>
                </w:p>
              </w:tc>
              <w:tc>
                <w:tcPr>
                  <w:tcW w:w="885" w:type="dxa"/>
                  <w:tcBorders>
                    <w:top w:val="single" w:color="auto" w:sz="4" w:space="0"/>
                    <w:bottom w:val="single" w:color="auto" w:sz="4" w:space="0"/>
                    <w:right w:val="single" w:color="auto" w:sz="4" w:space="0"/>
                  </w:tcBorders>
                  <w:vAlign w:val="center"/>
                </w:tcPr>
                <w:p>
                  <w:pPr>
                    <w:adjustRightInd w:val="0"/>
                    <w:jc w:val="center"/>
                    <w:rPr>
                      <w:rFonts w:hint="eastAsia" w:eastAsia="宋体"/>
                      <w:color w:val="auto"/>
                      <w:szCs w:val="21"/>
                      <w:highlight w:val="none"/>
                      <w:lang w:eastAsia="zh-CN"/>
                    </w:rPr>
                  </w:pPr>
                  <w:r>
                    <w:rPr>
                      <w:color w:val="auto"/>
                      <w:szCs w:val="21"/>
                      <w:highlight w:val="none"/>
                    </w:rPr>
                    <w:t>办公</w:t>
                  </w:r>
                  <w:r>
                    <w:rPr>
                      <w:rFonts w:hint="eastAsia"/>
                      <w:color w:val="auto"/>
                      <w:szCs w:val="21"/>
                      <w:highlight w:val="none"/>
                      <w:lang w:eastAsia="zh-CN"/>
                    </w:rPr>
                    <w:t>楼</w:t>
                  </w:r>
                </w:p>
              </w:tc>
              <w:tc>
                <w:tcPr>
                  <w:tcW w:w="5767" w:type="dxa"/>
                  <w:tcBorders>
                    <w:top w:val="single" w:color="auto" w:sz="4" w:space="0"/>
                    <w:bottom w:val="single" w:color="auto" w:sz="4" w:space="0"/>
                    <w:right w:val="single" w:color="auto" w:sz="4" w:space="0"/>
                  </w:tcBorders>
                  <w:vAlign w:val="center"/>
                </w:tcPr>
                <w:p>
                  <w:pPr>
                    <w:adjustRightInd w:val="0"/>
                    <w:jc w:val="center"/>
                    <w:rPr>
                      <w:rFonts w:hint="default" w:eastAsia="宋体"/>
                      <w:color w:val="auto"/>
                      <w:szCs w:val="21"/>
                      <w:highlight w:val="none"/>
                      <w:lang w:val="en-US" w:eastAsia="zh-CN"/>
                    </w:rPr>
                  </w:pPr>
                  <w:r>
                    <w:rPr>
                      <w:rFonts w:hint="eastAsia"/>
                      <w:color w:val="auto"/>
                      <w:szCs w:val="21"/>
                      <w:highlight w:val="none"/>
                      <w:lang w:eastAsia="zh-CN"/>
                    </w:rPr>
                    <w:t>位于厂区东北侧，占地面积约</w:t>
                  </w:r>
                  <w:r>
                    <w:rPr>
                      <w:rFonts w:hint="eastAsia"/>
                      <w:color w:val="auto"/>
                      <w:szCs w:val="21"/>
                      <w:highlight w:val="none"/>
                      <w:lang w:val="en-US" w:eastAsia="zh-CN"/>
                    </w:rPr>
                    <w:t>260m</w:t>
                  </w:r>
                  <w:r>
                    <w:rPr>
                      <w:rFonts w:hint="eastAsia"/>
                      <w:color w:val="auto"/>
                      <w:szCs w:val="21"/>
                      <w:highlight w:val="none"/>
                      <w:vertAlign w:val="superscript"/>
                      <w:lang w:val="en-US" w:eastAsia="zh-CN"/>
                    </w:rPr>
                    <w:t>2</w:t>
                  </w:r>
                  <w:r>
                    <w:rPr>
                      <w:rFonts w:hint="eastAsia"/>
                      <w:color w:val="auto"/>
                      <w:szCs w:val="21"/>
                      <w:highlight w:val="none"/>
                      <w:lang w:val="en-US" w:eastAsia="zh-CN"/>
                    </w:rPr>
                    <w:t>，用于员工办公。</w:t>
                  </w:r>
                </w:p>
              </w:tc>
              <w:tc>
                <w:tcPr>
                  <w:tcW w:w="944" w:type="dxa"/>
                  <w:tcBorders>
                    <w:top w:val="single" w:color="auto" w:sz="4" w:space="0"/>
                    <w:bottom w:val="single" w:color="auto" w:sz="4" w:space="0"/>
                    <w:right w:val="single" w:color="auto" w:sz="4" w:space="0"/>
                  </w:tcBorders>
                  <w:vAlign w:val="center"/>
                </w:tcPr>
                <w:p>
                  <w:pPr>
                    <w:adjustRightInd w:val="0"/>
                    <w:jc w:val="center"/>
                    <w:rPr>
                      <w:rFonts w:hint="eastAsia" w:eastAsia="宋体"/>
                      <w:color w:val="auto"/>
                      <w:szCs w:val="21"/>
                      <w:lang w:eastAsia="zh-CN"/>
                    </w:rPr>
                  </w:pPr>
                  <w:r>
                    <w:rPr>
                      <w:rFonts w:hint="eastAsia"/>
                      <w:color w:val="auto"/>
                      <w:szCs w:val="21"/>
                      <w:lang w:eastAsia="zh-CN"/>
                    </w:rPr>
                    <w:t>依托现有办公楼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restart"/>
                  <w:tcBorders>
                    <w:top w:val="single" w:color="auto" w:sz="4" w:space="0"/>
                    <w:left w:val="single" w:color="auto" w:sz="4" w:space="0"/>
                    <w:right w:val="single" w:color="auto" w:sz="4" w:space="0"/>
                  </w:tcBorders>
                  <w:vAlign w:val="center"/>
                </w:tcPr>
                <w:p>
                  <w:pPr>
                    <w:jc w:val="center"/>
                    <w:rPr>
                      <w:color w:val="auto"/>
                      <w:szCs w:val="21"/>
                    </w:rPr>
                  </w:pPr>
                  <w:r>
                    <w:rPr>
                      <w:color w:val="auto"/>
                      <w:szCs w:val="21"/>
                    </w:rPr>
                    <w:t>储运工程</w:t>
                  </w:r>
                </w:p>
              </w:tc>
              <w:tc>
                <w:tcPr>
                  <w:tcW w:w="885" w:type="dxa"/>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color w:val="auto"/>
                      <w:szCs w:val="21"/>
                      <w:lang w:eastAsia="zh-CN"/>
                    </w:rPr>
                  </w:pPr>
                  <w:r>
                    <w:rPr>
                      <w:rFonts w:hint="eastAsia"/>
                      <w:color w:val="auto"/>
                      <w:szCs w:val="21"/>
                      <w:lang w:eastAsia="zh-CN"/>
                    </w:rPr>
                    <w:t>原料</w:t>
                  </w:r>
                </w:p>
                <w:p>
                  <w:pPr>
                    <w:autoSpaceDE w:val="0"/>
                    <w:autoSpaceDN w:val="0"/>
                    <w:adjustRightInd w:val="0"/>
                    <w:jc w:val="center"/>
                    <w:rPr>
                      <w:rFonts w:hint="eastAsia" w:eastAsia="宋体"/>
                      <w:color w:val="auto"/>
                      <w:szCs w:val="21"/>
                      <w:lang w:eastAsia="zh-CN"/>
                    </w:rPr>
                  </w:pPr>
                  <w:r>
                    <w:rPr>
                      <w:rFonts w:hint="eastAsia"/>
                      <w:color w:val="auto"/>
                      <w:szCs w:val="21"/>
                      <w:lang w:eastAsia="zh-CN"/>
                    </w:rPr>
                    <w:t>区</w:t>
                  </w:r>
                </w:p>
              </w:tc>
              <w:tc>
                <w:tcPr>
                  <w:tcW w:w="5767" w:type="dxa"/>
                  <w:tcBorders>
                    <w:top w:val="single" w:color="auto" w:sz="4" w:space="0"/>
                    <w:bottom w:val="single" w:color="auto" w:sz="4" w:space="0"/>
                    <w:right w:val="single" w:color="auto" w:sz="4" w:space="0"/>
                  </w:tcBorders>
                  <w:vAlign w:val="center"/>
                </w:tcPr>
                <w:p>
                  <w:pPr>
                    <w:tabs>
                      <w:tab w:val="left" w:pos="3255"/>
                    </w:tabs>
                    <w:jc w:val="center"/>
                    <w:rPr>
                      <w:rFonts w:hint="default"/>
                      <w:color w:val="auto"/>
                      <w:szCs w:val="21"/>
                      <w:lang w:val="en-US"/>
                    </w:rPr>
                  </w:pPr>
                  <w:r>
                    <w:rPr>
                      <w:rFonts w:hint="eastAsia" w:ascii="Times" w:hAnsi="Times"/>
                      <w:color w:val="auto"/>
                      <w:szCs w:val="21"/>
                      <w:lang w:eastAsia="zh-CN"/>
                    </w:rPr>
                    <w:t>位于生产车间东侧</w:t>
                  </w:r>
                  <w:r>
                    <w:rPr>
                      <w:rFonts w:hint="eastAsia" w:ascii="Times" w:hAnsi="Times"/>
                      <w:color w:val="auto"/>
                      <w:szCs w:val="21"/>
                      <w:lang w:val="en-US" w:eastAsia="zh-CN"/>
                    </w:rPr>
                    <w:t>，占地面积约800m</w:t>
                  </w:r>
                  <w:r>
                    <w:rPr>
                      <w:rFonts w:hint="eastAsia" w:ascii="Times" w:hAnsi="Times"/>
                      <w:color w:val="auto"/>
                      <w:szCs w:val="21"/>
                      <w:vertAlign w:val="superscript"/>
                      <w:lang w:val="en-US" w:eastAsia="zh-CN"/>
                    </w:rPr>
                    <w:t>2</w:t>
                  </w:r>
                  <w:r>
                    <w:rPr>
                      <w:rFonts w:hint="eastAsia" w:ascii="Times" w:hAnsi="Times"/>
                      <w:color w:val="auto"/>
                      <w:szCs w:val="21"/>
                      <w:lang w:val="en-US" w:eastAsia="zh-CN"/>
                    </w:rPr>
                    <w:t>，用于原料存储。</w:t>
                  </w:r>
                </w:p>
              </w:tc>
              <w:tc>
                <w:tcPr>
                  <w:tcW w:w="944" w:type="dxa"/>
                  <w:tcBorders>
                    <w:top w:val="single" w:color="auto" w:sz="4" w:space="0"/>
                    <w:bottom w:val="single" w:color="auto" w:sz="4" w:space="0"/>
                    <w:right w:val="single" w:color="auto" w:sz="4" w:space="0"/>
                  </w:tcBorders>
                  <w:vAlign w:val="center"/>
                </w:tcPr>
                <w:p>
                  <w:pPr>
                    <w:tabs>
                      <w:tab w:val="left" w:pos="3255"/>
                    </w:tabs>
                    <w:jc w:val="center"/>
                    <w:rPr>
                      <w:rFonts w:hint="eastAsia" w:ascii="Times" w:hAnsi="Times" w:eastAsia="宋体"/>
                      <w:color w:val="auto"/>
                      <w:szCs w:val="21"/>
                      <w:lang w:eastAsia="zh-CN"/>
                    </w:rPr>
                  </w:pPr>
                  <w:r>
                    <w:rPr>
                      <w:rFonts w:hint="eastAsia" w:ascii="Times" w:hAnsi="Times"/>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jc w:val="center"/>
                    <w:rPr>
                      <w:color w:val="auto"/>
                      <w:szCs w:val="21"/>
                    </w:rPr>
                  </w:pPr>
                </w:p>
              </w:tc>
              <w:tc>
                <w:tcPr>
                  <w:tcW w:w="885" w:type="dxa"/>
                  <w:tcBorders>
                    <w:top w:val="single" w:color="auto" w:sz="4" w:space="0"/>
                    <w:bottom w:val="single" w:color="auto" w:sz="4" w:space="0"/>
                    <w:right w:val="single" w:color="auto" w:sz="4" w:space="0"/>
                  </w:tcBorders>
                  <w:vAlign w:val="center"/>
                </w:tcPr>
                <w:p>
                  <w:pPr>
                    <w:autoSpaceDE w:val="0"/>
                    <w:autoSpaceDN w:val="0"/>
                    <w:adjustRightInd w:val="0"/>
                    <w:jc w:val="center"/>
                    <w:rPr>
                      <w:rFonts w:hint="eastAsia"/>
                      <w:color w:val="auto"/>
                      <w:szCs w:val="21"/>
                      <w:lang w:eastAsia="zh-CN"/>
                    </w:rPr>
                  </w:pPr>
                  <w:r>
                    <w:rPr>
                      <w:rFonts w:hint="eastAsia"/>
                      <w:color w:val="auto"/>
                      <w:szCs w:val="21"/>
                      <w:lang w:eastAsia="zh-CN"/>
                    </w:rPr>
                    <w:t>成品仓库</w:t>
                  </w:r>
                </w:p>
              </w:tc>
              <w:tc>
                <w:tcPr>
                  <w:tcW w:w="5767" w:type="dxa"/>
                  <w:tcBorders>
                    <w:top w:val="single" w:color="auto" w:sz="4" w:space="0"/>
                    <w:bottom w:val="single" w:color="auto" w:sz="4" w:space="0"/>
                    <w:right w:val="single" w:color="auto" w:sz="4" w:space="0"/>
                  </w:tcBorders>
                  <w:vAlign w:val="center"/>
                </w:tcPr>
                <w:p>
                  <w:pPr>
                    <w:tabs>
                      <w:tab w:val="left" w:pos="3255"/>
                    </w:tabs>
                    <w:jc w:val="center"/>
                    <w:rPr>
                      <w:rFonts w:hint="default" w:ascii="Times" w:hAnsi="Times" w:eastAsia="宋体"/>
                      <w:color w:val="auto"/>
                      <w:szCs w:val="21"/>
                      <w:lang w:val="en-US" w:eastAsia="zh-CN"/>
                    </w:rPr>
                  </w:pPr>
                  <w:r>
                    <w:rPr>
                      <w:rFonts w:hint="eastAsia" w:ascii="Times" w:hAnsi="Times"/>
                      <w:color w:val="auto"/>
                      <w:szCs w:val="21"/>
                      <w:lang w:eastAsia="zh-CN"/>
                    </w:rPr>
                    <w:t>新建厂房</w:t>
                  </w:r>
                  <w:r>
                    <w:rPr>
                      <w:rFonts w:hint="eastAsia" w:ascii="Times" w:hAnsi="Times"/>
                      <w:color w:val="auto"/>
                      <w:szCs w:val="21"/>
                      <w:lang w:val="en-US" w:eastAsia="zh-CN"/>
                    </w:rPr>
                    <w:t>1栋，位于厂区北侧，占地面积约600m</w:t>
                  </w:r>
                  <w:r>
                    <w:rPr>
                      <w:rFonts w:hint="eastAsia" w:ascii="Times" w:hAnsi="Times"/>
                      <w:color w:val="auto"/>
                      <w:szCs w:val="21"/>
                      <w:vertAlign w:val="superscript"/>
                      <w:lang w:val="en-US" w:eastAsia="zh-CN"/>
                    </w:rPr>
                    <w:t>2</w:t>
                  </w:r>
                  <w:r>
                    <w:rPr>
                      <w:rFonts w:hint="eastAsia" w:ascii="Times" w:hAnsi="Times"/>
                      <w:color w:val="auto"/>
                      <w:szCs w:val="21"/>
                      <w:vertAlign w:val="baseline"/>
                      <w:lang w:val="en-US" w:eastAsia="zh-CN"/>
                    </w:rPr>
                    <w:t>，</w:t>
                  </w:r>
                  <w:r>
                    <w:rPr>
                      <w:rFonts w:hint="eastAsia" w:ascii="Times" w:hAnsi="Times"/>
                      <w:color w:val="auto"/>
                      <w:szCs w:val="21"/>
                      <w:lang w:val="en-US" w:eastAsia="zh-CN"/>
                    </w:rPr>
                    <w:t>用于原料存储。</w:t>
                  </w:r>
                </w:p>
              </w:tc>
              <w:tc>
                <w:tcPr>
                  <w:tcW w:w="944" w:type="dxa"/>
                  <w:tcBorders>
                    <w:top w:val="single" w:color="auto" w:sz="4" w:space="0"/>
                    <w:bottom w:val="single" w:color="auto" w:sz="4" w:space="0"/>
                    <w:right w:val="single" w:color="auto" w:sz="4" w:space="0"/>
                  </w:tcBorders>
                  <w:vAlign w:val="center"/>
                </w:tcPr>
                <w:p>
                  <w:pPr>
                    <w:tabs>
                      <w:tab w:val="left" w:pos="3255"/>
                    </w:tabs>
                    <w:jc w:val="center"/>
                    <w:rPr>
                      <w:rFonts w:hint="default" w:ascii="Times" w:hAnsi="Times"/>
                      <w:color w:val="auto"/>
                      <w:szCs w:val="21"/>
                      <w:lang w:val="en-US" w:eastAsia="zh-CN"/>
                    </w:rPr>
                  </w:pPr>
                  <w:r>
                    <w:rPr>
                      <w:rFonts w:hint="eastAsia" w:ascii="Times" w:hAnsi="Time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restart"/>
                  <w:tcBorders>
                    <w:left w:val="single" w:color="auto" w:sz="4" w:space="0"/>
                    <w:right w:val="single" w:color="auto" w:sz="4" w:space="0"/>
                  </w:tcBorders>
                  <w:vAlign w:val="center"/>
                </w:tcPr>
                <w:p>
                  <w:pPr>
                    <w:jc w:val="center"/>
                    <w:rPr>
                      <w:color w:val="auto"/>
                      <w:szCs w:val="21"/>
                    </w:rPr>
                  </w:pPr>
                  <w:r>
                    <w:rPr>
                      <w:color w:val="auto"/>
                      <w:szCs w:val="21"/>
                    </w:rPr>
                    <w:t>公用</w:t>
                  </w:r>
                </w:p>
                <w:p>
                  <w:pPr>
                    <w:jc w:val="center"/>
                    <w:rPr>
                      <w:color w:val="auto"/>
                      <w:szCs w:val="21"/>
                    </w:rPr>
                  </w:pPr>
                  <w:r>
                    <w:rPr>
                      <w:color w:val="auto"/>
                      <w:szCs w:val="21"/>
                    </w:rPr>
                    <w:t>工程</w:t>
                  </w:r>
                </w:p>
              </w:tc>
              <w:tc>
                <w:tcPr>
                  <w:tcW w:w="885" w:type="dxa"/>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给水</w:t>
                  </w:r>
                </w:p>
              </w:tc>
              <w:tc>
                <w:tcPr>
                  <w:tcW w:w="5767" w:type="dxa"/>
                  <w:tcBorders>
                    <w:top w:val="single" w:color="auto" w:sz="4" w:space="0"/>
                    <w:bottom w:val="single" w:color="auto" w:sz="4" w:space="0"/>
                    <w:right w:val="single" w:color="auto" w:sz="4" w:space="0"/>
                  </w:tcBorders>
                  <w:vAlign w:val="center"/>
                </w:tcPr>
                <w:p>
                  <w:pPr>
                    <w:jc w:val="center"/>
                    <w:rPr>
                      <w:color w:val="auto"/>
                      <w:szCs w:val="21"/>
                      <w:highlight w:val="yellow"/>
                    </w:rPr>
                  </w:pPr>
                  <w:r>
                    <w:rPr>
                      <w:rFonts w:hint="eastAsia"/>
                      <w:color w:val="auto"/>
                      <w:highlight w:val="none"/>
                    </w:rPr>
                    <w:t>供水水源为市政自来水管网，年用水量为</w:t>
                  </w:r>
                  <w:r>
                    <w:rPr>
                      <w:rFonts w:hint="eastAsia"/>
                      <w:color w:val="auto"/>
                      <w:highlight w:val="none"/>
                      <w:lang w:val="en-US" w:eastAsia="zh-CN"/>
                    </w:rPr>
                    <w:t>20057.4</w:t>
                  </w:r>
                  <w:r>
                    <w:rPr>
                      <w:rFonts w:hint="eastAsia"/>
                      <w:color w:val="auto"/>
                      <w:highlight w:val="none"/>
                    </w:rPr>
                    <w:t>t。</w:t>
                  </w:r>
                </w:p>
              </w:tc>
              <w:tc>
                <w:tcPr>
                  <w:tcW w:w="944" w:type="dxa"/>
                  <w:tcBorders>
                    <w:top w:val="single" w:color="auto" w:sz="4" w:space="0"/>
                    <w:bottom w:val="single" w:color="auto" w:sz="4" w:space="0"/>
                    <w:right w:val="single" w:color="auto" w:sz="4" w:space="0"/>
                  </w:tcBorders>
                  <w:vAlign w:val="center"/>
                </w:tcPr>
                <w:p>
                  <w:pPr>
                    <w:jc w:val="center"/>
                    <w:rPr>
                      <w:rFonts w:hint="eastAsia"/>
                      <w:color w:val="auto"/>
                      <w:highlight w:val="none"/>
                    </w:rPr>
                  </w:pPr>
                  <w:r>
                    <w:rPr>
                      <w:rFonts w:hint="eastAsia"/>
                      <w:color w:val="auto"/>
                      <w:highlight w:val="none"/>
                    </w:rPr>
                    <w:t>依托</w:t>
                  </w:r>
                </w:p>
                <w:p>
                  <w:pPr>
                    <w:jc w:val="center"/>
                    <w:rPr>
                      <w:color w:val="auto"/>
                      <w:highlight w:val="none"/>
                    </w:rPr>
                  </w:pPr>
                  <w:r>
                    <w:rPr>
                      <w:rFonts w:hint="eastAsia"/>
                      <w:color w:val="auto"/>
                      <w:highlight w:val="none"/>
                      <w:lang w:eastAsia="zh-CN"/>
                    </w:rPr>
                    <w:t>厂</w:t>
                  </w:r>
                  <w:r>
                    <w:rPr>
                      <w:rFonts w:hint="eastAsia"/>
                      <w:color w:val="auto"/>
                      <w:highlight w:val="none"/>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rPr>
                  </w:pPr>
                </w:p>
              </w:tc>
              <w:tc>
                <w:tcPr>
                  <w:tcW w:w="885" w:type="dxa"/>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供电</w:t>
                  </w:r>
                </w:p>
              </w:tc>
              <w:tc>
                <w:tcPr>
                  <w:tcW w:w="5767" w:type="dxa"/>
                  <w:tcBorders>
                    <w:top w:val="single" w:color="auto" w:sz="4" w:space="0"/>
                    <w:bottom w:val="single" w:color="auto" w:sz="4" w:space="0"/>
                    <w:right w:val="single" w:color="auto" w:sz="4" w:space="0"/>
                  </w:tcBorders>
                  <w:vAlign w:val="center"/>
                </w:tcPr>
                <w:p>
                  <w:pPr>
                    <w:jc w:val="center"/>
                    <w:rPr>
                      <w:rFonts w:hint="eastAsia"/>
                      <w:color w:val="auto"/>
                      <w:szCs w:val="21"/>
                      <w:highlight w:val="yellow"/>
                    </w:rPr>
                  </w:pPr>
                  <w:r>
                    <w:rPr>
                      <w:color w:val="auto"/>
                      <w:szCs w:val="21"/>
                      <w:highlight w:val="none"/>
                    </w:rPr>
                    <w:t>市政供电</w:t>
                  </w:r>
                  <w:r>
                    <w:rPr>
                      <w:rFonts w:hint="eastAsia"/>
                      <w:color w:val="auto"/>
                      <w:szCs w:val="21"/>
                      <w:highlight w:val="none"/>
                    </w:rPr>
                    <w:t>，年用电量为</w:t>
                  </w:r>
                  <w:r>
                    <w:rPr>
                      <w:rFonts w:hint="eastAsia"/>
                      <w:color w:val="auto"/>
                      <w:szCs w:val="21"/>
                      <w:highlight w:val="none"/>
                      <w:lang w:val="en-US" w:eastAsia="zh-CN"/>
                    </w:rPr>
                    <w:t>20</w:t>
                  </w:r>
                  <w:r>
                    <w:rPr>
                      <w:rFonts w:hint="eastAsia"/>
                      <w:color w:val="auto"/>
                      <w:szCs w:val="21"/>
                      <w:highlight w:val="none"/>
                    </w:rPr>
                    <w:t>万</w:t>
                  </w:r>
                  <w:r>
                    <w:rPr>
                      <w:rFonts w:hint="eastAsia"/>
                      <w:color w:val="auto"/>
                      <w:sz w:val="21"/>
                      <w:szCs w:val="21"/>
                      <w:highlight w:val="none"/>
                    </w:rPr>
                    <w:t>kW∙h/a</w:t>
                  </w:r>
                  <w:r>
                    <w:rPr>
                      <w:rFonts w:hint="eastAsia"/>
                      <w:color w:val="auto"/>
                      <w:szCs w:val="21"/>
                      <w:highlight w:val="none"/>
                    </w:rPr>
                    <w:t>。</w:t>
                  </w:r>
                </w:p>
              </w:tc>
              <w:tc>
                <w:tcPr>
                  <w:tcW w:w="944" w:type="dxa"/>
                  <w:tcBorders>
                    <w:top w:val="single" w:color="auto" w:sz="4" w:space="0"/>
                    <w:bottom w:val="single" w:color="auto" w:sz="4" w:space="0"/>
                    <w:right w:val="single" w:color="auto" w:sz="4" w:space="0"/>
                  </w:tcBorders>
                  <w:vAlign w:val="center"/>
                </w:tcPr>
                <w:p>
                  <w:pPr>
                    <w:jc w:val="center"/>
                    <w:rPr>
                      <w:rFonts w:hint="eastAsia"/>
                      <w:color w:val="auto"/>
                      <w:szCs w:val="21"/>
                      <w:highlight w:val="none"/>
                    </w:rPr>
                  </w:pPr>
                  <w:r>
                    <w:rPr>
                      <w:rFonts w:hint="eastAsia"/>
                      <w:color w:val="auto"/>
                      <w:szCs w:val="21"/>
                      <w:highlight w:val="none"/>
                    </w:rPr>
                    <w:t>依托</w:t>
                  </w:r>
                </w:p>
                <w:p>
                  <w:pPr>
                    <w:jc w:val="center"/>
                    <w:rPr>
                      <w:color w:val="auto"/>
                      <w:szCs w:val="21"/>
                      <w:highlight w:val="none"/>
                    </w:rPr>
                  </w:pPr>
                  <w:r>
                    <w:rPr>
                      <w:rFonts w:hint="eastAsia"/>
                      <w:color w:val="auto"/>
                      <w:szCs w:val="21"/>
                      <w:highlight w:val="none"/>
                      <w:lang w:eastAsia="zh-CN"/>
                    </w:rPr>
                    <w:t>厂</w:t>
                  </w:r>
                  <w:r>
                    <w:rPr>
                      <w:rFonts w:hint="eastAsia"/>
                      <w:color w:val="auto"/>
                      <w:szCs w:val="21"/>
                      <w:highlight w:val="none"/>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restart"/>
                  <w:tcBorders>
                    <w:left w:val="single" w:color="auto" w:sz="4" w:space="0"/>
                    <w:right w:val="single" w:color="auto" w:sz="4" w:space="0"/>
                  </w:tcBorders>
                  <w:vAlign w:val="center"/>
                </w:tcPr>
                <w:p>
                  <w:pPr>
                    <w:widowControl/>
                    <w:jc w:val="center"/>
                    <w:rPr>
                      <w:color w:val="auto"/>
                      <w:szCs w:val="21"/>
                      <w:highlight w:val="none"/>
                    </w:rPr>
                  </w:pPr>
                  <w:r>
                    <w:rPr>
                      <w:color w:val="auto"/>
                      <w:szCs w:val="21"/>
                      <w:highlight w:val="none"/>
                    </w:rPr>
                    <w:t>环保</w:t>
                  </w:r>
                </w:p>
                <w:p>
                  <w:pPr>
                    <w:widowControl/>
                    <w:jc w:val="center"/>
                    <w:rPr>
                      <w:color w:val="auto"/>
                      <w:szCs w:val="21"/>
                      <w:highlight w:val="yellow"/>
                    </w:rPr>
                  </w:pPr>
                  <w:r>
                    <w:rPr>
                      <w:color w:val="auto"/>
                      <w:szCs w:val="21"/>
                      <w:highlight w:val="none"/>
                    </w:rPr>
                    <w:t>工程</w:t>
                  </w:r>
                </w:p>
              </w:tc>
              <w:tc>
                <w:tcPr>
                  <w:tcW w:w="885" w:type="dxa"/>
                  <w:vMerge w:val="restart"/>
                  <w:tcBorders>
                    <w:top w:val="single" w:color="auto" w:sz="4" w:space="0"/>
                    <w:right w:val="single" w:color="auto" w:sz="4" w:space="0"/>
                  </w:tcBorders>
                  <w:vAlign w:val="center"/>
                </w:tcPr>
                <w:p>
                  <w:pPr>
                    <w:jc w:val="center"/>
                    <w:rPr>
                      <w:color w:val="auto"/>
                      <w:szCs w:val="21"/>
                      <w:highlight w:val="none"/>
                    </w:rPr>
                  </w:pPr>
                  <w:r>
                    <w:rPr>
                      <w:color w:val="auto"/>
                      <w:szCs w:val="21"/>
                      <w:highlight w:val="none"/>
                    </w:rPr>
                    <w:t>废水</w:t>
                  </w:r>
                </w:p>
                <w:p>
                  <w:pPr>
                    <w:jc w:val="center"/>
                    <w:rPr>
                      <w:color w:val="auto"/>
                      <w:szCs w:val="21"/>
                      <w:highlight w:val="none"/>
                    </w:rPr>
                  </w:pPr>
                  <w:r>
                    <w:rPr>
                      <w:color w:val="auto"/>
                      <w:szCs w:val="21"/>
                      <w:highlight w:val="none"/>
                    </w:rPr>
                    <w:t>治理</w:t>
                  </w:r>
                </w:p>
              </w:tc>
              <w:tc>
                <w:tcPr>
                  <w:tcW w:w="5767" w:type="dxa"/>
                  <w:tcBorders>
                    <w:top w:val="single" w:color="auto" w:sz="4" w:space="0"/>
                    <w:right w:val="single" w:color="auto" w:sz="4" w:space="0"/>
                  </w:tcBorders>
                  <w:vAlign w:val="center"/>
                </w:tcPr>
                <w:p>
                  <w:pPr>
                    <w:jc w:val="center"/>
                    <w:rPr>
                      <w:color w:val="auto"/>
                      <w:szCs w:val="21"/>
                      <w:highlight w:val="yellow"/>
                    </w:rPr>
                  </w:pPr>
                  <w:r>
                    <w:rPr>
                      <w:rFonts w:hint="eastAsia"/>
                      <w:color w:val="auto"/>
                      <w:szCs w:val="21"/>
                      <w:highlight w:val="none"/>
                    </w:rPr>
                    <w:t>生活污水</w:t>
                  </w:r>
                  <w:r>
                    <w:rPr>
                      <w:rFonts w:hint="eastAsia"/>
                      <w:color w:val="auto"/>
                      <w:szCs w:val="21"/>
                      <w:highlight w:val="none"/>
                      <w:lang w:eastAsia="zh-CN"/>
                    </w:rPr>
                    <w:t>：经化粪池预处理后定期由吸污车转运至丰庄镇新村街污水处理站处理。</w:t>
                  </w:r>
                </w:p>
              </w:tc>
              <w:tc>
                <w:tcPr>
                  <w:tcW w:w="944" w:type="dxa"/>
                  <w:tcBorders>
                    <w:top w:val="single" w:color="auto" w:sz="4" w:space="0"/>
                    <w:right w:val="single" w:color="auto" w:sz="4" w:space="0"/>
                  </w:tcBorders>
                  <w:vAlign w:val="center"/>
                </w:tcPr>
                <w:p>
                  <w:pPr>
                    <w:jc w:val="center"/>
                    <w:rPr>
                      <w:rFonts w:hint="eastAsia"/>
                      <w:color w:val="auto"/>
                      <w:szCs w:val="21"/>
                      <w:highlight w:val="none"/>
                    </w:rPr>
                  </w:pPr>
                  <w:r>
                    <w:rPr>
                      <w:rFonts w:hint="eastAsia"/>
                      <w:color w:val="auto"/>
                      <w:szCs w:val="21"/>
                      <w:highlight w:val="none"/>
                    </w:rPr>
                    <w:t>依托</w:t>
                  </w:r>
                </w:p>
                <w:p>
                  <w:pPr>
                    <w:jc w:val="center"/>
                    <w:rPr>
                      <w:color w:val="auto"/>
                      <w:szCs w:val="21"/>
                      <w:highlight w:val="none"/>
                    </w:rPr>
                  </w:pPr>
                  <w:r>
                    <w:rPr>
                      <w:rFonts w:hint="eastAsia"/>
                      <w:color w:val="auto"/>
                      <w:szCs w:val="21"/>
                      <w:highlight w:val="none"/>
                      <w:lang w:eastAsia="zh-CN"/>
                    </w:rPr>
                    <w:t>厂</w:t>
                  </w:r>
                  <w:r>
                    <w:rPr>
                      <w:rFonts w:hint="eastAsia"/>
                      <w:color w:val="auto"/>
                      <w:szCs w:val="21"/>
                      <w:highlight w:val="none"/>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none"/>
                    </w:rPr>
                  </w:pPr>
                </w:p>
              </w:tc>
              <w:tc>
                <w:tcPr>
                  <w:tcW w:w="885" w:type="dxa"/>
                  <w:vMerge w:val="continue"/>
                  <w:tcBorders>
                    <w:right w:val="single" w:color="auto" w:sz="4" w:space="0"/>
                  </w:tcBorders>
                  <w:vAlign w:val="center"/>
                </w:tcPr>
                <w:p>
                  <w:pPr>
                    <w:jc w:val="center"/>
                    <w:rPr>
                      <w:color w:val="auto"/>
                      <w:szCs w:val="21"/>
                      <w:highlight w:val="none"/>
                    </w:rPr>
                  </w:pPr>
                </w:p>
              </w:tc>
              <w:tc>
                <w:tcPr>
                  <w:tcW w:w="5767" w:type="dxa"/>
                  <w:tcBorders>
                    <w:top w:val="single" w:color="auto" w:sz="4" w:space="0"/>
                    <w:right w:val="single" w:color="auto" w:sz="4" w:space="0"/>
                  </w:tcBorders>
                  <w:vAlign w:val="center"/>
                </w:tcPr>
                <w:p>
                  <w:pPr>
                    <w:jc w:val="center"/>
                    <w:rPr>
                      <w:rFonts w:hint="eastAsia"/>
                      <w:color w:val="auto"/>
                      <w:szCs w:val="21"/>
                      <w:highlight w:val="none"/>
                    </w:rPr>
                  </w:pPr>
                  <w:r>
                    <w:rPr>
                      <w:rFonts w:hint="eastAsia"/>
                      <w:color w:val="auto"/>
                      <w:szCs w:val="21"/>
                      <w:highlight w:val="none"/>
                      <w:lang w:eastAsia="zh-CN"/>
                    </w:rPr>
                    <w:t>养护废水、进出车辆冲洗废水、设备冲洗废水：经三级沉淀池沉淀后回用。</w:t>
                  </w:r>
                </w:p>
              </w:tc>
              <w:tc>
                <w:tcPr>
                  <w:tcW w:w="944" w:type="dxa"/>
                  <w:tcBorders>
                    <w:top w:val="single" w:color="auto" w:sz="4" w:space="0"/>
                    <w:right w:val="single" w:color="auto" w:sz="4" w:space="0"/>
                  </w:tcBorders>
                  <w:vAlign w:val="center"/>
                </w:tcPr>
                <w:p>
                  <w:pPr>
                    <w:jc w:val="center"/>
                    <w:rPr>
                      <w:rFonts w:hint="eastAsia" w:eastAsia="宋体"/>
                      <w:color w:val="auto"/>
                      <w:szCs w:val="21"/>
                      <w:highlight w:val="none"/>
                      <w:lang w:val="en-US" w:eastAsia="zh-CN"/>
                    </w:rPr>
                  </w:pPr>
                  <w:r>
                    <w:rPr>
                      <w:rFonts w:hint="eastAsia" w:ascii="Times" w:hAnsi="Times"/>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none"/>
                    </w:rPr>
                  </w:pPr>
                </w:p>
              </w:tc>
              <w:tc>
                <w:tcPr>
                  <w:tcW w:w="885" w:type="dxa"/>
                  <w:vMerge w:val="continue"/>
                  <w:tcBorders>
                    <w:right w:val="single" w:color="auto" w:sz="4" w:space="0"/>
                  </w:tcBorders>
                  <w:vAlign w:val="center"/>
                </w:tcPr>
                <w:p>
                  <w:pPr>
                    <w:jc w:val="center"/>
                    <w:rPr>
                      <w:color w:val="auto"/>
                      <w:szCs w:val="21"/>
                      <w:highlight w:val="none"/>
                    </w:rPr>
                  </w:pPr>
                </w:p>
              </w:tc>
              <w:tc>
                <w:tcPr>
                  <w:tcW w:w="5767" w:type="dxa"/>
                  <w:tcBorders>
                    <w:top w:val="single" w:color="auto" w:sz="4" w:space="0"/>
                    <w:right w:val="single" w:color="auto" w:sz="4" w:space="0"/>
                  </w:tcBorders>
                  <w:vAlign w:val="center"/>
                </w:tcPr>
                <w:p>
                  <w:pPr>
                    <w:jc w:val="center"/>
                    <w:rPr>
                      <w:rFonts w:hint="eastAsia"/>
                      <w:color w:val="auto"/>
                      <w:szCs w:val="21"/>
                      <w:highlight w:val="none"/>
                      <w:lang w:eastAsia="zh-CN"/>
                    </w:rPr>
                  </w:pPr>
                  <w:r>
                    <w:rPr>
                      <w:rFonts w:hint="eastAsia"/>
                      <w:color w:val="auto"/>
                      <w:szCs w:val="21"/>
                      <w:highlight w:val="none"/>
                      <w:lang w:eastAsia="zh-CN"/>
                    </w:rPr>
                    <w:t>初级雨水：设置初级雨水池。</w:t>
                  </w:r>
                </w:p>
              </w:tc>
              <w:tc>
                <w:tcPr>
                  <w:tcW w:w="944" w:type="dxa"/>
                  <w:tcBorders>
                    <w:top w:val="single" w:color="auto" w:sz="4" w:space="0"/>
                    <w:right w:val="single" w:color="auto" w:sz="4" w:space="0"/>
                  </w:tcBorders>
                  <w:vAlign w:val="center"/>
                </w:tcPr>
                <w:p>
                  <w:pPr>
                    <w:jc w:val="center"/>
                    <w:rPr>
                      <w:rFonts w:hint="eastAsia" w:eastAsia="宋体"/>
                      <w:color w:val="auto"/>
                      <w:szCs w:val="21"/>
                      <w:highlight w:val="none"/>
                      <w:lang w:val="en-US" w:eastAsia="zh-CN"/>
                    </w:rPr>
                  </w:pPr>
                  <w:r>
                    <w:rPr>
                      <w:rFonts w:hint="eastAsia" w:ascii="Times" w:hAnsi="Times"/>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885" w:type="dxa"/>
                  <w:vMerge w:val="restart"/>
                  <w:tcBorders>
                    <w:top w:val="single" w:color="auto" w:sz="4" w:space="0"/>
                    <w:right w:val="single" w:color="auto" w:sz="4" w:space="0"/>
                  </w:tcBorders>
                  <w:vAlign w:val="center"/>
                </w:tcPr>
                <w:p>
                  <w:pPr>
                    <w:jc w:val="center"/>
                    <w:rPr>
                      <w:rFonts w:hint="eastAsia"/>
                      <w:color w:val="auto"/>
                      <w:szCs w:val="21"/>
                      <w:highlight w:val="none"/>
                    </w:rPr>
                  </w:pPr>
                  <w:r>
                    <w:rPr>
                      <w:rFonts w:hint="eastAsia"/>
                      <w:color w:val="auto"/>
                      <w:szCs w:val="21"/>
                      <w:highlight w:val="none"/>
                    </w:rPr>
                    <w:t>废气</w:t>
                  </w:r>
                </w:p>
                <w:p>
                  <w:pPr>
                    <w:jc w:val="center"/>
                    <w:rPr>
                      <w:color w:val="auto"/>
                      <w:szCs w:val="21"/>
                      <w:highlight w:val="yellow"/>
                    </w:rPr>
                  </w:pPr>
                  <w:r>
                    <w:rPr>
                      <w:rFonts w:hint="eastAsia"/>
                      <w:color w:val="auto"/>
                      <w:szCs w:val="21"/>
                      <w:highlight w:val="none"/>
                    </w:rPr>
                    <w:t>治理</w:t>
                  </w:r>
                </w:p>
              </w:tc>
              <w:tc>
                <w:tcPr>
                  <w:tcW w:w="5767" w:type="dxa"/>
                  <w:tcBorders>
                    <w:top w:val="single" w:color="auto" w:sz="4" w:space="0"/>
                    <w:right w:val="single" w:color="auto" w:sz="4" w:space="0"/>
                  </w:tcBorders>
                  <w:vAlign w:val="center"/>
                </w:tcPr>
                <w:p>
                  <w:pPr>
                    <w:pStyle w:val="18"/>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原料堆场、卸料投料粉尘：项目原料堆场、生产厂房均为封闭式结构，仅保留必要车辆进出口，进出口设置柔性聚酯纤维防尘帘幕，尺寸为宽4m×高5m，共2处。厂房顶部及侧墙设置固定式防尘网，采用200目不锈钢丝网，总覆盖面积约300m²（主要位于卸料口、上料口、传送带进出口）。场内配置自动喷雾降尘系统，原料仓库内设置20个高压雾化喷头、投料口设置5个高压雾化喷头，单个喷头喷洒水量 0.5L/min 。</w:t>
                  </w:r>
                </w:p>
              </w:tc>
              <w:tc>
                <w:tcPr>
                  <w:tcW w:w="944" w:type="dxa"/>
                  <w:tcBorders>
                    <w:top w:val="single" w:color="auto" w:sz="4" w:space="0"/>
                    <w:right w:val="single" w:color="auto" w:sz="4" w:space="0"/>
                  </w:tcBorders>
                  <w:vAlign w:val="center"/>
                </w:tcPr>
                <w:p>
                  <w:pPr>
                    <w:pStyle w:val="18"/>
                    <w:spacing w:line="240" w:lineRule="auto"/>
                    <w:jc w:val="center"/>
                    <w:rPr>
                      <w:rFonts w:hint="eastAsia" w:ascii="Times" w:hAnsi="Times" w:eastAsia="宋体"/>
                      <w:color w:val="auto"/>
                      <w:sz w:val="21"/>
                      <w:szCs w:val="21"/>
                      <w:highlight w:val="none"/>
                      <w:lang w:val="en-US" w:eastAsia="zh-CN"/>
                    </w:rPr>
                  </w:pPr>
                  <w:r>
                    <w:rPr>
                      <w:rFonts w:hint="eastAsia" w:ascii="Times" w:hAnsi="Times"/>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yellow"/>
                    </w:rPr>
                  </w:pPr>
                  <w:bookmarkStart w:id="1" w:name="OLE_LINK1" w:colFirst="2" w:colLast="2"/>
                </w:p>
              </w:tc>
              <w:tc>
                <w:tcPr>
                  <w:tcW w:w="885" w:type="dxa"/>
                  <w:vMerge w:val="continue"/>
                  <w:tcBorders>
                    <w:right w:val="single" w:color="auto" w:sz="4" w:space="0"/>
                  </w:tcBorders>
                  <w:vAlign w:val="center"/>
                </w:tcPr>
                <w:p>
                  <w:pPr>
                    <w:jc w:val="center"/>
                    <w:rPr>
                      <w:rFonts w:hint="eastAsia"/>
                      <w:color w:val="auto"/>
                      <w:szCs w:val="21"/>
                      <w:highlight w:val="none"/>
                    </w:rPr>
                  </w:pPr>
                </w:p>
              </w:tc>
              <w:tc>
                <w:tcPr>
                  <w:tcW w:w="5767" w:type="dxa"/>
                  <w:tcBorders>
                    <w:right w:val="single" w:color="auto" w:sz="4" w:space="0"/>
                  </w:tcBorders>
                  <w:vAlign w:val="center"/>
                </w:tcPr>
                <w:p>
                  <w:pPr>
                    <w:pStyle w:val="18"/>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碎石输送、计量粉尘：密闭围挡+喷雾抑尘，输送皮带采用全封闭彩钢板廊道（高度2m、长度120m），计量斗上方设置三面彩钢板围挡（高度3m、长度6m），仅保留一个侧面物料输送口；在输送廊道内设置20个高压雾化喷头，计量斗区域设置6个喷头，单个喷洒水量0.5L/min（水压0.3MPa）</w:t>
                  </w:r>
                </w:p>
              </w:tc>
              <w:tc>
                <w:tcPr>
                  <w:tcW w:w="944" w:type="dxa"/>
                  <w:tcBorders>
                    <w:top w:val="single" w:color="auto" w:sz="4" w:space="0"/>
                    <w:right w:val="single" w:color="auto" w:sz="4" w:space="0"/>
                  </w:tcBorders>
                  <w:vAlign w:val="center"/>
                </w:tcPr>
                <w:p>
                  <w:pPr>
                    <w:pStyle w:val="18"/>
                    <w:spacing w:line="240" w:lineRule="auto"/>
                    <w:jc w:val="center"/>
                    <w:rPr>
                      <w:rFonts w:hint="eastAsia" w:ascii="Times" w:hAnsi="Times" w:eastAsia="宋体"/>
                      <w:color w:val="auto"/>
                      <w:sz w:val="21"/>
                      <w:szCs w:val="21"/>
                      <w:highlight w:val="none"/>
                      <w:lang w:val="en-US" w:eastAsia="zh-CN"/>
                    </w:rPr>
                  </w:pPr>
                  <w:r>
                    <w:rPr>
                      <w:rFonts w:hint="eastAsia" w:ascii="Times" w:hAnsi="Times"/>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885" w:type="dxa"/>
                  <w:vMerge w:val="continue"/>
                  <w:tcBorders>
                    <w:right w:val="single" w:color="auto" w:sz="4" w:space="0"/>
                  </w:tcBorders>
                  <w:vAlign w:val="center"/>
                </w:tcPr>
                <w:p>
                  <w:pPr>
                    <w:jc w:val="center"/>
                    <w:rPr>
                      <w:rFonts w:hint="eastAsia"/>
                      <w:color w:val="auto"/>
                      <w:szCs w:val="21"/>
                      <w:highlight w:val="none"/>
                    </w:rPr>
                  </w:pPr>
                </w:p>
              </w:tc>
              <w:tc>
                <w:tcPr>
                  <w:tcW w:w="5767" w:type="dxa"/>
                  <w:tcBorders>
                    <w:right w:val="single" w:color="auto" w:sz="4" w:space="0"/>
                  </w:tcBorders>
                  <w:vAlign w:val="center"/>
                </w:tcPr>
                <w:p>
                  <w:pPr>
                    <w:pStyle w:val="18"/>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水泥罐粉尘：仓顶除尘器</w:t>
                  </w:r>
                  <w:r>
                    <w:rPr>
                      <w:rFonts w:hint="eastAsia"/>
                      <w:color w:val="auto"/>
                      <w:sz w:val="21"/>
                      <w:szCs w:val="21"/>
                      <w:highlight w:val="none"/>
                      <w:lang w:val="en-US" w:eastAsia="zh-CN"/>
                    </w:rPr>
                    <w:t>+厂房密闭。</w:t>
                  </w:r>
                </w:p>
              </w:tc>
              <w:tc>
                <w:tcPr>
                  <w:tcW w:w="944" w:type="dxa"/>
                  <w:tcBorders>
                    <w:top w:val="single" w:color="auto" w:sz="4" w:space="0"/>
                    <w:right w:val="single" w:color="auto" w:sz="4" w:space="0"/>
                  </w:tcBorders>
                  <w:vAlign w:val="center"/>
                </w:tcPr>
                <w:p>
                  <w:pPr>
                    <w:pStyle w:val="18"/>
                    <w:spacing w:line="240" w:lineRule="auto"/>
                    <w:jc w:val="center"/>
                    <w:rPr>
                      <w:rFonts w:hint="eastAsia" w:ascii="Times" w:hAnsi="Times"/>
                      <w:color w:val="auto"/>
                      <w:sz w:val="21"/>
                      <w:szCs w:val="21"/>
                      <w:lang w:eastAsia="zh-CN"/>
                    </w:rPr>
                  </w:pPr>
                  <w:r>
                    <w:rPr>
                      <w:rFonts w:hint="eastAsia" w:ascii="Times" w:hAnsi="Times"/>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885" w:type="dxa"/>
                  <w:vMerge w:val="continue"/>
                  <w:tcBorders>
                    <w:right w:val="single" w:color="auto" w:sz="4" w:space="0"/>
                  </w:tcBorders>
                  <w:vAlign w:val="center"/>
                </w:tcPr>
                <w:p>
                  <w:pPr>
                    <w:jc w:val="center"/>
                    <w:rPr>
                      <w:rFonts w:hint="eastAsia"/>
                      <w:color w:val="auto"/>
                      <w:szCs w:val="21"/>
                      <w:highlight w:val="none"/>
                    </w:rPr>
                  </w:pPr>
                </w:p>
              </w:tc>
              <w:tc>
                <w:tcPr>
                  <w:tcW w:w="5767" w:type="dxa"/>
                  <w:tcBorders>
                    <w:right w:val="single" w:color="auto" w:sz="4" w:space="0"/>
                  </w:tcBorders>
                  <w:vAlign w:val="center"/>
                </w:tcPr>
                <w:p>
                  <w:pPr>
                    <w:pStyle w:val="18"/>
                    <w:spacing w:line="240" w:lineRule="auto"/>
                    <w:jc w:val="center"/>
                    <w:rPr>
                      <w:rFonts w:hint="eastAsia"/>
                      <w:color w:val="auto"/>
                      <w:sz w:val="21"/>
                      <w:szCs w:val="21"/>
                      <w:highlight w:val="none"/>
                      <w:lang w:eastAsia="zh-CN"/>
                    </w:rPr>
                  </w:pPr>
                  <w:r>
                    <w:rPr>
                      <w:rFonts w:hint="eastAsia"/>
                      <w:color w:val="auto"/>
                      <w:sz w:val="21"/>
                      <w:szCs w:val="21"/>
                      <w:highlight w:val="none"/>
                      <w:lang w:eastAsia="zh-CN"/>
                    </w:rPr>
                    <w:t>搅拌粉尘：集气罩、软帘</w:t>
                  </w:r>
                  <w:r>
                    <w:rPr>
                      <w:rFonts w:hint="eastAsia"/>
                      <w:color w:val="auto"/>
                      <w:sz w:val="21"/>
                      <w:szCs w:val="21"/>
                      <w:highlight w:val="none"/>
                      <w:lang w:val="en-US" w:eastAsia="zh-CN"/>
                    </w:rPr>
                    <w:t>+脉冲布袋除尘器+1根15m高排气筒DA001，并</w:t>
                  </w:r>
                  <w:r>
                    <w:rPr>
                      <w:rFonts w:hint="eastAsia"/>
                      <w:color w:val="auto"/>
                      <w:sz w:val="21"/>
                      <w:szCs w:val="21"/>
                      <w:highlight w:val="none"/>
                      <w:lang w:eastAsia="zh-CN"/>
                    </w:rPr>
                    <w:t>在搅拌区域上方设置12个高压雾化喷头，单个喷头喷洒水量0.5L/min（水压0.3MPa）</w:t>
                  </w:r>
                </w:p>
              </w:tc>
              <w:tc>
                <w:tcPr>
                  <w:tcW w:w="944" w:type="dxa"/>
                  <w:tcBorders>
                    <w:top w:val="single" w:color="auto" w:sz="4" w:space="0"/>
                    <w:right w:val="single" w:color="auto" w:sz="4" w:space="0"/>
                  </w:tcBorders>
                  <w:vAlign w:val="center"/>
                </w:tcPr>
                <w:p>
                  <w:pPr>
                    <w:pStyle w:val="18"/>
                    <w:spacing w:line="240" w:lineRule="auto"/>
                    <w:jc w:val="center"/>
                    <w:rPr>
                      <w:rFonts w:hint="eastAsia" w:ascii="Times" w:hAnsi="Times"/>
                      <w:color w:val="auto"/>
                      <w:sz w:val="21"/>
                      <w:szCs w:val="21"/>
                      <w:lang w:eastAsia="zh-CN"/>
                    </w:rPr>
                  </w:pPr>
                  <w:r>
                    <w:rPr>
                      <w:rFonts w:hint="eastAsia" w:ascii="Times" w:hAnsi="Times"/>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885" w:type="dxa"/>
                  <w:vMerge w:val="continue"/>
                  <w:tcBorders>
                    <w:right w:val="single" w:color="auto" w:sz="4" w:space="0"/>
                  </w:tcBorders>
                  <w:vAlign w:val="center"/>
                </w:tcPr>
                <w:p>
                  <w:pPr>
                    <w:jc w:val="center"/>
                    <w:rPr>
                      <w:rFonts w:hint="eastAsia"/>
                      <w:color w:val="auto"/>
                      <w:szCs w:val="21"/>
                      <w:highlight w:val="none"/>
                    </w:rPr>
                  </w:pPr>
                </w:p>
              </w:tc>
              <w:tc>
                <w:tcPr>
                  <w:tcW w:w="5767" w:type="dxa"/>
                  <w:tcBorders>
                    <w:top w:val="single" w:color="auto" w:sz="4" w:space="0"/>
                    <w:right w:val="single" w:color="auto" w:sz="4" w:space="0"/>
                  </w:tcBorders>
                  <w:vAlign w:val="center"/>
                </w:tcPr>
                <w:p>
                  <w:pPr>
                    <w:pStyle w:val="18"/>
                    <w:spacing w:line="240" w:lineRule="auto"/>
                    <w:jc w:val="center"/>
                    <w:rPr>
                      <w:rFonts w:hint="eastAsia" w:eastAsia="宋体"/>
                      <w:color w:val="auto"/>
                      <w:sz w:val="21"/>
                      <w:szCs w:val="21"/>
                      <w:highlight w:val="none"/>
                      <w:lang w:eastAsia="zh-CN"/>
                    </w:rPr>
                  </w:pPr>
                  <w:r>
                    <w:rPr>
                      <w:rFonts w:hint="eastAsia"/>
                      <w:color w:val="auto"/>
                      <w:sz w:val="21"/>
                      <w:szCs w:val="21"/>
                      <w:highlight w:val="none"/>
                      <w:lang w:eastAsia="zh-CN"/>
                    </w:rPr>
                    <w:t>车辆运输扬尘：路面硬化，定期路面洒水。</w:t>
                  </w:r>
                </w:p>
              </w:tc>
              <w:tc>
                <w:tcPr>
                  <w:tcW w:w="944" w:type="dxa"/>
                  <w:tcBorders>
                    <w:top w:val="single" w:color="auto" w:sz="4" w:space="0"/>
                    <w:right w:val="single" w:color="auto" w:sz="4" w:space="0"/>
                  </w:tcBorders>
                  <w:vAlign w:val="center"/>
                </w:tcPr>
                <w:p>
                  <w:pPr>
                    <w:pStyle w:val="18"/>
                    <w:spacing w:line="240" w:lineRule="auto"/>
                    <w:jc w:val="center"/>
                    <w:rPr>
                      <w:rFonts w:hint="eastAsia" w:ascii="Times" w:hAnsi="Times" w:eastAsia="宋体"/>
                      <w:color w:val="auto"/>
                      <w:sz w:val="21"/>
                      <w:szCs w:val="21"/>
                      <w:highlight w:val="none"/>
                      <w:lang w:eastAsia="zh-CN"/>
                    </w:rPr>
                  </w:pPr>
                  <w:r>
                    <w:rPr>
                      <w:rFonts w:hint="eastAsia" w:ascii="Times" w:hAnsi="Times"/>
                      <w:color w:val="auto"/>
                      <w:sz w:val="21"/>
                      <w:szCs w:val="21"/>
                      <w:lang w:eastAsia="zh-CN"/>
                    </w:rPr>
                    <w:t>新建</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885" w:type="dxa"/>
                  <w:tcBorders>
                    <w:bottom w:val="single" w:color="auto" w:sz="4" w:space="0"/>
                    <w:right w:val="single" w:color="auto" w:sz="4" w:space="0"/>
                  </w:tcBorders>
                  <w:vAlign w:val="center"/>
                </w:tcPr>
                <w:p>
                  <w:pPr>
                    <w:jc w:val="center"/>
                    <w:rPr>
                      <w:color w:val="auto"/>
                      <w:szCs w:val="21"/>
                      <w:highlight w:val="none"/>
                    </w:rPr>
                  </w:pPr>
                  <w:r>
                    <w:rPr>
                      <w:color w:val="auto"/>
                      <w:szCs w:val="21"/>
                      <w:highlight w:val="none"/>
                    </w:rPr>
                    <w:t>噪声</w:t>
                  </w:r>
                </w:p>
                <w:p>
                  <w:pPr>
                    <w:jc w:val="center"/>
                    <w:rPr>
                      <w:color w:val="auto"/>
                      <w:szCs w:val="21"/>
                      <w:highlight w:val="none"/>
                    </w:rPr>
                  </w:pPr>
                  <w:r>
                    <w:rPr>
                      <w:color w:val="auto"/>
                      <w:szCs w:val="21"/>
                      <w:highlight w:val="none"/>
                    </w:rPr>
                    <w:t>治理</w:t>
                  </w:r>
                </w:p>
              </w:tc>
              <w:tc>
                <w:tcPr>
                  <w:tcW w:w="5767" w:type="dxa"/>
                  <w:tcBorders>
                    <w:top w:val="single" w:color="auto" w:sz="4" w:space="0"/>
                    <w:right w:val="single" w:color="auto" w:sz="4" w:space="0"/>
                  </w:tcBorders>
                  <w:vAlign w:val="center"/>
                </w:tcPr>
                <w:p>
                  <w:pPr>
                    <w:jc w:val="center"/>
                    <w:rPr>
                      <w:rFonts w:hint="eastAsia" w:eastAsia="宋体"/>
                      <w:color w:val="auto"/>
                      <w:szCs w:val="21"/>
                      <w:highlight w:val="none"/>
                      <w:lang w:val="en-US" w:eastAsia="zh-CN"/>
                    </w:rPr>
                  </w:pPr>
                  <w:r>
                    <w:rPr>
                      <w:color w:val="auto"/>
                      <w:szCs w:val="21"/>
                      <w:highlight w:val="none"/>
                    </w:rPr>
                    <w:t>选取低噪声设备，厂房隔声，基础减</w:t>
                  </w:r>
                  <w:r>
                    <w:rPr>
                      <w:rFonts w:hint="eastAsia"/>
                      <w:color w:val="auto"/>
                      <w:szCs w:val="21"/>
                      <w:highlight w:val="none"/>
                    </w:rPr>
                    <w:t>振</w:t>
                  </w:r>
                  <w:r>
                    <w:rPr>
                      <w:rFonts w:hint="eastAsia"/>
                      <w:color w:val="auto"/>
                      <w:szCs w:val="21"/>
                      <w:highlight w:val="none"/>
                      <w:lang w:eastAsia="zh-CN"/>
                    </w:rPr>
                    <w:t>。</w:t>
                  </w:r>
                </w:p>
              </w:tc>
              <w:tc>
                <w:tcPr>
                  <w:tcW w:w="944" w:type="dxa"/>
                  <w:tcBorders>
                    <w:top w:val="single" w:color="auto" w:sz="4" w:space="0"/>
                    <w:right w:val="single" w:color="auto" w:sz="4" w:space="0"/>
                  </w:tcBorders>
                  <w:vAlign w:val="center"/>
                </w:tcPr>
                <w:p>
                  <w:pPr>
                    <w:jc w:val="center"/>
                    <w:rPr>
                      <w:rFonts w:hint="eastAsia"/>
                      <w:color w:val="auto"/>
                      <w:szCs w:val="21"/>
                      <w:highlight w:val="none"/>
                    </w:rPr>
                  </w:pPr>
                  <w:r>
                    <w:rPr>
                      <w:rFonts w:hint="eastAsia" w:ascii="Times" w:hAnsi="Times"/>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color w:val="auto"/>
                      <w:szCs w:val="21"/>
                      <w:highlight w:val="yellow"/>
                    </w:rPr>
                  </w:pPr>
                </w:p>
              </w:tc>
              <w:tc>
                <w:tcPr>
                  <w:tcW w:w="885" w:type="dxa"/>
                  <w:tcBorders>
                    <w:top w:val="single" w:color="auto" w:sz="4" w:space="0"/>
                    <w:bottom w:val="single" w:color="auto" w:sz="4" w:space="0"/>
                    <w:right w:val="single" w:color="auto" w:sz="4" w:space="0"/>
                  </w:tcBorders>
                  <w:vAlign w:val="center"/>
                </w:tcPr>
                <w:p>
                  <w:pPr>
                    <w:widowControl/>
                    <w:jc w:val="center"/>
                    <w:rPr>
                      <w:color w:val="auto"/>
                      <w:szCs w:val="21"/>
                      <w:highlight w:val="none"/>
                    </w:rPr>
                  </w:pPr>
                  <w:r>
                    <w:rPr>
                      <w:color w:val="auto"/>
                      <w:szCs w:val="21"/>
                      <w:highlight w:val="none"/>
                    </w:rPr>
                    <w:t>固废</w:t>
                  </w:r>
                </w:p>
                <w:p>
                  <w:pPr>
                    <w:widowControl/>
                    <w:jc w:val="center"/>
                    <w:rPr>
                      <w:color w:val="auto"/>
                      <w:szCs w:val="21"/>
                      <w:highlight w:val="none"/>
                    </w:rPr>
                  </w:pPr>
                  <w:r>
                    <w:rPr>
                      <w:color w:val="auto"/>
                      <w:szCs w:val="21"/>
                      <w:highlight w:val="none"/>
                    </w:rPr>
                    <w:t>治理</w:t>
                  </w:r>
                </w:p>
              </w:tc>
              <w:tc>
                <w:tcPr>
                  <w:tcW w:w="5767" w:type="dxa"/>
                  <w:tcBorders>
                    <w:top w:val="single" w:color="auto" w:sz="4" w:space="0"/>
                    <w:bottom w:val="single" w:color="auto" w:sz="4" w:space="0"/>
                    <w:right w:val="single" w:color="auto" w:sz="4" w:space="0"/>
                  </w:tcBorders>
                  <w:vAlign w:val="center"/>
                </w:tcPr>
                <w:p>
                  <w:pPr>
                    <w:jc w:val="center"/>
                    <w:rPr>
                      <w:rFonts w:hint="eastAsia" w:ascii="Times" w:hAnsi="Times"/>
                      <w:color w:val="auto"/>
                      <w:szCs w:val="21"/>
                      <w:highlight w:val="none"/>
                    </w:rPr>
                  </w:pPr>
                  <w:r>
                    <w:rPr>
                      <w:rFonts w:hint="eastAsia"/>
                      <w:color w:val="auto"/>
                      <w:szCs w:val="21"/>
                      <w:highlight w:val="none"/>
                    </w:rPr>
                    <w:t>一般固废：在</w:t>
                  </w:r>
                  <w:r>
                    <w:rPr>
                      <w:rFonts w:hint="eastAsia"/>
                      <w:color w:val="auto"/>
                      <w:szCs w:val="21"/>
                      <w:highlight w:val="none"/>
                      <w:lang w:eastAsia="zh-CN"/>
                    </w:rPr>
                    <w:t>厂房北侧</w:t>
                  </w:r>
                  <w:r>
                    <w:rPr>
                      <w:rFonts w:hint="eastAsia"/>
                      <w:color w:val="auto"/>
                      <w:szCs w:val="21"/>
                      <w:highlight w:val="none"/>
                    </w:rPr>
                    <w:t>设置一般固废暂存区</w:t>
                  </w:r>
                  <w:r>
                    <w:rPr>
                      <w:rFonts w:hint="eastAsia"/>
                      <w:color w:val="auto"/>
                      <w:szCs w:val="21"/>
                      <w:highlight w:val="none"/>
                      <w:lang w:eastAsia="zh-CN"/>
                    </w:rPr>
                    <w:t>，</w:t>
                  </w:r>
                  <w:r>
                    <w:rPr>
                      <w:rFonts w:hint="eastAsia"/>
                      <w:color w:val="auto"/>
                      <w:szCs w:val="21"/>
                      <w:highlight w:val="none"/>
                    </w:rPr>
                    <w:t>面积约30m</w:t>
                  </w:r>
                  <w:r>
                    <w:rPr>
                      <w:rFonts w:ascii="Times" w:hAnsi="Times"/>
                      <w:color w:val="auto"/>
                      <w:szCs w:val="21"/>
                      <w:highlight w:val="none"/>
                      <w:vertAlign w:val="superscript"/>
                    </w:rPr>
                    <w:t>2</w:t>
                  </w:r>
                  <w:r>
                    <w:rPr>
                      <w:rFonts w:hint="eastAsia" w:ascii="Times" w:hAnsi="Times"/>
                      <w:color w:val="auto"/>
                      <w:szCs w:val="21"/>
                      <w:highlight w:val="none"/>
                    </w:rPr>
                    <w:t>，固体废物分类分区暂存。</w:t>
                  </w:r>
                </w:p>
                <w:p>
                  <w:pPr>
                    <w:pStyle w:val="18"/>
                    <w:spacing w:line="240" w:lineRule="auto"/>
                    <w:jc w:val="center"/>
                    <w:rPr>
                      <w:rFonts w:hint="eastAsia" w:ascii="Times" w:hAnsi="Times"/>
                      <w:color w:val="auto"/>
                      <w:sz w:val="21"/>
                      <w:szCs w:val="21"/>
                      <w:highlight w:val="none"/>
                    </w:rPr>
                  </w:pPr>
                  <w:r>
                    <w:rPr>
                      <w:rFonts w:hint="eastAsia" w:ascii="Times" w:hAnsi="Times"/>
                      <w:color w:val="auto"/>
                      <w:sz w:val="21"/>
                      <w:szCs w:val="21"/>
                      <w:highlight w:val="none"/>
                    </w:rPr>
                    <w:t>危险废物：</w:t>
                  </w:r>
                  <w:r>
                    <w:rPr>
                      <w:rFonts w:ascii="Times New Roman" w:hAnsi="Times New Roman"/>
                      <w:b w:val="0"/>
                      <w:bCs w:val="0"/>
                      <w:color w:val="auto"/>
                      <w:sz w:val="21"/>
                      <w:szCs w:val="21"/>
                      <w:highlight w:val="none"/>
                    </w:rPr>
                    <w:t>在</w:t>
                  </w:r>
                  <w:r>
                    <w:rPr>
                      <w:rFonts w:hint="eastAsia" w:ascii="Times New Roman" w:hAnsi="Times New Roman"/>
                      <w:b w:val="0"/>
                      <w:bCs w:val="0"/>
                      <w:color w:val="auto"/>
                      <w:sz w:val="21"/>
                      <w:szCs w:val="21"/>
                      <w:highlight w:val="none"/>
                      <w:lang w:eastAsia="zh-CN"/>
                    </w:rPr>
                    <w:t>厂房</w:t>
                  </w:r>
                  <w:r>
                    <w:rPr>
                      <w:rFonts w:hint="eastAsia"/>
                      <w:b w:val="0"/>
                      <w:bCs w:val="0"/>
                      <w:color w:val="auto"/>
                      <w:sz w:val="21"/>
                      <w:szCs w:val="21"/>
                      <w:highlight w:val="none"/>
                      <w:lang w:eastAsia="zh-CN"/>
                    </w:rPr>
                    <w:t>外南侧</w:t>
                  </w:r>
                  <w:r>
                    <w:rPr>
                      <w:rFonts w:hint="eastAsia" w:ascii="Times New Roman" w:hAnsi="Times New Roman"/>
                      <w:b w:val="0"/>
                      <w:bCs w:val="0"/>
                      <w:color w:val="auto"/>
                      <w:sz w:val="21"/>
                      <w:szCs w:val="21"/>
                      <w:highlight w:val="none"/>
                      <w:lang w:eastAsia="zh-CN"/>
                    </w:rPr>
                    <w:t>设置</w:t>
                  </w:r>
                  <w:r>
                    <w:rPr>
                      <w:rFonts w:hint="eastAsia" w:ascii="Times New Roman" w:hAnsi="Times New Roman"/>
                      <w:b w:val="0"/>
                      <w:bCs w:val="0"/>
                      <w:color w:val="auto"/>
                      <w:sz w:val="21"/>
                      <w:szCs w:val="21"/>
                      <w:highlight w:val="none"/>
                      <w:lang w:val="en-US" w:eastAsia="zh-CN"/>
                    </w:rPr>
                    <w:t>7</w:t>
                  </w:r>
                  <w:r>
                    <w:rPr>
                      <w:rFonts w:ascii="Times New Roman" w:hAnsi="Times New Roman"/>
                      <w:b w:val="0"/>
                      <w:bCs w:val="0"/>
                      <w:color w:val="auto"/>
                      <w:sz w:val="21"/>
                      <w:szCs w:val="21"/>
                      <w:highlight w:val="none"/>
                    </w:rPr>
                    <w:t>m</w:t>
                  </w:r>
                  <w:r>
                    <w:rPr>
                      <w:rFonts w:ascii="Times New Roman" w:hAnsi="Times New Roman"/>
                      <w:b w:val="0"/>
                      <w:bCs w:val="0"/>
                      <w:color w:val="auto"/>
                      <w:sz w:val="21"/>
                      <w:szCs w:val="21"/>
                      <w:highlight w:val="none"/>
                      <w:vertAlign w:val="superscript"/>
                    </w:rPr>
                    <w:t>2</w:t>
                  </w:r>
                  <w:r>
                    <w:rPr>
                      <w:rFonts w:ascii="Times New Roman" w:hAnsi="Times New Roman"/>
                      <w:b w:val="0"/>
                      <w:bCs w:val="0"/>
                      <w:color w:val="auto"/>
                      <w:sz w:val="21"/>
                      <w:szCs w:val="21"/>
                      <w:highlight w:val="none"/>
                    </w:rPr>
                    <w:t>的危废</w:t>
                  </w:r>
                  <w:r>
                    <w:rPr>
                      <w:rFonts w:hint="eastAsia" w:ascii="Times New Roman" w:hAnsi="Times New Roman"/>
                      <w:b w:val="0"/>
                      <w:bCs w:val="0"/>
                      <w:color w:val="auto"/>
                      <w:sz w:val="21"/>
                      <w:szCs w:val="21"/>
                      <w:highlight w:val="none"/>
                    </w:rPr>
                    <w:t>贮存库</w:t>
                  </w:r>
                  <w:r>
                    <w:rPr>
                      <w:rFonts w:hint="eastAsia" w:ascii="Times" w:hAnsi="Times"/>
                      <w:color w:val="auto"/>
                      <w:sz w:val="21"/>
                      <w:szCs w:val="21"/>
                      <w:highlight w:val="none"/>
                    </w:rPr>
                    <w:t>，暂存产生的危险固废，</w:t>
                  </w:r>
                  <w:r>
                    <w:rPr>
                      <w:rFonts w:hint="eastAsia" w:ascii="Times" w:hAnsi="Times"/>
                      <w:color w:val="auto"/>
                      <w:sz w:val="21"/>
                      <w:szCs w:val="21"/>
                      <w:highlight w:val="none"/>
                      <w:lang w:eastAsia="zh-CN"/>
                    </w:rPr>
                    <w:t>交由</w:t>
                  </w:r>
                  <w:r>
                    <w:rPr>
                      <w:rFonts w:hint="eastAsia" w:ascii="Times" w:hAnsi="Times"/>
                      <w:color w:val="auto"/>
                      <w:sz w:val="21"/>
                      <w:szCs w:val="21"/>
                      <w:highlight w:val="none"/>
                    </w:rPr>
                    <w:t>资质单位进行处理。</w:t>
                  </w:r>
                </w:p>
                <w:p>
                  <w:pPr>
                    <w:pStyle w:val="18"/>
                    <w:spacing w:line="240" w:lineRule="auto"/>
                    <w:jc w:val="center"/>
                    <w:rPr>
                      <w:rFonts w:ascii="Times" w:hAnsi="Times"/>
                      <w:color w:val="auto"/>
                      <w:sz w:val="21"/>
                      <w:szCs w:val="21"/>
                      <w:highlight w:val="none"/>
                    </w:rPr>
                  </w:pPr>
                  <w:r>
                    <w:rPr>
                      <w:rFonts w:hint="eastAsia" w:ascii="Times" w:hAnsi="Times"/>
                      <w:color w:val="auto"/>
                      <w:sz w:val="21"/>
                      <w:szCs w:val="21"/>
                      <w:highlight w:val="none"/>
                    </w:rPr>
                    <w:t>生活垃圾：设置垃圾桶进行分类收集，交环卫部门清运</w:t>
                  </w:r>
                </w:p>
              </w:tc>
              <w:tc>
                <w:tcPr>
                  <w:tcW w:w="944" w:type="dxa"/>
                  <w:tcBorders>
                    <w:top w:val="single" w:color="auto" w:sz="4" w:space="0"/>
                    <w:bottom w:val="single" w:color="auto" w:sz="4" w:space="0"/>
                    <w:right w:val="single" w:color="auto" w:sz="4" w:space="0"/>
                  </w:tcBorders>
                  <w:vAlign w:val="center"/>
                </w:tcPr>
                <w:p>
                  <w:pPr>
                    <w:pStyle w:val="18"/>
                    <w:spacing w:line="240" w:lineRule="auto"/>
                    <w:jc w:val="center"/>
                    <w:rPr>
                      <w:rFonts w:ascii="Times" w:hAnsi="Times"/>
                      <w:color w:val="auto"/>
                      <w:sz w:val="21"/>
                      <w:szCs w:val="21"/>
                      <w:highlight w:val="yellow"/>
                    </w:rPr>
                  </w:pPr>
                  <w:r>
                    <w:rPr>
                      <w:rFonts w:hint="eastAsia" w:ascii="Times" w:hAnsi="Times"/>
                      <w:color w:val="auto"/>
                      <w:sz w:val="21"/>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restart"/>
                  <w:tcBorders>
                    <w:left w:val="single" w:color="auto" w:sz="4" w:space="0"/>
                    <w:right w:val="single" w:color="auto" w:sz="4" w:space="0"/>
                  </w:tcBorders>
                  <w:vAlign w:val="center"/>
                </w:tcPr>
                <w:p>
                  <w:pPr>
                    <w:widowControl/>
                    <w:jc w:val="center"/>
                    <w:rPr>
                      <w:rFonts w:hint="eastAsia"/>
                      <w:color w:val="auto"/>
                      <w:szCs w:val="21"/>
                      <w:highlight w:val="yellow"/>
                    </w:rPr>
                  </w:pPr>
                  <w:r>
                    <w:rPr>
                      <w:rFonts w:hint="eastAsia"/>
                      <w:color w:val="auto"/>
                      <w:szCs w:val="21"/>
                      <w:highlight w:val="none"/>
                    </w:rPr>
                    <w:t>其他</w:t>
                  </w:r>
                </w:p>
              </w:tc>
              <w:tc>
                <w:tcPr>
                  <w:tcW w:w="885" w:type="dxa"/>
                  <w:tcBorders>
                    <w:top w:val="single" w:color="auto" w:sz="4" w:space="0"/>
                    <w:bottom w:val="single" w:color="auto" w:sz="4" w:space="0"/>
                    <w:right w:val="single" w:color="auto" w:sz="4" w:space="0"/>
                  </w:tcBorders>
                  <w:vAlign w:val="center"/>
                </w:tcPr>
                <w:p>
                  <w:pPr>
                    <w:pStyle w:val="35"/>
                    <w:widowControl w:val="0"/>
                    <w:pBdr>
                      <w:left w:val="none" w:color="auto" w:sz="0" w:space="0"/>
                      <w:bottom w:val="none" w:color="auto" w:sz="0" w:space="0"/>
                      <w:right w:val="none" w:color="auto" w:sz="0" w:space="0"/>
                    </w:pBdr>
                    <w:spacing w:before="0" w:after="0"/>
                    <w:textAlignment w:val="auto"/>
                    <w:rPr>
                      <w:color w:val="auto"/>
                      <w:szCs w:val="21"/>
                      <w:highlight w:val="none"/>
                    </w:rPr>
                  </w:pPr>
                  <w:r>
                    <w:rPr>
                      <w:rFonts w:hint="eastAsia" w:ascii="Times New Roman" w:hAnsi="Times New Roman"/>
                      <w:color w:val="auto"/>
                      <w:sz w:val="21"/>
                      <w:szCs w:val="21"/>
                      <w:highlight w:val="none"/>
                    </w:rPr>
                    <w:t>地下水、土壤防治</w:t>
                  </w:r>
                </w:p>
              </w:tc>
              <w:tc>
                <w:tcPr>
                  <w:tcW w:w="5767" w:type="dxa"/>
                  <w:tcBorders>
                    <w:top w:val="single" w:color="auto" w:sz="4" w:space="0"/>
                    <w:bottom w:val="single" w:color="auto" w:sz="4" w:space="0"/>
                    <w:right w:val="single" w:color="auto" w:sz="4" w:space="0"/>
                  </w:tcBorders>
                  <w:vAlign w:val="center"/>
                </w:tcPr>
                <w:p>
                  <w:pPr>
                    <w:jc w:val="center"/>
                    <w:rPr>
                      <w:rFonts w:hint="eastAsia" w:ascii="Times" w:hAnsi="Times"/>
                      <w:color w:val="auto"/>
                      <w:szCs w:val="21"/>
                      <w:highlight w:val="none"/>
                    </w:rPr>
                  </w:pPr>
                  <w:r>
                    <w:rPr>
                      <w:rFonts w:hint="eastAsia"/>
                      <w:bCs/>
                      <w:color w:val="auto"/>
                      <w:szCs w:val="21"/>
                      <w:highlight w:val="none"/>
                    </w:rPr>
                    <w:t>对危废贮存库</w:t>
                  </w:r>
                  <w:r>
                    <w:rPr>
                      <w:rFonts w:hint="eastAsia"/>
                      <w:color w:val="auto"/>
                      <w:szCs w:val="21"/>
                      <w:highlight w:val="none"/>
                    </w:rPr>
                    <w:t>进行重点防渗</w:t>
                  </w:r>
                  <w:r>
                    <w:rPr>
                      <w:color w:val="auto"/>
                      <w:kern w:val="0"/>
                      <w:szCs w:val="21"/>
                      <w:highlight w:val="none"/>
                    </w:rPr>
                    <w:t>等效黏土防渗层 Mb≥6.0m、渗透系数K≤1.0×10</w:t>
                  </w:r>
                  <w:r>
                    <w:rPr>
                      <w:color w:val="auto"/>
                      <w:kern w:val="0"/>
                      <w:szCs w:val="21"/>
                      <w:highlight w:val="none"/>
                      <w:vertAlign w:val="superscript"/>
                    </w:rPr>
                    <w:t>-7</w:t>
                  </w:r>
                  <w:r>
                    <w:rPr>
                      <w:color w:val="auto"/>
                      <w:kern w:val="0"/>
                      <w:szCs w:val="21"/>
                      <w:highlight w:val="none"/>
                    </w:rPr>
                    <w:t>cm/s</w:t>
                  </w:r>
                  <w:r>
                    <w:rPr>
                      <w:rFonts w:hint="eastAsia"/>
                      <w:color w:val="auto"/>
                      <w:szCs w:val="21"/>
                      <w:highlight w:val="none"/>
                    </w:rPr>
                    <w:t>；</w:t>
                  </w:r>
                  <w:r>
                    <w:rPr>
                      <w:rFonts w:hint="eastAsia" w:ascii="Times New Roman"/>
                      <w:color w:val="auto"/>
                      <w:sz w:val="21"/>
                      <w:szCs w:val="21"/>
                      <w:highlight w:val="none"/>
                      <w:lang w:eastAsia="zh-CN"/>
                    </w:rPr>
                    <w:t>三级沉淀池、初期雨水池</w:t>
                  </w:r>
                  <w:r>
                    <w:rPr>
                      <w:rFonts w:hint="eastAsia"/>
                      <w:color w:val="auto"/>
                      <w:szCs w:val="21"/>
                      <w:highlight w:val="none"/>
                      <w:lang w:eastAsia="zh-CN"/>
                    </w:rPr>
                    <w:t>进行一般防渗</w:t>
                  </w:r>
                  <w:r>
                    <w:rPr>
                      <w:rFonts w:hint="eastAsia" w:ascii="Times New Roman"/>
                      <w:color w:val="auto"/>
                      <w:sz w:val="21"/>
                      <w:szCs w:val="21"/>
                      <w:highlight w:val="none"/>
                    </w:rPr>
                    <w:t>等效黏土防渗层Mb≥1.5m，渗透系数K≤1×10</w:t>
                  </w:r>
                  <w:r>
                    <w:rPr>
                      <w:rFonts w:hint="eastAsia" w:ascii="Times New Roman"/>
                      <w:color w:val="auto"/>
                      <w:sz w:val="21"/>
                      <w:szCs w:val="21"/>
                      <w:highlight w:val="none"/>
                      <w:vertAlign w:val="superscript"/>
                    </w:rPr>
                    <w:t>-7</w:t>
                  </w:r>
                  <w:r>
                    <w:rPr>
                      <w:rFonts w:hint="eastAsia" w:ascii="Times New Roman"/>
                      <w:color w:val="auto"/>
                      <w:sz w:val="21"/>
                      <w:szCs w:val="21"/>
                      <w:highlight w:val="none"/>
                    </w:rPr>
                    <w:t>cm/s。</w:t>
                  </w:r>
                  <w:r>
                    <w:rPr>
                      <w:rFonts w:hint="eastAsia"/>
                      <w:color w:val="auto"/>
                      <w:szCs w:val="21"/>
                      <w:highlight w:val="none"/>
                    </w:rPr>
                    <w:t>其他区域进行简单防渗</w:t>
                  </w:r>
                  <w:r>
                    <w:rPr>
                      <w:rFonts w:hint="eastAsia"/>
                      <w:color w:val="auto"/>
                      <w:szCs w:val="21"/>
                      <w:highlight w:val="none"/>
                      <w:lang w:eastAsia="zh-CN"/>
                    </w:rPr>
                    <w:t>。</w:t>
                  </w:r>
                </w:p>
              </w:tc>
              <w:tc>
                <w:tcPr>
                  <w:tcW w:w="944" w:type="dxa"/>
                  <w:tcBorders>
                    <w:top w:val="single" w:color="auto" w:sz="4" w:space="0"/>
                    <w:bottom w:val="single" w:color="auto" w:sz="4" w:space="0"/>
                    <w:right w:val="single" w:color="auto" w:sz="4" w:space="0"/>
                  </w:tcBorders>
                  <w:vAlign w:val="center"/>
                </w:tcPr>
                <w:p>
                  <w:pPr>
                    <w:jc w:val="center"/>
                    <w:rPr>
                      <w:rFonts w:hint="eastAsia"/>
                      <w:bCs/>
                      <w:color w:val="auto"/>
                      <w:szCs w:val="21"/>
                      <w:highlight w:val="yellow"/>
                    </w:rPr>
                  </w:pPr>
                  <w:r>
                    <w:rPr>
                      <w:rFonts w:hint="eastAsia" w:ascii="Times" w:hAnsi="Times"/>
                      <w:color w:val="auto"/>
                      <w:szCs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85" w:type="dxa"/>
                  <w:vMerge w:val="continue"/>
                  <w:tcBorders>
                    <w:left w:val="single" w:color="auto" w:sz="4" w:space="0"/>
                    <w:right w:val="single" w:color="auto" w:sz="4" w:space="0"/>
                  </w:tcBorders>
                  <w:vAlign w:val="center"/>
                </w:tcPr>
                <w:p>
                  <w:pPr>
                    <w:widowControl/>
                    <w:jc w:val="center"/>
                    <w:rPr>
                      <w:rFonts w:hint="eastAsia"/>
                      <w:color w:val="auto"/>
                      <w:szCs w:val="21"/>
                      <w:highlight w:val="yellow"/>
                    </w:rPr>
                  </w:pPr>
                </w:p>
              </w:tc>
              <w:tc>
                <w:tcPr>
                  <w:tcW w:w="885" w:type="dxa"/>
                  <w:tcBorders>
                    <w:top w:val="single" w:color="auto" w:sz="4" w:space="0"/>
                    <w:right w:val="single" w:color="auto" w:sz="4" w:space="0"/>
                  </w:tcBorders>
                  <w:vAlign w:val="center"/>
                </w:tcPr>
                <w:p>
                  <w:pPr>
                    <w:pStyle w:val="35"/>
                    <w:widowControl w:val="0"/>
                    <w:pBdr>
                      <w:left w:val="none" w:color="auto" w:sz="0" w:space="0"/>
                      <w:bottom w:val="none" w:color="auto" w:sz="0" w:space="0"/>
                      <w:right w:val="none" w:color="auto" w:sz="0" w:space="0"/>
                    </w:pBdr>
                    <w:spacing w:before="0" w:after="0"/>
                    <w:textAlignment w:val="auto"/>
                    <w:rPr>
                      <w:color w:val="auto"/>
                      <w:szCs w:val="21"/>
                      <w:highlight w:val="none"/>
                    </w:rPr>
                  </w:pPr>
                  <w:r>
                    <w:rPr>
                      <w:rFonts w:hint="eastAsia" w:ascii="Times New Roman" w:hAnsi="Times New Roman"/>
                      <w:color w:val="auto"/>
                      <w:sz w:val="21"/>
                      <w:szCs w:val="21"/>
                      <w:highlight w:val="none"/>
                    </w:rPr>
                    <w:t>环境风险</w:t>
                  </w:r>
                </w:p>
              </w:tc>
              <w:tc>
                <w:tcPr>
                  <w:tcW w:w="5767" w:type="dxa"/>
                  <w:tcBorders>
                    <w:top w:val="single" w:color="auto" w:sz="4" w:space="0"/>
                    <w:right w:val="single" w:color="auto" w:sz="4" w:space="0"/>
                  </w:tcBorders>
                  <w:vAlign w:val="center"/>
                </w:tcPr>
                <w:p>
                  <w:pPr>
                    <w:jc w:val="center"/>
                    <w:rPr>
                      <w:rFonts w:hint="eastAsia" w:ascii="Times" w:hAnsi="Times"/>
                      <w:color w:val="auto"/>
                      <w:szCs w:val="21"/>
                      <w:highlight w:val="none"/>
                    </w:rPr>
                  </w:pPr>
                  <w:r>
                    <w:rPr>
                      <w:rFonts w:hint="eastAsia"/>
                      <w:bCs/>
                      <w:color w:val="auto"/>
                      <w:szCs w:val="21"/>
                      <w:highlight w:val="none"/>
                    </w:rPr>
                    <w:t>设置灭火器等防火器材，加强员工风险意识</w:t>
                  </w:r>
                </w:p>
              </w:tc>
              <w:tc>
                <w:tcPr>
                  <w:tcW w:w="944" w:type="dxa"/>
                  <w:tcBorders>
                    <w:top w:val="single" w:color="auto" w:sz="4" w:space="0"/>
                    <w:right w:val="single" w:color="auto" w:sz="4" w:space="0"/>
                  </w:tcBorders>
                  <w:vAlign w:val="center"/>
                </w:tcPr>
                <w:p>
                  <w:pPr>
                    <w:jc w:val="center"/>
                    <w:rPr>
                      <w:rFonts w:hint="eastAsia"/>
                      <w:bCs/>
                      <w:color w:val="auto"/>
                      <w:szCs w:val="21"/>
                      <w:highlight w:val="none"/>
                    </w:rPr>
                  </w:pPr>
                  <w:r>
                    <w:rPr>
                      <w:rFonts w:hint="eastAsia" w:ascii="Times" w:hAnsi="Times"/>
                      <w:color w:val="auto"/>
                      <w:szCs w:val="21"/>
                      <w:highlight w:val="none"/>
                    </w:rPr>
                    <w:t>新建</w:t>
                  </w:r>
                </w:p>
              </w:tc>
            </w:tr>
          </w:tbl>
          <w:p>
            <w:pPr>
              <w:pStyle w:val="6"/>
              <w:spacing w:before="0" w:after="0" w:line="240" w:lineRule="auto"/>
              <w:ind w:right="0"/>
              <w:jc w:val="center"/>
              <w:rPr>
                <w:b/>
                <w:bCs/>
                <w:color w:val="auto"/>
                <w:sz w:val="21"/>
                <w:szCs w:val="21"/>
              </w:rPr>
            </w:pPr>
          </w:p>
          <w:p>
            <w:pPr>
              <w:autoSpaceDE w:val="0"/>
              <w:autoSpaceDN w:val="0"/>
              <w:spacing w:line="360" w:lineRule="auto"/>
              <w:ind w:firstLine="482" w:firstLineChars="200"/>
              <w:rPr>
                <w:b/>
                <w:bCs/>
                <w:color w:val="auto"/>
                <w:sz w:val="24"/>
              </w:rPr>
            </w:pPr>
            <w:r>
              <w:rPr>
                <w:b/>
                <w:bCs/>
                <w:color w:val="auto"/>
                <w:sz w:val="24"/>
              </w:rPr>
              <w:t>3主要产品方案</w:t>
            </w:r>
          </w:p>
          <w:p>
            <w:pPr>
              <w:autoSpaceDE w:val="0"/>
              <w:autoSpaceDN w:val="0"/>
              <w:spacing w:line="360" w:lineRule="auto"/>
              <w:ind w:firstLine="480" w:firstLineChars="200"/>
              <w:rPr>
                <w:b/>
                <w:bCs/>
                <w:color w:val="auto"/>
                <w:szCs w:val="21"/>
              </w:rPr>
            </w:pPr>
            <w:r>
              <w:rPr>
                <w:rFonts w:hint="eastAsia"/>
                <w:color w:val="auto"/>
                <w:sz w:val="24"/>
              </w:rPr>
              <w:t>本项目主要产品见下表。</w:t>
            </w:r>
          </w:p>
          <w:p>
            <w:pPr>
              <w:pStyle w:val="6"/>
              <w:spacing w:before="0" w:after="0" w:line="240" w:lineRule="auto"/>
              <w:ind w:right="0"/>
              <w:jc w:val="center"/>
              <w:rPr>
                <w:rFonts w:hint="eastAsia"/>
                <w:b/>
                <w:bCs/>
                <w:color w:val="auto"/>
                <w:sz w:val="21"/>
                <w:szCs w:val="21"/>
              </w:rPr>
            </w:pPr>
            <w:r>
              <w:rPr>
                <w:b/>
                <w:bCs/>
                <w:color w:val="auto"/>
                <w:sz w:val="21"/>
                <w:szCs w:val="21"/>
              </w:rPr>
              <w:t>表2-4  项目产品一览表</w:t>
            </w:r>
          </w:p>
          <w:tbl>
            <w:tblPr>
              <w:tblStyle w:val="24"/>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64"/>
              <w:gridCol w:w="2325"/>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6" w:type="dxa"/>
                  <w:vAlign w:val="center"/>
                </w:tcPr>
                <w:p>
                  <w:pPr>
                    <w:jc w:val="center"/>
                    <w:rPr>
                      <w:color w:val="auto"/>
                    </w:rPr>
                  </w:pPr>
                  <w:r>
                    <w:rPr>
                      <w:rFonts w:hint="eastAsia"/>
                      <w:color w:val="auto"/>
                    </w:rPr>
                    <w:t>序号</w:t>
                  </w:r>
                </w:p>
              </w:tc>
              <w:tc>
                <w:tcPr>
                  <w:tcW w:w="2864" w:type="dxa"/>
                  <w:vAlign w:val="center"/>
                </w:tcPr>
                <w:p>
                  <w:pPr>
                    <w:jc w:val="center"/>
                    <w:rPr>
                      <w:rFonts w:hint="eastAsia"/>
                      <w:color w:val="auto"/>
                    </w:rPr>
                  </w:pPr>
                  <w:r>
                    <w:rPr>
                      <w:rFonts w:hint="eastAsia"/>
                      <w:color w:val="auto"/>
                    </w:rPr>
                    <w:t>产品名称</w:t>
                  </w:r>
                </w:p>
              </w:tc>
              <w:tc>
                <w:tcPr>
                  <w:tcW w:w="2325" w:type="dxa"/>
                  <w:vAlign w:val="center"/>
                </w:tcPr>
                <w:p>
                  <w:pPr>
                    <w:jc w:val="center"/>
                    <w:rPr>
                      <w:rFonts w:hint="eastAsia"/>
                      <w:color w:val="auto"/>
                    </w:rPr>
                  </w:pPr>
                  <w:r>
                    <w:rPr>
                      <w:rFonts w:hint="eastAsia"/>
                      <w:color w:val="auto"/>
                    </w:rPr>
                    <w:t>设计产量</w:t>
                  </w:r>
                </w:p>
              </w:tc>
              <w:tc>
                <w:tcPr>
                  <w:tcW w:w="2325" w:type="dxa"/>
                  <w:vAlign w:val="center"/>
                </w:tcPr>
                <w:p>
                  <w:pPr>
                    <w:jc w:val="center"/>
                    <w:rPr>
                      <w:rFonts w:hint="eastAsia" w:eastAsia="宋体"/>
                      <w:color w:val="auto"/>
                      <w:lang w:eastAsia="zh-CN"/>
                    </w:rPr>
                  </w:pPr>
                  <w:r>
                    <w:rPr>
                      <w:rFonts w:hint="eastAsia"/>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6" w:type="dxa"/>
                  <w:vAlign w:val="center"/>
                </w:tcPr>
                <w:p>
                  <w:pPr>
                    <w:jc w:val="center"/>
                    <w:rPr>
                      <w:color w:val="auto"/>
                    </w:rPr>
                  </w:pPr>
                  <w:r>
                    <w:rPr>
                      <w:rFonts w:hint="eastAsia"/>
                      <w:color w:val="auto"/>
                    </w:rPr>
                    <w:t>1</w:t>
                  </w:r>
                </w:p>
              </w:tc>
              <w:tc>
                <w:tcPr>
                  <w:tcW w:w="2864" w:type="dxa"/>
                  <w:vAlign w:val="center"/>
                </w:tcPr>
                <w:p>
                  <w:pPr>
                    <w:spacing w:before="120" w:beforeLines="50" w:after="120" w:afterLines="50"/>
                    <w:jc w:val="center"/>
                    <w:outlineLvl w:val="1"/>
                    <w:rPr>
                      <w:rFonts w:hint="eastAsia" w:eastAsia="宋体"/>
                      <w:color w:val="auto"/>
                      <w:szCs w:val="21"/>
                      <w:lang w:eastAsia="zh-CN"/>
                    </w:rPr>
                  </w:pPr>
                  <w:r>
                    <w:rPr>
                      <w:rFonts w:hint="eastAsia"/>
                      <w:color w:val="auto"/>
                      <w:szCs w:val="21"/>
                      <w:lang w:eastAsia="zh-CN"/>
                    </w:rPr>
                    <w:t>水泥制品</w:t>
                  </w:r>
                </w:p>
              </w:tc>
              <w:tc>
                <w:tcPr>
                  <w:tcW w:w="2325" w:type="dxa"/>
                  <w:vAlign w:val="center"/>
                </w:tcPr>
                <w:p>
                  <w:pPr>
                    <w:spacing w:before="120" w:beforeLines="50" w:after="120" w:afterLines="50"/>
                    <w:jc w:val="center"/>
                    <w:outlineLvl w:val="1"/>
                    <w:rPr>
                      <w:color w:val="auto"/>
                      <w:szCs w:val="21"/>
                    </w:rPr>
                  </w:pPr>
                  <w:r>
                    <w:rPr>
                      <w:rFonts w:hint="eastAsia"/>
                      <w:color w:val="auto"/>
                      <w:szCs w:val="21"/>
                      <w:lang w:val="en-US" w:eastAsia="zh-CN"/>
                    </w:rPr>
                    <w:t>20万吨</w:t>
                  </w:r>
                  <w:r>
                    <w:rPr>
                      <w:rFonts w:hint="eastAsia"/>
                      <w:color w:val="auto"/>
                      <w:szCs w:val="21"/>
                    </w:rPr>
                    <w:t>/年</w:t>
                  </w:r>
                </w:p>
              </w:tc>
              <w:tc>
                <w:tcPr>
                  <w:tcW w:w="2325" w:type="dxa"/>
                  <w:vAlign w:val="center"/>
                </w:tcPr>
                <w:p>
                  <w:pPr>
                    <w:spacing w:before="120" w:beforeLines="50" w:after="120" w:afterLines="50"/>
                    <w:jc w:val="center"/>
                    <w:outlineLvl w:val="1"/>
                    <w:rPr>
                      <w:rFonts w:hint="default"/>
                      <w:color w:val="auto"/>
                      <w:szCs w:val="21"/>
                      <w:lang w:val="en-US" w:eastAsia="zh-CN"/>
                    </w:rPr>
                  </w:pPr>
                  <w:r>
                    <w:rPr>
                      <w:rFonts w:hint="eastAsia"/>
                      <w:color w:val="auto"/>
                      <w:szCs w:val="21"/>
                      <w:lang w:val="en-US" w:eastAsia="zh-CN"/>
                    </w:rPr>
                    <w:t>主要为水泥板，约10万</w:t>
                  </w:r>
                  <w:r>
                    <w:rPr>
                      <w:rFonts w:hint="eastAsia"/>
                      <w:color w:val="auto"/>
                      <w:kern w:val="2"/>
                      <w:sz w:val="21"/>
                      <w:szCs w:val="21"/>
                      <w:lang w:val="en-US" w:eastAsia="zh-CN" w:bidi="ar-SA"/>
                    </w:rPr>
                    <w:t>m</w:t>
                  </w:r>
                  <w:r>
                    <w:rPr>
                      <w:rFonts w:hint="eastAsia"/>
                      <w:color w:val="auto"/>
                      <w:kern w:val="2"/>
                      <w:sz w:val="21"/>
                      <w:szCs w:val="21"/>
                      <w:vertAlign w:val="superscript"/>
                      <w:lang w:val="en-US" w:eastAsia="zh-CN" w:bidi="ar-SA"/>
                    </w:rPr>
                    <w:t>3</w:t>
                  </w:r>
                </w:p>
              </w:tc>
            </w:tr>
          </w:tbl>
          <w:p>
            <w:pPr>
              <w:rPr>
                <w:color w:val="auto"/>
              </w:rPr>
            </w:pPr>
          </w:p>
          <w:p>
            <w:pPr>
              <w:pStyle w:val="32"/>
              <w:spacing w:line="360" w:lineRule="auto"/>
              <w:ind w:firstLine="482" w:firstLineChars="200"/>
              <w:rPr>
                <w:rFonts w:ascii="Times New Roman"/>
                <w:b/>
                <w:color w:val="auto"/>
                <w:sz w:val="24"/>
                <w:szCs w:val="24"/>
              </w:rPr>
            </w:pPr>
            <w:r>
              <w:rPr>
                <w:rFonts w:ascii="Times New Roman"/>
                <w:b/>
                <w:color w:val="auto"/>
                <w:sz w:val="24"/>
                <w:szCs w:val="24"/>
              </w:rPr>
              <w:t>4 主要原辅料量</w:t>
            </w:r>
          </w:p>
          <w:p>
            <w:pPr>
              <w:pStyle w:val="6"/>
              <w:spacing w:before="0" w:after="0" w:line="240" w:lineRule="auto"/>
              <w:ind w:right="0"/>
              <w:jc w:val="center"/>
              <w:rPr>
                <w:b/>
                <w:bCs/>
                <w:color w:val="auto"/>
                <w:sz w:val="21"/>
                <w:szCs w:val="21"/>
              </w:rPr>
            </w:pPr>
            <w:r>
              <w:rPr>
                <w:b/>
                <w:bCs/>
                <w:color w:val="auto"/>
                <w:sz w:val="21"/>
                <w:szCs w:val="21"/>
              </w:rPr>
              <w:t>表2-5  项目主要原辅材料一览表</w:t>
            </w:r>
          </w:p>
          <w:tbl>
            <w:tblPr>
              <w:tblStyle w:val="24"/>
              <w:tblW w:w="8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30"/>
              <w:gridCol w:w="1518"/>
              <w:gridCol w:w="1417"/>
              <w:gridCol w:w="1590"/>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jc w:val="center"/>
              </w:trPr>
              <w:tc>
                <w:tcPr>
                  <w:tcW w:w="1830" w:type="dxa"/>
                  <w:vAlign w:val="center"/>
                </w:tcPr>
                <w:p>
                  <w:pPr>
                    <w:jc w:val="center"/>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eastAsia="zh-CN"/>
                    </w:rPr>
                    <w:t>原料</w:t>
                  </w:r>
                  <w:r>
                    <w:rPr>
                      <w:rFonts w:hint="default" w:ascii="Times New Roman" w:hAnsi="Times New Roman" w:eastAsia="宋体" w:cs="Times New Roman"/>
                      <w:b/>
                      <w:bCs/>
                      <w:color w:val="auto"/>
                      <w:szCs w:val="21"/>
                    </w:rPr>
                    <w:t>名称</w:t>
                  </w:r>
                </w:p>
              </w:tc>
              <w:tc>
                <w:tcPr>
                  <w:tcW w:w="1518"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消耗量</w:t>
                  </w:r>
                </w:p>
              </w:tc>
              <w:tc>
                <w:tcPr>
                  <w:tcW w:w="1417" w:type="dxa"/>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最大贮存量</w:t>
                  </w:r>
                </w:p>
              </w:tc>
              <w:tc>
                <w:tcPr>
                  <w:tcW w:w="1590" w:type="dxa"/>
                  <w:vAlign w:val="center"/>
                </w:tcPr>
                <w:p>
                  <w:pPr>
                    <w:jc w:val="center"/>
                    <w:rPr>
                      <w:rFonts w:hint="eastAsia"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存储方式</w:t>
                  </w:r>
                  <w:r>
                    <w:rPr>
                      <w:rFonts w:hint="eastAsia" w:ascii="Times New Roman" w:hAnsi="Times New Roman" w:eastAsia="宋体" w:cs="Times New Roman"/>
                      <w:b/>
                      <w:bCs/>
                      <w:color w:val="auto"/>
                      <w:szCs w:val="21"/>
                      <w:lang w:val="en-US" w:eastAsia="zh-CN"/>
                    </w:rPr>
                    <w:t>/位置</w:t>
                  </w:r>
                </w:p>
              </w:tc>
              <w:tc>
                <w:tcPr>
                  <w:tcW w:w="1944" w:type="dxa"/>
                  <w:vAlign w:val="center"/>
                </w:tcPr>
                <w:p>
                  <w:pPr>
                    <w:jc w:val="center"/>
                    <w:rPr>
                      <w:rFonts w:hint="eastAsia" w:ascii="Times New Roman" w:hAnsi="Times New Roman" w:eastAsia="宋体" w:cs="Times New Roman"/>
                      <w:b/>
                      <w:bCs/>
                      <w:color w:val="auto"/>
                      <w:szCs w:val="21"/>
                      <w:lang w:eastAsia="zh-CN"/>
                    </w:rPr>
                  </w:pPr>
                  <w:r>
                    <w:rPr>
                      <w:rFonts w:hint="eastAsia" w:cs="Times New Roman"/>
                      <w:b/>
                      <w:bCs/>
                      <w:color w:val="auto"/>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1" w:hRule="atLeast"/>
                <w:jc w:val="center"/>
              </w:trPr>
              <w:tc>
                <w:tcPr>
                  <w:tcW w:w="183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碎石</w:t>
                  </w:r>
                </w:p>
              </w:tc>
              <w:tc>
                <w:tcPr>
                  <w:tcW w:w="1518" w:type="dxa"/>
                  <w:vAlign w:val="center"/>
                </w:tcPr>
                <w:p>
                  <w:pPr>
                    <w:keepNext w:val="0"/>
                    <w:keepLines w:val="0"/>
                    <w:widowControl/>
                    <w:suppressLineNumbers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89830.22</w:t>
                  </w:r>
                  <w:r>
                    <w:rPr>
                      <w:rFonts w:hint="eastAsia"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417"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2000</w:t>
                  </w:r>
                  <w:r>
                    <w:rPr>
                      <w:rFonts w:hint="eastAsia" w:ascii="Times New Roman" w:hAnsi="Times New Roman" w:eastAsia="宋体" w:cs="Times New Roman"/>
                      <w:color w:val="auto"/>
                      <w:szCs w:val="21"/>
                      <w:highlight w:val="none"/>
                      <w:lang w:val="en-US" w:eastAsia="zh-CN"/>
                    </w:rPr>
                    <w:t>t</w:t>
                  </w:r>
                </w:p>
              </w:tc>
              <w:tc>
                <w:tcPr>
                  <w:tcW w:w="1590" w:type="dxa"/>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原料仓库</w:t>
                  </w:r>
                </w:p>
              </w:tc>
              <w:tc>
                <w:tcPr>
                  <w:tcW w:w="1944" w:type="dxa"/>
                  <w:vAlign w:val="center"/>
                </w:tcPr>
                <w:p>
                  <w:pPr>
                    <w:jc w:val="center"/>
                    <w:rPr>
                      <w:rFonts w:hint="eastAsia" w:cs="Times New Roman"/>
                      <w:color w:val="auto"/>
                      <w:szCs w:val="21"/>
                      <w:lang w:eastAsia="zh-CN"/>
                    </w:rPr>
                  </w:pPr>
                  <w:r>
                    <w:rPr>
                      <w:rFonts w:hint="eastAsia" w:cs="Times New Roman"/>
                      <w:color w:val="auto"/>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6" w:hRule="atLeast"/>
                <w:jc w:val="center"/>
              </w:trPr>
              <w:tc>
                <w:tcPr>
                  <w:tcW w:w="1830" w:type="dxa"/>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砂</w:t>
                  </w:r>
                </w:p>
              </w:tc>
              <w:tc>
                <w:tcPr>
                  <w:tcW w:w="1518" w:type="dxa"/>
                  <w:vAlign w:val="center"/>
                </w:tcPr>
                <w:p>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65400</w:t>
                  </w:r>
                  <w:r>
                    <w:rPr>
                      <w:rFonts w:hint="eastAsia"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417"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1200t</w:t>
                  </w:r>
                </w:p>
              </w:tc>
              <w:tc>
                <w:tcPr>
                  <w:tcW w:w="1590" w:type="dxa"/>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原料仓库</w:t>
                  </w:r>
                </w:p>
              </w:tc>
              <w:tc>
                <w:tcPr>
                  <w:tcW w:w="1944" w:type="dxa"/>
                  <w:vAlign w:val="center"/>
                </w:tcPr>
                <w:p>
                  <w:pPr>
                    <w:jc w:val="center"/>
                    <w:rPr>
                      <w:rFonts w:hint="eastAsia" w:cs="Times New Roman"/>
                      <w:color w:val="auto"/>
                      <w:szCs w:val="21"/>
                      <w:lang w:eastAsia="zh-CN"/>
                    </w:rPr>
                  </w:pPr>
                  <w:r>
                    <w:rPr>
                      <w:rFonts w:hint="eastAsia" w:cs="Times New Roman"/>
                      <w:color w:val="auto"/>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183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水泥</w:t>
                  </w:r>
                </w:p>
              </w:tc>
              <w:tc>
                <w:tcPr>
                  <w:tcW w:w="151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28602.421</w:t>
                  </w:r>
                  <w:r>
                    <w:rPr>
                      <w:rFonts w:hint="eastAsia" w:ascii="Times New Roman" w:hAnsi="Times New Roman" w:eastAsia="宋体" w:cs="Times New Roman"/>
                      <w:i w:val="0"/>
                      <w:iCs w:val="0"/>
                      <w:color w:val="auto"/>
                      <w:kern w:val="0"/>
                      <w:sz w:val="21"/>
                      <w:szCs w:val="21"/>
                      <w:highlight w:val="none"/>
                      <w:u w:val="none"/>
                      <w:lang w:val="en-US" w:eastAsia="zh-CN" w:bidi="ar"/>
                    </w:rPr>
                    <w:t>t</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417"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w:t>
                  </w:r>
                  <w:r>
                    <w:rPr>
                      <w:rFonts w:hint="eastAsia" w:ascii="Times New Roman" w:hAnsi="Times New Roman" w:eastAsia="宋体" w:cs="Times New Roman"/>
                      <w:color w:val="auto"/>
                      <w:szCs w:val="21"/>
                      <w:highlight w:val="none"/>
                      <w:lang w:val="en-US" w:eastAsia="zh-CN"/>
                    </w:rPr>
                    <w:t>t</w:t>
                  </w:r>
                </w:p>
              </w:tc>
              <w:tc>
                <w:tcPr>
                  <w:tcW w:w="1590" w:type="dxa"/>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水泥罐</w:t>
                  </w:r>
                </w:p>
              </w:tc>
              <w:tc>
                <w:tcPr>
                  <w:tcW w:w="1944" w:type="dxa"/>
                  <w:vAlign w:val="center"/>
                </w:tcPr>
                <w:p>
                  <w:pPr>
                    <w:jc w:val="center"/>
                    <w:rPr>
                      <w:rFonts w:hint="eastAsia" w:cs="Times New Roman"/>
                      <w:color w:val="auto"/>
                      <w:szCs w:val="21"/>
                      <w:lang w:eastAsia="zh-CN"/>
                    </w:rPr>
                  </w:pPr>
                  <w:r>
                    <w:rPr>
                      <w:rFonts w:hint="eastAsia" w:cs="Times New Roman"/>
                      <w:color w:val="auto"/>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1830"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润滑油</w:t>
                  </w:r>
                </w:p>
              </w:tc>
              <w:tc>
                <w:tcPr>
                  <w:tcW w:w="1518"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0.5t/a</w:t>
                  </w:r>
                </w:p>
              </w:tc>
              <w:tc>
                <w:tcPr>
                  <w:tcW w:w="1417" w:type="dxa"/>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0.5t</w:t>
                  </w:r>
                </w:p>
              </w:tc>
              <w:tc>
                <w:tcPr>
                  <w:tcW w:w="159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25kg/桶</w:t>
                  </w:r>
                </w:p>
              </w:tc>
              <w:tc>
                <w:tcPr>
                  <w:tcW w:w="1944"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183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1518" w:type="dxa"/>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2</w:t>
                  </w:r>
                  <w:r>
                    <w:rPr>
                      <w:rFonts w:hint="eastAsia"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万</w:t>
                  </w:r>
                  <w:r>
                    <w:rPr>
                      <w:rFonts w:hint="default" w:ascii="Times New Roman" w:hAnsi="Times New Roman" w:eastAsia="宋体" w:cs="Times New Roman"/>
                      <w:color w:val="auto"/>
                      <w:sz w:val="21"/>
                      <w:szCs w:val="21"/>
                      <w:highlight w:val="none"/>
                    </w:rPr>
                    <w:t>kW∙h/a</w:t>
                  </w:r>
                </w:p>
              </w:tc>
              <w:tc>
                <w:tcPr>
                  <w:tcW w:w="141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590" w:type="dxa"/>
                  <w:vAlign w:val="center"/>
                </w:tcPr>
                <w:p>
                  <w:pPr>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1944" w:type="dxa"/>
                  <w:vAlign w:val="center"/>
                </w:tcPr>
                <w:p>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市政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183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w:t>
                  </w:r>
                </w:p>
              </w:tc>
              <w:tc>
                <w:tcPr>
                  <w:tcW w:w="1518" w:type="dxa"/>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20057.4</w:t>
                  </w:r>
                  <w:r>
                    <w:rPr>
                      <w:rFonts w:hint="default" w:ascii="Times New Roman" w:hAnsi="Times New Roman" w:eastAsia="宋体" w:cs="Times New Roman"/>
                      <w:color w:val="auto"/>
                      <w:szCs w:val="21"/>
                      <w:highlight w:val="none"/>
                    </w:rPr>
                    <w:t>t/a</w:t>
                  </w:r>
                </w:p>
              </w:tc>
              <w:tc>
                <w:tcPr>
                  <w:tcW w:w="141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590" w:type="dxa"/>
                  <w:vAlign w:val="center"/>
                </w:tcPr>
                <w:p>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p>
              </w:tc>
              <w:tc>
                <w:tcPr>
                  <w:tcW w:w="1944" w:type="dxa"/>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市政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atLeast"/>
                <w:jc w:val="center"/>
              </w:trPr>
              <w:tc>
                <w:tcPr>
                  <w:tcW w:w="8299" w:type="dxa"/>
                  <w:gridSpan w:val="5"/>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注：①本项目不使用脱模剂；</w:t>
                  </w:r>
                </w:p>
                <w:p>
                  <w:pPr>
                    <w:jc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②</w:t>
                  </w:r>
                  <w:r>
                    <w:rPr>
                      <w:rFonts w:hint="eastAsia" w:cs="Times New Roman"/>
                      <w:color w:val="auto"/>
                      <w:szCs w:val="21"/>
                      <w:highlight w:val="none"/>
                      <w:lang w:val="en-US" w:eastAsia="zh-CN"/>
                    </w:rPr>
                    <w:t>项目</w:t>
                  </w:r>
                  <w:r>
                    <w:rPr>
                      <w:rFonts w:hint="default" w:ascii="Times New Roman" w:hAnsi="Times New Roman" w:eastAsia="宋体" w:cs="Times New Roman"/>
                      <w:i w:val="0"/>
                      <w:iCs w:val="0"/>
                      <w:color w:val="auto"/>
                      <w:kern w:val="0"/>
                      <w:sz w:val="21"/>
                      <w:szCs w:val="21"/>
                      <w:highlight w:val="none"/>
                      <w:u w:val="none"/>
                      <w:lang w:val="en-US" w:eastAsia="zh-CN" w:bidi="ar"/>
                    </w:rPr>
                    <w:t>按照约4</w:t>
                  </w:r>
                  <w:r>
                    <w:rPr>
                      <w:rFonts w:hint="eastAsia" w:cs="Times New Roman"/>
                      <w:i w:val="0"/>
                      <w:iCs w:val="0"/>
                      <w:color w:val="auto"/>
                      <w:kern w:val="0"/>
                      <w:sz w:val="21"/>
                      <w:szCs w:val="21"/>
                      <w:highlight w:val="none"/>
                      <w:u w:val="none"/>
                      <w:lang w:val="en-US" w:eastAsia="zh-CN" w:bidi="ar"/>
                    </w:rPr>
                    <w:t>4.9</w:t>
                  </w:r>
                  <w:r>
                    <w:rPr>
                      <w:rFonts w:hint="default" w:ascii="Times New Roman" w:hAnsi="Times New Roman" w:eastAsia="宋体" w:cs="Times New Roman"/>
                      <w:i w:val="0"/>
                      <w:iCs w:val="0"/>
                      <w:color w:val="auto"/>
                      <w:kern w:val="0"/>
                      <w:sz w:val="21"/>
                      <w:szCs w:val="21"/>
                      <w:highlight w:val="none"/>
                      <w:u w:val="none"/>
                      <w:lang w:val="en-US" w:eastAsia="zh-CN" w:bidi="ar"/>
                    </w:rPr>
                    <w:t>%的碎石、3</w:t>
                  </w:r>
                  <w:r>
                    <w:rPr>
                      <w:rFonts w:hint="eastAsia" w:cs="Times New Roman"/>
                      <w:i w:val="0"/>
                      <w:iCs w:val="0"/>
                      <w:color w:val="auto"/>
                      <w:kern w:val="0"/>
                      <w:sz w:val="21"/>
                      <w:szCs w:val="21"/>
                      <w:highlight w:val="none"/>
                      <w:u w:val="none"/>
                      <w:lang w:val="en-US" w:eastAsia="zh-CN" w:bidi="ar"/>
                    </w:rPr>
                    <w:t>2.7</w:t>
                  </w:r>
                  <w:r>
                    <w:rPr>
                      <w:rFonts w:hint="default" w:ascii="Times New Roman" w:hAnsi="Times New Roman" w:eastAsia="宋体" w:cs="Times New Roman"/>
                      <w:i w:val="0"/>
                      <w:iCs w:val="0"/>
                      <w:color w:val="auto"/>
                      <w:kern w:val="0"/>
                      <w:sz w:val="21"/>
                      <w:szCs w:val="21"/>
                      <w:highlight w:val="none"/>
                      <w:u w:val="none"/>
                      <w:lang w:val="en-US" w:eastAsia="zh-CN" w:bidi="ar"/>
                    </w:rPr>
                    <w:t>%的砂、14</w:t>
                  </w: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%的水泥、8</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%的水的比例</w:t>
                  </w:r>
                  <w:r>
                    <w:rPr>
                      <w:rFonts w:hint="eastAsia" w:cs="Times New Roman"/>
                      <w:i w:val="0"/>
                      <w:iCs w:val="0"/>
                      <w:color w:val="auto"/>
                      <w:kern w:val="0"/>
                      <w:sz w:val="21"/>
                      <w:szCs w:val="21"/>
                      <w:highlight w:val="none"/>
                      <w:u w:val="none"/>
                      <w:lang w:val="en-US" w:eastAsia="zh-CN" w:bidi="ar"/>
                    </w:rPr>
                    <w:t>配比生产水泥制品。</w:t>
                  </w:r>
                </w:p>
                <w:p>
                  <w:pPr>
                    <w:jc w:val="center"/>
                    <w:rPr>
                      <w:rFonts w:hint="default"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③本</w:t>
                  </w:r>
                  <w:r>
                    <w:rPr>
                      <w:rFonts w:hint="eastAsia" w:cs="Times New Roman"/>
                      <w:i w:val="0"/>
                      <w:iCs w:val="0"/>
                      <w:color w:val="auto"/>
                      <w:kern w:val="0"/>
                      <w:sz w:val="21"/>
                      <w:szCs w:val="21"/>
                      <w:highlight w:val="none"/>
                      <w:u w:val="none"/>
                      <w:lang w:val="en-US" w:eastAsia="zh-CN" w:bidi="ar"/>
                    </w:rPr>
                    <w:t>项目原料碎石、砂、水泥、润滑油等均为外购。</w:t>
                  </w:r>
                </w:p>
              </w:tc>
            </w:tr>
          </w:tbl>
          <w:p>
            <w:pPr>
              <w:rPr>
                <w:color w:val="auto"/>
              </w:rPr>
            </w:pPr>
          </w:p>
          <w:p>
            <w:pPr>
              <w:pStyle w:val="6"/>
              <w:spacing w:before="0" w:after="0" w:line="240" w:lineRule="auto"/>
              <w:ind w:right="0" w:firstLine="482" w:firstLineChars="200"/>
              <w:jc w:val="left"/>
              <w:rPr>
                <w:rFonts w:hint="eastAsia" w:ascii="宋体" w:hAnsi="宋体" w:cs="宋体"/>
                <w:b/>
                <w:bCs/>
                <w:color w:val="auto"/>
                <w:sz w:val="24"/>
                <w:szCs w:val="24"/>
              </w:rPr>
            </w:pPr>
            <w:r>
              <w:rPr>
                <w:rFonts w:hint="eastAsia" w:ascii="宋体" w:hAnsi="宋体" w:cs="宋体"/>
                <w:b/>
                <w:bCs/>
                <w:color w:val="auto"/>
                <w:sz w:val="24"/>
                <w:szCs w:val="24"/>
              </w:rPr>
              <w:t>5 原辅材料理化性质</w:t>
            </w:r>
          </w:p>
          <w:p>
            <w:pPr>
              <w:pStyle w:val="6"/>
              <w:spacing w:before="0" w:after="0" w:line="240" w:lineRule="auto"/>
              <w:ind w:right="0"/>
              <w:jc w:val="center"/>
              <w:rPr>
                <w:b/>
                <w:bCs/>
                <w:color w:val="auto"/>
                <w:sz w:val="21"/>
                <w:szCs w:val="21"/>
                <w:highlight w:val="none"/>
              </w:rPr>
            </w:pPr>
            <w:r>
              <w:rPr>
                <w:b/>
                <w:bCs/>
                <w:color w:val="auto"/>
                <w:sz w:val="21"/>
                <w:szCs w:val="21"/>
                <w:highlight w:val="none"/>
              </w:rPr>
              <w:t>表2-</w:t>
            </w:r>
            <w:r>
              <w:rPr>
                <w:rFonts w:hint="eastAsia"/>
                <w:b/>
                <w:bCs/>
                <w:color w:val="auto"/>
                <w:sz w:val="21"/>
                <w:szCs w:val="21"/>
                <w:highlight w:val="none"/>
              </w:rPr>
              <w:t>6</w:t>
            </w:r>
            <w:r>
              <w:rPr>
                <w:b/>
                <w:bCs/>
                <w:color w:val="auto"/>
                <w:sz w:val="21"/>
                <w:szCs w:val="21"/>
                <w:highlight w:val="none"/>
              </w:rPr>
              <w:t xml:space="preserve">  项目主要原辅材料一览表</w:t>
            </w:r>
          </w:p>
          <w:tbl>
            <w:tblPr>
              <w:tblStyle w:val="24"/>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7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880" w:type="dxa"/>
                  <w:vAlign w:val="center"/>
                </w:tcPr>
                <w:p>
                  <w:pPr>
                    <w:jc w:val="center"/>
                    <w:rPr>
                      <w:rFonts w:hint="eastAsia"/>
                      <w:color w:val="auto"/>
                      <w:szCs w:val="21"/>
                      <w:highlight w:val="none"/>
                    </w:rPr>
                  </w:pPr>
                  <w:r>
                    <w:rPr>
                      <w:rFonts w:hint="eastAsia"/>
                      <w:color w:val="auto"/>
                      <w:szCs w:val="21"/>
                      <w:highlight w:val="none"/>
                    </w:rPr>
                    <w:t>名称</w:t>
                  </w:r>
                </w:p>
              </w:tc>
              <w:tc>
                <w:tcPr>
                  <w:tcW w:w="7501" w:type="dxa"/>
                  <w:vAlign w:val="center"/>
                </w:tcPr>
                <w:p>
                  <w:pPr>
                    <w:widowControl/>
                    <w:jc w:val="center"/>
                    <w:rPr>
                      <w:color w:val="auto"/>
                      <w:szCs w:val="21"/>
                      <w:highlight w:val="none"/>
                    </w:rPr>
                  </w:pPr>
                  <w:r>
                    <w:rPr>
                      <w:rFonts w:hint="eastAsia"/>
                      <w:color w:val="auto"/>
                      <w:szCs w:val="21"/>
                      <w:highlight w:val="none"/>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88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砂</w:t>
                  </w:r>
                </w:p>
              </w:tc>
              <w:tc>
                <w:tcPr>
                  <w:tcW w:w="7501" w:type="dxa"/>
                  <w:vAlign w:val="center"/>
                </w:tcPr>
                <w:p>
                  <w:pPr>
                    <w:jc w:val="left"/>
                    <w:rPr>
                      <w:rFonts w:hint="eastAsia"/>
                      <w:color w:val="auto"/>
                      <w:szCs w:val="21"/>
                      <w:highlight w:val="none"/>
                    </w:rPr>
                  </w:pPr>
                  <w:r>
                    <w:rPr>
                      <w:rFonts w:hint="eastAsia"/>
                      <w:color w:val="auto"/>
                      <w:szCs w:val="21"/>
                      <w:highlight w:val="none"/>
                    </w:rPr>
                    <w:t>组成混凝土和砂浆的主要组成材料之一，是土木工程的大宗材料，砂一般分为天然砂和人工砂两类。由自然条件作用</w:t>
                  </w:r>
                  <w:r>
                    <w:rPr>
                      <w:rFonts w:hint="eastAsia"/>
                      <w:color w:val="auto"/>
                      <w:szCs w:val="21"/>
                      <w:highlight w:val="none"/>
                      <w:lang w:eastAsia="zh-CN"/>
                    </w:rPr>
                    <w:t>（</w:t>
                  </w:r>
                  <w:r>
                    <w:rPr>
                      <w:rFonts w:hint="eastAsia"/>
                      <w:color w:val="auto"/>
                      <w:szCs w:val="21"/>
                      <w:highlight w:val="none"/>
                    </w:rPr>
                    <w:t>主要是岩石风化</w:t>
                  </w:r>
                  <w:r>
                    <w:rPr>
                      <w:rFonts w:hint="eastAsia"/>
                      <w:color w:val="auto"/>
                      <w:szCs w:val="21"/>
                      <w:highlight w:val="none"/>
                      <w:lang w:eastAsia="zh-CN"/>
                    </w:rPr>
                    <w:t>）</w:t>
                  </w:r>
                  <w:r>
                    <w:rPr>
                      <w:rFonts w:hint="eastAsia"/>
                      <w:color w:val="auto"/>
                      <w:szCs w:val="21"/>
                      <w:highlight w:val="none"/>
                    </w:rPr>
                    <w:t>而形成的。人工砂是由岩石轧碎而成由于成本高、片状及粉状物多，一般不用。砂的粗细程度是指不同粒径的砂粒混合在一起的平均粗细程度。通常有粗砂、中砂、细砂之分。</w:t>
                  </w:r>
                </w:p>
                <w:p>
                  <w:pPr>
                    <w:jc w:val="center"/>
                    <w:rPr>
                      <w:color w:val="auto"/>
                      <w:szCs w:val="21"/>
                      <w:highlight w:val="none"/>
                    </w:rPr>
                  </w:pPr>
                  <w:r>
                    <w:rPr>
                      <w:rFonts w:hint="eastAsia"/>
                      <w:color w:val="auto"/>
                      <w:szCs w:val="21"/>
                      <w:highlight w:val="none"/>
                    </w:rPr>
                    <w:t>本项目使用的砂子为中砂，平均粒径为0.5-0.25mm，含水率 4%-6%，细度模数为3.0-2.3，适用于普通混凝土。本项目砂子不具有放射性、不含重金属。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880" w:type="dxa"/>
                  <w:vAlign w:val="center"/>
                </w:tcPr>
                <w:p>
                  <w:pPr>
                    <w:jc w:val="center"/>
                    <w:rPr>
                      <w:color w:val="auto"/>
                      <w:szCs w:val="21"/>
                    </w:rPr>
                  </w:pPr>
                  <w:r>
                    <w:rPr>
                      <w:rFonts w:hint="eastAsia"/>
                      <w:color w:val="auto"/>
                      <w:szCs w:val="21"/>
                    </w:rPr>
                    <w:t>水泥</w:t>
                  </w:r>
                </w:p>
              </w:tc>
              <w:tc>
                <w:tcPr>
                  <w:tcW w:w="7501" w:type="dxa"/>
                  <w:vAlign w:val="center"/>
                </w:tcPr>
                <w:p>
                  <w:pPr>
                    <w:jc w:val="left"/>
                    <w:rPr>
                      <w:rFonts w:hint="eastAsia"/>
                      <w:color w:val="auto"/>
                      <w:szCs w:val="21"/>
                    </w:rPr>
                  </w:pPr>
                  <w:r>
                    <w:rPr>
                      <w:color w:val="auto"/>
                      <w:szCs w:val="21"/>
                    </w:rPr>
                    <w:t>粉状水硬性无机胶凝材料。加水搅拌后成浆体，能在空气中硬化或者在水中更好</w:t>
                  </w:r>
                  <w:r>
                    <w:rPr>
                      <w:rFonts w:hint="eastAsia"/>
                      <w:color w:val="auto"/>
                      <w:szCs w:val="21"/>
                      <w:lang w:eastAsia="zh-CN"/>
                    </w:rPr>
                    <w:t>地</w:t>
                  </w:r>
                  <w:r>
                    <w:rPr>
                      <w:color w:val="auto"/>
                      <w:szCs w:val="21"/>
                    </w:rPr>
                    <w:t>硬化，并能把砂、石等材料牢固地胶结在一起。主要化学成分：氧化钙 CaO，二氧化硅 SiO</w:t>
                  </w:r>
                  <w:r>
                    <w:rPr>
                      <w:color w:val="auto"/>
                      <w:szCs w:val="21"/>
                      <w:vertAlign w:val="subscript"/>
                    </w:rPr>
                    <w:t>2</w:t>
                  </w:r>
                  <w:r>
                    <w:rPr>
                      <w:color w:val="auto"/>
                      <w:szCs w:val="21"/>
                    </w:rPr>
                    <w:t>，三氧化二铁 Fe</w:t>
                  </w:r>
                  <w:r>
                    <w:rPr>
                      <w:color w:val="auto"/>
                      <w:szCs w:val="21"/>
                      <w:vertAlign w:val="subscript"/>
                    </w:rPr>
                    <w:t>2</w:t>
                  </w:r>
                  <w:r>
                    <w:rPr>
                      <w:color w:val="auto"/>
                      <w:szCs w:val="21"/>
                    </w:rPr>
                    <w:t>O</w:t>
                  </w:r>
                  <w:r>
                    <w:rPr>
                      <w:color w:val="auto"/>
                      <w:szCs w:val="21"/>
                      <w:vertAlign w:val="subscript"/>
                    </w:rPr>
                    <w:t>3</w:t>
                  </w:r>
                  <w:r>
                    <w:rPr>
                      <w:color w:val="auto"/>
                      <w:szCs w:val="21"/>
                    </w:rPr>
                    <w:t>，三氧化二铝 Al</w:t>
                  </w:r>
                  <w:r>
                    <w:rPr>
                      <w:color w:val="auto"/>
                      <w:szCs w:val="21"/>
                      <w:vertAlign w:val="subscript"/>
                    </w:rPr>
                    <w:t>2</w:t>
                  </w:r>
                  <w:r>
                    <w:rPr>
                      <w:color w:val="auto"/>
                      <w:szCs w:val="21"/>
                    </w:rPr>
                    <w:t>O</w:t>
                  </w:r>
                  <w:r>
                    <w:rPr>
                      <w:rFonts w:hint="eastAsia"/>
                      <w:color w:val="auto"/>
                      <w:szCs w:val="21"/>
                      <w:vertAlign w:val="subscript"/>
                    </w:rPr>
                    <w:t>3</w:t>
                  </w:r>
                  <w:r>
                    <w:rPr>
                      <w:rFonts w:hint="eastAsia"/>
                      <w:color w:val="auto"/>
                      <w:szCs w:val="21"/>
                    </w:rPr>
                    <w:t>。</w:t>
                  </w:r>
                </w:p>
                <w:p>
                  <w:pPr>
                    <w:jc w:val="left"/>
                    <w:rPr>
                      <w:rFonts w:hint="eastAsia"/>
                      <w:color w:val="auto"/>
                      <w:szCs w:val="21"/>
                    </w:rPr>
                  </w:pPr>
                  <w:r>
                    <w:rPr>
                      <w:rFonts w:hint="eastAsia"/>
                      <w:color w:val="auto"/>
                      <w:szCs w:val="21"/>
                    </w:rPr>
                    <w:t>本项目水泥细度</w:t>
                  </w:r>
                  <w:r>
                    <w:rPr>
                      <w:rFonts w:hint="eastAsia"/>
                      <w:color w:val="auto"/>
                      <w:szCs w:val="21"/>
                      <w:lang w:eastAsia="zh-CN"/>
                    </w:rPr>
                    <w:t>（</w:t>
                  </w:r>
                  <w:r>
                    <w:rPr>
                      <w:rFonts w:hint="eastAsia"/>
                      <w:color w:val="auto"/>
                      <w:szCs w:val="21"/>
                    </w:rPr>
                    <w:t>45μm 方孔鍗鍗余</w:t>
                  </w:r>
                  <w:r>
                    <w:rPr>
                      <w:rFonts w:hint="eastAsia"/>
                      <w:color w:val="auto"/>
                      <w:szCs w:val="21"/>
                      <w:lang w:eastAsia="zh-CN"/>
                    </w:rPr>
                    <w:t>）</w:t>
                  </w:r>
                  <w:r>
                    <w:rPr>
                      <w:rFonts w:hint="eastAsia"/>
                      <w:color w:val="auto"/>
                      <w:szCs w:val="21"/>
                    </w:rPr>
                    <w:t>10%</w:t>
                  </w:r>
                  <w:r>
                    <w:rPr>
                      <w:rFonts w:hint="eastAsia"/>
                      <w:color w:val="auto"/>
                      <w:szCs w:val="21"/>
                      <w:lang w:eastAsia="zh-CN"/>
                    </w:rPr>
                    <w:t>，</w:t>
                  </w:r>
                  <w:r>
                    <w:rPr>
                      <w:rFonts w:hint="eastAsia"/>
                      <w:color w:val="auto"/>
                      <w:szCs w:val="21"/>
                    </w:rPr>
                    <w:t>粒径约 25-50um</w:t>
                  </w:r>
                  <w:r>
                    <w:rPr>
                      <w:rFonts w:hint="eastAsia"/>
                      <w:color w:val="auto"/>
                      <w:szCs w:val="21"/>
                      <w:lang w:eastAsia="zh-CN"/>
                    </w:rPr>
                    <w:t>，</w:t>
                  </w:r>
                  <w:r>
                    <w:rPr>
                      <w:rFonts w:hint="eastAsia"/>
                      <w:color w:val="auto"/>
                      <w:szCs w:val="21"/>
                    </w:rPr>
                    <w:t>含水率 5-10%</w:t>
                  </w:r>
                  <w:r>
                    <w:rPr>
                      <w:rFonts w:hint="eastAsia"/>
                      <w:color w:val="auto"/>
                      <w:szCs w:val="21"/>
                      <w:lang w:eastAsia="zh-CN"/>
                    </w:rPr>
                    <w:t>，</w:t>
                  </w:r>
                  <w:r>
                    <w:rPr>
                      <w:rFonts w:hint="eastAsia"/>
                      <w:color w:val="auto"/>
                      <w:szCs w:val="21"/>
                    </w:rPr>
                    <w:t>项目水泥不具有放射性、不含重金属。</w:t>
                  </w:r>
                </w:p>
              </w:tc>
            </w:tr>
          </w:tbl>
          <w:p>
            <w:pPr>
              <w:pStyle w:val="6"/>
              <w:spacing w:before="0" w:after="0" w:line="240" w:lineRule="auto"/>
              <w:ind w:right="0"/>
              <w:jc w:val="center"/>
              <w:rPr>
                <w:rFonts w:hint="eastAsia"/>
                <w:b/>
                <w:bCs/>
                <w:color w:val="auto"/>
                <w:sz w:val="21"/>
                <w:szCs w:val="21"/>
              </w:rPr>
            </w:pPr>
          </w:p>
          <w:p>
            <w:pPr>
              <w:spacing w:line="360" w:lineRule="auto"/>
              <w:ind w:firstLine="482" w:firstLineChars="200"/>
              <w:rPr>
                <w:b/>
                <w:color w:val="auto"/>
                <w:sz w:val="24"/>
              </w:rPr>
            </w:pPr>
            <w:r>
              <w:rPr>
                <w:b/>
                <w:color w:val="auto"/>
                <w:sz w:val="24"/>
              </w:rPr>
              <w:t>5 主要生产设备</w:t>
            </w:r>
          </w:p>
          <w:p>
            <w:pPr>
              <w:spacing w:line="360" w:lineRule="auto"/>
              <w:ind w:firstLine="480" w:firstLineChars="200"/>
              <w:rPr>
                <w:bCs/>
                <w:color w:val="auto"/>
                <w:sz w:val="24"/>
              </w:rPr>
            </w:pPr>
            <w:r>
              <w:rPr>
                <w:bCs/>
                <w:color w:val="auto"/>
                <w:sz w:val="24"/>
              </w:rPr>
              <w:t>本项目主要生产设备见下表</w:t>
            </w:r>
          </w:p>
          <w:p>
            <w:pPr>
              <w:ind w:firstLine="422" w:firstLineChars="200"/>
              <w:jc w:val="center"/>
              <w:rPr>
                <w:b/>
                <w:color w:val="auto"/>
                <w:szCs w:val="21"/>
                <w:highlight w:val="none"/>
              </w:rPr>
            </w:pPr>
            <w:r>
              <w:rPr>
                <w:b/>
                <w:color w:val="auto"/>
                <w:szCs w:val="21"/>
                <w:highlight w:val="none"/>
              </w:rPr>
              <w:t>表2-</w:t>
            </w:r>
            <w:r>
              <w:rPr>
                <w:rFonts w:hint="eastAsia"/>
                <w:b/>
                <w:color w:val="auto"/>
                <w:szCs w:val="21"/>
                <w:highlight w:val="none"/>
                <w:lang w:val="en-US" w:eastAsia="zh-CN"/>
              </w:rPr>
              <w:t>7</w:t>
            </w:r>
            <w:r>
              <w:rPr>
                <w:b/>
                <w:color w:val="auto"/>
                <w:szCs w:val="21"/>
                <w:highlight w:val="none"/>
              </w:rPr>
              <w:t xml:space="preserve"> 主要生产设备一览表</w:t>
            </w:r>
          </w:p>
          <w:tbl>
            <w:tblPr>
              <w:tblStyle w:val="25"/>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710"/>
              <w:gridCol w:w="1457"/>
              <w:gridCol w:w="1553"/>
              <w:gridCol w:w="1005"/>
              <w:gridCol w:w="818"/>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911" w:type="dxa"/>
                  <w:vMerge w:val="restart"/>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主要生产设施</w:t>
                  </w:r>
                </w:p>
              </w:tc>
              <w:tc>
                <w:tcPr>
                  <w:tcW w:w="3720" w:type="dxa"/>
                  <w:gridSpan w:val="3"/>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设施参数</w:t>
                  </w:r>
                </w:p>
              </w:tc>
              <w:tc>
                <w:tcPr>
                  <w:tcW w:w="1005" w:type="dxa"/>
                  <w:vMerge w:val="restart"/>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主要</w:t>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产品</w:t>
                  </w:r>
                </w:p>
              </w:tc>
              <w:tc>
                <w:tcPr>
                  <w:tcW w:w="818" w:type="dxa"/>
                  <w:vMerge w:val="restart"/>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设计产能</w:t>
                  </w:r>
                </w:p>
              </w:tc>
              <w:tc>
                <w:tcPr>
                  <w:tcW w:w="846" w:type="dxa"/>
                  <w:vMerge w:val="restart"/>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911" w:type="dxa"/>
                  <w:vMerge w:val="continue"/>
                  <w:vAlign w:val="center"/>
                </w:tcPr>
                <w:p>
                  <w:pPr>
                    <w:jc w:val="center"/>
                    <w:rPr>
                      <w:rFonts w:hint="default" w:ascii="Times New Roman" w:hAnsi="Times New Roman" w:eastAsia="宋体" w:cs="Times New Roman"/>
                      <w:color w:val="auto"/>
                      <w:szCs w:val="21"/>
                    </w:rPr>
                  </w:pPr>
                </w:p>
              </w:tc>
              <w:tc>
                <w:tcPr>
                  <w:tcW w:w="710"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w:t>
                  </w:r>
                </w:p>
              </w:tc>
              <w:tc>
                <w:tcPr>
                  <w:tcW w:w="1457"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型号</w:t>
                  </w:r>
                </w:p>
              </w:tc>
              <w:tc>
                <w:tcPr>
                  <w:tcW w:w="1553"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产能</w:t>
                  </w:r>
                </w:p>
              </w:tc>
              <w:tc>
                <w:tcPr>
                  <w:tcW w:w="1005" w:type="dxa"/>
                  <w:vMerge w:val="continue"/>
                  <w:vAlign w:val="center"/>
                </w:tcPr>
                <w:p>
                  <w:pPr>
                    <w:jc w:val="center"/>
                    <w:rPr>
                      <w:rFonts w:hint="default" w:ascii="Times New Roman" w:hAnsi="Times New Roman" w:eastAsia="宋体" w:cs="Times New Roman"/>
                      <w:color w:val="auto"/>
                      <w:szCs w:val="21"/>
                    </w:rPr>
                  </w:pPr>
                </w:p>
              </w:tc>
              <w:tc>
                <w:tcPr>
                  <w:tcW w:w="818" w:type="dxa"/>
                  <w:vMerge w:val="continue"/>
                  <w:vAlign w:val="center"/>
                </w:tcPr>
                <w:p>
                  <w:pPr>
                    <w:jc w:val="center"/>
                    <w:rPr>
                      <w:rFonts w:hint="default" w:ascii="Times New Roman" w:hAnsi="Times New Roman" w:eastAsia="宋体" w:cs="Times New Roman"/>
                      <w:color w:val="auto"/>
                      <w:szCs w:val="21"/>
                    </w:rPr>
                  </w:pPr>
                </w:p>
              </w:tc>
              <w:tc>
                <w:tcPr>
                  <w:tcW w:w="846" w:type="dxa"/>
                  <w:vMerge w:val="continue"/>
                  <w:vAlign w:val="center"/>
                </w:tcPr>
                <w:p>
                  <w:pPr>
                    <w:jc w:val="center"/>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911"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自动配料机</w:t>
                  </w:r>
                </w:p>
              </w:tc>
              <w:tc>
                <w:tcPr>
                  <w:tcW w:w="7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1</w:t>
                  </w:r>
                </w:p>
              </w:tc>
              <w:tc>
                <w:tcPr>
                  <w:tcW w:w="1457" w:type="dxa"/>
                  <w:vAlign w:val="center"/>
                </w:tcPr>
                <w:p>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YE3 100L1-4</w:t>
                  </w:r>
                </w:p>
              </w:tc>
              <w:tc>
                <w:tcPr>
                  <w:tcW w:w="1553" w:type="dxa"/>
                  <w:vMerge w:val="restart"/>
                  <w:vAlign w:val="center"/>
                </w:tcPr>
                <w:p>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bCs/>
                      <w:color w:val="auto"/>
                      <w:sz w:val="21"/>
                      <w:szCs w:val="21"/>
                      <w:lang w:val="en-US" w:eastAsia="zh-CN"/>
                    </w:rPr>
                    <w:t>水泥制品生产线最大加工能力70t/h</w:t>
                  </w:r>
                </w:p>
              </w:tc>
              <w:tc>
                <w:tcPr>
                  <w:tcW w:w="1005" w:type="dxa"/>
                  <w:vMerge w:val="restar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水泥制品</w:t>
                  </w:r>
                </w:p>
              </w:tc>
              <w:tc>
                <w:tcPr>
                  <w:tcW w:w="818" w:type="dxa"/>
                  <w:vMerge w:val="restar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20万t</w:t>
                  </w:r>
                </w:p>
              </w:tc>
              <w:tc>
                <w:tcPr>
                  <w:tcW w:w="846" w:type="dxa"/>
                  <w:vMerge w:val="restart"/>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3000</w:t>
                  </w:r>
                  <w:r>
                    <w:rPr>
                      <w:rFonts w:hint="default" w:ascii="Times New Roman" w:hAnsi="Times New Roman" w:eastAsia="宋体" w:cs="Times New Roman"/>
                      <w:color w:val="auto"/>
                      <w:szCs w:val="21"/>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911"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搅拌机</w:t>
                  </w:r>
                </w:p>
              </w:tc>
              <w:tc>
                <w:tcPr>
                  <w:tcW w:w="7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1</w:t>
                  </w:r>
                </w:p>
              </w:tc>
              <w:tc>
                <w:tcPr>
                  <w:tcW w:w="1457" w:type="dxa"/>
                  <w:vAlign w:val="center"/>
                </w:tcPr>
                <w:p>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YE2-160M-4</w:t>
                  </w:r>
                </w:p>
              </w:tc>
              <w:tc>
                <w:tcPr>
                  <w:tcW w:w="1553" w:type="dxa"/>
                  <w:vMerge w:val="continue"/>
                  <w:vAlign w:val="center"/>
                </w:tcPr>
                <w:p>
                  <w:pPr>
                    <w:spacing w:line="240" w:lineRule="auto"/>
                    <w:ind w:firstLine="0" w:firstLineChars="0"/>
                    <w:jc w:val="center"/>
                    <w:rPr>
                      <w:rFonts w:hint="default" w:ascii="Times New Roman" w:hAnsi="Times New Roman" w:eastAsia="宋体" w:cs="Times New Roman"/>
                      <w:color w:val="auto"/>
                      <w:szCs w:val="21"/>
                      <w:lang w:val="en-US" w:eastAsia="zh-CN"/>
                    </w:rPr>
                  </w:pPr>
                </w:p>
              </w:tc>
              <w:tc>
                <w:tcPr>
                  <w:tcW w:w="1005" w:type="dxa"/>
                  <w:vMerge w:val="continue"/>
                  <w:vAlign w:val="center"/>
                </w:tcPr>
                <w:p>
                  <w:pPr>
                    <w:jc w:val="center"/>
                    <w:rPr>
                      <w:rFonts w:hint="default" w:ascii="Times New Roman" w:hAnsi="Times New Roman" w:eastAsia="宋体" w:cs="Times New Roman"/>
                      <w:color w:val="auto"/>
                      <w:szCs w:val="21"/>
                      <w:lang w:val="en-US" w:eastAsia="zh-CN"/>
                    </w:rPr>
                  </w:pPr>
                </w:p>
              </w:tc>
              <w:tc>
                <w:tcPr>
                  <w:tcW w:w="818" w:type="dxa"/>
                  <w:vMerge w:val="continue"/>
                  <w:vAlign w:val="center"/>
                </w:tcPr>
                <w:p>
                  <w:pPr>
                    <w:jc w:val="center"/>
                    <w:rPr>
                      <w:rFonts w:hint="default" w:ascii="Times New Roman" w:hAnsi="Times New Roman" w:eastAsia="宋体" w:cs="Times New Roman"/>
                      <w:color w:val="auto"/>
                      <w:szCs w:val="21"/>
                      <w:lang w:val="en-US" w:eastAsia="zh-CN"/>
                    </w:rPr>
                  </w:pPr>
                </w:p>
              </w:tc>
              <w:tc>
                <w:tcPr>
                  <w:tcW w:w="846" w:type="dxa"/>
                  <w:vMerge w:val="continue"/>
                  <w:vAlign w:val="center"/>
                </w:tcPr>
                <w:p>
                  <w:pPr>
                    <w:jc w:val="center"/>
                    <w:rPr>
                      <w:rFonts w:hint="default" w:ascii="Times New Roman" w:hAnsi="Times New Roman" w:eastAsia="宋体"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911"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水泥</w:t>
                  </w:r>
                  <w:r>
                    <w:rPr>
                      <w:rFonts w:hint="eastAsia" w:ascii="Times New Roman" w:hAnsi="Times New Roman" w:eastAsia="宋体" w:cs="Times New Roman"/>
                      <w:color w:val="auto"/>
                      <w:szCs w:val="21"/>
                      <w:lang w:val="en-US" w:eastAsia="zh-CN"/>
                    </w:rPr>
                    <w:t>筒仓</w:t>
                  </w:r>
                </w:p>
              </w:tc>
              <w:tc>
                <w:tcPr>
                  <w:tcW w:w="7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457"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100t</w:t>
                  </w:r>
                </w:p>
              </w:tc>
              <w:tc>
                <w:tcPr>
                  <w:tcW w:w="1553"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005" w:type="dxa"/>
                  <w:vMerge w:val="restart"/>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818" w:type="dxa"/>
                  <w:vMerge w:val="restart"/>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846" w:type="dxa"/>
                  <w:vMerge w:val="restart"/>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911"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铲车</w:t>
                  </w:r>
                </w:p>
              </w:tc>
              <w:tc>
                <w:tcPr>
                  <w:tcW w:w="7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1</w:t>
                  </w:r>
                </w:p>
              </w:tc>
              <w:tc>
                <w:tcPr>
                  <w:tcW w:w="1457"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553"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005" w:type="dxa"/>
                  <w:vMerge w:val="continue"/>
                  <w:vAlign w:val="center"/>
                </w:tcPr>
                <w:p>
                  <w:pPr>
                    <w:jc w:val="center"/>
                    <w:rPr>
                      <w:rFonts w:hint="default" w:ascii="Times New Roman" w:hAnsi="Times New Roman" w:eastAsia="宋体" w:cs="Times New Roman"/>
                      <w:color w:val="auto"/>
                      <w:szCs w:val="21"/>
                      <w:lang w:val="en-US" w:eastAsia="zh-CN"/>
                    </w:rPr>
                  </w:pPr>
                </w:p>
              </w:tc>
              <w:tc>
                <w:tcPr>
                  <w:tcW w:w="818" w:type="dxa"/>
                  <w:vMerge w:val="continue"/>
                  <w:vAlign w:val="center"/>
                </w:tcPr>
                <w:p>
                  <w:pPr>
                    <w:jc w:val="center"/>
                    <w:rPr>
                      <w:rFonts w:hint="default" w:ascii="Times New Roman" w:hAnsi="Times New Roman" w:eastAsia="宋体" w:cs="Times New Roman"/>
                      <w:color w:val="auto"/>
                      <w:szCs w:val="21"/>
                      <w:lang w:val="en-US" w:eastAsia="zh-CN"/>
                    </w:rPr>
                  </w:pPr>
                </w:p>
              </w:tc>
              <w:tc>
                <w:tcPr>
                  <w:tcW w:w="846" w:type="dxa"/>
                  <w:vMerge w:val="continue"/>
                  <w:vAlign w:val="center"/>
                </w:tcPr>
                <w:p>
                  <w:pPr>
                    <w:jc w:val="center"/>
                    <w:rPr>
                      <w:rFonts w:hint="default" w:ascii="Times New Roman" w:hAnsi="Times New Roman" w:eastAsia="宋体"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911"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叉车</w:t>
                  </w:r>
                </w:p>
              </w:tc>
              <w:tc>
                <w:tcPr>
                  <w:tcW w:w="71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1</w:t>
                  </w:r>
                </w:p>
              </w:tc>
              <w:tc>
                <w:tcPr>
                  <w:tcW w:w="1457"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553"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005" w:type="dxa"/>
                  <w:vMerge w:val="continue"/>
                  <w:vAlign w:val="center"/>
                </w:tcPr>
                <w:p>
                  <w:pPr>
                    <w:jc w:val="center"/>
                    <w:rPr>
                      <w:rFonts w:hint="default" w:ascii="Times New Roman" w:hAnsi="Times New Roman" w:eastAsia="宋体" w:cs="Times New Roman"/>
                      <w:color w:val="auto"/>
                      <w:szCs w:val="21"/>
                      <w:lang w:val="en-US" w:eastAsia="zh-CN"/>
                    </w:rPr>
                  </w:pPr>
                </w:p>
              </w:tc>
              <w:tc>
                <w:tcPr>
                  <w:tcW w:w="818" w:type="dxa"/>
                  <w:vMerge w:val="continue"/>
                  <w:vAlign w:val="center"/>
                </w:tcPr>
                <w:p>
                  <w:pPr>
                    <w:jc w:val="center"/>
                    <w:rPr>
                      <w:rFonts w:hint="default" w:ascii="Times New Roman" w:hAnsi="Times New Roman" w:eastAsia="宋体" w:cs="Times New Roman"/>
                      <w:color w:val="auto"/>
                      <w:szCs w:val="21"/>
                      <w:lang w:val="en-US" w:eastAsia="zh-CN"/>
                    </w:rPr>
                  </w:pPr>
                </w:p>
              </w:tc>
              <w:tc>
                <w:tcPr>
                  <w:tcW w:w="846" w:type="dxa"/>
                  <w:vMerge w:val="continue"/>
                  <w:vAlign w:val="center"/>
                </w:tcPr>
                <w:p>
                  <w:pPr>
                    <w:jc w:val="center"/>
                    <w:rPr>
                      <w:rFonts w:hint="default" w:ascii="Times New Roman" w:hAnsi="Times New Roman" w:eastAsia="宋体" w:cs="Times New Roman"/>
                      <w:color w:val="auto"/>
                      <w:szCs w:val="21"/>
                      <w:lang w:val="en-US" w:eastAsia="zh-CN"/>
                    </w:rPr>
                  </w:pPr>
                </w:p>
              </w:tc>
            </w:tr>
          </w:tbl>
          <w:p>
            <w:pPr>
              <w:spacing w:line="360" w:lineRule="auto"/>
              <w:ind w:firstLine="480" w:firstLineChars="200"/>
              <w:jc w:val="left"/>
              <w:rPr>
                <w:b/>
                <w:color w:val="auto"/>
                <w:szCs w:val="21"/>
                <w:highlight w:val="yellow"/>
              </w:rPr>
            </w:pPr>
            <w:r>
              <w:rPr>
                <w:rFonts w:hint="eastAsia" w:ascii="Times New Roman" w:hAnsi="Times New Roman" w:eastAsia="宋体" w:cs="Times New Roman"/>
                <w:b w:val="0"/>
                <w:bCs w:val="0"/>
                <w:color w:val="auto"/>
                <w:kern w:val="0"/>
                <w:sz w:val="24"/>
                <w:szCs w:val="24"/>
                <w:lang w:val="en-US" w:eastAsia="zh-CN" w:bidi="ar-SA"/>
              </w:rPr>
              <w:t>本项目水泥制品生产线最大加工能力70t/h，21万</w:t>
            </w:r>
            <w:r>
              <w:rPr>
                <w:rFonts w:hint="default" w:ascii="Times New Roman" w:hAnsi="Times New Roman" w:eastAsia="宋体" w:cs="Times New Roman"/>
                <w:b w:val="0"/>
                <w:bCs w:val="0"/>
                <w:color w:val="auto"/>
                <w:kern w:val="0"/>
                <w:sz w:val="24"/>
                <w:szCs w:val="24"/>
                <w:lang w:val="en-US" w:eastAsia="zh-CN" w:bidi="ar-SA"/>
              </w:rPr>
              <w:t>t/</w:t>
            </w:r>
            <w:r>
              <w:rPr>
                <w:rFonts w:hint="eastAsia" w:ascii="Times New Roman" w:hAnsi="Times New Roman" w:eastAsia="宋体" w:cs="Times New Roman"/>
                <w:b w:val="0"/>
                <w:bCs w:val="0"/>
                <w:color w:val="auto"/>
                <w:kern w:val="0"/>
                <w:sz w:val="24"/>
                <w:szCs w:val="24"/>
                <w:lang w:val="en-US" w:eastAsia="zh-CN" w:bidi="ar-SA"/>
              </w:rPr>
              <w:t>a，能够满足本项目年生产水泥制品20万吨生产需求。</w:t>
            </w:r>
          </w:p>
          <w:p>
            <w:pPr>
              <w:ind w:firstLine="422" w:firstLineChars="200"/>
              <w:jc w:val="center"/>
              <w:rPr>
                <w:b/>
                <w:color w:val="auto"/>
                <w:szCs w:val="21"/>
              </w:rPr>
            </w:pPr>
          </w:p>
          <w:p>
            <w:pPr>
              <w:spacing w:line="360" w:lineRule="auto"/>
              <w:ind w:firstLine="482" w:firstLineChars="200"/>
              <w:rPr>
                <w:color w:val="auto"/>
                <w:sz w:val="24"/>
              </w:rPr>
            </w:pPr>
            <w:r>
              <w:rPr>
                <w:rFonts w:hint="eastAsia"/>
                <w:b/>
                <w:bCs/>
                <w:color w:val="auto"/>
                <w:sz w:val="24"/>
                <w:lang w:eastAsia="zh-CN"/>
              </w:rPr>
              <w:t>6.</w:t>
            </w:r>
            <w:r>
              <w:rPr>
                <w:b/>
                <w:bCs/>
                <w:color w:val="auto"/>
                <w:sz w:val="24"/>
              </w:rPr>
              <w:t>劳动定员和工作班制</w:t>
            </w:r>
          </w:p>
          <w:p>
            <w:pPr>
              <w:spacing w:line="360" w:lineRule="auto"/>
              <w:ind w:firstLine="480" w:firstLineChars="200"/>
              <w:rPr>
                <w:rFonts w:hint="eastAsia" w:eastAsia="宋体"/>
                <w:color w:val="auto"/>
                <w:sz w:val="24"/>
                <w:highlight w:val="yellow"/>
                <w:lang w:eastAsia="zh-CN"/>
              </w:rPr>
            </w:pPr>
            <w:r>
              <w:rPr>
                <w:color w:val="auto"/>
                <w:sz w:val="24"/>
              </w:rPr>
              <w:t>本项目劳动定员</w:t>
            </w:r>
            <w:r>
              <w:rPr>
                <w:rFonts w:hint="eastAsia"/>
                <w:color w:val="auto"/>
                <w:sz w:val="24"/>
                <w:lang w:val="en-US" w:eastAsia="zh-CN"/>
              </w:rPr>
              <w:t>10</w:t>
            </w:r>
            <w:r>
              <w:rPr>
                <w:color w:val="auto"/>
                <w:sz w:val="24"/>
              </w:rPr>
              <w:t>人，</w:t>
            </w:r>
            <w:r>
              <w:rPr>
                <w:rFonts w:hint="eastAsia"/>
                <w:color w:val="auto"/>
                <w:sz w:val="24"/>
              </w:rPr>
              <w:t>均不在厂区内食宿，</w:t>
            </w:r>
            <w:r>
              <w:rPr>
                <w:rFonts w:hint="eastAsia"/>
                <w:color w:val="auto"/>
                <w:sz w:val="24"/>
                <w:lang w:eastAsia="zh-CN"/>
              </w:rPr>
              <w:t>单</w:t>
            </w:r>
            <w:r>
              <w:rPr>
                <w:rFonts w:hint="eastAsia"/>
                <w:color w:val="auto"/>
                <w:sz w:val="24"/>
              </w:rPr>
              <w:t>班制，每班工作</w:t>
            </w:r>
            <w:r>
              <w:rPr>
                <w:rFonts w:hint="eastAsia"/>
                <w:color w:val="auto"/>
                <w:sz w:val="24"/>
                <w:lang w:val="en-US" w:eastAsia="zh-CN"/>
              </w:rPr>
              <w:t>10</w:t>
            </w:r>
            <w:r>
              <w:rPr>
                <w:rFonts w:hint="eastAsia"/>
                <w:color w:val="auto"/>
                <w:sz w:val="24"/>
              </w:rPr>
              <w:t>h，年工作300天，即年工作</w:t>
            </w:r>
            <w:r>
              <w:rPr>
                <w:rFonts w:hint="eastAsia"/>
                <w:color w:val="auto"/>
                <w:sz w:val="24"/>
                <w:lang w:val="en-US" w:eastAsia="zh-CN"/>
              </w:rPr>
              <w:t>3000</w:t>
            </w:r>
            <w:r>
              <w:rPr>
                <w:rFonts w:hint="eastAsia"/>
                <w:color w:val="auto"/>
                <w:sz w:val="24"/>
              </w:rPr>
              <w:t>h。</w:t>
            </w:r>
          </w:p>
          <w:p>
            <w:pPr>
              <w:numPr>
                <w:ilvl w:val="0"/>
                <w:numId w:val="3"/>
              </w:numPr>
              <w:spacing w:line="360" w:lineRule="auto"/>
              <w:ind w:firstLine="482" w:firstLineChars="200"/>
              <w:rPr>
                <w:rFonts w:hint="eastAsia"/>
                <w:b/>
                <w:color w:val="auto"/>
                <w:sz w:val="24"/>
              </w:rPr>
            </w:pPr>
            <w:r>
              <w:rPr>
                <w:rFonts w:hint="eastAsia"/>
                <w:b/>
                <w:color w:val="auto"/>
                <w:sz w:val="24"/>
              </w:rPr>
              <w:t>水平衡分析</w:t>
            </w:r>
          </w:p>
          <w:p>
            <w:pPr>
              <w:pStyle w:val="32"/>
              <w:ind w:firstLine="480" w:firstLineChars="200"/>
              <w:rPr>
                <w:rFonts w:ascii="Times New Roman"/>
                <w:color w:val="auto"/>
                <w:sz w:val="24"/>
                <w:szCs w:val="24"/>
                <w:highlight w:val="yellow"/>
              </w:rPr>
            </w:pPr>
            <w:r>
              <w:rPr>
                <w:rFonts w:hint="eastAsia" w:ascii="Times New Roman"/>
                <w:bCs/>
                <w:color w:val="auto"/>
                <w:sz w:val="24"/>
                <w:szCs w:val="24"/>
              </w:rPr>
              <w:t>本项目运营期用水环节</w:t>
            </w:r>
            <w:r>
              <w:rPr>
                <w:rFonts w:hint="eastAsia" w:ascii="Times New Roman"/>
                <w:bCs/>
                <w:color w:val="auto"/>
                <w:sz w:val="24"/>
                <w:szCs w:val="24"/>
                <w:lang w:eastAsia="zh-CN"/>
              </w:rPr>
              <w:t>如下所示</w:t>
            </w:r>
            <w:r>
              <w:rPr>
                <w:rFonts w:hint="eastAsia" w:ascii="Times New Roman"/>
                <w:bCs/>
                <w:color w:val="auto"/>
                <w:sz w:val="24"/>
                <w:szCs w:val="24"/>
                <w:highlight w:val="none"/>
                <w:lang w:eastAsia="zh-CN"/>
              </w:rPr>
              <w:t>。</w:t>
            </w:r>
          </w:p>
          <w:p>
            <w:pPr>
              <w:pStyle w:val="17"/>
              <w:spacing w:line="360" w:lineRule="auto"/>
              <w:ind w:left="0" w:firstLine="480" w:firstLineChars="200"/>
              <w:jc w:val="left"/>
              <w:rPr>
                <w:rFonts w:hint="eastAsia"/>
                <w:color w:val="auto"/>
                <w:sz w:val="24"/>
                <w:szCs w:val="24"/>
              </w:rPr>
            </w:pPr>
            <w:r>
              <w:rPr>
                <w:rFonts w:hint="eastAsia"/>
                <w:color w:val="auto"/>
                <w:sz w:val="24"/>
                <w:szCs w:val="24"/>
                <w:lang w:val="en-US" w:eastAsia="zh-CN"/>
              </w:rPr>
              <w:t>（1）</w:t>
            </w:r>
            <w:r>
              <w:rPr>
                <w:rFonts w:hint="eastAsia"/>
                <w:color w:val="auto"/>
                <w:sz w:val="24"/>
                <w:szCs w:val="24"/>
              </w:rPr>
              <w:t>生活用水</w:t>
            </w:r>
          </w:p>
          <w:p>
            <w:pPr>
              <w:pStyle w:val="17"/>
              <w:spacing w:line="360" w:lineRule="auto"/>
              <w:ind w:left="0" w:firstLine="480" w:firstLineChars="200"/>
              <w:jc w:val="left"/>
              <w:rPr>
                <w:rFonts w:hint="eastAsia"/>
                <w:color w:val="auto"/>
                <w:sz w:val="24"/>
                <w:szCs w:val="24"/>
              </w:rPr>
            </w:pPr>
            <w:r>
              <w:rPr>
                <w:rFonts w:hint="eastAsia"/>
                <w:color w:val="auto"/>
                <w:sz w:val="24"/>
                <w:szCs w:val="24"/>
              </w:rPr>
              <w:t>本项目员工为</w:t>
            </w:r>
            <w:r>
              <w:rPr>
                <w:rFonts w:hint="eastAsia"/>
                <w:color w:val="auto"/>
                <w:sz w:val="24"/>
                <w:szCs w:val="24"/>
                <w:lang w:val="en-US" w:eastAsia="zh-CN"/>
              </w:rPr>
              <w:t>10</w:t>
            </w:r>
            <w:r>
              <w:rPr>
                <w:rFonts w:hint="eastAsia"/>
                <w:color w:val="auto"/>
                <w:sz w:val="24"/>
                <w:szCs w:val="24"/>
              </w:rPr>
              <w:t>人，根据《安徽省行业用水定额》，员工用水量按照60L/人·d计，则生活用水量为</w:t>
            </w:r>
            <w:r>
              <w:rPr>
                <w:rFonts w:hint="eastAsia"/>
                <w:color w:val="auto"/>
                <w:sz w:val="24"/>
                <w:szCs w:val="24"/>
                <w:lang w:val="en-US" w:eastAsia="zh-CN"/>
              </w:rPr>
              <w:t>0.6</w:t>
            </w:r>
            <w:r>
              <w:rPr>
                <w:rFonts w:hint="eastAsia"/>
                <w:color w:val="auto"/>
                <w:sz w:val="24"/>
                <w:szCs w:val="24"/>
              </w:rPr>
              <w:t>t/d，</w:t>
            </w:r>
            <w:r>
              <w:rPr>
                <w:rFonts w:hint="eastAsia"/>
                <w:color w:val="auto"/>
                <w:sz w:val="24"/>
                <w:szCs w:val="24"/>
                <w:lang w:val="en-US" w:eastAsia="zh-CN"/>
              </w:rPr>
              <w:t>180</w:t>
            </w:r>
            <w:r>
              <w:rPr>
                <w:rFonts w:hint="eastAsia"/>
                <w:color w:val="auto"/>
                <w:sz w:val="24"/>
                <w:szCs w:val="24"/>
              </w:rPr>
              <w:t>t/a。污水产生量按用水量的80%计算，则生活污水产生量为</w:t>
            </w:r>
            <w:r>
              <w:rPr>
                <w:rFonts w:hint="eastAsia"/>
                <w:color w:val="auto"/>
                <w:sz w:val="24"/>
                <w:szCs w:val="24"/>
                <w:lang w:val="en-US" w:eastAsia="zh-CN"/>
              </w:rPr>
              <w:t>0.48</w:t>
            </w:r>
            <w:r>
              <w:rPr>
                <w:rFonts w:hint="eastAsia"/>
                <w:color w:val="auto"/>
                <w:sz w:val="24"/>
                <w:szCs w:val="24"/>
              </w:rPr>
              <w:t>t/d（</w:t>
            </w:r>
            <w:r>
              <w:rPr>
                <w:rFonts w:hint="eastAsia"/>
                <w:color w:val="auto"/>
                <w:sz w:val="24"/>
                <w:szCs w:val="24"/>
                <w:lang w:val="en-US" w:eastAsia="zh-CN"/>
              </w:rPr>
              <w:t>144</w:t>
            </w:r>
            <w:r>
              <w:rPr>
                <w:rFonts w:hint="eastAsia"/>
                <w:color w:val="auto"/>
                <w:sz w:val="24"/>
                <w:szCs w:val="24"/>
              </w:rPr>
              <w:t>t/a）。</w:t>
            </w:r>
          </w:p>
          <w:p>
            <w:pPr>
              <w:pStyle w:val="18"/>
              <w:spacing w:line="360" w:lineRule="auto"/>
              <w:ind w:firstLine="480" w:firstLineChars="200"/>
              <w:rPr>
                <w:rFonts w:hint="eastAsia" w:ascii="Calibri" w:hAnsi="Calibri" w:eastAsia="宋体" w:cs="Calibri"/>
                <w:color w:val="auto"/>
                <w:sz w:val="24"/>
                <w:lang w:eastAsia="zh-CN"/>
              </w:rPr>
            </w:pPr>
            <w:bookmarkStart w:id="2" w:name="OLE_LINK26"/>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bookmarkEnd w:id="2"/>
            <w:r>
              <w:rPr>
                <w:rFonts w:hint="eastAsia"/>
                <w:color w:val="auto"/>
                <w:sz w:val="24"/>
                <w:szCs w:val="24"/>
                <w:lang w:eastAsia="zh-CN"/>
              </w:rPr>
              <w:t>搅拌用水</w:t>
            </w:r>
          </w:p>
          <w:p>
            <w:pPr>
              <w:pStyle w:val="11"/>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根据业主提供资料，</w:t>
            </w:r>
            <w:r>
              <w:rPr>
                <w:rFonts w:hint="eastAsia" w:cs="Times New Roman"/>
                <w:color w:val="auto"/>
                <w:lang w:val="en-US" w:eastAsia="zh-CN"/>
              </w:rPr>
              <w:t>搅拌</w:t>
            </w:r>
            <w:r>
              <w:rPr>
                <w:rFonts w:hint="default" w:ascii="Times New Roman" w:hAnsi="Times New Roman" w:eastAsia="宋体" w:cs="Times New Roman"/>
                <w:color w:val="auto"/>
                <w:lang w:val="en-US" w:eastAsia="zh-CN"/>
              </w:rPr>
              <w:t>用水量占成品的</w:t>
            </w:r>
            <w:r>
              <w:rPr>
                <w:rFonts w:hint="eastAsia" w:cs="Times New Roman"/>
                <w:color w:val="auto"/>
                <w:lang w:val="en-US" w:eastAsia="zh-CN"/>
              </w:rPr>
              <w:t>8.1</w:t>
            </w:r>
            <w:r>
              <w:rPr>
                <w:rFonts w:hint="default" w:ascii="Times New Roman" w:hAnsi="Times New Roman" w:eastAsia="宋体" w:cs="Times New Roman"/>
                <w:color w:val="auto"/>
                <w:lang w:val="en-US" w:eastAsia="zh-CN"/>
              </w:rPr>
              <w:t>%，年产</w:t>
            </w:r>
            <w:r>
              <w:rPr>
                <w:rFonts w:hint="eastAsia" w:cs="Times New Roman"/>
                <w:color w:val="auto"/>
                <w:lang w:val="en-US" w:eastAsia="zh-CN"/>
              </w:rPr>
              <w:t>水泥制品20</w:t>
            </w:r>
            <w:r>
              <w:rPr>
                <w:rFonts w:hint="default" w:ascii="Times New Roman" w:hAnsi="Times New Roman" w:eastAsia="宋体" w:cs="Times New Roman"/>
                <w:color w:val="auto"/>
                <w:lang w:val="en-US" w:eastAsia="zh-CN"/>
              </w:rPr>
              <w:t>万吨，则</w:t>
            </w:r>
            <w:r>
              <w:rPr>
                <w:rFonts w:hint="eastAsia" w:cs="Times New Roman"/>
                <w:color w:val="auto"/>
                <w:lang w:val="en-US" w:eastAsia="zh-CN"/>
              </w:rPr>
              <w:t>搅拌</w:t>
            </w:r>
            <w:r>
              <w:rPr>
                <w:rFonts w:hint="default" w:ascii="Times New Roman" w:hAnsi="Times New Roman" w:eastAsia="宋体" w:cs="Times New Roman"/>
                <w:color w:val="auto"/>
                <w:lang w:val="en-US" w:eastAsia="zh-CN"/>
              </w:rPr>
              <w:t>用水</w:t>
            </w:r>
            <w:r>
              <w:rPr>
                <w:rFonts w:hint="eastAsia" w:cs="Times New Roman"/>
                <w:color w:val="auto"/>
                <w:lang w:val="en-US" w:eastAsia="zh-CN"/>
              </w:rPr>
              <w:t>为54</w:t>
            </w:r>
            <w:r>
              <w:rPr>
                <w:rFonts w:hint="eastAsia" w:ascii="Times New Roman" w:hAnsi="Times New Roman" w:eastAsia="宋体" w:cs="Times New Roman"/>
                <w:color w:val="auto"/>
                <w:lang w:val="en-US" w:eastAsia="zh-CN"/>
              </w:rPr>
              <w:t>t</w:t>
            </w:r>
            <w:r>
              <w:rPr>
                <w:rFonts w:hint="default" w:ascii="Times New Roman" w:hAnsi="Times New Roman" w:eastAsia="宋体" w:cs="Times New Roman"/>
                <w:color w:val="auto"/>
                <w:lang w:val="en-US" w:eastAsia="zh-CN"/>
              </w:rPr>
              <w:t>/d、</w:t>
            </w:r>
            <w:r>
              <w:rPr>
                <w:rFonts w:hint="eastAsia" w:cs="Times New Roman"/>
                <w:color w:val="auto"/>
                <w:lang w:val="en-US" w:eastAsia="zh-CN"/>
              </w:rPr>
              <w:t>16200</w:t>
            </w:r>
            <w:r>
              <w:rPr>
                <w:rFonts w:hint="eastAsia" w:ascii="Times New Roman" w:hAnsi="Times New Roman" w:eastAsia="宋体" w:cs="Times New Roman"/>
                <w:color w:val="auto"/>
                <w:lang w:val="en-US" w:eastAsia="zh-CN"/>
              </w:rPr>
              <w:t>t</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该部分用水全部进入产品。</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420" w:leftChars="200"/>
              <w:jc w:val="left"/>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Cs/>
                <w:color w:val="auto"/>
                <w:kern w:val="0"/>
                <w:sz w:val="24"/>
                <w:szCs w:val="24"/>
                <w:lang w:val="en-US" w:eastAsia="zh-CN" w:bidi="ar-SA"/>
              </w:rPr>
              <w:t>（3）</w:t>
            </w:r>
            <w:r>
              <w:rPr>
                <w:rFonts w:hint="eastAsia" w:ascii="Times New Roman" w:hAnsi="Times New Roman" w:eastAsia="宋体" w:cs="Times New Roman"/>
                <w:b w:val="0"/>
                <w:bCs w:val="0"/>
                <w:color w:val="auto"/>
                <w:kern w:val="0"/>
                <w:sz w:val="24"/>
                <w:szCs w:val="24"/>
                <w:lang w:val="en-US" w:eastAsia="zh-CN"/>
              </w:rPr>
              <w:t>养护用水</w:t>
            </w:r>
          </w:p>
          <w:p>
            <w:pPr>
              <w:pStyle w:val="11"/>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本项目成型水泥</w:t>
            </w:r>
            <w:r>
              <w:rPr>
                <w:rFonts w:hint="eastAsia" w:ascii="Times New Roman" w:hAnsi="Times New Roman" w:eastAsia="宋体" w:cs="Times New Roman"/>
                <w:color w:val="auto"/>
                <w:lang w:val="en-US" w:eastAsia="zh-CN"/>
              </w:rPr>
              <w:t>制品</w:t>
            </w:r>
            <w:r>
              <w:rPr>
                <w:rFonts w:hint="default" w:ascii="Times New Roman" w:hAnsi="Times New Roman" w:eastAsia="宋体" w:cs="Times New Roman"/>
                <w:color w:val="auto"/>
                <w:lang w:val="en-US" w:eastAsia="zh-CN"/>
              </w:rPr>
              <w:t>年产量</w:t>
            </w:r>
            <w:r>
              <w:rPr>
                <w:rFonts w:hint="eastAsia" w:cs="Times New Roman"/>
                <w:color w:val="auto"/>
                <w:lang w:val="en-US" w:eastAsia="zh-CN"/>
              </w:rPr>
              <w:t>20</w:t>
            </w:r>
            <w:r>
              <w:rPr>
                <w:rFonts w:hint="eastAsia" w:ascii="Times New Roman" w:hAnsi="Times New Roman" w:eastAsia="宋体" w:cs="Times New Roman"/>
                <w:color w:val="auto"/>
                <w:lang w:val="en-US" w:eastAsia="zh-CN"/>
              </w:rPr>
              <w:t>万</w:t>
            </w:r>
            <w:r>
              <w:rPr>
                <w:rFonts w:hint="default" w:ascii="Times New Roman" w:hAnsi="Times New Roman" w:eastAsia="宋体" w:cs="Times New Roman"/>
                <w:color w:val="auto"/>
                <w:lang w:val="en-US" w:eastAsia="zh-CN"/>
              </w:rPr>
              <w:t>t，</w:t>
            </w:r>
            <w:r>
              <w:rPr>
                <w:rFonts w:hint="eastAsia" w:ascii="Times New Roman" w:hAnsi="Times New Roman" w:eastAsia="宋体" w:cs="Times New Roman"/>
                <w:color w:val="auto"/>
                <w:lang w:val="en-US" w:eastAsia="zh-CN"/>
              </w:rPr>
              <w:t>水泥制品密度约为2t/m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，约合</w:t>
            </w:r>
            <w:r>
              <w:rPr>
                <w:rFonts w:hint="eastAsia" w:cs="Times New Roman"/>
                <w:color w:val="auto"/>
                <w:lang w:val="en-US" w:eastAsia="zh-CN"/>
              </w:rPr>
              <w:t>100</w:t>
            </w:r>
            <w:r>
              <w:rPr>
                <w:rFonts w:hint="eastAsia" w:ascii="Times New Roman" w:hAnsi="Times New Roman" w:eastAsia="宋体" w:cs="Times New Roman"/>
                <w:color w:val="auto"/>
                <w:lang w:val="en-US" w:eastAsia="zh-CN"/>
              </w:rPr>
              <w:t>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default" w:ascii="Times New Roman" w:hAnsi="Times New Roman" w:eastAsia="宋体" w:cs="Times New Roman"/>
                <w:color w:val="auto"/>
                <w:lang w:val="en-US" w:eastAsia="zh-CN"/>
              </w:rPr>
              <w:t>养护用水量</w:t>
            </w:r>
            <w:r>
              <w:rPr>
                <w:rFonts w:hint="eastAsia" w:ascii="Times New Roman" w:hAnsi="Times New Roman" w:eastAsia="宋体" w:cs="Times New Roman"/>
                <w:color w:val="auto"/>
                <w:lang w:val="en-US" w:eastAsia="zh-CN"/>
              </w:rPr>
              <w:t>0.1m</w:t>
            </w:r>
            <w:r>
              <w:rPr>
                <w:rFonts w:hint="eastAsia"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，则养护用水量为</w:t>
            </w:r>
            <w:r>
              <w:rPr>
                <w:rFonts w:hint="eastAsia" w:cs="Times New Roman"/>
                <w:color w:val="auto"/>
                <w:lang w:val="en-US" w:eastAsia="zh-CN"/>
              </w:rPr>
              <w:t>33.333t</w:t>
            </w:r>
            <w:r>
              <w:rPr>
                <w:rFonts w:hint="eastAsia" w:ascii="Times New Roman" w:hAnsi="Times New Roman" w:eastAsia="宋体" w:cs="Times New Roman"/>
                <w:color w:val="auto"/>
                <w:lang w:val="en-US" w:eastAsia="zh-CN"/>
              </w:rPr>
              <w:t>/d（</w:t>
            </w:r>
            <w:r>
              <w:rPr>
                <w:rFonts w:hint="eastAsia" w:cs="Times New Roman"/>
                <w:color w:val="auto"/>
                <w:lang w:val="en-US" w:eastAsia="zh-CN"/>
              </w:rPr>
              <w:t>10000t</w:t>
            </w: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lang w:val="en-US" w:eastAsia="zh-CN"/>
              </w:rPr>
              <w:t>损耗量按20%计，则养护废水</w:t>
            </w:r>
            <w:r>
              <w:rPr>
                <w:rFonts w:hint="eastAsia" w:ascii="Times New Roman" w:hAnsi="Times New Roman" w:eastAsia="宋体" w:cs="Times New Roman"/>
                <w:color w:val="auto"/>
                <w:lang w:val="en-US" w:eastAsia="zh-CN"/>
              </w:rPr>
              <w:t>产生量为</w:t>
            </w:r>
            <w:r>
              <w:rPr>
                <w:rFonts w:hint="eastAsia" w:cs="Times New Roman"/>
                <w:color w:val="auto"/>
                <w:lang w:val="en-US" w:eastAsia="zh-CN"/>
              </w:rPr>
              <w:t>26.667t</w:t>
            </w:r>
            <w:r>
              <w:rPr>
                <w:rFonts w:hint="eastAsia" w:ascii="Times New Roman" w:hAnsi="Times New Roman" w:eastAsia="宋体" w:cs="Times New Roman"/>
                <w:color w:val="auto"/>
                <w:lang w:val="en-US" w:eastAsia="zh-CN"/>
              </w:rPr>
              <w:t>/d（</w:t>
            </w:r>
            <w:r>
              <w:rPr>
                <w:rFonts w:hint="eastAsia" w:cs="Times New Roman"/>
                <w:color w:val="auto"/>
                <w:lang w:val="en-US" w:eastAsia="zh-CN"/>
              </w:rPr>
              <w:t>8000t</w:t>
            </w: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lang w:val="en-US" w:eastAsia="zh-CN"/>
              </w:rPr>
              <w:t>进入</w:t>
            </w:r>
            <w:r>
              <w:rPr>
                <w:rFonts w:hint="eastAsia" w:cs="Times New Roman"/>
                <w:color w:val="auto"/>
                <w:lang w:val="en-US" w:eastAsia="zh-CN"/>
              </w:rPr>
              <w:t>三级</w:t>
            </w:r>
            <w:r>
              <w:rPr>
                <w:rFonts w:hint="default" w:ascii="Times New Roman" w:hAnsi="Times New Roman" w:eastAsia="宋体" w:cs="Times New Roman"/>
                <w:color w:val="auto"/>
                <w:lang w:val="en-US" w:eastAsia="zh-CN"/>
              </w:rPr>
              <w:t>沉淀池处理后清水可回用继续作为搅拌用水，不外排。</w:t>
            </w:r>
          </w:p>
          <w:p>
            <w:pPr>
              <w:spacing w:line="360" w:lineRule="auto"/>
              <w:ind w:firstLine="480" w:firstLineChars="200"/>
              <w:rPr>
                <w:rFonts w:hint="eastAsia"/>
                <w:color w:val="auto"/>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）进出车辆冲洗用水</w:t>
            </w:r>
          </w:p>
          <w:p>
            <w:pPr>
              <w:pStyle w:val="38"/>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进出</w:t>
            </w:r>
            <w:r>
              <w:rPr>
                <w:rFonts w:hint="default" w:ascii="Times New Roman" w:hAnsi="Times New Roman" w:eastAsia="宋体" w:cs="Times New Roman"/>
                <w:bCs/>
                <w:color w:val="auto"/>
                <w:kern w:val="0"/>
                <w:sz w:val="24"/>
                <w:szCs w:val="24"/>
                <w:highlight w:val="none"/>
                <w:lang w:val="en-US" w:eastAsia="zh-CN" w:bidi="ar-SA"/>
              </w:rPr>
              <w:t>车辆冲洗</w:t>
            </w:r>
            <w:r>
              <w:rPr>
                <w:rFonts w:hint="eastAsia" w:ascii="Times New Roman" w:hAnsi="Times New Roman" w:eastAsia="宋体" w:cs="Times New Roman"/>
                <w:bCs/>
                <w:color w:val="auto"/>
                <w:kern w:val="0"/>
                <w:sz w:val="24"/>
                <w:szCs w:val="24"/>
                <w:highlight w:val="none"/>
                <w:lang w:val="en-US" w:eastAsia="zh-CN" w:bidi="ar-SA"/>
              </w:rPr>
              <w:t>用水</w:t>
            </w:r>
            <w:r>
              <w:rPr>
                <w:rFonts w:hint="default" w:ascii="Times New Roman" w:hAnsi="Times New Roman" w:eastAsia="宋体" w:cs="Times New Roman"/>
                <w:bCs/>
                <w:color w:val="auto"/>
                <w:kern w:val="0"/>
                <w:sz w:val="24"/>
                <w:szCs w:val="24"/>
                <w:highlight w:val="none"/>
                <w:lang w:val="en-US" w:eastAsia="zh-CN" w:bidi="ar-SA"/>
              </w:rPr>
              <w:t>主要为冲洗</w:t>
            </w:r>
            <w:r>
              <w:rPr>
                <w:rFonts w:hint="eastAsia" w:ascii="Times New Roman" w:cs="Times New Roman"/>
                <w:bCs/>
                <w:color w:val="auto"/>
                <w:kern w:val="0"/>
                <w:sz w:val="24"/>
                <w:szCs w:val="24"/>
                <w:highlight w:val="none"/>
                <w:lang w:val="en-US" w:eastAsia="zh-CN" w:bidi="ar-SA"/>
              </w:rPr>
              <w:t>平</w:t>
            </w:r>
            <w:r>
              <w:rPr>
                <w:rFonts w:hint="default" w:ascii="Times New Roman" w:hAnsi="Times New Roman" w:eastAsia="宋体" w:cs="Times New Roman"/>
                <w:bCs/>
                <w:color w:val="auto"/>
                <w:kern w:val="0"/>
                <w:sz w:val="24"/>
                <w:szCs w:val="24"/>
                <w:highlight w:val="none"/>
                <w:lang w:val="en-US" w:eastAsia="zh-CN" w:bidi="ar-SA"/>
              </w:rPr>
              <w:t>台对进出运输车辆</w:t>
            </w:r>
            <w:r>
              <w:rPr>
                <w:rFonts w:hint="eastAsia" w:ascii="Times New Roman" w:hAnsi="Times New Roman" w:eastAsia="宋体" w:cs="Times New Roman"/>
                <w:bCs/>
                <w:color w:val="auto"/>
                <w:kern w:val="0"/>
                <w:sz w:val="24"/>
                <w:szCs w:val="24"/>
                <w:highlight w:val="none"/>
                <w:lang w:val="en-US" w:eastAsia="zh-CN" w:bidi="ar-SA"/>
              </w:rPr>
              <w:t>进行</w:t>
            </w:r>
            <w:r>
              <w:rPr>
                <w:rFonts w:hint="default" w:ascii="Times New Roman" w:hAnsi="Times New Roman" w:eastAsia="宋体" w:cs="Times New Roman"/>
                <w:bCs/>
                <w:color w:val="auto"/>
                <w:kern w:val="0"/>
                <w:sz w:val="24"/>
                <w:szCs w:val="24"/>
                <w:highlight w:val="none"/>
                <w:lang w:val="en-US" w:eastAsia="zh-CN" w:bidi="ar-SA"/>
              </w:rPr>
              <w:t>冲洗。</w:t>
            </w:r>
            <w:r>
              <w:rPr>
                <w:rFonts w:hint="eastAsia"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highlight w:val="none"/>
                <w:lang w:val="en-US" w:eastAsia="zh-CN"/>
              </w:rPr>
              <w:t>原材料总量约为</w:t>
            </w:r>
            <w:r>
              <w:rPr>
                <w:rFonts w:hint="eastAsia" w:ascii="Times New Roman" w:cs="Times New Roman"/>
                <w:color w:val="auto"/>
                <w:sz w:val="24"/>
                <w:szCs w:val="24"/>
                <w:highlight w:val="none"/>
                <w:lang w:val="en-US" w:eastAsia="zh-CN"/>
              </w:rPr>
              <w:t>18.4</w:t>
            </w:r>
            <w:r>
              <w:rPr>
                <w:rFonts w:hint="eastAsia" w:ascii="Times New Roman" w:hAnsi="Times New Roman" w:eastAsia="宋体" w:cs="Times New Roman"/>
                <w:color w:val="auto"/>
                <w:sz w:val="24"/>
                <w:szCs w:val="24"/>
                <w:highlight w:val="none"/>
                <w:lang w:val="en-US" w:eastAsia="zh-CN"/>
              </w:rPr>
              <w:t>万吨，取一辆车装载量40吨，需要约</w:t>
            </w:r>
            <w:r>
              <w:rPr>
                <w:rFonts w:hint="eastAsia" w:ascii="Times New Roman" w:cs="Times New Roman"/>
                <w:color w:val="auto"/>
                <w:sz w:val="24"/>
                <w:szCs w:val="24"/>
                <w:highlight w:val="none"/>
                <w:lang w:val="en-US" w:eastAsia="zh-CN"/>
              </w:rPr>
              <w:t>16</w:t>
            </w:r>
            <w:r>
              <w:rPr>
                <w:rFonts w:hint="eastAsia" w:ascii="Times New Roman" w:hAnsi="Times New Roman" w:eastAsia="宋体" w:cs="Times New Roman"/>
                <w:color w:val="auto"/>
                <w:sz w:val="24"/>
                <w:szCs w:val="24"/>
                <w:highlight w:val="none"/>
                <w:lang w:val="en-US" w:eastAsia="zh-CN"/>
              </w:rPr>
              <w:t>辆次/天，</w:t>
            </w:r>
            <w:r>
              <w:rPr>
                <w:rFonts w:hint="default" w:ascii="Times New Roman" w:hAnsi="Times New Roman" w:eastAsia="宋体" w:cs="Times New Roman"/>
                <w:bCs/>
                <w:color w:val="auto"/>
                <w:kern w:val="0"/>
                <w:sz w:val="24"/>
                <w:szCs w:val="24"/>
                <w:highlight w:val="none"/>
                <w:lang w:val="en-US" w:eastAsia="zh-CN" w:bidi="ar-SA"/>
              </w:rPr>
              <w:t>根据《建筑给水排水设计标准》（GB500152019），载重汽车采用循环用水冲洗补水最高日用水定额为40-60L/辆·次，项目路面为水泥，选用下限值40L/辆·次，因此冲洗用水量约</w:t>
            </w:r>
            <w:r>
              <w:rPr>
                <w:rFonts w:hint="eastAsia" w:ascii="Times New Roman" w:cs="Times New Roman"/>
                <w:bCs/>
                <w:color w:val="auto"/>
                <w:kern w:val="0"/>
                <w:sz w:val="24"/>
                <w:szCs w:val="24"/>
                <w:highlight w:val="none"/>
                <w:lang w:val="en-US" w:eastAsia="zh-CN" w:bidi="ar-SA"/>
              </w:rPr>
              <w:t>0.64</w:t>
            </w:r>
            <w:r>
              <w:rPr>
                <w:rFonts w:hint="eastAsia" w:ascii="Times New Roman" w:hAnsi="Times New Roman" w:eastAsia="宋体" w:cs="Times New Roman"/>
                <w:bCs/>
                <w:color w:val="auto"/>
                <w:kern w:val="0"/>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/d（</w:t>
            </w:r>
            <w:r>
              <w:rPr>
                <w:rFonts w:hint="eastAsia" w:ascii="Times New Roman" w:cs="Times New Roman"/>
                <w:bCs/>
                <w:color w:val="auto"/>
                <w:kern w:val="0"/>
                <w:sz w:val="24"/>
                <w:szCs w:val="24"/>
                <w:highlight w:val="none"/>
                <w:lang w:val="en-US" w:eastAsia="zh-CN" w:bidi="ar-SA"/>
              </w:rPr>
              <w:t>192</w:t>
            </w:r>
            <w:r>
              <w:rPr>
                <w:rFonts w:hint="eastAsia" w:ascii="Times New Roman" w:hAnsi="Times New Roman" w:eastAsia="宋体" w:cs="Times New Roman"/>
                <w:bCs/>
                <w:color w:val="auto"/>
                <w:kern w:val="0"/>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/a），清洗废水排放系数按0.8计，则该部分废水量为</w:t>
            </w:r>
            <w:r>
              <w:rPr>
                <w:rFonts w:hint="eastAsia" w:ascii="Times New Roman" w:cs="Times New Roman"/>
                <w:bCs/>
                <w:color w:val="auto"/>
                <w:kern w:val="0"/>
                <w:sz w:val="24"/>
                <w:szCs w:val="24"/>
                <w:highlight w:val="none"/>
                <w:lang w:val="en-US" w:eastAsia="zh-CN" w:bidi="ar-SA"/>
              </w:rPr>
              <w:t>0.512</w:t>
            </w:r>
            <w:r>
              <w:rPr>
                <w:rFonts w:hint="eastAsia" w:ascii="Times New Roman" w:hAnsi="Times New Roman" w:eastAsia="宋体" w:cs="Times New Roman"/>
                <w:bCs/>
                <w:color w:val="auto"/>
                <w:kern w:val="0"/>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/d（</w:t>
            </w:r>
            <w:r>
              <w:rPr>
                <w:rFonts w:hint="eastAsia" w:ascii="Times New Roman" w:cs="Times New Roman"/>
                <w:bCs/>
                <w:color w:val="auto"/>
                <w:kern w:val="0"/>
                <w:sz w:val="24"/>
                <w:szCs w:val="24"/>
                <w:highlight w:val="none"/>
                <w:lang w:val="en-US" w:eastAsia="zh-CN" w:bidi="ar-SA"/>
              </w:rPr>
              <w:t>153.6</w:t>
            </w:r>
            <w:r>
              <w:rPr>
                <w:rFonts w:hint="eastAsia" w:ascii="Times New Roman" w:hAnsi="Times New Roman" w:eastAsia="宋体" w:cs="Times New Roman"/>
                <w:bCs/>
                <w:color w:val="auto"/>
                <w:kern w:val="0"/>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/a），经</w:t>
            </w:r>
            <w:r>
              <w:rPr>
                <w:rFonts w:hint="eastAsia"/>
                <w:color w:val="auto"/>
                <w:sz w:val="24"/>
              </w:rPr>
              <w:t>三级沉淀池沉淀后回用于</w:t>
            </w:r>
            <w:r>
              <w:rPr>
                <w:rFonts w:hint="eastAsia"/>
                <w:color w:val="auto"/>
                <w:sz w:val="24"/>
                <w:lang w:eastAsia="zh-CN"/>
              </w:rPr>
              <w:t>搅拌工序</w:t>
            </w:r>
            <w:r>
              <w:rPr>
                <w:rFonts w:hint="default" w:ascii="Times New Roman" w:hAnsi="Times New Roman" w:eastAsia="宋体" w:cs="Times New Roman"/>
                <w:bCs/>
                <w:color w:val="auto"/>
                <w:kern w:val="0"/>
                <w:sz w:val="24"/>
                <w:szCs w:val="24"/>
                <w:highlight w:val="none"/>
                <w:lang w:val="en-US" w:eastAsia="zh-CN" w:bidi="ar-SA"/>
              </w:rPr>
              <w:t>，不外排。</w:t>
            </w:r>
          </w:p>
          <w:p>
            <w:pPr>
              <w:pStyle w:val="38"/>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w:t>
            </w:r>
            <w:r>
              <w:rPr>
                <w:rFonts w:hint="eastAsia" w:ascii="Times New Roman" w:cs="Times New Roman"/>
                <w:bCs/>
                <w:color w:val="auto"/>
                <w:kern w:val="0"/>
                <w:sz w:val="24"/>
                <w:szCs w:val="24"/>
                <w:highlight w:val="none"/>
                <w:lang w:val="en-US" w:eastAsia="zh-CN" w:bidi="ar-SA"/>
              </w:rPr>
              <w:t>5</w:t>
            </w:r>
            <w:r>
              <w:rPr>
                <w:rFonts w:hint="eastAsia" w:ascii="Times New Roman" w:hAnsi="Times New Roman" w:eastAsia="宋体" w:cs="Times New Roman"/>
                <w:bCs/>
                <w:color w:val="auto"/>
                <w:kern w:val="0"/>
                <w:sz w:val="24"/>
                <w:szCs w:val="24"/>
                <w:highlight w:val="none"/>
                <w:lang w:val="en-US" w:eastAsia="zh-CN" w:bidi="ar-SA"/>
              </w:rPr>
              <w:t>）</w:t>
            </w:r>
            <w:r>
              <w:rPr>
                <w:rFonts w:hint="eastAsia" w:ascii="Times New Roman" w:cs="Times New Roman"/>
                <w:bCs/>
                <w:color w:val="auto"/>
                <w:kern w:val="0"/>
                <w:sz w:val="24"/>
                <w:szCs w:val="24"/>
                <w:highlight w:val="none"/>
                <w:lang w:val="en-US" w:eastAsia="zh-CN" w:bidi="ar-SA"/>
              </w:rPr>
              <w:t>设备</w:t>
            </w:r>
            <w:r>
              <w:rPr>
                <w:rFonts w:hint="eastAsia" w:ascii="Times New Roman" w:hAnsi="Times New Roman" w:eastAsia="宋体" w:cs="Times New Roman"/>
                <w:bCs/>
                <w:color w:val="auto"/>
                <w:kern w:val="0"/>
                <w:sz w:val="24"/>
                <w:szCs w:val="24"/>
                <w:highlight w:val="none"/>
                <w:lang w:val="en-US" w:eastAsia="zh-CN" w:bidi="ar-SA"/>
              </w:rPr>
              <w:t>冲洗用水</w:t>
            </w:r>
          </w:p>
          <w:p>
            <w:pPr>
              <w:pStyle w:val="38"/>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eastAsia" w:ascii="Times New Roman" w:cs="Times New Roman"/>
                <w:color w:val="auto"/>
                <w:lang w:eastAsia="zh-CN"/>
              </w:rPr>
              <w:t>模具、</w:t>
            </w:r>
            <w:r>
              <w:rPr>
                <w:rFonts w:hint="default" w:ascii="Times New Roman" w:hAnsi="Times New Roman" w:eastAsia="宋体" w:cs="Times New Roman"/>
                <w:color w:val="auto"/>
              </w:rPr>
              <w:t>搅拌机为本项目的主要生产设备，在停止生产后，必须清洗干净</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每天完成生产后进行一次清洗，</w:t>
            </w:r>
            <w:r>
              <w:rPr>
                <w:rFonts w:hint="eastAsia" w:ascii="Times New Roman" w:cs="Times New Roman"/>
                <w:color w:val="auto"/>
                <w:lang w:val="en-US" w:eastAsia="zh-CN"/>
              </w:rPr>
              <w:t>冲洗</w:t>
            </w:r>
            <w:r>
              <w:rPr>
                <w:rFonts w:hint="default" w:ascii="Times New Roman" w:hAnsi="Times New Roman" w:eastAsia="宋体" w:cs="Times New Roman"/>
                <w:color w:val="auto"/>
                <w:lang w:val="en-US" w:eastAsia="zh-CN"/>
              </w:rPr>
              <w:t>用水量约为</w:t>
            </w:r>
            <w:r>
              <w:rPr>
                <w:rFonts w:hint="eastAsia" w:ascii="Times New Roman" w:hAnsi="Times New Roman" w:eastAsia="宋体" w:cs="Times New Roman"/>
                <w:color w:val="auto"/>
                <w:lang w:val="en-US" w:eastAsia="zh-CN"/>
              </w:rPr>
              <w:t>2.5t</w:t>
            </w:r>
            <w:r>
              <w:rPr>
                <w:rFonts w:hint="default" w:ascii="Times New Roman" w:hAnsi="Times New Roman" w:eastAsia="宋体" w:cs="Times New Roman"/>
                <w:color w:val="auto"/>
              </w:rPr>
              <w:t>/d（</w:t>
            </w:r>
            <w:r>
              <w:rPr>
                <w:rFonts w:hint="eastAsia" w:ascii="Times New Roman" w:hAnsi="Times New Roman" w:eastAsia="宋体" w:cs="Times New Roman"/>
                <w:color w:val="auto"/>
                <w:lang w:val="en-US" w:eastAsia="zh-CN"/>
              </w:rPr>
              <w:t>750t</w:t>
            </w:r>
            <w:r>
              <w:rPr>
                <w:rFonts w:hint="default" w:ascii="Times New Roman" w:hAnsi="Times New Roman" w:eastAsia="宋体" w:cs="Times New Roman"/>
                <w:color w:val="auto"/>
              </w:rPr>
              <w:t>/a）</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废水量</w:t>
            </w:r>
            <w:r>
              <w:rPr>
                <w:rFonts w:hint="default" w:ascii="Times New Roman" w:hAnsi="Times New Roman" w:eastAsia="宋体" w:cs="Times New Roman"/>
                <w:color w:val="auto"/>
              </w:rPr>
              <w:t>按照</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0%计，则</w:t>
            </w:r>
            <w:r>
              <w:rPr>
                <w:rFonts w:hint="eastAsia" w:ascii="Times New Roman" w:cs="Times New Roman"/>
                <w:color w:val="auto"/>
                <w:lang w:eastAsia="zh-CN"/>
              </w:rPr>
              <w:t>冲洗废水</w:t>
            </w:r>
            <w:r>
              <w:rPr>
                <w:rFonts w:hint="default" w:ascii="Times New Roman" w:hAnsi="Times New Roman" w:eastAsia="宋体" w:cs="Times New Roman"/>
                <w:color w:val="auto"/>
              </w:rPr>
              <w:t>产生量为</w:t>
            </w:r>
            <w:r>
              <w:rPr>
                <w:rFonts w:hint="eastAsia" w:ascii="Times New Roman" w:hAnsi="Times New Roman" w:eastAsia="宋体" w:cs="Times New Roman"/>
                <w:color w:val="auto"/>
                <w:lang w:val="en-US" w:eastAsia="zh-CN"/>
              </w:rPr>
              <w:t>2t</w:t>
            </w:r>
            <w:r>
              <w:rPr>
                <w:rFonts w:hint="default" w:ascii="Times New Roman" w:hAnsi="Times New Roman" w:eastAsia="宋体" w:cs="Times New Roman"/>
                <w:color w:val="auto"/>
              </w:rPr>
              <w:t>/d（</w:t>
            </w:r>
            <w:r>
              <w:rPr>
                <w:rFonts w:hint="eastAsia" w:ascii="Times New Roman" w:hAnsi="Times New Roman" w:eastAsia="宋体" w:cs="Times New Roman"/>
                <w:color w:val="auto"/>
                <w:lang w:val="en-US" w:eastAsia="zh-CN"/>
              </w:rPr>
              <w:t>600t</w:t>
            </w:r>
            <w:r>
              <w:rPr>
                <w:rFonts w:hint="default" w:ascii="Times New Roman" w:hAnsi="Times New Roman" w:eastAsia="宋体" w:cs="Times New Roman"/>
                <w:color w:val="auto"/>
              </w:rPr>
              <w:t>/a），</w:t>
            </w:r>
            <w:r>
              <w:rPr>
                <w:rFonts w:hint="default" w:ascii="Times New Roman" w:hAnsi="Times New Roman" w:eastAsia="宋体" w:cs="Times New Roman"/>
                <w:bCs/>
                <w:color w:val="auto"/>
                <w:kern w:val="0"/>
                <w:sz w:val="24"/>
                <w:szCs w:val="24"/>
                <w:highlight w:val="none"/>
                <w:lang w:val="en-US" w:eastAsia="zh-CN" w:bidi="ar-SA"/>
              </w:rPr>
              <w:t>经</w:t>
            </w:r>
            <w:r>
              <w:rPr>
                <w:rFonts w:hint="eastAsia"/>
                <w:color w:val="auto"/>
                <w:sz w:val="24"/>
              </w:rPr>
              <w:t>三级沉淀池沉淀后回用于</w:t>
            </w:r>
            <w:r>
              <w:rPr>
                <w:rFonts w:hint="eastAsia"/>
                <w:color w:val="auto"/>
                <w:sz w:val="24"/>
                <w:lang w:eastAsia="zh-CN"/>
              </w:rPr>
              <w:t>搅拌工序</w:t>
            </w:r>
            <w:r>
              <w:rPr>
                <w:rFonts w:hint="default" w:ascii="Times New Roman" w:hAnsi="Times New Roman" w:eastAsia="宋体" w:cs="Times New Roman"/>
                <w:bCs/>
                <w:color w:val="auto"/>
                <w:kern w:val="0"/>
                <w:sz w:val="24"/>
                <w:szCs w:val="24"/>
                <w:highlight w:val="none"/>
                <w:lang w:val="en-US" w:eastAsia="zh-CN" w:bidi="ar-SA"/>
              </w:rPr>
              <w:t>，不外排。</w:t>
            </w:r>
          </w:p>
          <w:p>
            <w:pPr>
              <w:pStyle w:val="38"/>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w:t>
            </w:r>
            <w:r>
              <w:rPr>
                <w:rFonts w:hint="eastAsia" w:ascii="Times New Roman" w:cs="Times New Roman"/>
                <w:bCs/>
                <w:color w:val="auto"/>
                <w:kern w:val="0"/>
                <w:sz w:val="24"/>
                <w:szCs w:val="24"/>
                <w:highlight w:val="none"/>
                <w:lang w:val="en-US" w:eastAsia="zh-CN" w:bidi="ar-SA"/>
              </w:rPr>
              <w:t>6</w:t>
            </w:r>
            <w:r>
              <w:rPr>
                <w:rFonts w:hint="eastAsia" w:ascii="Times New Roman" w:hAnsi="Times New Roman" w:eastAsia="宋体" w:cs="Times New Roman"/>
                <w:bCs/>
                <w:color w:val="auto"/>
                <w:kern w:val="0"/>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rPr>
              <w:t>喷淋</w:t>
            </w:r>
            <w:r>
              <w:rPr>
                <w:rFonts w:hint="default" w:ascii="Times New Roman" w:hAnsi="Times New Roman" w:eastAsia="宋体" w:cs="Times New Roman"/>
                <w:color w:val="auto"/>
                <w:kern w:val="2"/>
                <w:sz w:val="24"/>
                <w:szCs w:val="24"/>
                <w:highlight w:val="none"/>
                <w:lang w:val="en-US" w:eastAsia="zh-CN" w:bidi="ar-SA"/>
              </w:rPr>
              <w:t>降尘用水</w:t>
            </w:r>
          </w:p>
          <w:p>
            <w:pPr>
              <w:pStyle w:val="40"/>
              <w:spacing w:beforeLines="0" w:line="360" w:lineRule="auto"/>
              <w:rPr>
                <w:rFonts w:hint="eastAsia" w:ascii="Times New Roman" w:hAnsi="Times New Roman" w:cs="Times New Roman"/>
                <w:color w:val="auto"/>
              </w:rPr>
            </w:pPr>
            <w:r>
              <w:rPr>
                <w:rFonts w:hint="eastAsia" w:ascii="Times New Roman" w:hAnsi="Times New Roman" w:cs="Times New Roman"/>
                <w:color w:val="auto"/>
              </w:rPr>
              <w:t>项目为控制卸料及运输过程中的扬尘，在生产车间及厂区道路设置分区喷淋降尘系统，具体如下：</w:t>
            </w:r>
          </w:p>
          <w:p>
            <w:pPr>
              <w:pStyle w:val="40"/>
              <w:spacing w:beforeLines="0" w:line="360" w:lineRule="auto"/>
              <w:rPr>
                <w:rFonts w:hint="eastAsia" w:ascii="Times New Roman" w:hAnsi="Times New Roman" w:cs="Times New Roman"/>
                <w:color w:val="auto"/>
              </w:rPr>
            </w:pPr>
            <w:r>
              <w:rPr>
                <w:rFonts w:hint="eastAsia" w:ascii="Times New Roman" w:hAnsi="Times New Roman" w:cs="Times New Roman"/>
                <w:color w:val="auto"/>
              </w:rPr>
              <w:t>① 生产</w:t>
            </w:r>
            <w:r>
              <w:rPr>
                <w:rFonts w:hint="eastAsia" w:ascii="Times New Roman" w:hAnsi="Times New Roman" w:cs="Times New Roman"/>
                <w:color w:val="auto"/>
                <w:lang w:eastAsia="zh-CN"/>
              </w:rPr>
              <w:t>车间</w:t>
            </w:r>
            <w:r>
              <w:rPr>
                <w:rFonts w:hint="eastAsia" w:ascii="Times New Roman" w:hAnsi="Times New Roman" w:cs="Times New Roman"/>
                <w:color w:val="auto"/>
              </w:rPr>
              <w:t>高压雾化降尘系统</w:t>
            </w:r>
          </w:p>
          <w:p>
            <w:pPr>
              <w:pStyle w:val="40"/>
              <w:spacing w:beforeLines="0" w:line="360" w:lineRule="auto"/>
              <w:rPr>
                <w:rFonts w:hint="eastAsia" w:ascii="Times New Roman" w:hAnsi="Times New Roman" w:cs="Times New Roman"/>
                <w:color w:val="auto"/>
              </w:rPr>
            </w:pPr>
            <w:r>
              <w:rPr>
                <w:rFonts w:hint="eastAsia" w:ascii="Times New Roman" w:hAnsi="Times New Roman" w:cs="Times New Roman"/>
                <w:color w:val="auto"/>
              </w:rPr>
              <w:t>覆盖原料</w:t>
            </w:r>
            <w:r>
              <w:rPr>
                <w:rFonts w:hint="eastAsia" w:ascii="Times New Roman" w:hAnsi="Times New Roman" w:cs="Times New Roman"/>
                <w:color w:val="auto"/>
                <w:lang w:eastAsia="zh-CN"/>
              </w:rPr>
              <w:t>区</w:t>
            </w:r>
            <w:r>
              <w:rPr>
                <w:rFonts w:hint="eastAsia" w:ascii="Times New Roman" w:hAnsi="Times New Roman" w:cs="Times New Roman"/>
                <w:color w:val="auto"/>
              </w:rPr>
              <w:t>、投料口、输送廊道、计量斗及搅拌区域等重点产尘部位，共设置64个高压雾化喷头：原料</w:t>
            </w:r>
            <w:r>
              <w:rPr>
                <w:rFonts w:hint="eastAsia" w:ascii="Times New Roman" w:hAnsi="Times New Roman" w:cs="Times New Roman"/>
                <w:color w:val="auto"/>
                <w:lang w:eastAsia="zh-CN"/>
              </w:rPr>
              <w:t>区</w:t>
            </w:r>
            <w:r>
              <w:rPr>
                <w:rFonts w:hint="eastAsia" w:ascii="Times New Roman" w:hAnsi="Times New Roman" w:cs="Times New Roman"/>
                <w:color w:val="auto"/>
              </w:rPr>
              <w:t>20个、投料口5个、输送廊道20个、计量斗区域6个、搅拌区域12个。单个喷头喷洒水量0.5L/min（水压0.4MPa），运行频次为每20分钟启动1次，每次持续喷雾2分钟，日运行10小时，日喷雾30次。该部分用水量为 1.92t/d（576t/a） 。</w:t>
            </w:r>
          </w:p>
          <w:p>
            <w:pPr>
              <w:pStyle w:val="40"/>
              <w:spacing w:beforeLines="0" w:line="360" w:lineRule="auto"/>
              <w:rPr>
                <w:rFonts w:hint="eastAsia" w:ascii="Times New Roman" w:hAnsi="Times New Roman" w:cs="Times New Roman"/>
                <w:color w:val="auto"/>
              </w:rPr>
            </w:pPr>
            <w:r>
              <w:rPr>
                <w:rFonts w:hint="eastAsia" w:ascii="Times New Roman" w:hAnsi="Times New Roman" w:cs="Times New Roman"/>
                <w:color w:val="auto"/>
              </w:rPr>
              <w:t>② 厂区道路雾炮机降尘</w:t>
            </w:r>
          </w:p>
          <w:p>
            <w:pPr>
              <w:pStyle w:val="40"/>
              <w:spacing w:beforeLines="0" w:line="360" w:lineRule="auto"/>
              <w:rPr>
                <w:rFonts w:hint="eastAsia" w:ascii="Times New Roman" w:hAnsi="Times New Roman" w:cs="Times New Roman"/>
                <w:color w:val="auto"/>
              </w:rPr>
            </w:pPr>
            <w:r>
              <w:rPr>
                <w:rFonts w:hint="eastAsia" w:ascii="Times New Roman" w:hAnsi="Times New Roman" w:cs="Times New Roman"/>
                <w:color w:val="auto"/>
              </w:rPr>
              <w:t>厂区道路采用雾炮机进行移动式喷淋，每日喷淋6次，每次10分钟，单次用水量0.43t，该部分用水量为 2.58t/d（774t/a） 。</w:t>
            </w:r>
          </w:p>
          <w:p>
            <w:pPr>
              <w:pStyle w:val="40"/>
              <w:spacing w:beforeLines="0" w:line="360" w:lineRule="auto"/>
              <w:rPr>
                <w:rFonts w:hint="eastAsia" w:ascii="Times New Roman" w:hAnsi="Times New Roman" w:cs="Times New Roman"/>
                <w:color w:val="auto"/>
              </w:rPr>
            </w:pPr>
            <w:r>
              <w:rPr>
                <w:rFonts w:hint="eastAsia" w:ascii="Times New Roman" w:hAnsi="Times New Roman" w:cs="Times New Roman"/>
                <w:color w:val="auto"/>
              </w:rPr>
              <w:t>综上，项目喷淋降尘总用水量为</w:t>
            </w:r>
            <w:r>
              <w:rPr>
                <w:rFonts w:hint="eastAsia" w:ascii="Times New Roman" w:hAnsi="Times New Roman" w:cs="Times New Roman"/>
                <w:color w:val="auto"/>
                <w:lang w:val="en-US" w:eastAsia="zh-CN"/>
              </w:rPr>
              <w:t>4.5</w:t>
            </w:r>
            <w:r>
              <w:rPr>
                <w:rFonts w:hint="eastAsia" w:ascii="Times New Roman" w:hAnsi="Times New Roman" w:cs="Times New Roman"/>
                <w:color w:val="auto"/>
              </w:rPr>
              <w:t>t/d（</w:t>
            </w:r>
            <w:r>
              <w:rPr>
                <w:rFonts w:hint="eastAsia" w:ascii="Times New Roman" w:hAnsi="Times New Roman" w:cs="Times New Roman"/>
                <w:color w:val="auto"/>
                <w:lang w:val="en-US" w:eastAsia="zh-CN"/>
              </w:rPr>
              <w:t>1350</w:t>
            </w:r>
            <w:r>
              <w:rPr>
                <w:rFonts w:hint="eastAsia" w:ascii="Times New Roman" w:hAnsi="Times New Roman" w:cs="Times New Roman"/>
                <w:color w:val="auto"/>
              </w:rPr>
              <w:t>t/a），此部分水全部蒸发损耗，不外排。</w:t>
            </w:r>
          </w:p>
          <w:p>
            <w:pPr>
              <w:pStyle w:val="40"/>
              <w:spacing w:beforeLines="0" w:line="360" w:lineRule="auto"/>
              <w:rPr>
                <w:rFonts w:ascii="Times New Roman" w:hAnsi="Times New Roman" w:cs="Times New Roman"/>
                <w:color w:val="auto"/>
              </w:rPr>
            </w:pPr>
            <w:r>
              <w:rPr>
                <w:rFonts w:hint="eastAsia" w:ascii="Times New Roman" w:hAnsi="Times New Roman" w:cs="Times New Roman"/>
                <w:color w:val="auto"/>
              </w:rPr>
              <w:t>（</w:t>
            </w:r>
            <w:r>
              <w:rPr>
                <w:rFonts w:hint="eastAsia" w:ascii="Times New Roman" w:hAnsi="Times New Roman" w:cs="Times New Roman"/>
                <w:color w:val="auto"/>
                <w:lang w:val="en-US" w:eastAsia="zh-CN"/>
              </w:rPr>
              <w:t>7</w:t>
            </w:r>
            <w:r>
              <w:rPr>
                <w:rFonts w:hint="eastAsia" w:ascii="Times New Roman" w:hAnsi="Times New Roman" w:cs="Times New Roman"/>
                <w:color w:val="auto"/>
              </w:rPr>
              <w:t>）</w:t>
            </w:r>
            <w:r>
              <w:rPr>
                <w:rFonts w:ascii="Times New Roman" w:hAnsi="Times New Roman" w:cs="Times New Roman"/>
                <w:color w:val="auto"/>
              </w:rPr>
              <w:t>初期雨水</w:t>
            </w:r>
          </w:p>
          <w:p>
            <w:pPr>
              <w:pStyle w:val="3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zh-CN" w:eastAsia="zh-CN"/>
              </w:rPr>
            </w:pPr>
            <w:r>
              <w:rPr>
                <w:rFonts w:hint="eastAsia" w:ascii="Times New Roman" w:hAnsi="Times New Roman" w:eastAsia="宋体" w:cs="Times New Roman"/>
                <w:color w:val="auto"/>
                <w:kern w:val="0"/>
                <w:sz w:val="24"/>
                <w:szCs w:val="24"/>
                <w:lang w:val="en-US" w:eastAsia="zh-CN"/>
              </w:rPr>
              <w:t>考虑厂区内</w:t>
            </w:r>
            <w:r>
              <w:rPr>
                <w:rFonts w:hint="default" w:ascii="Times New Roman" w:hAnsi="Times New Roman" w:eastAsia="宋体" w:cs="Times New Roman"/>
                <w:color w:val="auto"/>
                <w:kern w:val="0"/>
                <w:sz w:val="24"/>
                <w:szCs w:val="24"/>
                <w:lang w:val="zh-CN" w:eastAsia="zh-CN"/>
              </w:rPr>
              <w:t>雨水冲刷产生的废水及生产过程中产生的无组织粉尘逸散堆积经过雨水冲刷产生的废水，直接径流会对附近水体产生影响。本项目</w:t>
            </w:r>
            <w:r>
              <w:rPr>
                <w:rFonts w:hint="eastAsia" w:ascii="Times New Roman" w:hAnsi="Times New Roman" w:eastAsia="宋体" w:cs="Times New Roman"/>
                <w:color w:val="auto"/>
                <w:kern w:val="0"/>
                <w:sz w:val="24"/>
                <w:szCs w:val="24"/>
                <w:lang w:val="en-US" w:eastAsia="zh-CN"/>
              </w:rPr>
              <w:t>拟在</w:t>
            </w:r>
            <w:r>
              <w:rPr>
                <w:rFonts w:hint="eastAsia" w:ascii="Times New Roman" w:hAnsi="Times New Roman" w:eastAsia="宋体" w:cs="Times New Roman"/>
                <w:color w:val="auto"/>
                <w:kern w:val="0"/>
                <w:sz w:val="24"/>
                <w:szCs w:val="24"/>
                <w:lang w:val="zh-CN" w:eastAsia="zh-CN"/>
              </w:rPr>
              <w:t>场地四周</w:t>
            </w:r>
            <w:r>
              <w:rPr>
                <w:rFonts w:hint="eastAsia" w:ascii="Times New Roman" w:hAnsi="Times New Roman" w:eastAsia="宋体" w:cs="Times New Roman"/>
                <w:color w:val="auto"/>
                <w:kern w:val="0"/>
                <w:sz w:val="24"/>
                <w:szCs w:val="24"/>
                <w:lang w:val="en-US" w:eastAsia="zh-CN"/>
              </w:rPr>
              <w:t>布设</w:t>
            </w:r>
            <w:r>
              <w:rPr>
                <w:rFonts w:hint="eastAsia" w:ascii="Times New Roman" w:hAnsi="Times New Roman" w:eastAsia="宋体" w:cs="Times New Roman"/>
                <w:color w:val="auto"/>
                <w:kern w:val="0"/>
                <w:sz w:val="24"/>
                <w:szCs w:val="24"/>
                <w:lang w:val="zh-CN" w:eastAsia="zh-CN"/>
              </w:rPr>
              <w:t>初期雨水截流沟连接雨水收集池，初期雨水经收集处理后回用于生产，项目沉淀池沉渣收集后外售综合利用。</w:t>
            </w:r>
          </w:p>
          <w:p>
            <w:pPr>
              <w:pStyle w:val="3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zh-CN" w:eastAsia="zh-CN"/>
              </w:rPr>
            </w:pPr>
            <w:r>
              <w:rPr>
                <w:rFonts w:hint="default" w:ascii="Times New Roman" w:hAnsi="Times New Roman" w:eastAsia="宋体" w:cs="Times New Roman"/>
                <w:color w:val="auto"/>
                <w:kern w:val="0"/>
                <w:sz w:val="24"/>
                <w:szCs w:val="24"/>
                <w:lang w:val="zh-CN" w:eastAsia="zh-CN"/>
              </w:rPr>
              <w:t>暴雨强度（i）根据</w:t>
            </w:r>
            <w:r>
              <w:rPr>
                <w:rFonts w:hint="eastAsia" w:ascii="Times New Roman" w:cs="Times New Roman"/>
                <w:color w:val="auto"/>
                <w:kern w:val="0"/>
                <w:sz w:val="24"/>
                <w:szCs w:val="24"/>
                <w:lang w:val="zh-CN" w:eastAsia="zh-CN"/>
              </w:rPr>
              <w:t>淮南市</w:t>
            </w:r>
            <w:r>
              <w:rPr>
                <w:rFonts w:hint="default" w:ascii="Times New Roman" w:hAnsi="Times New Roman" w:eastAsia="宋体" w:cs="Times New Roman"/>
                <w:color w:val="auto"/>
                <w:kern w:val="0"/>
                <w:sz w:val="24"/>
                <w:szCs w:val="24"/>
                <w:lang w:val="zh-CN" w:eastAsia="zh-CN"/>
              </w:rPr>
              <w:t>暴雨强度公式进行计算：</w:t>
            </w:r>
          </w:p>
          <w:p>
            <w:pPr>
              <w:pStyle w:val="3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ascii="宋体" w:hAnsi="宋体" w:eastAsia="宋体" w:cs="宋体"/>
                <w:color w:val="auto"/>
                <w:sz w:val="24"/>
                <w:szCs w:val="24"/>
                <w:lang w:val="zh-CN" w:eastAsia="zh-CN" w:bidi="zh-CN"/>
              </w:rPr>
            </w:pPr>
            <w:r>
              <w:rPr>
                <w:rFonts w:ascii="宋体" w:hAnsi="宋体" w:eastAsia="宋体" w:cs="宋体"/>
                <w:color w:val="auto"/>
                <w:sz w:val="24"/>
                <w:szCs w:val="24"/>
                <w:lang w:val="zh-CN" w:eastAsia="zh-CN" w:bidi="zh-CN"/>
              </w:rPr>
              <w:t>式中：</w:t>
            </w:r>
            <w:r>
              <w:rPr>
                <w:rFonts w:ascii="Times New Roman" w:hAnsi="宋体" w:eastAsia="Times New Roman" w:cs="宋体"/>
                <w:color w:val="auto"/>
                <w:sz w:val="24"/>
                <w:szCs w:val="24"/>
                <w:lang w:val="zh-CN" w:eastAsia="zh-CN" w:bidi="zh-CN"/>
              </w:rPr>
              <w:t>P</w:t>
            </w:r>
            <w:r>
              <w:rPr>
                <w:rFonts w:ascii="宋体" w:hAnsi="宋体" w:eastAsia="宋体" w:cs="宋体"/>
                <w:color w:val="auto"/>
                <w:sz w:val="24"/>
                <w:szCs w:val="24"/>
                <w:lang w:val="zh-CN" w:eastAsia="zh-CN" w:bidi="zh-CN"/>
              </w:rPr>
              <w:t>为重现期，取</w:t>
            </w:r>
            <w:r>
              <w:rPr>
                <w:rFonts w:hint="eastAsia" w:hAnsi="宋体" w:eastAsia="Times New Roman" w:cs="宋体"/>
                <w:color w:val="auto"/>
                <w:sz w:val="24"/>
                <w:szCs w:val="24"/>
                <w:lang w:val="en-US" w:eastAsia="zh-CN" w:bidi="zh-CN"/>
              </w:rPr>
              <w:t>3</w:t>
            </w:r>
            <w:r>
              <w:rPr>
                <w:rFonts w:ascii="宋体" w:hAnsi="宋体" w:eastAsia="宋体" w:cs="宋体"/>
                <w:color w:val="auto"/>
                <w:sz w:val="24"/>
                <w:szCs w:val="24"/>
                <w:lang w:val="zh-CN" w:eastAsia="zh-CN" w:bidi="zh-CN"/>
              </w:rPr>
              <w:t>年；</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firstLine="1200" w:firstLineChars="500"/>
              <w:jc w:val="left"/>
              <w:textAlignment w:val="auto"/>
              <w:rPr>
                <w:rFonts w:ascii="宋体" w:hAnsi="宋体" w:eastAsia="宋体" w:cs="宋体"/>
                <w:color w:val="auto"/>
                <w:sz w:val="24"/>
                <w:szCs w:val="24"/>
                <w:lang w:val="zh-CN" w:eastAsia="zh-CN" w:bidi="zh-CN"/>
              </w:rPr>
            </w:pPr>
            <w:r>
              <w:rPr>
                <w:rFonts w:ascii="Times New Roman" w:hAnsi="宋体" w:eastAsia="Times New Roman" w:cs="宋体"/>
                <w:color w:val="auto"/>
                <w:sz w:val="24"/>
                <w:szCs w:val="24"/>
                <w:lang w:val="zh-CN" w:eastAsia="zh-CN" w:bidi="zh-CN"/>
              </w:rPr>
              <w:t>t</w:t>
            </w:r>
            <w:r>
              <w:rPr>
                <w:rFonts w:ascii="宋体" w:hAnsi="宋体" w:eastAsia="宋体" w:cs="宋体"/>
                <w:color w:val="auto"/>
                <w:sz w:val="24"/>
                <w:szCs w:val="24"/>
                <w:lang w:val="zh-CN" w:eastAsia="zh-CN" w:bidi="zh-CN"/>
              </w:rPr>
              <w:t>为降雨历时（取</w:t>
            </w:r>
            <w:r>
              <w:rPr>
                <w:rFonts w:hint="default" w:ascii="Times New Roman" w:hAnsi="Times New Roman" w:eastAsia="Times New Roman" w:cs="Times New Roman"/>
                <w:color w:val="auto"/>
                <w:sz w:val="24"/>
                <w:szCs w:val="24"/>
                <w:lang w:val="en-US" w:eastAsia="zh-CN" w:bidi="zh-CN"/>
              </w:rPr>
              <w:t>120</w:t>
            </w:r>
            <w:r>
              <w:rPr>
                <w:rFonts w:hint="default" w:ascii="Times New Roman" w:hAnsi="Times New Roman" w:cs="Times New Roman"/>
                <w:color w:val="auto"/>
                <w:sz w:val="24"/>
                <w:szCs w:val="24"/>
                <w:lang w:val="en-US" w:eastAsia="zh-CN" w:bidi="zh-CN"/>
              </w:rPr>
              <w:t>min</w:t>
            </w:r>
            <w:r>
              <w:rPr>
                <w:rFonts w:ascii="Times New Roman" w:hAnsi="Times New Roman" w:eastAsia="宋体" w:cs="Times New Roman"/>
                <w:color w:val="auto"/>
                <w:sz w:val="24"/>
                <w:szCs w:val="24"/>
                <w:lang w:val="zh-CN" w:eastAsia="zh-CN" w:bidi="zh-CN"/>
              </w:rPr>
              <w:t>）</w:t>
            </w:r>
            <w:r>
              <w:rPr>
                <w:rFonts w:ascii="宋体" w:hAnsi="宋体" w:eastAsia="宋体" w:cs="宋体"/>
                <w:color w:val="auto"/>
                <w:sz w:val="24"/>
                <w:szCs w:val="24"/>
                <w:lang w:val="zh-CN" w:eastAsia="zh-CN" w:bidi="zh-CN"/>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960" w:firstLineChars="400"/>
              <w:jc w:val="left"/>
              <w:textAlignment w:val="auto"/>
              <w:rPr>
                <w:rFonts w:hint="default" w:ascii="Times New Roman" w:hAnsi="Times New Roman" w:eastAsia="宋体" w:cs="Times New Roman"/>
                <w:color w:val="auto"/>
                <w:sz w:val="24"/>
                <w:szCs w:val="24"/>
                <w:lang w:val="zh-CN" w:eastAsia="zh-CN" w:bidi="zh-CN"/>
              </w:rPr>
            </w:pPr>
            <w:r>
              <w:rPr>
                <w:rFonts w:ascii="宋体" w:hAnsi="宋体" w:eastAsia="宋体" w:cs="宋体"/>
                <w:color w:val="auto"/>
                <w:sz w:val="24"/>
                <w:szCs w:val="24"/>
                <w:lang w:val="zh-CN" w:eastAsia="zh-CN" w:bidi="zh-CN"/>
              </w:rPr>
              <w:t>经计算，暴雨</w:t>
            </w:r>
            <w:r>
              <w:rPr>
                <w:rFonts w:hint="default" w:ascii="Times New Roman" w:hAnsi="Times New Roman" w:eastAsia="宋体" w:cs="Times New Roman"/>
                <w:color w:val="auto"/>
                <w:sz w:val="24"/>
                <w:szCs w:val="24"/>
                <w:lang w:val="zh-CN" w:eastAsia="zh-CN" w:bidi="zh-CN"/>
              </w:rPr>
              <w:t>强度</w:t>
            </w:r>
            <w:r>
              <w:rPr>
                <w:rFonts w:hint="eastAsia" w:ascii="Times New Roman" w:hAnsi="Times New Roman" w:eastAsia="宋体" w:cs="Times New Roman"/>
                <w:color w:val="auto"/>
                <w:sz w:val="24"/>
                <w:szCs w:val="24"/>
                <w:lang w:val="en-US" w:eastAsia="zh-CN" w:bidi="zh-CN"/>
              </w:rPr>
              <w:t>87.54</w:t>
            </w:r>
            <w:r>
              <w:rPr>
                <w:rFonts w:hint="default" w:ascii="Times New Roman" w:hAnsi="Times New Roman" w:eastAsia="宋体" w:cs="Times New Roman"/>
                <w:color w:val="auto"/>
                <w:sz w:val="24"/>
                <w:szCs w:val="24"/>
                <w:lang w:val="en-US" w:eastAsia="zh-CN" w:bidi="zh-CN"/>
              </w:rPr>
              <w:t>L/</w:t>
            </w:r>
            <w:r>
              <w:rPr>
                <w:rFonts w:hint="default" w:ascii="Times New Roman" w:hAnsi="Times New Roman" w:eastAsia="宋体" w:cs="Times New Roman"/>
                <w:color w:val="auto"/>
                <w:sz w:val="24"/>
                <w:szCs w:val="24"/>
                <w:lang w:val="zh-CN" w:eastAsia="zh-CN" w:bidi="zh-CN"/>
              </w:rPr>
              <w:t>（</w:t>
            </w:r>
            <w:r>
              <w:rPr>
                <w:rFonts w:hint="default" w:ascii="Times New Roman" w:hAnsi="Times New Roman" w:eastAsia="宋体" w:cs="Times New Roman"/>
                <w:color w:val="auto"/>
                <w:sz w:val="24"/>
                <w:szCs w:val="24"/>
                <w:lang w:val="en-US" w:eastAsia="zh-CN" w:bidi="zh-CN"/>
              </w:rPr>
              <w:t>S*ha</w:t>
            </w:r>
            <w:r>
              <w:rPr>
                <w:rFonts w:hint="default" w:ascii="Times New Roman" w:hAnsi="Times New Roman" w:eastAsia="宋体" w:cs="Times New Roman"/>
                <w:color w:val="auto"/>
                <w:sz w:val="24"/>
                <w:szCs w:val="24"/>
                <w:lang w:val="zh-CN" w:eastAsia="zh-CN" w:bidi="zh-CN"/>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960" w:firstLineChars="400"/>
              <w:jc w:val="left"/>
              <w:textAlignment w:val="auto"/>
              <w:rPr>
                <w:rFonts w:ascii="宋体" w:hAnsi="宋体" w:eastAsia="宋体" w:cs="宋体"/>
                <w:color w:val="auto"/>
                <w:sz w:val="24"/>
                <w:szCs w:val="24"/>
                <w:lang w:val="zh-CN" w:eastAsia="zh-CN" w:bidi="zh-CN"/>
              </w:rPr>
            </w:pPr>
            <w:r>
              <w:rPr>
                <w:rFonts w:ascii="宋体" w:hAnsi="宋体" w:eastAsia="宋体" w:cs="宋体"/>
                <w:color w:val="auto"/>
                <w:sz w:val="24"/>
                <w:szCs w:val="24"/>
                <w:lang w:val="zh-CN" w:eastAsia="zh-CN" w:bidi="zh-CN"/>
              </w:rPr>
              <w:t>初期雨水收集量按以下公式计算：</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default" w:ascii="宋体" w:hAnsi="宋体" w:eastAsia="宋体" w:cs="宋体"/>
                <w:color w:val="auto"/>
                <w:sz w:val="24"/>
                <w:szCs w:val="24"/>
                <w:lang w:val="en-US" w:eastAsia="zh-CN" w:bidi="zh-CN"/>
              </w:rPr>
            </w:pPr>
            <w:r>
              <w:rPr>
                <w:rFonts w:hint="eastAsia" w:hAnsi="Cambria Math" w:cs="宋体"/>
                <w:b w:val="0"/>
                <w:i w:val="0"/>
                <w:color w:val="auto"/>
                <w:kern w:val="2"/>
                <w:sz w:val="24"/>
                <w:szCs w:val="24"/>
                <w:lang w:val="en-US" w:bidi="zh-CN"/>
              </w:rPr>
              <w:t>Q=ΨifT</w:t>
            </w: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480" w:firstLineChars="200"/>
              <w:jc w:val="left"/>
              <w:textAlignment w:val="auto"/>
              <w:rPr>
                <w:rFonts w:ascii="宋体" w:hAnsi="宋体" w:eastAsia="宋体" w:cs="宋体"/>
                <w:color w:val="auto"/>
                <w:sz w:val="24"/>
                <w:szCs w:val="24"/>
                <w:lang w:val="zh-CN" w:eastAsia="zh-CN" w:bidi="zh-CN"/>
              </w:rPr>
            </w:pPr>
            <w:r>
              <w:rPr>
                <w:rFonts w:ascii="宋体" w:hAnsi="宋体" w:eastAsia="宋体" w:cs="宋体"/>
                <w:color w:val="auto"/>
                <w:sz w:val="24"/>
                <w:szCs w:val="24"/>
                <w:lang w:val="zh-CN" w:eastAsia="zh-CN" w:bidi="zh-CN"/>
              </w:rPr>
              <w:t>式中：</w:t>
            </w:r>
            <w:r>
              <w:rPr>
                <w:rFonts w:ascii="Times New Roman" w:hAnsi="宋体" w:eastAsia="Times New Roman" w:cs="宋体"/>
                <w:color w:val="auto"/>
                <w:sz w:val="24"/>
                <w:szCs w:val="24"/>
                <w:lang w:val="zh-CN" w:eastAsia="zh-CN" w:bidi="zh-CN"/>
              </w:rPr>
              <w:t>i</w:t>
            </w:r>
            <w:r>
              <w:rPr>
                <w:rFonts w:ascii="宋体" w:hAnsi="宋体" w:eastAsia="宋体" w:cs="宋体"/>
                <w:color w:val="auto"/>
                <w:sz w:val="24"/>
                <w:szCs w:val="24"/>
                <w:lang w:val="zh-CN" w:eastAsia="zh-CN" w:bidi="zh-CN"/>
              </w:rPr>
              <w:t>为暴雨强度；</w:t>
            </w:r>
          </w:p>
          <w:p>
            <w:pPr>
              <w:keepNext w:val="0"/>
              <w:keepLines w:val="0"/>
              <w:pageBreakBefore w:val="0"/>
              <w:widowControl w:val="0"/>
              <w:kinsoku/>
              <w:wordWrap/>
              <w:overflowPunct/>
              <w:topLinePunct w:val="0"/>
              <w:autoSpaceDE w:val="0"/>
              <w:autoSpaceDN w:val="0"/>
              <w:bidi w:val="0"/>
              <w:adjustRightInd/>
              <w:snapToGrid/>
              <w:spacing w:after="0" w:line="360" w:lineRule="auto"/>
              <w:ind w:right="0" w:firstLine="1200" w:firstLineChars="500"/>
              <w:jc w:val="left"/>
              <w:textAlignment w:val="auto"/>
              <w:rPr>
                <w:rFonts w:ascii="宋体" w:hAnsi="宋体" w:eastAsia="宋体" w:cs="宋体"/>
                <w:color w:val="auto"/>
                <w:sz w:val="24"/>
                <w:szCs w:val="24"/>
                <w:lang w:val="zh-CN" w:eastAsia="zh-CN" w:bidi="zh-CN"/>
              </w:rPr>
            </w:pPr>
            <w:r>
              <w:rPr>
                <w:rFonts w:ascii="Times New Roman" w:hAnsi="Times New Roman" w:eastAsia="Times New Roman" w:cs="宋体"/>
                <w:color w:val="auto"/>
                <w:sz w:val="24"/>
                <w:szCs w:val="24"/>
                <w:lang w:val="zh-CN" w:eastAsia="zh-CN" w:bidi="zh-CN"/>
              </w:rPr>
              <w:t>Ψ</w:t>
            </w:r>
            <w:r>
              <w:rPr>
                <w:rFonts w:ascii="宋体" w:hAnsi="宋体" w:eastAsia="宋体" w:cs="宋体"/>
                <w:color w:val="auto"/>
                <w:sz w:val="24"/>
                <w:szCs w:val="24"/>
                <w:lang w:val="zh-CN" w:eastAsia="zh-CN" w:bidi="zh-CN"/>
              </w:rPr>
              <w:t>为径流系数（取</w:t>
            </w:r>
            <w:r>
              <w:rPr>
                <w:rFonts w:ascii="Times New Roman" w:hAnsi="Times New Roman" w:eastAsia="Times New Roman" w:cs="宋体"/>
                <w:color w:val="auto"/>
                <w:sz w:val="24"/>
                <w:szCs w:val="24"/>
                <w:lang w:val="zh-CN" w:eastAsia="zh-CN" w:bidi="zh-CN"/>
              </w:rPr>
              <w:t>0.</w:t>
            </w:r>
            <w:r>
              <w:rPr>
                <w:rFonts w:hint="eastAsia" w:eastAsia="Times New Roman" w:cs="宋体"/>
                <w:color w:val="auto"/>
                <w:sz w:val="24"/>
                <w:szCs w:val="24"/>
                <w:lang w:val="en-US" w:eastAsia="zh-CN" w:bidi="zh-CN"/>
              </w:rPr>
              <w:t>9</w:t>
            </w:r>
            <w:r>
              <w:rPr>
                <w:rFonts w:ascii="宋体" w:hAnsi="宋体" w:eastAsia="宋体" w:cs="宋体"/>
                <w:color w:val="auto"/>
                <w:sz w:val="24"/>
                <w:szCs w:val="24"/>
                <w:lang w:val="zh-CN" w:eastAsia="zh-CN" w:bidi="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right="0" w:firstLine="1200" w:firstLineChars="500"/>
              <w:jc w:val="left"/>
              <w:textAlignment w:val="auto"/>
              <w:rPr>
                <w:rFonts w:ascii="宋体" w:hAnsi="宋体" w:eastAsia="宋体" w:cs="宋体"/>
                <w:color w:val="auto"/>
                <w:sz w:val="24"/>
                <w:szCs w:val="24"/>
                <w:vertAlign w:val="baseline"/>
                <w:lang w:val="zh-CN" w:eastAsia="zh-CN" w:bidi="zh-CN"/>
              </w:rPr>
            </w:pPr>
            <w:r>
              <w:rPr>
                <w:rFonts w:ascii="Times New Roman" w:hAnsi="宋体" w:eastAsia="Times New Roman" w:cs="宋体"/>
                <w:color w:val="auto"/>
                <w:sz w:val="24"/>
                <w:szCs w:val="24"/>
                <w:lang w:val="zh-CN" w:eastAsia="zh-CN" w:bidi="zh-CN"/>
              </w:rPr>
              <w:t xml:space="preserve">f </w:t>
            </w:r>
            <w:r>
              <w:rPr>
                <w:rFonts w:ascii="宋体" w:hAnsi="宋体" w:eastAsia="宋体" w:cs="宋体"/>
                <w:color w:val="auto"/>
                <w:sz w:val="24"/>
                <w:szCs w:val="24"/>
                <w:lang w:val="zh-CN" w:eastAsia="zh-CN" w:bidi="zh-CN"/>
              </w:rPr>
              <w:t>为汇水面积（</w:t>
            </w:r>
            <w:r>
              <w:rPr>
                <w:rFonts w:hint="eastAsia" w:ascii="宋体" w:hAnsi="宋体" w:cs="宋体"/>
                <w:color w:val="auto"/>
                <w:sz w:val="24"/>
                <w:szCs w:val="24"/>
                <w:lang w:val="zh-CN" w:eastAsia="zh-CN" w:bidi="zh-CN"/>
              </w:rPr>
              <w:t>项目占地面积</w:t>
            </w:r>
            <w:r>
              <w:rPr>
                <w:rFonts w:hint="default" w:ascii="Times New Roman" w:hAnsi="Times New Roman" w:cs="Times New Roman"/>
                <w:color w:val="auto"/>
                <w:sz w:val="24"/>
                <w:szCs w:val="24"/>
                <w:lang w:val="zh-CN" w:eastAsia="zh-CN" w:bidi="zh-CN"/>
              </w:rPr>
              <w:t>约</w:t>
            </w:r>
            <w:r>
              <w:rPr>
                <w:rFonts w:hint="default" w:ascii="Times New Roman" w:hAnsi="Times New Roman" w:cs="Times New Roman"/>
                <w:color w:val="auto"/>
                <w:sz w:val="24"/>
                <w:szCs w:val="24"/>
                <w:lang w:val="en-US" w:eastAsia="zh-CN" w:bidi="zh-CN"/>
              </w:rPr>
              <w:t>4000</w:t>
            </w:r>
            <w:r>
              <w:rPr>
                <w:rFonts w:hint="default" w:ascii="Times New Roman" w:hAnsi="Times New Roman" w:eastAsia="Times New Roman" w:cs="Times New Roman"/>
                <w:color w:val="auto"/>
                <w:sz w:val="24"/>
                <w:szCs w:val="24"/>
                <w:lang w:val="zh-CN" w:eastAsia="zh-CN" w:bidi="zh-CN"/>
              </w:rPr>
              <w:t>m</w:t>
            </w:r>
            <w:r>
              <w:rPr>
                <w:rFonts w:hint="default" w:ascii="Times New Roman" w:hAnsi="Times New Roman" w:eastAsia="Times New Roman" w:cs="Times New Roman"/>
                <w:color w:val="auto"/>
                <w:sz w:val="24"/>
                <w:szCs w:val="24"/>
                <w:vertAlign w:val="superscript"/>
                <w:lang w:val="zh-CN" w:eastAsia="zh-CN" w:bidi="zh-CN"/>
              </w:rPr>
              <w:t>2</w:t>
            </w:r>
            <w:r>
              <w:rPr>
                <w:rFonts w:hint="eastAsia" w:eastAsia="Times New Roman" w:cs="Times New Roman"/>
                <w:color w:val="auto"/>
                <w:sz w:val="24"/>
                <w:szCs w:val="24"/>
                <w:vertAlign w:val="baseline"/>
                <w:lang w:val="zh-CN" w:eastAsia="zh-CN" w:bidi="zh-CN"/>
              </w:rPr>
              <w:t>，所在厂区总面积约为</w:t>
            </w:r>
            <w:r>
              <w:rPr>
                <w:rFonts w:hint="eastAsia" w:eastAsia="Times New Roman" w:cs="Times New Roman"/>
                <w:color w:val="auto"/>
                <w:sz w:val="24"/>
                <w:szCs w:val="24"/>
                <w:vertAlign w:val="baseline"/>
                <w:lang w:val="en-US" w:eastAsia="zh-CN" w:bidi="zh-CN"/>
              </w:rPr>
              <w:t>6500</w:t>
            </w:r>
            <w:r>
              <w:rPr>
                <w:rFonts w:hint="default" w:ascii="Times New Roman" w:hAnsi="Times New Roman" w:eastAsia="Times New Roman" w:cs="Times New Roman"/>
                <w:color w:val="auto"/>
                <w:sz w:val="24"/>
                <w:szCs w:val="24"/>
                <w:lang w:val="zh-CN" w:eastAsia="zh-CN" w:bidi="zh-CN"/>
              </w:rPr>
              <w:t>m</w:t>
            </w:r>
            <w:r>
              <w:rPr>
                <w:rFonts w:hint="default" w:ascii="Times New Roman" w:hAnsi="Times New Roman" w:eastAsia="Times New Roman" w:cs="Times New Roman"/>
                <w:color w:val="auto"/>
                <w:sz w:val="24"/>
                <w:szCs w:val="24"/>
                <w:vertAlign w:val="superscript"/>
                <w:lang w:val="zh-CN" w:eastAsia="zh-CN" w:bidi="zh-CN"/>
              </w:rPr>
              <w:t>2</w:t>
            </w:r>
            <w:r>
              <w:rPr>
                <w:rFonts w:hint="eastAsia" w:eastAsia="Times New Roman" w:cs="Times New Roman"/>
                <w:color w:val="auto"/>
                <w:sz w:val="24"/>
                <w:szCs w:val="24"/>
                <w:vertAlign w:val="baseline"/>
                <w:lang w:val="zh-CN" w:eastAsia="zh-CN" w:bidi="zh-CN"/>
              </w:rPr>
              <w:t>，</w:t>
            </w:r>
            <w:r>
              <w:rPr>
                <w:rFonts w:hint="default" w:ascii="Times New Roman" w:hAnsi="Times New Roman" w:eastAsia="宋体" w:cs="Times New Roman"/>
                <w:color w:val="auto"/>
                <w:sz w:val="24"/>
                <w:szCs w:val="24"/>
                <w:lang w:val="zh-CN" w:eastAsia="zh-CN" w:bidi="zh-CN"/>
              </w:rPr>
              <w:t>收水面积</w:t>
            </w:r>
            <w:r>
              <w:rPr>
                <w:rFonts w:hint="eastAsia" w:cs="Times New Roman"/>
                <w:color w:val="auto"/>
                <w:sz w:val="24"/>
                <w:szCs w:val="24"/>
                <w:lang w:val="zh-CN" w:eastAsia="zh-CN" w:bidi="zh-CN"/>
              </w:rPr>
              <w:t>按照</w:t>
            </w:r>
            <w:r>
              <w:rPr>
                <w:rFonts w:hint="default" w:ascii="Times New Roman" w:hAnsi="Times New Roman" w:cs="Times New Roman"/>
                <w:color w:val="auto"/>
                <w:sz w:val="24"/>
                <w:szCs w:val="24"/>
                <w:lang w:val="en-US" w:eastAsia="zh-CN" w:bidi="zh-CN"/>
              </w:rPr>
              <w:t>6500</w:t>
            </w:r>
            <w:r>
              <w:rPr>
                <w:rFonts w:hint="default" w:ascii="Times New Roman" w:hAnsi="Times New Roman" w:eastAsia="Times New Roman" w:cs="Times New Roman"/>
                <w:color w:val="auto"/>
                <w:sz w:val="24"/>
                <w:szCs w:val="24"/>
                <w:lang w:val="zh-CN" w:eastAsia="zh-CN" w:bidi="zh-CN"/>
              </w:rPr>
              <w:t>m</w:t>
            </w:r>
            <w:r>
              <w:rPr>
                <w:rFonts w:hint="default" w:ascii="Times New Roman" w:hAnsi="Times New Roman" w:eastAsia="Times New Roman" w:cs="Times New Roman"/>
                <w:color w:val="auto"/>
                <w:sz w:val="24"/>
                <w:szCs w:val="24"/>
                <w:vertAlign w:val="superscript"/>
                <w:lang w:val="zh-CN" w:eastAsia="zh-CN" w:bidi="zh-CN"/>
              </w:rPr>
              <w:t>2</w:t>
            </w:r>
            <w:r>
              <w:rPr>
                <w:rFonts w:hint="default" w:ascii="Times New Roman" w:hAnsi="Times New Roman" w:eastAsia="Times New Roman" w:cs="Times New Roman"/>
                <w:color w:val="auto"/>
                <w:sz w:val="24"/>
                <w:szCs w:val="24"/>
                <w:vertAlign w:val="baseline"/>
                <w:lang w:val="en-US" w:eastAsia="zh-CN" w:bidi="zh-CN"/>
              </w:rPr>
              <w:t>计</w:t>
            </w:r>
            <w:r>
              <w:rPr>
                <w:rFonts w:hint="default" w:ascii="Times New Roman" w:hAnsi="Times New Roman" w:eastAsia="宋体" w:cs="Times New Roman"/>
                <w:color w:val="auto"/>
                <w:sz w:val="24"/>
                <w:szCs w:val="24"/>
                <w:vertAlign w:val="baseline"/>
                <w:lang w:val="zh-CN" w:eastAsia="zh-CN" w:bidi="zh-CN"/>
              </w:rPr>
              <w:t>，取</w:t>
            </w:r>
            <w:r>
              <w:rPr>
                <w:rFonts w:hint="default" w:ascii="Times New Roman" w:hAnsi="Times New Roman" w:eastAsia="Times New Roman" w:cs="Times New Roman"/>
                <w:color w:val="auto"/>
                <w:sz w:val="24"/>
                <w:szCs w:val="24"/>
                <w:vertAlign w:val="baseline"/>
                <w:lang w:val="en-US" w:eastAsia="zh-CN" w:bidi="zh-CN"/>
              </w:rPr>
              <w:t>0.65</w:t>
            </w:r>
            <w:r>
              <w:rPr>
                <w:rFonts w:hint="default" w:ascii="Times New Roman" w:hAnsi="Times New Roman" w:eastAsia="宋体" w:cs="Times New Roman"/>
                <w:color w:val="auto"/>
                <w:sz w:val="24"/>
                <w:szCs w:val="24"/>
                <w:vertAlign w:val="baseline"/>
                <w:lang w:val="zh-CN" w:eastAsia="zh-CN" w:bidi="zh-CN"/>
              </w:rPr>
              <w:t>公顷）</w:t>
            </w:r>
            <w:r>
              <w:rPr>
                <w:rFonts w:hint="eastAsia" w:cs="Times New Roman"/>
                <w:color w:val="auto"/>
                <w:sz w:val="24"/>
                <w:szCs w:val="24"/>
                <w:vertAlign w:val="baseline"/>
                <w:lang w:val="zh-CN" w:eastAsia="zh-CN" w:bidi="zh-CN"/>
              </w:rPr>
              <w:t>。</w:t>
            </w:r>
          </w:p>
          <w:p>
            <w:pPr>
              <w:pStyle w:val="26"/>
              <w:keepNext w:val="0"/>
              <w:keepLines w:val="0"/>
              <w:pageBreakBefore w:val="0"/>
              <w:widowControl w:val="0"/>
              <w:numPr>
                <w:ilvl w:val="1"/>
                <w:numId w:val="0"/>
              </w:numPr>
              <w:kinsoku/>
              <w:wordWrap/>
              <w:overflowPunct/>
              <w:topLinePunct w:val="0"/>
              <w:autoSpaceDE w:val="0"/>
              <w:autoSpaceDN w:val="0"/>
              <w:bidi w:val="0"/>
              <w:adjustRightInd/>
              <w:snapToGrid/>
              <w:spacing w:line="360" w:lineRule="auto"/>
              <w:ind w:leftChars="0" w:firstLine="1200" w:firstLineChars="500"/>
              <w:jc w:val="left"/>
              <w:textAlignment w:val="auto"/>
              <w:rPr>
                <w:b w:val="0"/>
                <w:bCs/>
                <w:color w:val="auto"/>
                <w:lang w:val="zh-CN" w:eastAsia="zh-CN"/>
              </w:rPr>
            </w:pPr>
            <w:r>
              <w:rPr>
                <w:rFonts w:ascii="Times New Roman" w:hAnsi="宋体" w:eastAsia="Times New Roman" w:cs="宋体"/>
                <w:b w:val="0"/>
                <w:bCs/>
                <w:color w:val="auto"/>
                <w:sz w:val="24"/>
                <w:szCs w:val="24"/>
                <w:lang w:val="zh-CN" w:eastAsia="zh-CN" w:bidi="zh-CN"/>
              </w:rPr>
              <w:t xml:space="preserve">T </w:t>
            </w:r>
            <w:r>
              <w:rPr>
                <w:rFonts w:ascii="宋体" w:hAnsi="宋体" w:eastAsia="宋体" w:cs="宋体"/>
                <w:b w:val="0"/>
                <w:bCs/>
                <w:color w:val="auto"/>
                <w:sz w:val="24"/>
                <w:szCs w:val="24"/>
                <w:lang w:val="zh-CN" w:eastAsia="zh-CN" w:bidi="zh-CN"/>
              </w:rPr>
              <w:t>为收水时间，按</w:t>
            </w:r>
            <w:r>
              <w:rPr>
                <w:rFonts w:ascii="Times New Roman" w:hAnsi="宋体" w:eastAsia="Times New Roman" w:cs="宋体"/>
                <w:b w:val="0"/>
                <w:bCs/>
                <w:color w:val="auto"/>
                <w:sz w:val="24"/>
                <w:szCs w:val="24"/>
                <w:lang w:val="zh-CN" w:eastAsia="zh-CN" w:bidi="zh-CN"/>
              </w:rPr>
              <w:t>15min</w:t>
            </w:r>
            <w:r>
              <w:rPr>
                <w:rFonts w:ascii="宋体" w:hAnsi="宋体" w:eastAsia="宋体" w:cs="宋体"/>
                <w:b w:val="0"/>
                <w:bCs/>
                <w:color w:val="auto"/>
                <w:sz w:val="24"/>
                <w:szCs w:val="24"/>
                <w:lang w:val="zh-CN" w:eastAsia="zh-CN" w:bidi="zh-CN"/>
              </w:rPr>
              <w:t>计算</w:t>
            </w:r>
          </w:p>
          <w:p>
            <w:pPr>
              <w:spacing w:line="360" w:lineRule="auto"/>
              <w:ind w:firstLine="460" w:firstLineChars="200"/>
              <w:rPr>
                <w:rFonts w:hint="eastAsia"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pacing w:val="-5"/>
                <w:sz w:val="24"/>
                <w:szCs w:val="24"/>
                <w:lang w:val="zh-CN" w:eastAsia="zh-CN" w:bidi="zh-CN"/>
              </w:rPr>
              <w:t>根据本项目汇水面积以及暴雨强度，项目区收集的初期雨水为</w:t>
            </w:r>
            <w:r>
              <w:rPr>
                <w:rFonts w:hint="eastAsia" w:cs="Times New Roman"/>
                <w:color w:val="auto"/>
                <w:spacing w:val="-5"/>
                <w:sz w:val="24"/>
                <w:szCs w:val="24"/>
                <w:lang w:val="en-US" w:eastAsia="zh-CN" w:bidi="zh-CN"/>
              </w:rPr>
              <w:t>46.1</w:t>
            </w:r>
            <w:r>
              <w:rPr>
                <w:rFonts w:hint="default" w:ascii="Times New Roman" w:hAnsi="Times New Roman" w:eastAsia="宋体" w:cs="Times New Roman"/>
                <w:color w:val="auto"/>
                <w:sz w:val="24"/>
                <w:szCs w:val="24"/>
                <w:lang w:val="zh-CN" w:eastAsia="zh-CN" w:bidi="zh-CN"/>
              </w:rPr>
              <w:t>m</w:t>
            </w:r>
            <w:r>
              <w:rPr>
                <w:rFonts w:hint="default" w:ascii="Times New Roman" w:hAnsi="Times New Roman" w:eastAsia="宋体" w:cs="Times New Roman"/>
                <w:color w:val="auto"/>
                <w:sz w:val="24"/>
                <w:szCs w:val="24"/>
                <w:vertAlign w:val="superscript"/>
                <w:lang w:val="zh-CN" w:eastAsia="zh-CN" w:bidi="zh-CN"/>
              </w:rPr>
              <w:t>3</w:t>
            </w:r>
            <w:r>
              <w:rPr>
                <w:rFonts w:hint="default" w:ascii="Times New Roman" w:hAnsi="Times New Roman" w:eastAsia="宋体" w:cs="Times New Roman"/>
                <w:color w:val="auto"/>
                <w:kern w:val="24"/>
                <w:sz w:val="24"/>
                <w:szCs w:val="24"/>
              </w:rPr>
              <w:t>/次</w:t>
            </w:r>
            <w:r>
              <w:rPr>
                <w:rFonts w:hint="eastAsia" w:ascii="Times New Roman" w:hAnsi="Times New Roman"/>
                <w:color w:val="auto"/>
                <w:kern w:val="24"/>
                <w:sz w:val="24"/>
                <w:szCs w:val="24"/>
                <w:lang w:eastAsia="zh-CN"/>
              </w:rPr>
              <w:t>（</w:t>
            </w:r>
            <w:r>
              <w:rPr>
                <w:rFonts w:hint="eastAsia" w:ascii="Times New Roman" w:hAnsi="Times New Roman"/>
                <w:color w:val="auto"/>
                <w:kern w:val="24"/>
                <w:sz w:val="24"/>
                <w:szCs w:val="24"/>
              </w:rPr>
              <w:t>暴雨时</w:t>
            </w:r>
            <w:r>
              <w:rPr>
                <w:rFonts w:hint="eastAsia" w:ascii="Times New Roman" w:hAnsi="Times New Roman"/>
                <w:color w:val="auto"/>
                <w:kern w:val="24"/>
                <w:sz w:val="24"/>
                <w:szCs w:val="24"/>
                <w:lang w:eastAsia="zh-CN"/>
              </w:rPr>
              <w:t>）</w:t>
            </w:r>
            <w:r>
              <w:rPr>
                <w:rFonts w:ascii="宋体" w:hAnsi="宋体" w:eastAsia="宋体" w:cs="宋体"/>
                <w:color w:val="auto"/>
                <w:spacing w:val="-9"/>
                <w:sz w:val="24"/>
                <w:szCs w:val="24"/>
                <w:vertAlign w:val="baseline"/>
                <w:lang w:val="zh-CN" w:eastAsia="zh-CN" w:bidi="zh-CN"/>
              </w:rPr>
              <w:t>。</w:t>
            </w:r>
            <w:r>
              <w:rPr>
                <w:rFonts w:hint="eastAsia" w:ascii="Times New Roman" w:hAnsi="Times New Roman"/>
                <w:color w:val="auto"/>
                <w:kern w:val="24"/>
                <w:sz w:val="24"/>
                <w:szCs w:val="24"/>
              </w:rPr>
              <w:t>经查阅资料，每年按10次计算，初期雨水平均产生量为</w:t>
            </w:r>
            <w:r>
              <w:rPr>
                <w:rFonts w:hint="eastAsia"/>
                <w:color w:val="auto"/>
                <w:kern w:val="24"/>
                <w:sz w:val="24"/>
                <w:szCs w:val="24"/>
                <w:lang w:val="en-US" w:eastAsia="zh-CN"/>
              </w:rPr>
              <w:t>461</w:t>
            </w:r>
            <w:r>
              <w:rPr>
                <w:rFonts w:hint="eastAsia" w:ascii="Times New Roman" w:hAnsi="Times New Roman"/>
                <w:color w:val="auto"/>
                <w:kern w:val="24"/>
                <w:sz w:val="24"/>
                <w:szCs w:val="24"/>
              </w:rPr>
              <w:t>m</w:t>
            </w:r>
            <w:r>
              <w:rPr>
                <w:rFonts w:hint="eastAsia" w:ascii="Times New Roman" w:hAnsi="Times New Roman"/>
                <w:color w:val="auto"/>
                <w:kern w:val="24"/>
                <w:sz w:val="24"/>
                <w:szCs w:val="24"/>
                <w:vertAlign w:val="superscript"/>
              </w:rPr>
              <w:t>3</w:t>
            </w:r>
            <w:r>
              <w:rPr>
                <w:rFonts w:hint="eastAsia" w:ascii="Times New Roman" w:hAnsi="Times New Roman"/>
                <w:color w:val="auto"/>
                <w:kern w:val="24"/>
                <w:sz w:val="24"/>
                <w:szCs w:val="24"/>
              </w:rPr>
              <w:t>/a</w:t>
            </w:r>
            <w:r>
              <w:rPr>
                <w:rFonts w:hint="eastAsia" w:ascii="Times New Roman" w:hAnsi="Times New Roman"/>
                <w:color w:val="auto"/>
                <w:kern w:val="24"/>
                <w:sz w:val="24"/>
                <w:szCs w:val="24"/>
                <w:lang w:eastAsia="zh-CN"/>
              </w:rPr>
              <w:t>，</w:t>
            </w:r>
            <w:r>
              <w:rPr>
                <w:rFonts w:hint="eastAsia"/>
                <w:color w:val="auto"/>
                <w:kern w:val="24"/>
                <w:sz w:val="24"/>
                <w:szCs w:val="24"/>
                <w:lang w:val="en-US" w:eastAsia="zh-CN"/>
              </w:rPr>
              <w:t>1.537</w:t>
            </w:r>
            <w:r>
              <w:rPr>
                <w:rFonts w:hint="eastAsia" w:ascii="Times New Roman" w:hAnsi="Times New Roman"/>
                <w:color w:val="auto"/>
                <w:kern w:val="24"/>
                <w:sz w:val="24"/>
                <w:szCs w:val="24"/>
                <w:lang w:val="en-US" w:eastAsia="zh-CN"/>
              </w:rPr>
              <w:t>m</w:t>
            </w:r>
            <w:r>
              <w:rPr>
                <w:rFonts w:hint="eastAsia" w:ascii="Times New Roman" w:hAnsi="Times New Roman"/>
                <w:color w:val="auto"/>
                <w:kern w:val="24"/>
                <w:sz w:val="24"/>
                <w:szCs w:val="24"/>
                <w:vertAlign w:val="superscript"/>
                <w:lang w:val="en-US" w:eastAsia="zh-CN"/>
              </w:rPr>
              <w:t>3</w:t>
            </w:r>
            <w:r>
              <w:rPr>
                <w:rFonts w:hint="eastAsia" w:ascii="Times New Roman" w:hAnsi="Times New Roman"/>
                <w:color w:val="auto"/>
                <w:kern w:val="24"/>
                <w:sz w:val="24"/>
                <w:szCs w:val="24"/>
                <w:lang w:val="en-US" w:eastAsia="zh-CN"/>
              </w:rPr>
              <w:t>/d</w:t>
            </w:r>
            <w:r>
              <w:rPr>
                <w:rFonts w:hint="eastAsia" w:ascii="Times New Roman" w:hAnsi="Times New Roman"/>
                <w:color w:val="auto"/>
                <w:kern w:val="24"/>
                <w:sz w:val="24"/>
                <w:szCs w:val="24"/>
              </w:rPr>
              <w:t>。</w:t>
            </w:r>
            <w:r>
              <w:rPr>
                <w:rFonts w:hint="default" w:ascii="Times New Roman" w:hAnsi="Times New Roman" w:cs="Times New Roman"/>
                <w:color w:val="auto"/>
                <w:spacing w:val="0"/>
                <w:sz w:val="24"/>
                <w:szCs w:val="24"/>
              </w:rPr>
              <w:t>主要污染因子为SS，浓度为</w:t>
            </w:r>
            <w:r>
              <w:rPr>
                <w:rFonts w:hint="eastAsia" w:ascii="Times New Roman" w:hAnsi="Times New Roman" w:cs="Times New Roman"/>
                <w:color w:val="auto"/>
                <w:spacing w:val="0"/>
                <w:sz w:val="24"/>
                <w:szCs w:val="24"/>
                <w:lang w:val="en-US" w:eastAsia="zh-CN"/>
              </w:rPr>
              <w:t>300</w:t>
            </w:r>
            <w:r>
              <w:rPr>
                <w:rFonts w:hint="default" w:ascii="Times New Roman" w:hAnsi="Times New Roman" w:cs="Times New Roman"/>
                <w:color w:val="auto"/>
                <w:spacing w:val="0"/>
                <w:sz w:val="24"/>
                <w:szCs w:val="24"/>
              </w:rPr>
              <w:t>mg/L</w:t>
            </w:r>
            <w:r>
              <w:rPr>
                <w:rFonts w:hint="eastAsia" w:ascii="Times New Roman" w:hAnsi="Times New Roman" w:cs="Times New Roman"/>
                <w:color w:val="auto"/>
                <w:spacing w:val="0"/>
                <w:sz w:val="24"/>
                <w:szCs w:val="24"/>
                <w:lang w:eastAsia="zh-CN"/>
              </w:rPr>
              <w:t>。</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pacing w:val="0"/>
                <w:sz w:val="24"/>
                <w:szCs w:val="24"/>
                <w:lang w:val="en-US" w:eastAsia="zh-CN"/>
              </w:rPr>
              <w:t>为保证初期雨水能有效收集，本次评价确定初期雨水收集池容积为单次初期雨水量的1.1倍，容积=</w:t>
            </w:r>
            <w:r>
              <w:rPr>
                <w:rFonts w:hint="eastAsia" w:cs="Times New Roman"/>
                <w:color w:val="auto"/>
                <w:spacing w:val="0"/>
                <w:sz w:val="24"/>
                <w:szCs w:val="24"/>
                <w:lang w:val="en-US" w:eastAsia="zh-CN"/>
              </w:rPr>
              <w:t>46.1</w:t>
            </w:r>
            <w:r>
              <w:rPr>
                <w:rFonts w:hint="eastAsia" w:ascii="Times New Roman" w:hAnsi="Times New Roman" w:cs="Times New Roman"/>
                <w:color w:val="auto"/>
                <w:spacing w:val="0"/>
                <w:sz w:val="24"/>
                <w:szCs w:val="24"/>
                <w:lang w:val="en-US" w:eastAsia="zh-CN"/>
              </w:rPr>
              <w:t>*1.1=</w:t>
            </w:r>
            <w:r>
              <w:rPr>
                <w:rFonts w:hint="eastAsia" w:cs="Times New Roman"/>
                <w:color w:val="auto"/>
                <w:spacing w:val="0"/>
                <w:sz w:val="24"/>
                <w:szCs w:val="24"/>
                <w:lang w:val="en-US" w:eastAsia="zh-CN"/>
              </w:rPr>
              <w:t>50.71</w:t>
            </w:r>
            <w:r>
              <w:rPr>
                <w:rFonts w:hint="eastAsia" w:ascii="Times New Roman" w:hAnsi="Times New Roman" w:cs="Times New Roman"/>
                <w:color w:val="auto"/>
                <w:spacing w:val="0"/>
                <w:sz w:val="24"/>
                <w:szCs w:val="24"/>
                <w:lang w:val="en-US" w:eastAsia="zh-CN"/>
              </w:rPr>
              <w:t>m</w:t>
            </w:r>
            <w:r>
              <w:rPr>
                <w:rFonts w:hint="eastAsia" w:ascii="Times New Roman" w:hAnsi="Times New Roman" w:cs="Times New Roman"/>
                <w:color w:val="auto"/>
                <w:spacing w:val="0"/>
                <w:sz w:val="24"/>
                <w:szCs w:val="24"/>
                <w:vertAlign w:val="superscript"/>
                <w:lang w:val="en-US" w:eastAsia="zh-CN"/>
              </w:rPr>
              <w:t>3</w:t>
            </w:r>
            <w:r>
              <w:rPr>
                <w:rFonts w:hint="eastAsia" w:ascii="Times New Roman" w:hAnsi="Times New Roman" w:cs="Times New Roman"/>
                <w:color w:val="auto"/>
                <w:spacing w:val="0"/>
                <w:sz w:val="24"/>
                <w:szCs w:val="24"/>
                <w:lang w:val="en-US" w:eastAsia="zh-CN"/>
              </w:rPr>
              <w:t>，取整</w:t>
            </w:r>
            <w:r>
              <w:rPr>
                <w:rFonts w:hint="eastAsia" w:cs="Times New Roman"/>
                <w:color w:val="auto"/>
                <w:spacing w:val="0"/>
                <w:sz w:val="24"/>
                <w:szCs w:val="24"/>
                <w:lang w:val="en-US" w:eastAsia="zh-CN"/>
              </w:rPr>
              <w:t>60</w:t>
            </w:r>
            <w:r>
              <w:rPr>
                <w:rFonts w:hint="eastAsia" w:ascii="Times New Roman" w:hAnsi="Times New Roman" w:cs="Times New Roman"/>
                <w:color w:val="auto"/>
                <w:spacing w:val="0"/>
                <w:sz w:val="24"/>
                <w:szCs w:val="24"/>
                <w:lang w:val="en-US" w:eastAsia="zh-CN"/>
              </w:rPr>
              <w:t>m</w:t>
            </w:r>
            <w:r>
              <w:rPr>
                <w:rFonts w:hint="eastAsia" w:ascii="Times New Roman" w:hAnsi="Times New Roman" w:cs="Times New Roman"/>
                <w:color w:val="auto"/>
                <w:spacing w:val="0"/>
                <w:sz w:val="24"/>
                <w:szCs w:val="24"/>
                <w:vertAlign w:val="superscript"/>
                <w:lang w:val="en-US" w:eastAsia="zh-CN"/>
              </w:rPr>
              <w:t>3</w:t>
            </w:r>
            <w:r>
              <w:rPr>
                <w:rFonts w:hint="eastAsia" w:ascii="Times New Roman" w:hAnsi="Times New Roman" w:cs="Times New Roman"/>
                <w:color w:val="auto"/>
                <w:spacing w:val="0"/>
                <w:sz w:val="24"/>
                <w:szCs w:val="24"/>
                <w:lang w:val="en-US" w:eastAsia="zh-CN"/>
              </w:rPr>
              <w:t>，因此项目区建设</w:t>
            </w:r>
            <w:r>
              <w:rPr>
                <w:rFonts w:hint="eastAsia" w:cs="Times New Roman"/>
                <w:color w:val="auto"/>
                <w:spacing w:val="0"/>
                <w:sz w:val="24"/>
                <w:szCs w:val="24"/>
                <w:lang w:val="en-US" w:eastAsia="zh-CN"/>
              </w:rPr>
              <w:t>60</w:t>
            </w:r>
            <w:r>
              <w:rPr>
                <w:rFonts w:hint="eastAsia" w:ascii="Times New Roman" w:hAnsi="Times New Roman" w:cs="Times New Roman"/>
                <w:color w:val="auto"/>
                <w:spacing w:val="0"/>
                <w:sz w:val="24"/>
                <w:szCs w:val="24"/>
                <w:lang w:val="en-US" w:eastAsia="zh-CN"/>
              </w:rPr>
              <w:t>m</w:t>
            </w:r>
            <w:r>
              <w:rPr>
                <w:rFonts w:hint="eastAsia" w:ascii="Times New Roman" w:hAnsi="Times New Roman" w:cs="Times New Roman"/>
                <w:color w:val="auto"/>
                <w:spacing w:val="0"/>
                <w:sz w:val="24"/>
                <w:szCs w:val="24"/>
                <w:vertAlign w:val="superscript"/>
                <w:lang w:val="en-US" w:eastAsia="zh-CN"/>
              </w:rPr>
              <w:t>3</w:t>
            </w:r>
            <w:r>
              <w:rPr>
                <w:rFonts w:hint="eastAsia" w:ascii="Times New Roman" w:hAnsi="Times New Roman" w:cs="Times New Roman"/>
                <w:color w:val="auto"/>
                <w:spacing w:val="0"/>
                <w:sz w:val="24"/>
                <w:szCs w:val="24"/>
                <w:lang w:val="en-US" w:eastAsia="zh-CN"/>
              </w:rPr>
              <w:t>的初期雨水池。</w:t>
            </w:r>
            <w:r>
              <w:rPr>
                <w:rFonts w:ascii="宋体" w:hAnsi="宋体" w:eastAsia="宋体" w:cs="宋体"/>
                <w:color w:val="auto"/>
                <w:spacing w:val="-3"/>
                <w:sz w:val="24"/>
                <w:szCs w:val="24"/>
                <w:vertAlign w:val="baseline"/>
                <w:lang w:val="zh-CN" w:eastAsia="zh-CN" w:bidi="zh-CN"/>
              </w:rPr>
              <w:t>可满足项目雨</w:t>
            </w:r>
            <w:r>
              <w:rPr>
                <w:rFonts w:ascii="宋体" w:hAnsi="宋体" w:eastAsia="宋体" w:cs="宋体"/>
                <w:color w:val="auto"/>
                <w:sz w:val="24"/>
                <w:szCs w:val="24"/>
                <w:vertAlign w:val="baseline"/>
                <w:lang w:val="zh-CN" w:eastAsia="zh-CN" w:bidi="zh-CN"/>
              </w:rPr>
              <w:t>水的收</w:t>
            </w:r>
            <w:r>
              <w:rPr>
                <w:rFonts w:hint="eastAsia" w:ascii="宋体" w:hAnsi="宋体" w:eastAsia="宋体" w:cs="宋体"/>
                <w:color w:val="auto"/>
                <w:sz w:val="24"/>
                <w:szCs w:val="24"/>
                <w:vertAlign w:val="baseline"/>
                <w:lang w:val="en-US" w:eastAsia="zh-CN" w:bidi="zh-CN"/>
              </w:rPr>
              <w:t>集</w:t>
            </w:r>
            <w:r>
              <w:rPr>
                <w:rFonts w:hint="eastAsia" w:ascii="宋体" w:hAnsi="宋体" w:eastAsia="宋体" w:cs="宋体"/>
                <w:color w:val="auto"/>
                <w:sz w:val="24"/>
                <w:szCs w:val="24"/>
                <w:vertAlign w:val="baseline"/>
                <w:lang w:val="zh-CN" w:eastAsia="zh-CN" w:bidi="zh-CN"/>
              </w:rPr>
              <w:t>，</w:t>
            </w:r>
            <w:r>
              <w:rPr>
                <w:rFonts w:ascii="宋体" w:hAnsi="宋体" w:eastAsia="宋体" w:cs="宋体"/>
                <w:color w:val="auto"/>
                <w:sz w:val="24"/>
                <w:szCs w:val="24"/>
                <w:vertAlign w:val="baseline"/>
                <w:lang w:val="zh-CN" w:eastAsia="zh-CN" w:bidi="zh-CN"/>
              </w:rPr>
              <w:t>收集的雨水</w:t>
            </w:r>
            <w:r>
              <w:rPr>
                <w:rFonts w:hint="eastAsia" w:ascii="宋体" w:hAnsi="宋体" w:eastAsia="宋体" w:cs="宋体"/>
                <w:color w:val="auto"/>
                <w:sz w:val="24"/>
                <w:szCs w:val="24"/>
                <w:vertAlign w:val="baseline"/>
                <w:lang w:val="en-US" w:eastAsia="zh-CN" w:bidi="zh-CN"/>
              </w:rPr>
              <w:t>经沉淀处理后</w:t>
            </w:r>
            <w:r>
              <w:rPr>
                <w:rFonts w:ascii="宋体" w:hAnsi="宋体" w:eastAsia="宋体" w:cs="宋体"/>
                <w:color w:val="auto"/>
                <w:sz w:val="24"/>
                <w:szCs w:val="24"/>
                <w:vertAlign w:val="baseline"/>
                <w:lang w:val="zh-CN" w:eastAsia="zh-CN" w:bidi="zh-CN"/>
              </w:rPr>
              <w:t>回用于</w:t>
            </w:r>
            <w:r>
              <w:rPr>
                <w:rFonts w:hint="eastAsia" w:ascii="宋体" w:hAnsi="宋体" w:cs="宋体"/>
                <w:color w:val="auto"/>
                <w:sz w:val="24"/>
                <w:szCs w:val="24"/>
                <w:vertAlign w:val="baseline"/>
                <w:lang w:val="en-US" w:eastAsia="zh-CN" w:bidi="zh-CN"/>
              </w:rPr>
              <w:t>搅拌工序</w:t>
            </w:r>
            <w:r>
              <w:rPr>
                <w:rFonts w:ascii="宋体" w:hAnsi="宋体" w:eastAsia="宋体" w:cs="宋体"/>
                <w:color w:val="auto"/>
                <w:sz w:val="24"/>
                <w:szCs w:val="24"/>
                <w:vertAlign w:val="baseline"/>
                <w:lang w:val="zh-CN" w:eastAsia="zh-CN" w:bidi="zh-CN"/>
              </w:rPr>
              <w:t>。</w:t>
            </w:r>
            <w:r>
              <w:rPr>
                <w:rFonts w:hint="default" w:ascii="Times New Roman" w:hAnsi="Times New Roman" w:cs="Times New Roman"/>
                <w:color w:val="auto"/>
                <w:sz w:val="24"/>
              </w:rPr>
              <w:t>为确保初期雨水的收集，本项目应完善雨污分流系统及管沟系统，并落实初期雨水截流措施</w:t>
            </w:r>
            <w:r>
              <w:rPr>
                <w:rFonts w:hint="eastAsia" w:ascii="Times New Roman" w:hAnsi="Times New Roman" w:cs="Times New Roman"/>
                <w:color w:val="auto"/>
                <w:sz w:val="24"/>
                <w:lang w:eastAsia="zh-CN"/>
              </w:rPr>
              <w:t>。</w:t>
            </w:r>
          </w:p>
          <w:p>
            <w:pPr>
              <w:spacing w:line="240" w:lineRule="auto"/>
              <w:ind w:firstLine="2741" w:firstLineChars="1300"/>
              <w:rPr>
                <w:rFonts w:ascii="Times New Roman" w:hAnsi="Times New Roman"/>
                <w:b/>
                <w:bCs w:val="0"/>
                <w:color w:val="auto"/>
                <w:sz w:val="21"/>
                <w:szCs w:val="21"/>
              </w:rPr>
            </w:pPr>
            <w:r>
              <w:rPr>
                <w:rFonts w:ascii="Times New Roman" w:hAnsi="Times New Roman"/>
                <w:b/>
                <w:bCs w:val="0"/>
                <w:color w:val="auto"/>
                <w:sz w:val="21"/>
                <w:szCs w:val="21"/>
              </w:rPr>
              <w:t>表2-</w:t>
            </w:r>
            <w:r>
              <w:rPr>
                <w:rFonts w:hint="eastAsia" w:ascii="Times New Roman" w:hAnsi="Times New Roman"/>
                <w:b/>
                <w:bCs w:val="0"/>
                <w:color w:val="auto"/>
                <w:sz w:val="21"/>
                <w:szCs w:val="21"/>
                <w:lang w:val="en-US" w:eastAsia="zh-CN"/>
              </w:rPr>
              <w:t>8</w:t>
            </w:r>
            <w:r>
              <w:rPr>
                <w:rFonts w:hint="eastAsia" w:ascii="Times New Roman" w:hAnsi="Times New Roman"/>
                <w:b/>
                <w:bCs w:val="0"/>
                <w:color w:val="auto"/>
                <w:sz w:val="21"/>
                <w:szCs w:val="21"/>
              </w:rPr>
              <w:t xml:space="preserve"> </w:t>
            </w:r>
            <w:r>
              <w:rPr>
                <w:rFonts w:ascii="Times New Roman" w:hAnsi="Times New Roman"/>
                <w:b/>
                <w:bCs w:val="0"/>
                <w:color w:val="auto"/>
                <w:sz w:val="21"/>
                <w:szCs w:val="21"/>
              </w:rPr>
              <w:t>本项目废水产生排放一览表</w:t>
            </w:r>
          </w:p>
          <w:tbl>
            <w:tblPr>
              <w:tblStyle w:val="24"/>
              <w:tblW w:w="838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1"/>
              <w:gridCol w:w="1020"/>
              <w:gridCol w:w="981"/>
              <w:gridCol w:w="981"/>
              <w:gridCol w:w="844"/>
              <w:gridCol w:w="779"/>
              <w:gridCol w:w="855"/>
              <w:gridCol w:w="1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00" w:hRule="atLeast"/>
                <w:jc w:val="center"/>
              </w:trPr>
              <w:tc>
                <w:tcPr>
                  <w:tcW w:w="981"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用水</w:t>
                  </w:r>
                </w:p>
              </w:tc>
              <w:tc>
                <w:tcPr>
                  <w:tcW w:w="10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9"/>
                      <w:color w:val="auto"/>
                      <w:lang w:val="en-US" w:eastAsia="zh-CN" w:bidi="ar"/>
                    </w:rPr>
                    <w:t>用水量</w:t>
                  </w:r>
                  <w:r>
                    <w:rPr>
                      <w:rStyle w:val="50"/>
                      <w:rFonts w:eastAsia="宋体"/>
                      <w:color w:val="auto"/>
                      <w:lang w:val="en-US" w:eastAsia="zh-CN" w:bidi="ar"/>
                    </w:rPr>
                    <w:t>t/a</w:t>
                  </w:r>
                </w:p>
              </w:tc>
              <w:tc>
                <w:tcPr>
                  <w:tcW w:w="9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9"/>
                      <w:color w:val="auto"/>
                      <w:lang w:val="en-US" w:eastAsia="zh-CN" w:bidi="ar"/>
                    </w:rPr>
                    <w:t>用水量</w:t>
                  </w:r>
                  <w:r>
                    <w:rPr>
                      <w:rStyle w:val="50"/>
                      <w:rFonts w:eastAsia="宋体"/>
                      <w:color w:val="auto"/>
                      <w:lang w:val="en-US" w:eastAsia="zh-CN" w:bidi="ar"/>
                    </w:rPr>
                    <w:t>t/d</w:t>
                  </w:r>
                </w:p>
              </w:tc>
              <w:tc>
                <w:tcPr>
                  <w:tcW w:w="98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9"/>
                      <w:color w:val="auto"/>
                      <w:lang w:val="en-US" w:eastAsia="zh-CN" w:bidi="ar"/>
                    </w:rPr>
                    <w:t>消耗量</w:t>
                  </w:r>
                  <w:r>
                    <w:rPr>
                      <w:rStyle w:val="50"/>
                      <w:rFonts w:eastAsia="宋体"/>
                      <w:color w:val="auto"/>
                      <w:lang w:val="en-US" w:eastAsia="zh-CN" w:bidi="ar"/>
                    </w:rPr>
                    <w:t>t/a</w:t>
                  </w:r>
                </w:p>
              </w:tc>
              <w:tc>
                <w:tcPr>
                  <w:tcW w:w="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9"/>
                      <w:color w:val="auto"/>
                      <w:lang w:val="en-US" w:eastAsia="zh-CN" w:bidi="ar"/>
                    </w:rPr>
                    <w:t>消耗量</w:t>
                  </w:r>
                  <w:r>
                    <w:rPr>
                      <w:rStyle w:val="50"/>
                      <w:rFonts w:eastAsia="宋体"/>
                      <w:color w:val="auto"/>
                      <w:lang w:val="en-US" w:eastAsia="zh-CN" w:bidi="ar"/>
                    </w:rPr>
                    <w:t>t/d</w:t>
                  </w:r>
                </w:p>
              </w:tc>
              <w:tc>
                <w:tcPr>
                  <w:tcW w:w="7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9"/>
                      <w:color w:val="auto"/>
                      <w:lang w:val="en-US" w:eastAsia="zh-CN" w:bidi="ar"/>
                    </w:rPr>
                    <w:t>排放量</w:t>
                  </w:r>
                  <w:r>
                    <w:rPr>
                      <w:rStyle w:val="50"/>
                      <w:rFonts w:eastAsia="宋体"/>
                      <w:color w:val="auto"/>
                      <w:lang w:val="en-US" w:eastAsia="zh-CN" w:bidi="ar"/>
                    </w:rPr>
                    <w:t>t/a</w:t>
                  </w:r>
                </w:p>
              </w:tc>
              <w:tc>
                <w:tcPr>
                  <w:tcW w:w="85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Style w:val="49"/>
                      <w:color w:val="auto"/>
                      <w:lang w:val="en-US" w:eastAsia="zh-CN" w:bidi="ar"/>
                    </w:rPr>
                    <w:t>排放量</w:t>
                  </w:r>
                  <w:r>
                    <w:rPr>
                      <w:rStyle w:val="50"/>
                      <w:rFonts w:eastAsia="宋体"/>
                      <w:color w:val="auto"/>
                      <w:lang w:val="en-US" w:eastAsia="zh-CN" w:bidi="ar"/>
                    </w:rPr>
                    <w:t>t/d</w:t>
                  </w:r>
                </w:p>
              </w:tc>
              <w:tc>
                <w:tcPr>
                  <w:tcW w:w="19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废水去向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w:t>
                  </w:r>
                </w:p>
              </w:tc>
              <w:tc>
                <w:tcPr>
                  <w:tcW w:w="10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84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85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9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95"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生活</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用水</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rPr>
                    <w:t>经化粪池预处理后定期由吸污车转运至丰庄镇新村街污水处理站处理。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搅拌</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用水</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16200</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16200</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进入产品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养护</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用水</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10000</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33.333</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6.667</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26.666</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经三级沉淀池沉淀后回用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80"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进出车辆冲洗用水</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0.64</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38.4</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0.128</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153.6</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0.512</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经三级沉淀池沉淀后回用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设备冲洗用水</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750</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经三级沉淀池沉淀后回用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喷淋降尘用水</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1350</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4.5</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1350</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4.5</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损耗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5"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初期雨水</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461</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1.537</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收集至初期雨水池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0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28672</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95.573</w:t>
                  </w:r>
                </w:p>
              </w:tc>
              <w:tc>
                <w:tcPr>
                  <w:tcW w:w="98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19774.4</w:t>
                  </w:r>
                </w:p>
              </w:tc>
              <w:tc>
                <w:tcPr>
                  <w:tcW w:w="8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65.915</w:t>
                  </w:r>
                </w:p>
              </w:tc>
              <w:tc>
                <w:tcPr>
                  <w:tcW w:w="77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9358.6</w:t>
                  </w:r>
                </w:p>
              </w:tc>
              <w:tc>
                <w:tcPr>
                  <w:tcW w:w="85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31.195</w:t>
                  </w:r>
                </w:p>
              </w:tc>
              <w:tc>
                <w:tcPr>
                  <w:tcW w:w="19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r>
          </w:tbl>
          <w:p>
            <w:pPr>
              <w:spacing w:line="240" w:lineRule="auto"/>
              <w:ind w:firstLine="2741" w:firstLineChars="1300"/>
              <w:rPr>
                <w:rFonts w:ascii="Times New Roman" w:hAnsi="Times New Roman"/>
                <w:b/>
                <w:bCs w:val="0"/>
                <w:color w:val="auto"/>
                <w:sz w:val="21"/>
                <w:szCs w:val="21"/>
              </w:rPr>
            </w:pPr>
          </w:p>
          <w:p>
            <w:pPr>
              <w:spacing w:line="240" w:lineRule="auto"/>
              <w:ind w:firstLine="0" w:firstLineChars="0"/>
              <w:jc w:val="center"/>
              <w:rPr>
                <w:rFonts w:hint="eastAsia"/>
                <w:color w:val="auto"/>
              </w:rPr>
            </w:pPr>
            <w:r>
              <w:drawing>
                <wp:inline distT="0" distB="0" distL="114300" distR="114300">
                  <wp:extent cx="5325110" cy="4046855"/>
                  <wp:effectExtent l="0" t="0" r="8890" b="1079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5325110" cy="4046855"/>
                          </a:xfrm>
                          <a:prstGeom prst="rect">
                            <a:avLst/>
                          </a:prstGeom>
                          <a:noFill/>
                          <a:ln>
                            <a:noFill/>
                          </a:ln>
                        </pic:spPr>
                      </pic:pic>
                    </a:graphicData>
                  </a:graphic>
                </wp:inline>
              </w:drawing>
            </w:r>
            <w:r>
              <w:rPr>
                <w:rFonts w:ascii="Times New Roman"/>
                <w:b/>
                <w:color w:val="auto"/>
                <w:sz w:val="21"/>
              </w:rPr>
              <w:t>图2-1 项目水平衡图</w:t>
            </w:r>
            <w:r>
              <w:rPr>
                <w:rFonts w:hint="eastAsia" w:ascii="Times New Roman"/>
                <w:b/>
                <w:color w:val="auto"/>
                <w:sz w:val="21"/>
              </w:rPr>
              <w:t>（t/d）</w:t>
            </w:r>
          </w:p>
          <w:p>
            <w:pPr>
              <w:numPr>
                <w:ilvl w:val="0"/>
                <w:numId w:val="0"/>
              </w:numPr>
              <w:spacing w:line="360" w:lineRule="auto"/>
              <w:ind w:firstLine="482" w:firstLineChars="200"/>
              <w:rPr>
                <w:rFonts w:hint="eastAsia"/>
                <w:b/>
                <w:bCs/>
                <w:color w:val="auto"/>
                <w:sz w:val="24"/>
              </w:rPr>
            </w:pPr>
            <w:r>
              <w:rPr>
                <w:rFonts w:hint="eastAsia"/>
                <w:b/>
                <w:bCs/>
                <w:color w:val="auto"/>
                <w:sz w:val="24"/>
                <w:lang w:val="en-US" w:eastAsia="zh-CN"/>
              </w:rPr>
              <w:t>7.</w:t>
            </w:r>
            <w:r>
              <w:rPr>
                <w:rFonts w:hint="eastAsia"/>
                <w:b/>
                <w:bCs/>
                <w:color w:val="auto"/>
                <w:sz w:val="24"/>
              </w:rPr>
              <w:t>总平面布置</w:t>
            </w:r>
          </w:p>
          <w:p>
            <w:pPr>
              <w:spacing w:line="360" w:lineRule="auto"/>
              <w:ind w:firstLine="480" w:firstLineChars="200"/>
              <w:rPr>
                <w:rFonts w:hint="eastAsia"/>
                <w:color w:val="auto"/>
                <w:sz w:val="24"/>
              </w:rPr>
            </w:pPr>
            <w:r>
              <w:rPr>
                <w:rFonts w:hint="eastAsia"/>
                <w:color w:val="auto"/>
                <w:sz w:val="24"/>
                <w:lang w:eastAsia="zh-CN"/>
              </w:rPr>
              <w:t>本项目位于</w:t>
            </w:r>
            <w:r>
              <w:rPr>
                <w:rFonts w:hint="eastAsia"/>
                <w:color w:val="auto"/>
                <w:sz w:val="24"/>
                <w:szCs w:val="24"/>
                <w:lang w:eastAsia="zh-CN"/>
              </w:rPr>
              <w:t>安徽省淮南市寿县丰庄镇前圩村</w:t>
            </w:r>
            <w:r>
              <w:rPr>
                <w:rFonts w:hint="eastAsia"/>
                <w:color w:val="auto"/>
                <w:sz w:val="24"/>
                <w:lang w:eastAsia="zh-CN"/>
              </w:rPr>
              <w:t>，生产厂房位于厂区西部，生产厂房内设原料区和生产区，成品仓库位于厂区北侧</w:t>
            </w:r>
            <w:r>
              <w:rPr>
                <w:rFonts w:hint="eastAsia"/>
                <w:color w:val="auto"/>
                <w:sz w:val="24"/>
                <w:highlight w:val="none"/>
                <w:lang w:eastAsia="zh-CN"/>
              </w:rPr>
              <w:t>，办公区位于厂区东北侧</w:t>
            </w:r>
            <w:r>
              <w:rPr>
                <w:rFonts w:hint="eastAsia"/>
                <w:color w:val="auto"/>
                <w:sz w:val="24"/>
                <w:highlight w:val="none"/>
              </w:rPr>
              <w:t>。</w:t>
            </w:r>
          </w:p>
          <w:p>
            <w:pPr>
              <w:spacing w:line="360" w:lineRule="auto"/>
              <w:ind w:firstLine="480" w:firstLineChars="200"/>
              <w:rPr>
                <w:rFonts w:hint="eastAsia"/>
                <w:color w:val="auto"/>
                <w:sz w:val="24"/>
              </w:rPr>
            </w:pPr>
            <w:r>
              <w:rPr>
                <w:rFonts w:hint="eastAsia"/>
                <w:color w:val="auto"/>
                <w:sz w:val="24"/>
              </w:rPr>
              <w:t>项目厂区功能分区明确，辅助配套设施较全，厂区生产运输工艺简捷、顺畅、</w:t>
            </w:r>
          </w:p>
          <w:p>
            <w:pPr>
              <w:spacing w:line="360" w:lineRule="auto"/>
              <w:ind w:firstLine="0" w:firstLineChars="0"/>
              <w:rPr>
                <w:rFonts w:hint="eastAsia"/>
                <w:color w:val="auto"/>
                <w:sz w:val="24"/>
              </w:rPr>
            </w:pPr>
            <w:r>
              <w:rPr>
                <w:rFonts w:hint="eastAsia"/>
                <w:color w:val="auto"/>
                <w:sz w:val="24"/>
              </w:rPr>
              <w:t>连续、功能分区明确及管理方便，</w:t>
            </w:r>
            <w:r>
              <w:rPr>
                <w:rFonts w:hint="eastAsia"/>
                <w:color w:val="auto"/>
                <w:sz w:val="24"/>
                <w:lang w:eastAsia="zh-CN"/>
              </w:rPr>
              <w:t>厂</w:t>
            </w:r>
            <w:r>
              <w:rPr>
                <w:rFonts w:hint="eastAsia"/>
                <w:color w:val="auto"/>
                <w:sz w:val="24"/>
              </w:rPr>
              <w:t>区生产在车间内进行，废</w:t>
            </w:r>
            <w:r>
              <w:rPr>
                <w:rFonts w:hint="eastAsia"/>
                <w:color w:val="auto"/>
                <w:sz w:val="24"/>
                <w:highlight w:val="none"/>
              </w:rPr>
              <w:t>气</w:t>
            </w:r>
            <w:r>
              <w:rPr>
                <w:rFonts w:hint="eastAsia"/>
                <w:color w:val="auto"/>
                <w:sz w:val="24"/>
                <w:highlight w:val="none"/>
                <w:lang w:eastAsia="zh-CN"/>
              </w:rPr>
              <w:t>达标排放，</w:t>
            </w:r>
            <w:r>
              <w:rPr>
                <w:rFonts w:hint="eastAsia"/>
                <w:color w:val="auto"/>
                <w:sz w:val="24"/>
              </w:rPr>
              <w:t>对周围</w:t>
            </w:r>
            <w:r>
              <w:rPr>
                <w:rFonts w:hint="eastAsia"/>
                <w:color w:val="auto"/>
                <w:sz w:val="24"/>
                <w:lang w:eastAsia="zh-CN"/>
              </w:rPr>
              <w:t>影响</w:t>
            </w:r>
            <w:r>
              <w:rPr>
                <w:rFonts w:hint="eastAsia"/>
                <w:color w:val="auto"/>
                <w:sz w:val="24"/>
              </w:rPr>
              <w:t>较小，高噪声设备远离厂界</w:t>
            </w:r>
            <w:r>
              <w:rPr>
                <w:rFonts w:hint="eastAsia"/>
                <w:color w:val="auto"/>
                <w:sz w:val="24"/>
                <w:lang w:eastAsia="zh-CN"/>
              </w:rPr>
              <w:t>，噪声达标排放</w:t>
            </w:r>
            <w:r>
              <w:rPr>
                <w:rFonts w:hint="eastAsia"/>
                <w:color w:val="auto"/>
                <w:sz w:val="24"/>
              </w:rPr>
              <w:t>，项目厂区功能分区明确，方便生产，路线短捷。</w:t>
            </w:r>
          </w:p>
          <w:p>
            <w:pPr>
              <w:spacing w:line="360" w:lineRule="auto"/>
              <w:ind w:firstLine="480" w:firstLineChars="200"/>
              <w:rPr>
                <w:rFonts w:hint="eastAsia"/>
                <w:color w:val="auto"/>
                <w:sz w:val="24"/>
                <w:highlight w:val="none"/>
              </w:rPr>
            </w:pPr>
            <w:r>
              <w:rPr>
                <w:rFonts w:hint="eastAsia"/>
                <w:color w:val="auto"/>
                <w:sz w:val="24"/>
                <w:highlight w:val="none"/>
              </w:rPr>
              <w:t>总平面布置符合防火、防爆基本要求，满足设计规范及标准的规定。因此，项目平面布置合理。项目总平面布置详见附图2。</w:t>
            </w:r>
          </w:p>
          <w:p>
            <w:pPr>
              <w:pStyle w:val="11"/>
              <w:numPr>
                <w:ilvl w:val="0"/>
                <w:numId w:val="0"/>
              </w:numPr>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8.原料暂存合理性分析</w:t>
            </w:r>
          </w:p>
          <w:p>
            <w:pPr>
              <w:numPr>
                <w:ilvl w:val="0"/>
                <w:numId w:val="0"/>
              </w:numPr>
              <w:spacing w:line="360" w:lineRule="auto"/>
              <w:ind w:firstLine="480" w:firstLineChars="200"/>
              <w:rPr>
                <w:rFonts w:hint="eastAsia" w:ascii="Times" w:hAnsi="Times"/>
                <w:color w:val="auto"/>
                <w:sz w:val="24"/>
                <w:szCs w:val="24"/>
                <w:lang w:val="en-US" w:eastAsia="zh-CN"/>
              </w:rPr>
            </w:pPr>
            <w:r>
              <w:rPr>
                <w:rFonts w:hint="eastAsia" w:ascii="Times" w:hAnsi="Times"/>
                <w:color w:val="auto"/>
                <w:sz w:val="24"/>
                <w:szCs w:val="24"/>
                <w:lang w:eastAsia="zh-CN"/>
              </w:rPr>
              <w:t>原料仓库位于生产车间东侧</w:t>
            </w:r>
            <w:r>
              <w:rPr>
                <w:rFonts w:hint="eastAsia" w:ascii="Times" w:hAnsi="Times"/>
                <w:color w:val="auto"/>
                <w:sz w:val="24"/>
                <w:szCs w:val="24"/>
                <w:lang w:val="en-US" w:eastAsia="zh-CN"/>
              </w:rPr>
              <w:t>，占地面积约800m</w:t>
            </w:r>
            <w:r>
              <w:rPr>
                <w:rFonts w:hint="eastAsia" w:ascii="Times" w:hAnsi="Times"/>
                <w:color w:val="auto"/>
                <w:sz w:val="24"/>
                <w:szCs w:val="24"/>
                <w:vertAlign w:val="superscript"/>
                <w:lang w:val="en-US" w:eastAsia="zh-CN"/>
              </w:rPr>
              <w:t>2</w:t>
            </w:r>
            <w:r>
              <w:rPr>
                <w:rFonts w:hint="eastAsia" w:ascii="Times" w:hAnsi="Times"/>
                <w:color w:val="auto"/>
                <w:sz w:val="24"/>
                <w:szCs w:val="24"/>
                <w:lang w:val="en-US" w:eastAsia="zh-CN"/>
              </w:rPr>
              <w:t>，用于碎石、砂的堆放。按照2米堆放高度，暂存量为1600m</w:t>
            </w:r>
            <w:r>
              <w:rPr>
                <w:rFonts w:hint="eastAsia" w:ascii="Times" w:hAnsi="Times"/>
                <w:color w:val="auto"/>
                <w:sz w:val="24"/>
                <w:szCs w:val="24"/>
                <w:vertAlign w:val="superscript"/>
                <w:lang w:val="en-US" w:eastAsia="zh-CN"/>
              </w:rPr>
              <w:t>3</w:t>
            </w:r>
            <w:r>
              <w:rPr>
                <w:rFonts w:hint="eastAsia" w:ascii="Times" w:hAnsi="Times"/>
                <w:color w:val="auto"/>
                <w:sz w:val="24"/>
                <w:szCs w:val="24"/>
                <w:lang w:val="en-US" w:eastAsia="zh-CN"/>
              </w:rPr>
              <w:t>原料，参照水泥制品平均密度约为2t/m</w:t>
            </w:r>
            <w:r>
              <w:rPr>
                <w:rFonts w:hint="eastAsia" w:ascii="Times" w:hAnsi="Times"/>
                <w:color w:val="auto"/>
                <w:sz w:val="24"/>
                <w:szCs w:val="24"/>
                <w:vertAlign w:val="superscript"/>
                <w:lang w:val="en-US" w:eastAsia="zh-CN"/>
              </w:rPr>
              <w:t>3</w:t>
            </w:r>
            <w:r>
              <w:rPr>
                <w:rFonts w:hint="eastAsia" w:ascii="Times" w:hAnsi="Times"/>
                <w:color w:val="auto"/>
                <w:sz w:val="24"/>
                <w:szCs w:val="24"/>
                <w:lang w:val="en-US" w:eastAsia="zh-CN"/>
              </w:rPr>
              <w:t>，一次暂存量为3200t，平均每周周转一次，全年按照50周计算，一年暂存原料量为16万t。</w:t>
            </w:r>
          </w:p>
          <w:p>
            <w:pPr>
              <w:numPr>
                <w:ilvl w:val="0"/>
                <w:numId w:val="0"/>
              </w:numPr>
              <w:spacing w:line="360" w:lineRule="auto"/>
              <w:ind w:firstLine="480" w:firstLineChars="200"/>
              <w:rPr>
                <w:rFonts w:hint="eastAsia" w:ascii="Times" w:hAnsi="Times"/>
                <w:color w:val="auto"/>
                <w:sz w:val="24"/>
                <w:szCs w:val="24"/>
                <w:lang w:val="en-US" w:eastAsia="zh-CN"/>
              </w:rPr>
            </w:pPr>
            <w:r>
              <w:rPr>
                <w:rFonts w:hint="eastAsia" w:ascii="Times" w:hAnsi="Times"/>
                <w:color w:val="auto"/>
                <w:sz w:val="24"/>
                <w:szCs w:val="24"/>
                <w:lang w:val="en-US" w:eastAsia="zh-CN"/>
              </w:rPr>
              <w:t>本项目年碎石、砂用量为15.52万吨，厂区原料暂存堆场能够满足本项目需求</w:t>
            </w:r>
            <w:r>
              <w:rPr>
                <w:rFonts w:hint="eastAsia" w:ascii="Times" w:hAnsi="Times"/>
                <w:color w:val="auto"/>
                <w:szCs w:val="21"/>
                <w:lang w:val="en-US" w:eastAsia="zh-CN"/>
              </w:rPr>
              <w:t>。</w:t>
            </w:r>
          </w:p>
          <w:p>
            <w:pPr>
              <w:numPr>
                <w:ilvl w:val="0"/>
                <w:numId w:val="0"/>
              </w:numPr>
              <w:spacing w:line="360" w:lineRule="auto"/>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15" w:hRule="atLeast"/>
          <w:jc w:val="center"/>
        </w:trPr>
        <w:tc>
          <w:tcPr>
            <w:tcW w:w="450" w:type="dxa"/>
            <w:vAlign w:val="center"/>
          </w:tcPr>
          <w:p>
            <w:pPr>
              <w:pStyle w:val="1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艺流程和产排污环节</w:t>
            </w:r>
          </w:p>
        </w:tc>
        <w:tc>
          <w:tcPr>
            <w:tcW w:w="8610" w:type="dxa"/>
            <w:vAlign w:val="top"/>
          </w:tcPr>
          <w:p>
            <w:pPr>
              <w:pStyle w:val="32"/>
              <w:numPr>
                <w:ilvl w:val="0"/>
                <w:numId w:val="4"/>
              </w:numPr>
              <w:ind w:firstLine="560" w:firstLineChars="200"/>
              <w:rPr>
                <w:rFonts w:hint="eastAsia" w:ascii="Times New Roman"/>
                <w:color w:val="auto"/>
              </w:rPr>
            </w:pPr>
            <w:r>
              <w:rPr>
                <w:rFonts w:hint="eastAsia" w:ascii="Times New Roman"/>
                <w:color w:val="auto"/>
              </w:rPr>
              <w:t>运营期生产工艺流程</w:t>
            </w:r>
          </w:p>
          <w:p>
            <w:pPr>
              <w:pStyle w:val="6"/>
              <w:spacing w:before="0" w:after="0" w:line="360" w:lineRule="auto"/>
              <w:ind w:right="0"/>
              <w:jc w:val="center"/>
              <w:rPr>
                <w:color w:val="auto"/>
              </w:rPr>
            </w:pPr>
            <w:r>
              <w:drawing>
                <wp:inline distT="0" distB="0" distL="114300" distR="114300">
                  <wp:extent cx="4562475" cy="4705350"/>
                  <wp:effectExtent l="0" t="0" r="952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a:stretch>
                            <a:fillRect/>
                          </a:stretch>
                        </pic:blipFill>
                        <pic:spPr>
                          <a:xfrm>
                            <a:off x="0" y="0"/>
                            <a:ext cx="4562475" cy="4705350"/>
                          </a:xfrm>
                          <a:prstGeom prst="rect">
                            <a:avLst/>
                          </a:prstGeom>
                          <a:noFill/>
                          <a:ln>
                            <a:noFill/>
                          </a:ln>
                        </pic:spPr>
                      </pic:pic>
                    </a:graphicData>
                  </a:graphic>
                </wp:inline>
              </w:drawing>
            </w:r>
          </w:p>
          <w:p>
            <w:pPr>
              <w:pStyle w:val="6"/>
              <w:spacing w:before="0" w:after="0" w:line="360" w:lineRule="auto"/>
              <w:ind w:right="0"/>
              <w:jc w:val="center"/>
              <w:rPr>
                <w:b/>
                <w:bCs/>
                <w:color w:val="auto"/>
                <w:sz w:val="21"/>
                <w:szCs w:val="21"/>
                <w:highlight w:val="none"/>
              </w:rPr>
            </w:pPr>
            <w:r>
              <w:rPr>
                <w:b/>
                <w:bCs/>
                <w:color w:val="auto"/>
                <w:sz w:val="21"/>
                <w:szCs w:val="21"/>
                <w:highlight w:val="none"/>
              </w:rPr>
              <w:t>图2-</w:t>
            </w:r>
            <w:r>
              <w:rPr>
                <w:rFonts w:hint="eastAsia"/>
                <w:b/>
                <w:bCs/>
                <w:color w:val="auto"/>
                <w:sz w:val="21"/>
                <w:szCs w:val="21"/>
                <w:highlight w:val="none"/>
                <w:lang w:val="en-US" w:eastAsia="zh-CN"/>
              </w:rPr>
              <w:t>2</w:t>
            </w:r>
            <w:r>
              <w:rPr>
                <w:b/>
                <w:bCs/>
                <w:color w:val="auto"/>
                <w:sz w:val="21"/>
                <w:szCs w:val="21"/>
                <w:highlight w:val="none"/>
              </w:rPr>
              <w:t xml:space="preserve"> </w:t>
            </w:r>
            <w:r>
              <w:rPr>
                <w:rFonts w:hint="eastAsia"/>
                <w:b/>
                <w:bCs/>
                <w:color w:val="auto"/>
                <w:sz w:val="21"/>
                <w:szCs w:val="21"/>
                <w:highlight w:val="none"/>
                <w:lang w:eastAsia="zh-CN"/>
              </w:rPr>
              <w:t>项目</w:t>
            </w:r>
            <w:r>
              <w:rPr>
                <w:rFonts w:hint="eastAsia"/>
                <w:b/>
                <w:bCs/>
                <w:color w:val="auto"/>
                <w:sz w:val="21"/>
                <w:szCs w:val="21"/>
                <w:highlight w:val="none"/>
              </w:rPr>
              <w:t>生产</w:t>
            </w:r>
            <w:r>
              <w:rPr>
                <w:b/>
                <w:bCs/>
                <w:color w:val="auto"/>
                <w:sz w:val="21"/>
                <w:szCs w:val="21"/>
                <w:highlight w:val="none"/>
              </w:rPr>
              <w:t>工艺流程以及产污节点图</w:t>
            </w:r>
          </w:p>
          <w:p>
            <w:pPr>
              <w:widowControl/>
              <w:adjustRightInd w:val="0"/>
              <w:snapToGrid w:val="0"/>
              <w:spacing w:line="360" w:lineRule="auto"/>
              <w:ind w:firstLine="480" w:firstLineChars="200"/>
              <w:rPr>
                <w:color w:val="auto"/>
                <w:kern w:val="0"/>
                <w:sz w:val="24"/>
              </w:rPr>
            </w:pPr>
            <w:r>
              <w:rPr>
                <w:color w:val="auto"/>
                <w:sz w:val="24"/>
              </w:rPr>
              <w:t>注：</w:t>
            </w:r>
            <w:r>
              <w:rPr>
                <w:rFonts w:hint="eastAsia"/>
                <w:color w:val="auto"/>
                <w:kern w:val="0"/>
                <w:sz w:val="24"/>
                <w:lang w:val="en-US" w:eastAsia="zh-CN"/>
              </w:rPr>
              <w:t>G1~G5</w:t>
            </w:r>
            <w:r>
              <w:rPr>
                <w:rFonts w:hint="eastAsia"/>
                <w:color w:val="auto"/>
                <w:kern w:val="0"/>
                <w:sz w:val="24"/>
              </w:rPr>
              <w:t>：</w:t>
            </w:r>
            <w:r>
              <w:rPr>
                <w:rFonts w:hint="eastAsia"/>
                <w:color w:val="auto"/>
                <w:kern w:val="0"/>
                <w:sz w:val="24"/>
                <w:lang w:eastAsia="zh-CN"/>
              </w:rPr>
              <w:t>粉尘</w:t>
            </w:r>
            <w:r>
              <w:rPr>
                <w:rFonts w:hint="eastAsia"/>
                <w:color w:val="auto"/>
                <w:kern w:val="0"/>
                <w:sz w:val="24"/>
              </w:rPr>
              <w:t xml:space="preserve">   </w:t>
            </w:r>
            <w:r>
              <w:rPr>
                <w:rFonts w:hint="eastAsia"/>
                <w:color w:val="auto"/>
                <w:kern w:val="0"/>
                <w:sz w:val="24"/>
                <w:lang w:val="en-US" w:eastAsia="zh-CN"/>
              </w:rPr>
              <w:t xml:space="preserve">W1：废水 </w:t>
            </w:r>
            <w:r>
              <w:rPr>
                <w:rFonts w:hint="eastAsia"/>
                <w:color w:val="auto"/>
                <w:kern w:val="0"/>
                <w:sz w:val="24"/>
              </w:rPr>
              <w:t xml:space="preserve"> N：设备噪声</w:t>
            </w:r>
          </w:p>
          <w:p>
            <w:pPr>
              <w:pStyle w:val="26"/>
              <w:numPr>
                <w:ilvl w:val="0"/>
                <w:numId w:val="0"/>
              </w:numPr>
              <w:spacing w:line="360" w:lineRule="auto"/>
              <w:ind w:leftChars="200"/>
              <w:jc w:val="both"/>
              <w:rPr>
                <w:rFonts w:ascii="宋体" w:hAnsi="宋体" w:cs="宋体"/>
                <w:b w:val="0"/>
                <w:color w:val="auto"/>
                <w:highlight w:val="none"/>
              </w:rPr>
            </w:pPr>
            <w:r>
              <w:rPr>
                <w:rFonts w:hint="eastAsia" w:ascii="宋体" w:hAnsi="宋体" w:cs="宋体"/>
                <w:color w:val="auto"/>
                <w:highlight w:val="none"/>
              </w:rPr>
              <w:t>主要工艺流程说明</w:t>
            </w:r>
            <w:r>
              <w:rPr>
                <w:rFonts w:hint="eastAsia" w:ascii="宋体" w:hAnsi="宋体" w:cs="宋体"/>
                <w:b w:val="0"/>
                <w:color w:val="auto"/>
                <w:highlight w:val="none"/>
              </w:rPr>
              <w:t>：</w:t>
            </w:r>
          </w:p>
          <w:p>
            <w:pPr>
              <w:pStyle w:val="26"/>
              <w:numPr>
                <w:ilvl w:val="0"/>
                <w:numId w:val="0"/>
              </w:numPr>
              <w:spacing w:line="360" w:lineRule="auto"/>
              <w:ind w:firstLine="482" w:firstLineChars="200"/>
              <w:rPr>
                <w:rFonts w:hint="eastAsia" w:ascii="宋体" w:hAnsi="宋体" w:cs="宋体"/>
                <w:b w:val="0"/>
                <w:bCs/>
                <w:color w:val="auto"/>
                <w:lang w:eastAsia="zh-CN"/>
              </w:rPr>
            </w:pPr>
            <w:r>
              <w:rPr>
                <w:rFonts w:hint="eastAsia" w:ascii="宋体" w:hAnsi="宋体" w:cs="宋体"/>
                <w:b/>
                <w:bCs w:val="0"/>
                <w:color w:val="auto"/>
                <w:lang w:eastAsia="zh-CN"/>
              </w:rPr>
              <w:t>原料堆场：</w:t>
            </w:r>
            <w:r>
              <w:rPr>
                <w:rFonts w:hint="eastAsia" w:ascii="Times New Roman" w:hAnsi="Times New Roman" w:eastAsia="宋体" w:cs="Times New Roman"/>
                <w:b w:val="0"/>
                <w:bCs/>
                <w:color w:val="auto"/>
                <w:lang w:val="en-US" w:eastAsia="zh-CN"/>
              </w:rPr>
              <w:t>将</w:t>
            </w:r>
            <w:r>
              <w:rPr>
                <w:rFonts w:hint="eastAsia" w:ascii="Times New Roman" w:hAnsi="Times New Roman" w:cs="Times New Roman"/>
                <w:b w:val="0"/>
                <w:bCs/>
                <w:color w:val="auto"/>
                <w:lang w:val="en-US" w:eastAsia="zh-CN"/>
              </w:rPr>
              <w:t>碎石、砂等</w:t>
            </w:r>
            <w:r>
              <w:rPr>
                <w:rFonts w:hint="eastAsia" w:ascii="Times New Roman" w:hAnsi="Times New Roman" w:eastAsia="宋体" w:cs="Times New Roman"/>
                <w:b w:val="0"/>
                <w:bCs/>
                <w:color w:val="auto"/>
                <w:lang w:val="en-US" w:eastAsia="zh-CN"/>
              </w:rPr>
              <w:t>通过货车运输进</w:t>
            </w:r>
            <w:r>
              <w:rPr>
                <w:rFonts w:hint="eastAsia" w:ascii="Times New Roman" w:hAnsi="Times New Roman" w:eastAsia="宋体" w:cs="Times New Roman"/>
                <w:b w:val="0"/>
                <w:bCs/>
                <w:color w:val="auto"/>
                <w:highlight w:val="none"/>
                <w:lang w:val="en-US" w:eastAsia="zh-CN"/>
              </w:rPr>
              <w:t>厂，运</w:t>
            </w:r>
            <w:r>
              <w:rPr>
                <w:rFonts w:hint="eastAsia" w:ascii="Times New Roman" w:hAnsi="Times New Roman" w:eastAsia="宋体" w:cs="Times New Roman"/>
                <w:b w:val="0"/>
                <w:bCs/>
                <w:color w:val="auto"/>
                <w:lang w:val="en-US" w:eastAsia="zh-CN"/>
              </w:rPr>
              <w:t>送至</w:t>
            </w:r>
            <w:r>
              <w:rPr>
                <w:rFonts w:hint="eastAsia" w:ascii="Times New Roman" w:hAnsi="Times New Roman" w:cs="Times New Roman"/>
                <w:b w:val="0"/>
                <w:bCs/>
                <w:color w:val="auto"/>
                <w:lang w:val="en-US" w:eastAsia="zh-CN"/>
              </w:rPr>
              <w:t>原料仓库</w:t>
            </w:r>
            <w:r>
              <w:rPr>
                <w:rFonts w:hint="eastAsia" w:ascii="Times New Roman" w:hAnsi="Times New Roman" w:eastAsia="宋体" w:cs="Times New Roman"/>
                <w:b w:val="0"/>
                <w:bCs/>
                <w:color w:val="auto"/>
                <w:lang w:val="en-US" w:eastAsia="zh-CN"/>
              </w:rPr>
              <w:t>堆放，该环节产生的污染物主要为粉尘</w:t>
            </w:r>
            <w:r>
              <w:rPr>
                <w:rFonts w:hint="eastAsia" w:ascii="Times New Roman" w:hAnsi="Times New Roman" w:cs="Times New Roman"/>
                <w:b w:val="0"/>
                <w:bCs/>
                <w:color w:val="auto"/>
                <w:lang w:val="en-US" w:eastAsia="zh-CN"/>
              </w:rPr>
              <w:t>G1</w:t>
            </w:r>
            <w:r>
              <w:rPr>
                <w:rFonts w:hint="eastAsia" w:ascii="Times New Roman" w:hAnsi="Times New Roman" w:eastAsia="宋体" w:cs="Times New Roman"/>
                <w:b w:val="0"/>
                <w:bCs/>
                <w:color w:val="auto"/>
                <w:lang w:val="en-US" w:eastAsia="zh-CN"/>
              </w:rPr>
              <w:t>。</w:t>
            </w:r>
          </w:p>
          <w:p>
            <w:pPr>
              <w:pStyle w:val="26"/>
              <w:numPr>
                <w:ilvl w:val="0"/>
                <w:numId w:val="0"/>
              </w:numPr>
              <w:spacing w:line="360" w:lineRule="auto"/>
              <w:ind w:firstLine="482" w:firstLineChars="200"/>
              <w:rPr>
                <w:rFonts w:ascii="宋体" w:hAnsi="宋体" w:cs="宋体"/>
                <w:b w:val="0"/>
                <w:bCs/>
                <w:color w:val="auto"/>
              </w:rPr>
            </w:pPr>
            <w:r>
              <w:rPr>
                <w:rFonts w:hint="eastAsia" w:ascii="宋体" w:hAnsi="宋体" w:cs="宋体"/>
                <w:b/>
                <w:bCs w:val="0"/>
                <w:color w:val="auto"/>
                <w:lang w:eastAsia="zh-CN"/>
              </w:rPr>
              <w:t>水泥</w:t>
            </w:r>
            <w:r>
              <w:rPr>
                <w:rFonts w:ascii="宋体" w:hAnsi="宋体" w:cs="宋体"/>
                <w:b/>
                <w:bCs w:val="0"/>
                <w:color w:val="auto"/>
              </w:rPr>
              <w:t>的贮存：</w:t>
            </w:r>
            <w:r>
              <w:rPr>
                <w:rFonts w:ascii="宋体" w:hAnsi="宋体" w:cs="宋体"/>
                <w:b w:val="0"/>
                <w:bCs/>
                <w:color w:val="auto"/>
              </w:rPr>
              <w:t>项目</w:t>
            </w:r>
            <w:r>
              <w:rPr>
                <w:rFonts w:hint="eastAsia" w:ascii="宋体" w:hAnsi="宋体" w:cs="宋体"/>
                <w:b w:val="0"/>
                <w:bCs/>
                <w:color w:val="auto"/>
                <w:lang w:eastAsia="zh-CN"/>
              </w:rPr>
              <w:t>水泥</w:t>
            </w:r>
            <w:r>
              <w:rPr>
                <w:rFonts w:ascii="宋体" w:hAnsi="宋体" w:cs="宋体"/>
                <w:b w:val="0"/>
                <w:bCs/>
                <w:color w:val="auto"/>
              </w:rPr>
              <w:t>由密闭罐车运至厂内，采用全密闭的管道通过气动输送至各原料筒仓内贮存备用。</w:t>
            </w:r>
            <w:r>
              <w:rPr>
                <w:rFonts w:hint="eastAsia" w:ascii="宋体" w:hAnsi="宋体" w:cs="宋体"/>
                <w:b w:val="0"/>
                <w:bCs/>
                <w:color w:val="auto"/>
                <w:highlight w:val="none"/>
              </w:rPr>
              <w:t>项</w:t>
            </w:r>
            <w:r>
              <w:rPr>
                <w:rFonts w:ascii="Times New Roman" w:hAnsi="Times New Roman"/>
                <w:b w:val="0"/>
                <w:bCs/>
                <w:color w:val="auto"/>
                <w:highlight w:val="none"/>
              </w:rPr>
              <w:t>目设置</w:t>
            </w:r>
            <w:r>
              <w:rPr>
                <w:rFonts w:hint="eastAsia" w:ascii="Times New Roman" w:hAnsi="Times New Roman"/>
                <w:b w:val="0"/>
                <w:bCs/>
                <w:color w:val="auto"/>
                <w:highlight w:val="none"/>
                <w:lang w:val="en-US" w:eastAsia="zh-CN"/>
              </w:rPr>
              <w:t>1个100</w:t>
            </w:r>
            <w:r>
              <w:rPr>
                <w:rFonts w:ascii="Times New Roman" w:hAnsi="Times New Roman"/>
                <w:b w:val="0"/>
                <w:bCs/>
                <w:color w:val="auto"/>
                <w:highlight w:val="none"/>
              </w:rPr>
              <w:t>t的水泥</w:t>
            </w:r>
            <w:r>
              <w:rPr>
                <w:rFonts w:hint="eastAsia" w:ascii="Times New Roman" w:hAnsi="Times New Roman"/>
                <w:b w:val="0"/>
                <w:bCs/>
                <w:color w:val="auto"/>
                <w:highlight w:val="none"/>
                <w:lang w:eastAsia="zh-CN"/>
              </w:rPr>
              <w:t>罐</w:t>
            </w:r>
            <w:r>
              <w:rPr>
                <w:rFonts w:ascii="Times New Roman" w:hAnsi="Times New Roman"/>
                <w:b w:val="0"/>
                <w:bCs/>
                <w:color w:val="auto"/>
                <w:highlight w:val="none"/>
              </w:rPr>
              <w:t>，</w:t>
            </w:r>
            <w:r>
              <w:rPr>
                <w:rFonts w:ascii="宋体" w:hAnsi="宋体" w:cs="宋体"/>
                <w:b w:val="0"/>
                <w:bCs/>
                <w:color w:val="auto"/>
              </w:rPr>
              <w:t>密闭</w:t>
            </w:r>
            <w:r>
              <w:rPr>
                <w:rFonts w:hint="eastAsia" w:ascii="宋体" w:hAnsi="宋体" w:cs="宋体"/>
                <w:b w:val="0"/>
                <w:bCs/>
                <w:color w:val="auto"/>
                <w:lang w:eastAsia="zh-CN"/>
              </w:rPr>
              <w:t>水泥罐</w:t>
            </w:r>
            <w:r>
              <w:rPr>
                <w:rFonts w:ascii="宋体" w:hAnsi="宋体" w:cs="宋体"/>
                <w:b w:val="0"/>
                <w:bCs/>
                <w:color w:val="auto"/>
              </w:rPr>
              <w:t>顶端设置专用仓顶除尘器，用以收集筒仓由呼吸孔排出的含尘空气。此过程会产生粉尘</w:t>
            </w:r>
            <w:r>
              <w:rPr>
                <w:rFonts w:hint="eastAsia" w:ascii="Times New Roman" w:hAnsi="Times New Roman"/>
                <w:b w:val="0"/>
                <w:bCs/>
                <w:color w:val="auto"/>
                <w:lang w:val="en-US" w:eastAsia="zh-CN"/>
              </w:rPr>
              <w:t>G6</w:t>
            </w:r>
            <w:r>
              <w:rPr>
                <w:rFonts w:ascii="宋体" w:hAnsi="宋体" w:cs="宋体"/>
                <w:b w:val="0"/>
                <w:bCs/>
                <w:color w:val="auto"/>
              </w:rPr>
              <w:t>及设备运行噪声</w:t>
            </w:r>
            <w:r>
              <w:rPr>
                <w:rFonts w:ascii="Times New Roman" w:hAnsi="Times New Roman"/>
                <w:b w:val="0"/>
                <w:bCs/>
                <w:color w:val="auto"/>
              </w:rPr>
              <w:t>N</w:t>
            </w:r>
            <w:r>
              <w:rPr>
                <w:rFonts w:ascii="宋体" w:hAnsi="宋体" w:cs="宋体"/>
                <w:b w:val="0"/>
                <w:bCs/>
                <w:color w:val="auto"/>
              </w:rPr>
              <w:t>。</w:t>
            </w:r>
          </w:p>
          <w:p>
            <w:pPr>
              <w:pStyle w:val="42"/>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b/>
                <w:bCs w:val="0"/>
                <w:color w:val="auto"/>
                <w:sz w:val="24"/>
                <w:szCs w:val="24"/>
                <w:lang w:eastAsia="zh-CN"/>
              </w:rPr>
              <w:t>输送、</w:t>
            </w:r>
            <w:r>
              <w:rPr>
                <w:rFonts w:hint="default" w:ascii="Times New Roman" w:hAnsi="Times New Roman" w:cs="Times New Roman"/>
                <w:b/>
                <w:bCs w:val="0"/>
                <w:color w:val="auto"/>
                <w:sz w:val="24"/>
                <w:szCs w:val="24"/>
                <w:lang w:eastAsia="zh-CN"/>
              </w:rPr>
              <w:t>计量：</w:t>
            </w:r>
            <w:r>
              <w:rPr>
                <w:rFonts w:hint="eastAsia" w:cs="Times New Roman"/>
                <w:color w:val="auto"/>
                <w:sz w:val="24"/>
                <w:szCs w:val="24"/>
                <w:highlight w:val="none"/>
                <w:lang w:eastAsia="zh-CN"/>
              </w:rPr>
              <w:t>碎石、砂</w:t>
            </w:r>
            <w:r>
              <w:rPr>
                <w:rFonts w:hint="eastAsia" w:ascii="Times New Roman" w:hAnsi="Times New Roman" w:cs="Times New Roman"/>
                <w:color w:val="auto"/>
                <w:spacing w:val="-1"/>
                <w:kern w:val="0"/>
                <w:sz w:val="24"/>
                <w:lang w:val="en-US" w:eastAsia="zh-CN"/>
              </w:rPr>
              <w:t>由螺旋输送机输送至各自的计量斗中进行计量，</w:t>
            </w:r>
            <w:r>
              <w:rPr>
                <w:rFonts w:hint="default" w:ascii="Times New Roman" w:hAnsi="Times New Roman" w:cs="Times New Roman"/>
                <w:b w:val="0"/>
                <w:bCs/>
                <w:color w:val="auto"/>
                <w:sz w:val="24"/>
                <w:szCs w:val="24"/>
                <w:lang w:eastAsia="zh-CN"/>
              </w:rPr>
              <w:t>物料按比例分别经称量配料设备计量，其中砂、碎石通过</w:t>
            </w:r>
            <w:r>
              <w:rPr>
                <w:rFonts w:hint="eastAsia" w:ascii="Times New Roman" w:hAnsi="Times New Roman" w:cs="Times New Roman"/>
                <w:b w:val="0"/>
                <w:bCs/>
                <w:color w:val="auto"/>
                <w:sz w:val="24"/>
                <w:szCs w:val="24"/>
                <w:lang w:eastAsia="zh-CN"/>
              </w:rPr>
              <w:t>非</w:t>
            </w:r>
            <w:r>
              <w:rPr>
                <w:rFonts w:hint="default" w:ascii="Times New Roman" w:hAnsi="Times New Roman" w:cs="Times New Roman"/>
                <w:b w:val="0"/>
                <w:bCs/>
                <w:color w:val="auto"/>
                <w:sz w:val="24"/>
                <w:szCs w:val="24"/>
                <w:lang w:eastAsia="zh-CN"/>
              </w:rPr>
              <w:t>密封输送带输送，水泥通过密闭输送管道输送，水通过管道输送，因此，碎石、砂在</w:t>
            </w:r>
            <w:r>
              <w:rPr>
                <w:rFonts w:hint="eastAsia" w:ascii="Times New Roman" w:hAnsi="Times New Roman" w:cs="Times New Roman"/>
                <w:b w:val="0"/>
                <w:bCs/>
                <w:color w:val="auto"/>
                <w:sz w:val="24"/>
                <w:szCs w:val="24"/>
                <w:lang w:eastAsia="zh-CN"/>
              </w:rPr>
              <w:t>输送、</w:t>
            </w:r>
            <w:r>
              <w:rPr>
                <w:rFonts w:hint="default" w:ascii="Times New Roman" w:hAnsi="Times New Roman" w:cs="Times New Roman"/>
                <w:b w:val="0"/>
                <w:bCs/>
                <w:color w:val="auto"/>
                <w:sz w:val="24"/>
                <w:szCs w:val="24"/>
                <w:lang w:eastAsia="zh-CN"/>
              </w:rPr>
              <w:t>计量配料过程会产生粉尘</w:t>
            </w:r>
            <w:r>
              <w:rPr>
                <w:rFonts w:hint="default" w:ascii="Times New Roman" w:hAnsi="Times New Roman" w:cs="Times New Roman"/>
                <w:b w:val="0"/>
                <w:bCs/>
                <w:color w:val="auto"/>
                <w:sz w:val="24"/>
                <w:szCs w:val="24"/>
                <w:lang w:val="en-US" w:eastAsia="zh-CN"/>
              </w:rPr>
              <w:t>G5、</w:t>
            </w:r>
            <w:r>
              <w:rPr>
                <w:rFonts w:hint="default" w:ascii="Times New Roman" w:hAnsi="Times New Roman" w:cs="Times New Roman"/>
                <w:b w:val="0"/>
                <w:bCs/>
                <w:color w:val="auto"/>
                <w:sz w:val="24"/>
                <w:szCs w:val="24"/>
              </w:rPr>
              <w:t>噪声N</w:t>
            </w:r>
            <w:r>
              <w:rPr>
                <w:rFonts w:hint="eastAsia" w:ascii="Times New Roman" w:hAnsi="Times New Roman" w:cs="Times New Roman"/>
                <w:b w:val="0"/>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32"/>
                <w:lang w:val="en-US" w:eastAsia="zh-CN"/>
              </w:rPr>
            </w:pPr>
            <w:r>
              <w:rPr>
                <w:rFonts w:ascii="宋体" w:hAnsi="宋体" w:cs="宋体"/>
                <w:b/>
                <w:bCs w:val="0"/>
                <w:color w:val="auto"/>
                <w:sz w:val="24"/>
                <w:szCs w:val="24"/>
              </w:rPr>
              <w:t>搅拌：</w:t>
            </w:r>
            <w:r>
              <w:rPr>
                <w:rFonts w:hint="eastAsia" w:ascii="Times New Roman" w:hAnsi="Times New Roman" w:eastAsia="宋体" w:cs="Times New Roman"/>
                <w:b w:val="0"/>
                <w:bCs w:val="0"/>
                <w:color w:val="auto"/>
                <w:sz w:val="24"/>
                <w:szCs w:val="24"/>
                <w:lang w:val="en-US" w:eastAsia="zh-CN"/>
              </w:rPr>
              <w:t>进入搅</w:t>
            </w:r>
            <w:r>
              <w:rPr>
                <w:rFonts w:hint="eastAsia" w:ascii="Times New Roman" w:hAnsi="Times New Roman" w:eastAsia="宋体" w:cs="Times New Roman"/>
                <w:b w:val="0"/>
                <w:bCs w:val="0"/>
                <w:color w:val="auto"/>
                <w:sz w:val="24"/>
                <w:szCs w:val="32"/>
                <w:lang w:val="en-US" w:eastAsia="zh-CN"/>
              </w:rPr>
              <w:t>拌机内的各种原料，进入搅拌机内搅拌。搅拌过程由电脑控制，从而保证搅拌均匀，搅拌机工作原理：在搅拌机内相互翻转的两根搅拌轴的搅拌下，受到</w:t>
            </w:r>
            <w:r>
              <w:rPr>
                <w:rFonts w:hint="eastAsia" w:cs="Times New Roman"/>
                <w:b w:val="0"/>
                <w:bCs w:val="0"/>
                <w:color w:val="auto"/>
                <w:sz w:val="24"/>
                <w:szCs w:val="32"/>
                <w:lang w:val="en-US" w:eastAsia="zh-CN"/>
              </w:rPr>
              <w:t>桨片</w:t>
            </w:r>
            <w:r>
              <w:rPr>
                <w:rFonts w:hint="eastAsia" w:ascii="Times New Roman" w:hAnsi="Times New Roman" w:eastAsia="宋体" w:cs="Times New Roman"/>
                <w:b w:val="0"/>
                <w:bCs w:val="0"/>
                <w:color w:val="auto"/>
                <w:sz w:val="24"/>
                <w:szCs w:val="32"/>
                <w:lang w:val="en-US" w:eastAsia="zh-CN"/>
              </w:rPr>
              <w:t>周向、径向、轴向力的作用，使物料一边相互挤压、摩擦、剪切、对流，从而进行剧烈的</w:t>
            </w:r>
            <w:r>
              <w:rPr>
                <w:rFonts w:hint="eastAsia" w:cs="Times New Roman"/>
                <w:b w:val="0"/>
                <w:bCs w:val="0"/>
                <w:color w:val="auto"/>
                <w:sz w:val="24"/>
                <w:szCs w:val="32"/>
                <w:lang w:val="en-US" w:eastAsia="zh-CN"/>
              </w:rPr>
              <w:t>拌合</w:t>
            </w:r>
            <w:r>
              <w:rPr>
                <w:rFonts w:hint="eastAsia" w:ascii="Times New Roman" w:hAnsi="Times New Roman" w:eastAsia="宋体" w:cs="Times New Roman"/>
                <w:b w:val="0"/>
                <w:bCs w:val="0"/>
                <w:color w:val="auto"/>
                <w:sz w:val="24"/>
                <w:szCs w:val="32"/>
                <w:lang w:val="en-US" w:eastAsia="zh-CN"/>
              </w:rPr>
              <w:t>，一边向出料口推移，当物料达到机内出料口时，各种物料已相互得到均匀地</w:t>
            </w:r>
            <w:r>
              <w:rPr>
                <w:rFonts w:hint="eastAsia" w:cs="Times New Roman"/>
                <w:b w:val="0"/>
                <w:bCs w:val="0"/>
                <w:color w:val="auto"/>
                <w:sz w:val="24"/>
                <w:szCs w:val="32"/>
                <w:lang w:val="en-US" w:eastAsia="zh-CN"/>
              </w:rPr>
              <w:t>拌合</w:t>
            </w:r>
            <w:r>
              <w:rPr>
                <w:rFonts w:hint="eastAsia" w:ascii="Times New Roman" w:hAnsi="Times New Roman" w:eastAsia="宋体" w:cs="Times New Roman"/>
                <w:b w:val="0"/>
                <w:bCs w:val="0"/>
                <w:color w:val="auto"/>
                <w:sz w:val="24"/>
                <w:szCs w:val="32"/>
                <w:lang w:val="en-US" w:eastAsia="zh-CN"/>
              </w:rPr>
              <w:t>，并具有压实所需的水量。该工序产生的污染物主要为粉尘</w:t>
            </w:r>
            <w:r>
              <w:rPr>
                <w:rFonts w:hint="eastAsia" w:cs="Times New Roman"/>
                <w:b w:val="0"/>
                <w:bCs w:val="0"/>
                <w:color w:val="auto"/>
                <w:sz w:val="24"/>
                <w:szCs w:val="32"/>
                <w:lang w:val="en-US" w:eastAsia="zh-CN"/>
              </w:rPr>
              <w:t>G7</w:t>
            </w:r>
            <w:r>
              <w:rPr>
                <w:rFonts w:hint="eastAsia" w:ascii="Times New Roman" w:hAnsi="Times New Roman" w:eastAsia="宋体" w:cs="Times New Roman"/>
                <w:b w:val="0"/>
                <w:bCs w:val="0"/>
                <w:color w:val="auto"/>
                <w:sz w:val="24"/>
                <w:szCs w:val="32"/>
                <w:lang w:val="en-US" w:eastAsia="zh-CN"/>
              </w:rPr>
              <w:t>、噪声</w:t>
            </w:r>
            <w:r>
              <w:rPr>
                <w:rFonts w:hint="eastAsia" w:cs="Times New Roman"/>
                <w:b w:val="0"/>
                <w:bCs w:val="0"/>
                <w:color w:val="auto"/>
                <w:sz w:val="24"/>
                <w:szCs w:val="32"/>
                <w:lang w:val="en-US" w:eastAsia="zh-CN"/>
              </w:rPr>
              <w:t>N</w:t>
            </w:r>
            <w:r>
              <w:rPr>
                <w:rFonts w:hint="eastAsia" w:ascii="Times New Roman" w:hAnsi="Times New Roman" w:eastAsia="宋体" w:cs="Times New Roman"/>
                <w:b w:val="0"/>
                <w:bCs w:val="0"/>
                <w:color w:val="auto"/>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bCs/>
                <w:color w:val="auto"/>
                <w:sz w:val="24"/>
                <w:szCs w:val="32"/>
                <w:lang w:val="en-US" w:eastAsia="zh-CN"/>
              </w:rPr>
            </w:pPr>
            <w:r>
              <w:rPr>
                <w:rFonts w:hint="eastAsia" w:ascii="宋体" w:hAnsi="宋体" w:cs="宋体"/>
                <w:b w:val="0"/>
                <w:bCs/>
                <w:color w:val="auto"/>
              </w:rPr>
              <w:t xml:space="preserve"> </w:t>
            </w:r>
            <w:r>
              <w:rPr>
                <w:rFonts w:hint="eastAsia" w:ascii="Times New Roman" w:hAnsi="Times New Roman" w:eastAsia="宋体" w:cs="Times New Roman"/>
                <w:b/>
                <w:bCs/>
                <w:color w:val="auto"/>
                <w:sz w:val="24"/>
                <w:szCs w:val="32"/>
                <w:lang w:val="en-US" w:eastAsia="zh-CN"/>
              </w:rPr>
              <w:t>入模浇制：</w:t>
            </w:r>
            <w:r>
              <w:rPr>
                <w:rFonts w:hint="eastAsia" w:ascii="Times New Roman" w:hAnsi="Times New Roman" w:eastAsia="宋体" w:cs="Times New Roman"/>
                <w:b w:val="0"/>
                <w:bCs w:val="0"/>
                <w:color w:val="auto"/>
                <w:sz w:val="24"/>
                <w:szCs w:val="32"/>
                <w:lang w:val="en-US" w:eastAsia="zh-CN"/>
              </w:rPr>
              <w:t>各种原料在搅拌机内混合搅拌，搅拌好的混凝土输送至模具内进行入模压制，需通过振捣器对混凝土浇筑构件进行振动捣实，排除其中气泡，进行捣固，使混凝土密实结合，消除混凝土的蜂窝麻面等现象，以提高其强度，保证混凝土构件的质量。该工序产生的污染物主要为噪声</w:t>
            </w:r>
            <w:r>
              <w:rPr>
                <w:rFonts w:hint="eastAsia" w:cs="Times New Roman"/>
                <w:b w:val="0"/>
                <w:bCs w:val="0"/>
                <w:color w:val="auto"/>
                <w:sz w:val="24"/>
                <w:szCs w:val="32"/>
                <w:lang w:val="en-US" w:eastAsia="zh-CN"/>
              </w:rPr>
              <w:t>N。</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拆模养护：</w:t>
            </w:r>
            <w:r>
              <w:rPr>
                <w:rFonts w:hint="eastAsia" w:ascii="Times New Roman" w:hAnsi="Times New Roman" w:eastAsia="宋体" w:cs="Times New Roman"/>
                <w:b w:val="0"/>
                <w:bCs w:val="0"/>
                <w:color w:val="auto"/>
                <w:sz w:val="24"/>
                <w:szCs w:val="32"/>
                <w:lang w:val="en-US" w:eastAsia="zh-CN"/>
              </w:rPr>
              <w:t>入模压制成型后拆模进入养护阶段，养护期间，应采取洒水等措施进行保湿、潮湿养护，该工序产生的污染物主要为废水</w:t>
            </w:r>
            <w:r>
              <w:rPr>
                <w:rFonts w:hint="eastAsia" w:cs="Times New Roman"/>
                <w:b w:val="0"/>
                <w:bCs w:val="0"/>
                <w:color w:val="auto"/>
                <w:sz w:val="24"/>
                <w:szCs w:val="32"/>
                <w:lang w:val="en-US" w:eastAsia="zh-CN"/>
              </w:rPr>
              <w:t>W1</w:t>
            </w:r>
            <w:r>
              <w:rPr>
                <w:rFonts w:hint="eastAsia" w:ascii="Times New Roman" w:hAnsi="Times New Roman" w:eastAsia="宋体" w:cs="Times New Roman"/>
                <w:b w:val="0"/>
                <w:bCs w:val="0"/>
                <w:color w:val="auto"/>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val="0"/>
                <w:color w:val="auto"/>
                <w:sz w:val="24"/>
                <w:szCs w:val="32"/>
                <w:lang w:val="en-US" w:eastAsia="zh-CN"/>
              </w:rPr>
            </w:pPr>
            <w:r>
              <w:rPr>
                <w:rFonts w:hint="eastAsia" w:ascii="Times New Roman" w:hAnsi="Times New Roman" w:eastAsia="宋体" w:cs="Times New Roman"/>
                <w:b/>
                <w:bCs/>
                <w:color w:val="auto"/>
                <w:sz w:val="24"/>
                <w:szCs w:val="32"/>
                <w:lang w:val="en-US" w:eastAsia="zh-CN"/>
              </w:rPr>
              <w:t>成品出厂：</w:t>
            </w:r>
            <w:r>
              <w:rPr>
                <w:rFonts w:hint="eastAsia" w:ascii="Times New Roman" w:hAnsi="Times New Roman" w:eastAsia="宋体" w:cs="Times New Roman"/>
                <w:b w:val="0"/>
                <w:bCs w:val="0"/>
                <w:color w:val="auto"/>
                <w:sz w:val="24"/>
                <w:szCs w:val="32"/>
                <w:lang w:val="en-US" w:eastAsia="zh-CN"/>
              </w:rPr>
              <w:t>水泥制品养护结束后，利用叉车搬至厂区成品区堆放待售。</w:t>
            </w:r>
          </w:p>
          <w:p>
            <w:pPr>
              <w:widowControl w:val="0"/>
              <w:numPr>
                <w:ilvl w:val="0"/>
                <w:numId w:val="0"/>
              </w:numPr>
              <w:spacing w:line="240" w:lineRule="auto"/>
              <w:ind w:firstLine="0" w:firstLineChars="0"/>
              <w:jc w:val="center"/>
              <w:rPr>
                <w:b/>
                <w:color w:val="auto"/>
                <w:szCs w:val="21"/>
                <w:highlight w:val="none"/>
              </w:rPr>
            </w:pPr>
            <w:r>
              <w:rPr>
                <w:b/>
                <w:color w:val="auto"/>
                <w:szCs w:val="21"/>
                <w:highlight w:val="none"/>
              </w:rPr>
              <w:t>表2</w:t>
            </w:r>
            <w:r>
              <w:rPr>
                <w:rFonts w:hint="eastAsia"/>
                <w:b/>
                <w:color w:val="auto"/>
                <w:szCs w:val="21"/>
                <w:highlight w:val="none"/>
              </w:rPr>
              <w:t>-</w:t>
            </w:r>
            <w:r>
              <w:rPr>
                <w:rFonts w:hint="eastAsia"/>
                <w:b/>
                <w:color w:val="auto"/>
                <w:szCs w:val="21"/>
                <w:highlight w:val="none"/>
                <w:lang w:val="en-US" w:eastAsia="zh-CN"/>
              </w:rPr>
              <w:t>9</w:t>
            </w:r>
            <w:r>
              <w:rPr>
                <w:b/>
                <w:color w:val="auto"/>
                <w:szCs w:val="21"/>
                <w:highlight w:val="none"/>
              </w:rPr>
              <w:t xml:space="preserve"> 污染物产生环节及处置措施一览表</w:t>
            </w:r>
          </w:p>
          <w:tbl>
            <w:tblPr>
              <w:tblStyle w:val="24"/>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350"/>
              <w:gridCol w:w="1590"/>
              <w:gridCol w:w="4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Align w:val="center"/>
                </w:tcPr>
                <w:p>
                  <w:pPr>
                    <w:pStyle w:val="26"/>
                    <w:spacing w:line="240" w:lineRule="auto"/>
                    <w:ind w:firstLine="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类别</w:t>
                  </w: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产生环节</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主要污染物</w:t>
                  </w:r>
                </w:p>
              </w:tc>
              <w:tc>
                <w:tcPr>
                  <w:tcW w:w="467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restart"/>
                  <w:vAlign w:val="center"/>
                </w:tcPr>
                <w:p>
                  <w:pPr>
                    <w:pStyle w:val="26"/>
                    <w:spacing w:line="240" w:lineRule="auto"/>
                    <w:ind w:firstLine="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废气</w:t>
                  </w:r>
                </w:p>
              </w:tc>
              <w:tc>
                <w:tcPr>
                  <w:tcW w:w="135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原料堆场、</w:t>
                  </w:r>
                </w:p>
              </w:tc>
              <w:tc>
                <w:tcPr>
                  <w:tcW w:w="159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粉尘</w:t>
                  </w:r>
                  <w:r>
                    <w:rPr>
                      <w:rFonts w:hint="default" w:ascii="Times New Roman" w:hAnsi="Times New Roman" w:cs="Times New Roman"/>
                      <w:b w:val="0"/>
                      <w:bCs/>
                      <w:color w:val="auto"/>
                      <w:sz w:val="21"/>
                      <w:szCs w:val="21"/>
                      <w:lang w:val="en-US" w:eastAsia="zh-CN"/>
                    </w:rPr>
                    <w:t>G1</w:t>
                  </w:r>
                </w:p>
              </w:tc>
              <w:tc>
                <w:tcPr>
                  <w:tcW w:w="467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eastAsia"/>
                      <w:color w:val="auto"/>
                      <w:sz w:val="21"/>
                      <w:szCs w:val="21"/>
                    </w:rPr>
                    <w:t>项目原料堆场、生产厂房均为封闭式结构，仅保留必要车辆进出口，进出口设置柔性聚酯纤维防尘帘幕，尺寸为宽4m×高5m，共2处。厂房顶部及侧墙设置固定式防尘网，采用200目不锈钢丝网，总覆盖面积约300m²（主要位于卸料口、上料口、传送带进出口）。</w:t>
                  </w:r>
                  <w:r>
                    <w:rPr>
                      <w:rFonts w:hint="default" w:ascii="Times New Roman" w:hAnsi="Times New Roman" w:cs="Times New Roman"/>
                      <w:color w:val="auto"/>
                      <w:sz w:val="21"/>
                      <w:szCs w:val="21"/>
                      <w:lang w:eastAsia="zh-CN"/>
                    </w:rPr>
                    <w:t>场内配置自动喷雾降尘系统，</w:t>
                  </w:r>
                  <w:r>
                    <w:rPr>
                      <w:rFonts w:hint="eastAsia" w:ascii="Times New Roman" w:hAnsi="Times New Roman" w:cs="Times New Roman"/>
                      <w:color w:val="auto"/>
                      <w:sz w:val="21"/>
                      <w:szCs w:val="21"/>
                      <w:lang w:eastAsia="zh-CN"/>
                    </w:rPr>
                    <w:t>原料仓库内设置</w:t>
                  </w:r>
                  <w:r>
                    <w:rPr>
                      <w:rFonts w:hint="eastAsia" w:ascii="Times New Roman" w:hAnsi="Times New Roman" w:cs="Times New Roman"/>
                      <w:color w:val="auto"/>
                      <w:sz w:val="21"/>
                      <w:szCs w:val="21"/>
                      <w:lang w:val="en-US" w:eastAsia="zh-CN"/>
                    </w:rPr>
                    <w:t>20个</w:t>
                  </w:r>
                  <w:r>
                    <w:rPr>
                      <w:rFonts w:hint="default" w:ascii="Times New Roman" w:hAnsi="Times New Roman" w:cs="Times New Roman"/>
                      <w:color w:val="auto"/>
                      <w:sz w:val="21"/>
                      <w:szCs w:val="21"/>
                      <w:lang w:eastAsia="zh-CN"/>
                    </w:rPr>
                    <w:t>高压雾化喷头</w:t>
                  </w:r>
                  <w:r>
                    <w:rPr>
                      <w:rFonts w:hint="eastAsia" w:ascii="Times New Roman" w:hAnsi="Times New Roman" w:cs="Times New Roman"/>
                      <w:color w:val="auto"/>
                      <w:sz w:val="21"/>
                      <w:szCs w:val="21"/>
                      <w:lang w:eastAsia="zh-CN"/>
                    </w:rPr>
                    <w:t>、投料口设置</w:t>
                  </w:r>
                  <w:r>
                    <w:rPr>
                      <w:rFonts w:hint="eastAsia" w:ascii="Times New Roman" w:hAnsi="Times New Roman" w:cs="Times New Roman"/>
                      <w:color w:val="auto"/>
                      <w:sz w:val="21"/>
                      <w:szCs w:val="21"/>
                      <w:lang w:val="en-US" w:eastAsia="zh-CN"/>
                    </w:rPr>
                    <w:t>5个</w:t>
                  </w:r>
                  <w:r>
                    <w:rPr>
                      <w:rFonts w:hint="default" w:ascii="Times New Roman" w:hAnsi="Times New Roman" w:cs="Times New Roman"/>
                      <w:color w:val="auto"/>
                      <w:sz w:val="21"/>
                      <w:szCs w:val="21"/>
                      <w:lang w:eastAsia="zh-CN"/>
                    </w:rPr>
                    <w:t>高压雾化喷头</w:t>
                  </w:r>
                  <w:r>
                    <w:rPr>
                      <w:rFonts w:hint="eastAsia" w:ascii="Times New Roman" w:hAnsi="Times New Roman" w:cs="Times New Roman"/>
                      <w:color w:val="auto"/>
                      <w:sz w:val="21"/>
                      <w:szCs w:val="21"/>
                      <w:lang w:eastAsia="zh-CN"/>
                    </w:rPr>
                    <w:t>，单个喷头喷洒水量 0.</w:t>
                  </w:r>
                  <w:r>
                    <w:rPr>
                      <w:rFonts w:hint="eastAsia"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eastAsia="zh-CN"/>
                    </w:rPr>
                    <w:t>L/min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c>
                <w:tcPr>
                  <w:tcW w:w="135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物料输送、计量</w:t>
                  </w:r>
                </w:p>
              </w:tc>
              <w:tc>
                <w:tcPr>
                  <w:tcW w:w="159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粉尘G</w:t>
                  </w:r>
                  <w:r>
                    <w:rPr>
                      <w:rFonts w:hint="eastAsia"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lang w:val="en-US" w:eastAsia="zh-CN"/>
                    </w:rPr>
                    <w:t>、G</w:t>
                  </w:r>
                  <w:r>
                    <w:rPr>
                      <w:rFonts w:hint="eastAsia" w:ascii="Times New Roman" w:hAnsi="Times New Roman" w:cs="Times New Roman"/>
                      <w:b w:val="0"/>
                      <w:bCs/>
                      <w:color w:val="auto"/>
                      <w:sz w:val="21"/>
                      <w:szCs w:val="21"/>
                      <w:lang w:val="en-US" w:eastAsia="zh-CN"/>
                    </w:rPr>
                    <w:t>3</w:t>
                  </w:r>
                </w:p>
              </w:tc>
              <w:tc>
                <w:tcPr>
                  <w:tcW w:w="467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eastAsia"/>
                      <w:color w:val="auto"/>
                      <w:sz w:val="21"/>
                      <w:szCs w:val="21"/>
                      <w:lang w:eastAsia="zh-CN"/>
                    </w:rPr>
                    <w:t>密闭围挡+喷雾抑尘：输送皮带采用全封闭彩钢板廊道（高度2m、长度120m），计量斗上方设置三面彩钢板围挡（高度3m、长度6m），仅保留一个侧面物料输送口；在输送廊道内设置20个高压雾化喷头，计量斗区域设置6个喷头，单个喷洒水量0.5L/min（水压0.3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rPr>
                  </w:pPr>
                </w:p>
              </w:tc>
              <w:tc>
                <w:tcPr>
                  <w:tcW w:w="135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水泥罐</w:t>
                  </w:r>
                </w:p>
              </w:tc>
              <w:tc>
                <w:tcPr>
                  <w:tcW w:w="159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粉尘</w:t>
                  </w:r>
                  <w:r>
                    <w:rPr>
                      <w:rFonts w:hint="default" w:ascii="Times New Roman" w:hAnsi="Times New Roman" w:cs="Times New Roman"/>
                      <w:b w:val="0"/>
                      <w:bCs/>
                      <w:color w:val="auto"/>
                      <w:sz w:val="21"/>
                      <w:szCs w:val="21"/>
                      <w:lang w:val="en-US" w:eastAsia="zh-CN"/>
                    </w:rPr>
                    <w:t>G</w:t>
                  </w:r>
                  <w:r>
                    <w:rPr>
                      <w:rFonts w:hint="eastAsia" w:ascii="Times New Roman" w:hAnsi="Times New Roman" w:cs="Times New Roman"/>
                      <w:b w:val="0"/>
                      <w:bCs/>
                      <w:color w:val="auto"/>
                      <w:sz w:val="21"/>
                      <w:szCs w:val="21"/>
                      <w:lang w:val="en-US" w:eastAsia="zh-CN"/>
                    </w:rPr>
                    <w:t>4</w:t>
                  </w:r>
                </w:p>
              </w:tc>
              <w:tc>
                <w:tcPr>
                  <w:tcW w:w="467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color w:val="auto"/>
                      <w:sz w:val="21"/>
                      <w:szCs w:val="21"/>
                      <w:lang w:eastAsia="zh-CN"/>
                    </w:rPr>
                    <w:t>仓顶除尘器</w:t>
                  </w:r>
                  <w:r>
                    <w:rPr>
                      <w:rFonts w:hint="default" w:ascii="Times New Roman" w:hAnsi="Times New Roman" w:cs="Times New Roman"/>
                      <w:color w:val="auto"/>
                      <w:sz w:val="21"/>
                      <w:szCs w:val="21"/>
                      <w:lang w:val="en-US" w:eastAsia="zh-CN"/>
                    </w:rPr>
                    <w:t>+厂房密闭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rPr>
                  </w:pPr>
                </w:p>
              </w:tc>
              <w:tc>
                <w:tcPr>
                  <w:tcW w:w="135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搅拌</w:t>
                  </w:r>
                </w:p>
              </w:tc>
              <w:tc>
                <w:tcPr>
                  <w:tcW w:w="159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粉尘</w:t>
                  </w:r>
                  <w:r>
                    <w:rPr>
                      <w:rFonts w:hint="default" w:ascii="Times New Roman" w:hAnsi="Times New Roman" w:cs="Times New Roman"/>
                      <w:b w:val="0"/>
                      <w:bCs/>
                      <w:color w:val="auto"/>
                      <w:sz w:val="21"/>
                      <w:szCs w:val="21"/>
                      <w:lang w:val="en-US" w:eastAsia="zh-CN"/>
                    </w:rPr>
                    <w:t>G</w:t>
                  </w:r>
                  <w:r>
                    <w:rPr>
                      <w:rFonts w:hint="eastAsia" w:ascii="Times New Roman" w:hAnsi="Times New Roman" w:cs="Times New Roman"/>
                      <w:b w:val="0"/>
                      <w:bCs/>
                      <w:color w:val="auto"/>
                      <w:sz w:val="21"/>
                      <w:szCs w:val="21"/>
                      <w:lang w:val="en-US" w:eastAsia="zh-CN"/>
                    </w:rPr>
                    <w:t>5</w:t>
                  </w:r>
                </w:p>
              </w:tc>
              <w:tc>
                <w:tcPr>
                  <w:tcW w:w="467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color w:val="auto"/>
                      <w:sz w:val="21"/>
                      <w:szCs w:val="21"/>
                      <w:lang w:eastAsia="zh-CN"/>
                    </w:rPr>
                    <w:t>集气罩、软帘</w:t>
                  </w:r>
                  <w:r>
                    <w:rPr>
                      <w:rFonts w:hint="default" w:ascii="Times New Roman" w:hAnsi="Times New Roman" w:cs="Times New Roman"/>
                      <w:color w:val="auto"/>
                      <w:sz w:val="21"/>
                      <w:szCs w:val="21"/>
                      <w:lang w:val="en-US" w:eastAsia="zh-CN"/>
                    </w:rPr>
                    <w:t>+脉冲布袋除尘器+1根15m高排气筒DA00</w:t>
                  </w:r>
                  <w:r>
                    <w:rPr>
                      <w:rFonts w:hint="eastAsia" w:ascii="Times New Roman" w:hAnsi="Times New Roman" w:cs="Times New Roman"/>
                      <w:color w:val="auto"/>
                      <w:sz w:val="21"/>
                      <w:szCs w:val="21"/>
                      <w:lang w:val="en-US" w:eastAsia="zh-CN"/>
                    </w:rPr>
                    <w:t>1，</w:t>
                  </w:r>
                  <w:r>
                    <w:rPr>
                      <w:rFonts w:hint="eastAsia"/>
                      <w:color w:val="auto"/>
                      <w:sz w:val="21"/>
                      <w:szCs w:val="21"/>
                      <w:lang w:val="en-US" w:eastAsia="zh-CN"/>
                    </w:rPr>
                    <w:t>并</w:t>
                  </w:r>
                  <w:r>
                    <w:rPr>
                      <w:rFonts w:hint="eastAsia"/>
                      <w:color w:val="auto"/>
                      <w:sz w:val="21"/>
                      <w:szCs w:val="21"/>
                      <w:lang w:eastAsia="zh-CN"/>
                    </w:rPr>
                    <w:t>在搅拌区域上方设置12个高压雾化喷头，单个喷头喷洒水量0.5L/min（水压0.3MPa）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eastAsia="宋体" w:cs="Times New Roman"/>
                      <w:b w:val="0"/>
                      <w:bCs/>
                      <w:color w:val="auto"/>
                      <w:sz w:val="21"/>
                      <w:szCs w:val="21"/>
                      <w:lang w:eastAsia="zh-CN"/>
                    </w:rPr>
                  </w:pPr>
                </w:p>
              </w:tc>
              <w:tc>
                <w:tcPr>
                  <w:tcW w:w="135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交通运输</w:t>
                  </w:r>
                </w:p>
                <w:p>
                  <w:pPr>
                    <w:pStyle w:val="26"/>
                    <w:spacing w:line="240" w:lineRule="auto"/>
                    <w:ind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扬尘</w:t>
                  </w:r>
                </w:p>
              </w:tc>
              <w:tc>
                <w:tcPr>
                  <w:tcW w:w="159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粉尘</w:t>
                  </w:r>
                </w:p>
              </w:tc>
              <w:tc>
                <w:tcPr>
                  <w:tcW w:w="4670" w:type="dxa"/>
                  <w:vAlign w:val="center"/>
                </w:tcPr>
                <w:p>
                  <w:pPr>
                    <w:pStyle w:val="26"/>
                    <w:spacing w:line="240" w:lineRule="auto"/>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路面硬化、</w:t>
                  </w:r>
                  <w:r>
                    <w:rPr>
                      <w:rFonts w:hint="default" w:ascii="Times New Roman" w:hAnsi="Times New Roman" w:cs="Times New Roman"/>
                      <w:b w:val="0"/>
                      <w:bCs/>
                      <w:color w:val="auto"/>
                      <w:sz w:val="21"/>
                      <w:szCs w:val="21"/>
                    </w:rPr>
                    <w:t>定期路面洒水，设置冲洗平台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restart"/>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废水</w:t>
                  </w: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员工生活</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COD、BOD</w:t>
                  </w:r>
                  <w:r>
                    <w:rPr>
                      <w:rFonts w:hint="default" w:ascii="Times New Roman" w:hAnsi="Times New Roman" w:cs="Times New Roman"/>
                      <w:b w:val="0"/>
                      <w:bCs/>
                      <w:color w:val="auto"/>
                      <w:sz w:val="21"/>
                      <w:szCs w:val="21"/>
                      <w:vertAlign w:val="subscript"/>
                      <w:lang w:val="en-US" w:eastAsia="zh-CN"/>
                    </w:rPr>
                    <w:t>5</w:t>
                  </w:r>
                  <w:r>
                    <w:rPr>
                      <w:rFonts w:hint="default" w:ascii="Times New Roman" w:hAnsi="Times New Roman" w:cs="Times New Roman"/>
                      <w:b w:val="0"/>
                      <w:bCs/>
                      <w:color w:val="auto"/>
                      <w:sz w:val="21"/>
                      <w:szCs w:val="21"/>
                      <w:lang w:val="en-US" w:eastAsia="zh-CN"/>
                    </w:rPr>
                    <w:t>、SS、NH</w:t>
                  </w:r>
                  <w:r>
                    <w:rPr>
                      <w:rFonts w:hint="default" w:ascii="Times New Roman" w:hAnsi="Times New Roman" w:cs="Times New Roman"/>
                      <w:b w:val="0"/>
                      <w:bCs/>
                      <w:color w:val="auto"/>
                      <w:sz w:val="21"/>
                      <w:szCs w:val="21"/>
                      <w:vertAlign w:val="subscript"/>
                      <w:lang w:val="en-US" w:eastAsia="zh-CN"/>
                    </w:rPr>
                    <w:t>3</w:t>
                  </w:r>
                  <w:r>
                    <w:rPr>
                      <w:rFonts w:hint="default" w:ascii="Times New Roman" w:hAnsi="Times New Roman" w:cs="Times New Roman"/>
                      <w:b w:val="0"/>
                      <w:bCs/>
                      <w:color w:val="auto"/>
                      <w:sz w:val="21"/>
                      <w:szCs w:val="21"/>
                      <w:lang w:val="en-US" w:eastAsia="zh-CN"/>
                    </w:rPr>
                    <w:t>-N</w:t>
                  </w:r>
                </w:p>
              </w:tc>
              <w:tc>
                <w:tcPr>
                  <w:tcW w:w="4670" w:type="dxa"/>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经化粪池预处理后定期由吸污车转运至丰庄镇新村街污水处理站处理。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进出车辆</w:t>
                  </w:r>
                </w:p>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冲洗废水</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SS、石油类</w:t>
                  </w:r>
                </w:p>
              </w:tc>
              <w:tc>
                <w:tcPr>
                  <w:tcW w:w="4670" w:type="dxa"/>
                  <w:vMerge w:val="restart"/>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经三级沉淀池沉淀后回用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设备冲洗</w:t>
                  </w:r>
                </w:p>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废水</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SS</w:t>
                  </w:r>
                </w:p>
              </w:tc>
              <w:tc>
                <w:tcPr>
                  <w:tcW w:w="4670"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养护废水</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SS</w:t>
                  </w:r>
                </w:p>
              </w:tc>
              <w:tc>
                <w:tcPr>
                  <w:tcW w:w="4670"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restart"/>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固废</w:t>
                  </w: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除尘器</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粉尘</w:t>
                  </w:r>
                </w:p>
              </w:tc>
              <w:tc>
                <w:tcPr>
                  <w:tcW w:w="4670" w:type="dxa"/>
                  <w:vMerge w:val="restart"/>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分类收集后回用于生产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沉降粉尘</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粉尘</w:t>
                  </w:r>
                </w:p>
              </w:tc>
              <w:tc>
                <w:tcPr>
                  <w:tcW w:w="4670"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沉淀池</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沉渣</w:t>
                  </w:r>
                </w:p>
              </w:tc>
              <w:tc>
                <w:tcPr>
                  <w:tcW w:w="4670"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Merge w:val="restart"/>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设备维修</w:t>
                  </w:r>
                </w:p>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保养</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废弃的含油抹布、劳保用品</w:t>
                  </w:r>
                </w:p>
              </w:tc>
              <w:tc>
                <w:tcPr>
                  <w:tcW w:w="4670" w:type="dxa"/>
                  <w:vMerge w:val="restart"/>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分类贮存于危废贮存库，定期</w:t>
                  </w:r>
                  <w:r>
                    <w:rPr>
                      <w:rFonts w:hint="eastAsia" w:ascii="Times New Roman" w:hAnsi="Times New Roman" w:cs="Times New Roman"/>
                      <w:b w:val="0"/>
                      <w:bCs/>
                      <w:color w:val="auto"/>
                      <w:sz w:val="21"/>
                      <w:szCs w:val="21"/>
                      <w:lang w:eastAsia="zh-CN"/>
                    </w:rPr>
                    <w:t>交由</w:t>
                  </w:r>
                  <w:r>
                    <w:rPr>
                      <w:rFonts w:hint="default" w:ascii="Times New Roman" w:hAnsi="Times New Roman" w:cs="Times New Roman"/>
                      <w:b w:val="0"/>
                      <w:bCs/>
                      <w:color w:val="auto"/>
                      <w:sz w:val="21"/>
                      <w:szCs w:val="21"/>
                      <w:lang w:eastAsia="zh-CN"/>
                    </w:rPr>
                    <w:t>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废润滑油</w:t>
                  </w:r>
                </w:p>
              </w:tc>
              <w:tc>
                <w:tcPr>
                  <w:tcW w:w="4670"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350"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eastAsia="zh-CN"/>
                    </w:rPr>
                  </w:pP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废润滑油桶</w:t>
                  </w:r>
                </w:p>
              </w:tc>
              <w:tc>
                <w:tcPr>
                  <w:tcW w:w="4670" w:type="dxa"/>
                  <w:vMerge w:val="continue"/>
                  <w:vAlign w:val="center"/>
                </w:tcPr>
                <w:p>
                  <w:pPr>
                    <w:pStyle w:val="26"/>
                    <w:spacing w:line="240" w:lineRule="auto"/>
                    <w:ind w:firstLine="0"/>
                    <w:jc w:val="center"/>
                    <w:rPr>
                      <w:rFonts w:hint="default" w:ascii="Times New Roman" w:hAnsi="Times New Roman"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71" w:type="dxa"/>
                  <w:vAlign w:val="center"/>
                </w:tcPr>
                <w:p>
                  <w:pPr>
                    <w:pStyle w:val="26"/>
                    <w:spacing w:line="240" w:lineRule="auto"/>
                    <w:ind w:firstLine="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噪声</w:t>
                  </w:r>
                </w:p>
              </w:tc>
              <w:tc>
                <w:tcPr>
                  <w:tcW w:w="135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设备安装、设备运行</w:t>
                  </w:r>
                </w:p>
              </w:tc>
              <w:tc>
                <w:tcPr>
                  <w:tcW w:w="159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机械噪声N</w:t>
                  </w:r>
                </w:p>
              </w:tc>
              <w:tc>
                <w:tcPr>
                  <w:tcW w:w="4670" w:type="dxa"/>
                  <w:vAlign w:val="center"/>
                </w:tcPr>
                <w:p>
                  <w:pPr>
                    <w:pStyle w:val="26"/>
                    <w:spacing w:line="240" w:lineRule="auto"/>
                    <w:ind w:firstLine="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选取低噪声设备，厂房隔声，基础减振</w:t>
                  </w:r>
                </w:p>
              </w:tc>
            </w:tr>
          </w:tbl>
          <w:p>
            <w:pPr>
              <w:pStyle w:val="11"/>
              <w:rPr>
                <w:color w:val="auto"/>
              </w:rPr>
            </w:pPr>
          </w:p>
          <w:p>
            <w:pPr>
              <w:spacing w:line="360" w:lineRule="auto"/>
              <w:rPr>
                <w:rFonts w:hint="eastAsia"/>
                <w:b/>
                <w:bCs/>
                <w:color w:val="auto"/>
                <w:highlight w:val="yellow"/>
              </w:rPr>
            </w:pPr>
            <w:r>
              <w:rPr>
                <w:rFonts w:hint="eastAsia"/>
                <w:b/>
                <w:bCs/>
                <w:color w:val="auto"/>
              </w:rPr>
              <w:t>物料平衡：</w:t>
            </w:r>
          </w:p>
          <w:p>
            <w:pPr>
              <w:jc w:val="center"/>
              <w:rPr>
                <w:rFonts w:hint="eastAsia"/>
                <w:b/>
                <w:color w:val="auto"/>
                <w:szCs w:val="21"/>
                <w:highlight w:val="none"/>
              </w:rPr>
            </w:pPr>
            <w:r>
              <w:rPr>
                <w:rFonts w:hint="eastAsia"/>
                <w:b/>
                <w:color w:val="auto"/>
                <w:szCs w:val="21"/>
                <w:highlight w:val="none"/>
              </w:rPr>
              <w:t>表</w:t>
            </w:r>
            <w:r>
              <w:rPr>
                <w:b/>
                <w:color w:val="auto"/>
                <w:szCs w:val="21"/>
                <w:highlight w:val="none"/>
              </w:rPr>
              <w:t>2</w:t>
            </w:r>
            <w:r>
              <w:rPr>
                <w:rFonts w:hint="eastAsia"/>
                <w:b/>
                <w:color w:val="auto"/>
                <w:szCs w:val="21"/>
                <w:highlight w:val="none"/>
              </w:rPr>
              <w:t>-1</w:t>
            </w:r>
            <w:r>
              <w:rPr>
                <w:rFonts w:hint="eastAsia"/>
                <w:b/>
                <w:color w:val="auto"/>
                <w:szCs w:val="21"/>
                <w:highlight w:val="none"/>
                <w:lang w:val="en-US" w:eastAsia="zh-CN"/>
              </w:rPr>
              <w:t>0</w:t>
            </w:r>
            <w:r>
              <w:rPr>
                <w:b/>
                <w:color w:val="auto"/>
                <w:szCs w:val="21"/>
                <w:highlight w:val="none"/>
              </w:rPr>
              <w:t xml:space="preserve">  </w:t>
            </w:r>
            <w:r>
              <w:rPr>
                <w:rFonts w:hint="eastAsia"/>
                <w:b/>
                <w:color w:val="auto"/>
                <w:szCs w:val="21"/>
                <w:highlight w:val="none"/>
              </w:rPr>
              <w:t>项目物料平衡表  单位：t/a</w:t>
            </w:r>
          </w:p>
          <w:tbl>
            <w:tblPr>
              <w:tblStyle w:val="24"/>
              <w:tblW w:w="838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04"/>
              <w:gridCol w:w="1485"/>
              <w:gridCol w:w="2160"/>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4189" w:type="dxa"/>
                  <w:gridSpan w:val="2"/>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投入</w:t>
                  </w:r>
                </w:p>
              </w:tc>
              <w:tc>
                <w:tcPr>
                  <w:tcW w:w="4200" w:type="dxa"/>
                  <w:gridSpan w:val="2"/>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270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碎石</w:t>
                  </w:r>
                </w:p>
              </w:tc>
              <w:tc>
                <w:tcPr>
                  <w:tcW w:w="148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89830.22</w:t>
                  </w:r>
                </w:p>
              </w:tc>
              <w:tc>
                <w:tcPr>
                  <w:tcW w:w="2160"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水泥制品</w:t>
                  </w:r>
                </w:p>
              </w:tc>
              <w:tc>
                <w:tcPr>
                  <w:tcW w:w="2040"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270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砂</w:t>
                  </w:r>
                </w:p>
              </w:tc>
              <w:tc>
                <w:tcPr>
                  <w:tcW w:w="148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65400</w:t>
                  </w:r>
                </w:p>
              </w:tc>
              <w:tc>
                <w:tcPr>
                  <w:tcW w:w="216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沉降粉尘</w:t>
                  </w:r>
                </w:p>
              </w:tc>
              <w:tc>
                <w:tcPr>
                  <w:tcW w:w="204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5.233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270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水泥</w:t>
                  </w:r>
                </w:p>
              </w:tc>
              <w:tc>
                <w:tcPr>
                  <w:tcW w:w="148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28602.421</w:t>
                  </w:r>
                </w:p>
              </w:tc>
              <w:tc>
                <w:tcPr>
                  <w:tcW w:w="216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有组织排放粉尘</w:t>
                  </w:r>
                </w:p>
              </w:tc>
              <w:tc>
                <w:tcPr>
                  <w:tcW w:w="204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270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w:t>
                  </w:r>
                </w:p>
              </w:tc>
              <w:tc>
                <w:tcPr>
                  <w:tcW w:w="148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16200</w:t>
                  </w:r>
                </w:p>
              </w:tc>
              <w:tc>
                <w:tcPr>
                  <w:tcW w:w="216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无组织排放粉尘</w:t>
                  </w:r>
                </w:p>
              </w:tc>
              <w:tc>
                <w:tcPr>
                  <w:tcW w:w="204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0.581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270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w:t>
                  </w:r>
                </w:p>
              </w:tc>
              <w:tc>
                <w:tcPr>
                  <w:tcW w:w="148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c>
                <w:tcPr>
                  <w:tcW w:w="216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除尘器收集的粉尘</w:t>
                  </w:r>
                </w:p>
              </w:tc>
              <w:tc>
                <w:tcPr>
                  <w:tcW w:w="204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26.752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270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总计</w:t>
                  </w:r>
                </w:p>
              </w:tc>
              <w:tc>
                <w:tcPr>
                  <w:tcW w:w="148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200032.641</w:t>
                  </w:r>
                </w:p>
              </w:tc>
              <w:tc>
                <w:tcPr>
                  <w:tcW w:w="216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总计</w:t>
                  </w:r>
                </w:p>
              </w:tc>
              <w:tc>
                <w:tcPr>
                  <w:tcW w:w="2040"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200032.641</w:t>
                  </w:r>
                </w:p>
              </w:tc>
            </w:tr>
          </w:tbl>
          <w:p>
            <w:pPr>
              <w:pStyle w:val="18"/>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165" w:hRule="atLeast"/>
          <w:jc w:val="center"/>
        </w:trPr>
        <w:tc>
          <w:tcPr>
            <w:tcW w:w="450" w:type="dxa"/>
            <w:vAlign w:val="center"/>
          </w:tcPr>
          <w:p>
            <w:pPr>
              <w:pStyle w:val="1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610" w:type="dxa"/>
            <w:vAlign w:val="center"/>
          </w:tcPr>
          <w:p>
            <w:pPr>
              <w:spacing w:line="360" w:lineRule="auto"/>
              <w:ind w:firstLine="480" w:firstLineChars="200"/>
              <w:rPr>
                <w:rFonts w:hint="eastAsia" w:ascii="Times New Roman"/>
                <w:color w:val="auto"/>
                <w:sz w:val="24"/>
                <w:szCs w:val="24"/>
              </w:rPr>
            </w:pPr>
            <w:r>
              <w:rPr>
                <w:rFonts w:hint="eastAsia" w:ascii="Times New Roman"/>
                <w:color w:val="auto"/>
                <w:sz w:val="24"/>
                <w:szCs w:val="24"/>
              </w:rPr>
              <w:t>本项目为新建项目，租赁</w:t>
            </w:r>
            <w:r>
              <w:rPr>
                <w:rFonts w:hint="eastAsia"/>
                <w:color w:val="auto"/>
                <w:sz w:val="24"/>
                <w:lang w:eastAsia="zh-CN"/>
              </w:rPr>
              <w:t>丰庄镇前圩村工业园区厂房</w:t>
            </w:r>
            <w:r>
              <w:rPr>
                <w:rFonts w:hint="eastAsia" w:ascii="Times New Roman"/>
                <w:color w:val="auto"/>
                <w:sz w:val="24"/>
                <w:szCs w:val="24"/>
                <w:lang w:eastAsia="zh-CN"/>
              </w:rPr>
              <w:t>进行本项目建设，该厂房为空置厂房，未进行过任何生产活动，</w:t>
            </w:r>
            <w:r>
              <w:rPr>
                <w:rFonts w:hint="eastAsia" w:ascii="Times New Roman"/>
                <w:color w:val="auto"/>
                <w:sz w:val="24"/>
                <w:szCs w:val="24"/>
                <w:lang w:val="en-US" w:eastAsia="zh-CN"/>
              </w:rPr>
              <w:t>厂区已完成雨污管网建设，并设有化粪池，本项目雨污分流依托厂区现有雨污管网，生活污水依托厂区现有</w:t>
            </w:r>
            <w:r>
              <w:rPr>
                <w:rFonts w:hint="default" w:ascii="Times New Roman" w:hAnsi="Times New Roman" w:cs="Times New Roman"/>
                <w:sz w:val="24"/>
                <w:szCs w:val="24"/>
                <w:highlight w:val="none"/>
              </w:rPr>
              <w:t>化粪池预处理后定期由吸污车转运至</w:t>
            </w:r>
            <w:r>
              <w:rPr>
                <w:rFonts w:hint="eastAsia" w:ascii="Times New Roman" w:hAnsi="Times New Roman" w:eastAsia="宋体" w:cs="Times New Roman"/>
                <w:sz w:val="24"/>
                <w:szCs w:val="24"/>
                <w:highlight w:val="none"/>
                <w:lang w:eastAsia="zh-CN"/>
              </w:rPr>
              <w:t>丰庄镇新村街污水处理站</w:t>
            </w:r>
            <w:r>
              <w:rPr>
                <w:rFonts w:hint="default" w:ascii="Times New Roman" w:hAnsi="Times New Roman" w:eastAsia="宋体" w:cs="Times New Roman"/>
                <w:sz w:val="24"/>
                <w:szCs w:val="24"/>
                <w:highlight w:val="none"/>
                <w:lang w:eastAsia="zh-CN"/>
              </w:rPr>
              <w:t>处理。</w:t>
            </w:r>
            <w:r>
              <w:rPr>
                <w:rFonts w:hint="eastAsia" w:ascii="Times New Roman"/>
                <w:color w:val="auto"/>
                <w:sz w:val="24"/>
                <w:szCs w:val="24"/>
              </w:rPr>
              <w:t>因此，本项目无现有工程环境问题。</w:t>
            </w:r>
          </w:p>
          <w:p>
            <w:pPr>
              <w:pStyle w:val="32"/>
              <w:spacing w:line="360" w:lineRule="auto"/>
              <w:ind w:firstLine="0"/>
              <w:rPr>
                <w:rFonts w:ascii="Times New Roman"/>
                <w:color w:val="auto"/>
                <w:sz w:val="24"/>
                <w:szCs w:val="24"/>
              </w:rPr>
            </w:pPr>
          </w:p>
        </w:tc>
      </w:tr>
    </w:tbl>
    <w:p>
      <w:pPr>
        <w:pStyle w:val="19"/>
        <w:jc w:val="center"/>
        <w:outlineLvl w:val="0"/>
        <w:rPr>
          <w:rFonts w:ascii="黑体" w:hAnsi="黑体" w:eastAsia="黑体"/>
          <w:snapToGrid w:val="0"/>
          <w:color w:val="auto"/>
          <w:sz w:val="36"/>
          <w:szCs w:val="36"/>
        </w:rPr>
        <w:sectPr>
          <w:footerReference r:id="rId4" w:type="default"/>
          <w:pgSz w:w="11906" w:h="16838"/>
          <w:pgMar w:top="1701" w:right="1531" w:bottom="1701" w:left="1531" w:header="851" w:footer="851" w:gutter="0"/>
          <w:pgNumType w:start="1"/>
          <w:cols w:space="720" w:num="1"/>
          <w:docGrid w:linePitch="312" w:charSpace="0"/>
        </w:sectPr>
      </w:pPr>
    </w:p>
    <w:p>
      <w:pPr>
        <w:pStyle w:val="19"/>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4"/>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1616" w:hRule="atLeast"/>
          <w:jc w:val="center"/>
        </w:trPr>
        <w:tc>
          <w:tcPr>
            <w:tcW w:w="425" w:type="dxa"/>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636" w:type="dxa"/>
            <w:vAlign w:val="top"/>
          </w:tcPr>
          <w:p>
            <w:pPr>
              <w:adjustRightInd w:val="0"/>
              <w:snapToGrid w:val="0"/>
              <w:spacing w:line="360" w:lineRule="auto"/>
              <w:rPr>
                <w:rFonts w:hint="eastAsia"/>
                <w:color w:val="auto"/>
                <w:sz w:val="24"/>
              </w:rPr>
            </w:pPr>
            <w:r>
              <w:rPr>
                <w:rFonts w:hint="eastAsia"/>
                <w:color w:val="auto"/>
                <w:sz w:val="24"/>
              </w:rPr>
              <w:t>一、区域环境质量现状</w:t>
            </w:r>
          </w:p>
          <w:p>
            <w:pPr>
              <w:pStyle w:val="26"/>
              <w:ind w:firstLine="480" w:firstLineChars="200"/>
              <w:jc w:val="both"/>
              <w:rPr>
                <w:rFonts w:hint="eastAsia"/>
                <w:color w:val="auto"/>
              </w:rPr>
            </w:pPr>
            <w:r>
              <w:rPr>
                <w:rFonts w:hint="eastAsia"/>
                <w:color w:val="auto"/>
              </w:rPr>
              <w:t>1 大气环境质量现状</w:t>
            </w:r>
          </w:p>
          <w:p>
            <w:pPr>
              <w:pStyle w:val="44"/>
              <w:widowControl w:val="0"/>
              <w:ind w:firstLine="482"/>
              <w:jc w:val="left"/>
              <w:rPr>
                <w:rFonts w:hint="eastAsia"/>
                <w:b/>
                <w:bCs/>
                <w:color w:val="auto"/>
              </w:rPr>
            </w:pPr>
            <w:r>
              <w:rPr>
                <w:rFonts w:hint="eastAsia"/>
                <w:b/>
                <w:bCs/>
                <w:color w:val="auto"/>
              </w:rPr>
              <w:t>（1）区域环境质量现状调查</w:t>
            </w:r>
          </w:p>
          <w:p>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根据淮南市人民政府发布的《</w:t>
            </w:r>
            <w:r>
              <w:rPr>
                <w:rFonts w:hint="default"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年淮南市环境质量状况公报》，项目区域空气质量达标判定见下表：</w:t>
            </w:r>
          </w:p>
          <w:p>
            <w:pPr>
              <w:pStyle w:val="44"/>
              <w:widowControl w:val="0"/>
              <w:spacing w:line="240" w:lineRule="auto"/>
              <w:ind w:firstLine="0" w:firstLineChars="0"/>
              <w:jc w:val="center"/>
              <w:rPr>
                <w:rFonts w:hint="eastAsia"/>
                <w:b/>
                <w:bCs/>
                <w:color w:val="auto"/>
                <w:sz w:val="21"/>
                <w:szCs w:val="20"/>
              </w:rPr>
            </w:pPr>
            <w:r>
              <w:rPr>
                <w:rFonts w:hint="eastAsia"/>
                <w:b/>
                <w:bCs/>
                <w:color w:val="auto"/>
                <w:sz w:val="21"/>
                <w:szCs w:val="20"/>
              </w:rPr>
              <w:t>表3-1  区域空气质量现状评价表</w:t>
            </w:r>
          </w:p>
          <w:tbl>
            <w:tblPr>
              <w:tblStyle w:val="24"/>
              <w:tblW w:w="833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3672"/>
              <w:gridCol w:w="1373"/>
              <w:gridCol w:w="1220"/>
              <w:gridCol w:w="11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6" w:hRule="atLeast"/>
                <w:jc w:val="center"/>
              </w:trPr>
              <w:tc>
                <w:tcPr>
                  <w:tcW w:w="893" w:type="dxa"/>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污染物</w:t>
                  </w:r>
                </w:p>
              </w:tc>
              <w:tc>
                <w:tcPr>
                  <w:tcW w:w="3672" w:type="dxa"/>
                  <w:vAlign w:val="center"/>
                </w:tcPr>
                <w:p>
                  <w:pPr>
                    <w:pStyle w:val="51"/>
                    <w:jc w:val="center"/>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pacing w:val="7"/>
                      <w:sz w:val="21"/>
                      <w:szCs w:val="21"/>
                      <w:highlight w:val="none"/>
                      <w:lang w:eastAsia="zh-CN"/>
                    </w:rPr>
                    <w:t>年度</w:t>
                  </w:r>
                  <w:r>
                    <w:rPr>
                      <w:rFonts w:hint="default" w:ascii="Times New Roman" w:hAnsi="Times New Roman" w:eastAsia="宋体" w:cs="Times New Roman"/>
                      <w:b/>
                      <w:bCs/>
                      <w:color w:val="auto"/>
                      <w:spacing w:val="7"/>
                      <w:sz w:val="21"/>
                      <w:szCs w:val="21"/>
                      <w:highlight w:val="none"/>
                    </w:rPr>
                    <w:t>评价指标</w:t>
                  </w:r>
                </w:p>
              </w:tc>
              <w:tc>
                <w:tcPr>
                  <w:tcW w:w="1373" w:type="dxa"/>
                  <w:vAlign w:val="center"/>
                </w:tcPr>
                <w:p>
                  <w:pPr>
                    <w:pStyle w:val="51"/>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现状浓度</w:t>
                  </w:r>
                </w:p>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µg/m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220" w:type="dxa"/>
                  <w:vAlign w:val="center"/>
                </w:tcPr>
                <w:p>
                  <w:pPr>
                    <w:pStyle w:val="51"/>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标准值</w:t>
                  </w:r>
                </w:p>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µg/m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173" w:type="dxa"/>
                  <w:tcBorders>
                    <w:right w:val="single" w:color="000000" w:sz="8" w:space="0"/>
                  </w:tcBorders>
                  <w:vAlign w:val="center"/>
                </w:tcPr>
                <w:p>
                  <w:pPr>
                    <w:pStyle w:val="51"/>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8" w:hRule="atLeast"/>
                <w:jc w:val="center"/>
              </w:trPr>
              <w:tc>
                <w:tcPr>
                  <w:tcW w:w="893" w:type="dxa"/>
                  <w:tcBorders>
                    <w:bottom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pacing w:val="3"/>
                      <w:position w:val="-1"/>
                      <w:sz w:val="21"/>
                      <w:szCs w:val="21"/>
                      <w:highlight w:val="none"/>
                      <w:vertAlign w:val="subscript"/>
                    </w:rPr>
                    <w:t>2</w:t>
                  </w:r>
                </w:p>
              </w:tc>
              <w:tc>
                <w:tcPr>
                  <w:tcW w:w="3672" w:type="dxa"/>
                  <w:tcBorders>
                    <w:bottom w:val="single" w:color="auto" w:sz="4" w:space="0"/>
                  </w:tcBorders>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年平均质量浓度</w:t>
                  </w:r>
                </w:p>
              </w:tc>
              <w:tc>
                <w:tcPr>
                  <w:tcW w:w="1373" w:type="dxa"/>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7</w:t>
                  </w:r>
                </w:p>
              </w:tc>
              <w:tc>
                <w:tcPr>
                  <w:tcW w:w="1220"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173" w:type="dxa"/>
                  <w:tcBorders>
                    <w:right w:val="single" w:color="000000" w:sz="8" w:space="0"/>
                  </w:tcBorders>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tcBorders>
                    <w:top w:val="single" w:color="auto" w:sz="4" w:space="0"/>
                    <w:bottom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NO</w:t>
                  </w:r>
                  <w:r>
                    <w:rPr>
                      <w:rFonts w:hint="default" w:ascii="Times New Roman" w:hAnsi="Times New Roman" w:eastAsia="宋体" w:cs="Times New Roman"/>
                      <w:color w:val="auto"/>
                      <w:spacing w:val="3"/>
                      <w:position w:val="-1"/>
                      <w:sz w:val="21"/>
                      <w:szCs w:val="21"/>
                      <w:highlight w:val="none"/>
                      <w:vertAlign w:val="subscript"/>
                    </w:rPr>
                    <w:t>2</w:t>
                  </w:r>
                </w:p>
              </w:tc>
              <w:tc>
                <w:tcPr>
                  <w:tcW w:w="3672" w:type="dxa"/>
                  <w:tcBorders>
                    <w:top w:val="single" w:color="auto" w:sz="4" w:space="0"/>
                    <w:bottom w:val="single" w:color="auto" w:sz="4" w:space="0"/>
                  </w:tcBorders>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年平均质量浓度</w:t>
                  </w:r>
                </w:p>
              </w:tc>
              <w:tc>
                <w:tcPr>
                  <w:tcW w:w="137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8"/>
                      <w:sz w:val="21"/>
                      <w:szCs w:val="21"/>
                      <w:highlight w:val="none"/>
                      <w:lang w:val="en-US" w:eastAsia="zh-CN"/>
                    </w:rPr>
                    <w:t>19</w:t>
                  </w:r>
                </w:p>
              </w:tc>
              <w:tc>
                <w:tcPr>
                  <w:tcW w:w="1220"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40</w:t>
                  </w:r>
                </w:p>
              </w:tc>
              <w:tc>
                <w:tcPr>
                  <w:tcW w:w="1173" w:type="dxa"/>
                  <w:tcBorders>
                    <w:right w:val="single" w:color="000000" w:sz="8" w:space="0"/>
                  </w:tcBorders>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tcBorders>
                    <w:bottom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pacing w:val="3"/>
                      <w:position w:val="-1"/>
                      <w:sz w:val="21"/>
                      <w:szCs w:val="21"/>
                      <w:highlight w:val="none"/>
                      <w:vertAlign w:val="subscript"/>
                    </w:rPr>
                    <w:t>10</w:t>
                  </w:r>
                </w:p>
              </w:tc>
              <w:tc>
                <w:tcPr>
                  <w:tcW w:w="3672" w:type="dxa"/>
                  <w:tcBorders>
                    <w:bottom w:val="single" w:color="auto" w:sz="4" w:space="0"/>
                  </w:tcBorders>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年平均质量浓度</w:t>
                  </w:r>
                </w:p>
              </w:tc>
              <w:tc>
                <w:tcPr>
                  <w:tcW w:w="137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r>
                    <w:rPr>
                      <w:rFonts w:hint="eastAsia" w:ascii="Times New Roman" w:hAnsi="Times New Roman" w:eastAsia="宋体" w:cs="Times New Roman"/>
                      <w:color w:val="auto"/>
                      <w:sz w:val="21"/>
                      <w:szCs w:val="21"/>
                      <w:highlight w:val="none"/>
                      <w:lang w:val="en-US" w:eastAsia="zh-CN"/>
                    </w:rPr>
                    <w:t>0</w:t>
                  </w:r>
                </w:p>
              </w:tc>
              <w:tc>
                <w:tcPr>
                  <w:tcW w:w="1220"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70</w:t>
                  </w:r>
                </w:p>
              </w:tc>
              <w:tc>
                <w:tcPr>
                  <w:tcW w:w="1173" w:type="dxa"/>
                  <w:tcBorders>
                    <w:right w:val="single" w:color="000000" w:sz="8" w:space="0"/>
                  </w:tcBorders>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tcBorders>
                    <w:bottom w:val="single" w:color="auto" w:sz="4" w:space="0"/>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pacing w:val="3"/>
                      <w:position w:val="-1"/>
                      <w:sz w:val="21"/>
                      <w:szCs w:val="21"/>
                      <w:highlight w:val="none"/>
                      <w:vertAlign w:val="subscript"/>
                    </w:rPr>
                    <w:t>2.5</w:t>
                  </w:r>
                </w:p>
              </w:tc>
              <w:tc>
                <w:tcPr>
                  <w:tcW w:w="3672" w:type="dxa"/>
                  <w:tcBorders>
                    <w:bottom w:val="single" w:color="auto" w:sz="4" w:space="0"/>
                  </w:tcBorders>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年平均质量浓度</w:t>
                  </w:r>
                </w:p>
              </w:tc>
              <w:tc>
                <w:tcPr>
                  <w:tcW w:w="137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1220"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173" w:type="dxa"/>
                  <w:tcBorders>
                    <w:right w:val="single" w:color="000000" w:sz="8" w:space="0"/>
                  </w:tcBorders>
                  <w:vAlign w:val="center"/>
                </w:tcPr>
                <w:p>
                  <w:pPr>
                    <w:pStyle w:val="5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CO</w:t>
                  </w:r>
                </w:p>
              </w:tc>
              <w:tc>
                <w:tcPr>
                  <w:tcW w:w="3672" w:type="dxa"/>
                  <w:vAlign w:val="center"/>
                </w:tcPr>
                <w:p>
                  <w:pPr>
                    <w:pStyle w:val="5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1"/>
                      <w:szCs w:val="21"/>
                      <w:highlight w:val="none"/>
                      <w:lang w:eastAsia="zh-CN"/>
                    </w:rPr>
                    <w:t>24h平均第95百分位数浓度值</w:t>
                  </w:r>
                </w:p>
              </w:tc>
              <w:tc>
                <w:tcPr>
                  <w:tcW w:w="1373" w:type="dxa"/>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 w:val="21"/>
                      <w:szCs w:val="21"/>
                      <w:highlight w:val="none"/>
                    </w:rPr>
                    <w:t>0.</w:t>
                  </w:r>
                  <w:r>
                    <w:rPr>
                      <w:rFonts w:hint="eastAsia" w:ascii="Times New Roman" w:hAnsi="Times New Roman" w:eastAsia="宋体" w:cs="Times New Roman"/>
                      <w:color w:val="auto"/>
                      <w:spacing w:val="5"/>
                      <w:sz w:val="21"/>
                      <w:szCs w:val="21"/>
                      <w:highlight w:val="none"/>
                      <w:lang w:val="en-US" w:eastAsia="zh-CN"/>
                    </w:rPr>
                    <w:t>8</w:t>
                  </w:r>
                </w:p>
              </w:tc>
              <w:tc>
                <w:tcPr>
                  <w:tcW w:w="1220" w:type="dxa"/>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4</w:t>
                  </w:r>
                </w:p>
              </w:tc>
              <w:tc>
                <w:tcPr>
                  <w:tcW w:w="1173" w:type="dxa"/>
                  <w:tcBorders>
                    <w:right w:val="single" w:color="000000" w:sz="8" w:space="0"/>
                  </w:tcBorders>
                  <w:vAlign w:val="center"/>
                </w:tcPr>
                <w:p>
                  <w:pPr>
                    <w:pStyle w:val="5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jc w:val="center"/>
              </w:trPr>
              <w:tc>
                <w:tcPr>
                  <w:tcW w:w="893"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O</w:t>
                  </w:r>
                  <w:r>
                    <w:rPr>
                      <w:rFonts w:hint="default" w:ascii="Times New Roman" w:hAnsi="Times New Roman" w:eastAsia="宋体" w:cs="Times New Roman"/>
                      <w:color w:val="auto"/>
                      <w:spacing w:val="3"/>
                      <w:position w:val="-1"/>
                      <w:sz w:val="21"/>
                      <w:szCs w:val="21"/>
                      <w:highlight w:val="none"/>
                      <w:vertAlign w:val="subscript"/>
                    </w:rPr>
                    <w:t>3</w:t>
                  </w:r>
                </w:p>
              </w:tc>
              <w:tc>
                <w:tcPr>
                  <w:tcW w:w="3672" w:type="dxa"/>
                  <w:vAlign w:val="center"/>
                </w:tcPr>
                <w:p>
                  <w:pPr>
                    <w:pStyle w:val="5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2"/>
                      <w:sz w:val="21"/>
                      <w:szCs w:val="21"/>
                      <w:highlight w:val="none"/>
                      <w:lang w:eastAsia="zh-CN"/>
                    </w:rPr>
                    <w:t>日最大8h平均质量浓度第90百分</w:t>
                  </w:r>
                  <w:r>
                    <w:rPr>
                      <w:rFonts w:hint="default" w:ascii="Times New Roman" w:hAnsi="Times New Roman" w:eastAsia="宋体" w:cs="Times New Roman"/>
                      <w:color w:val="auto"/>
                      <w:spacing w:val="4"/>
                      <w:sz w:val="21"/>
                      <w:szCs w:val="21"/>
                      <w:highlight w:val="none"/>
                      <w:lang w:eastAsia="zh-CN"/>
                    </w:rPr>
                    <w:t>位数</w:t>
                  </w:r>
                </w:p>
              </w:tc>
              <w:tc>
                <w:tcPr>
                  <w:tcW w:w="1373"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1</w:t>
                  </w:r>
                  <w:r>
                    <w:rPr>
                      <w:rFonts w:hint="eastAsia" w:ascii="Times New Roman" w:hAnsi="Times New Roman" w:eastAsia="宋体" w:cs="Times New Roman"/>
                      <w:color w:val="auto"/>
                      <w:spacing w:val="-3"/>
                      <w:sz w:val="21"/>
                      <w:szCs w:val="21"/>
                      <w:highlight w:val="none"/>
                      <w:lang w:val="en-US" w:eastAsia="zh-CN"/>
                    </w:rPr>
                    <w:t>60</w:t>
                  </w:r>
                </w:p>
              </w:tc>
              <w:tc>
                <w:tcPr>
                  <w:tcW w:w="122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160</w:t>
                  </w:r>
                </w:p>
              </w:tc>
              <w:tc>
                <w:tcPr>
                  <w:tcW w:w="1173" w:type="dxa"/>
                  <w:tcBorders>
                    <w:right w:val="single" w:color="000000" w:sz="8" w:space="0"/>
                  </w:tcBorders>
                  <w:vAlign w:val="center"/>
                </w:tcPr>
                <w:p>
                  <w:pPr>
                    <w:pStyle w:val="5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达标</w:t>
                  </w:r>
                </w:p>
              </w:tc>
            </w:tr>
          </w:tbl>
          <w:p>
            <w:pPr>
              <w:pStyle w:val="44"/>
              <w:widowControl w:val="0"/>
              <w:spacing w:line="240" w:lineRule="auto"/>
              <w:ind w:firstLine="0" w:firstLineChars="0"/>
              <w:jc w:val="center"/>
              <w:rPr>
                <w:rFonts w:hint="eastAsia"/>
                <w:b/>
                <w:bCs/>
                <w:color w:val="auto"/>
                <w:sz w:val="21"/>
                <w:szCs w:val="20"/>
              </w:rPr>
            </w:pPr>
          </w:p>
          <w:p>
            <w:pPr>
              <w:autoSpaceDE w:val="0"/>
              <w:autoSpaceDN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上表可知，2024年淮南空气质量中五项指标均满足《环境空气质量标准》（GB3095-2012）二级标准的要求，细颗粒物（PM2.5）超过《环境空气质量标准》（GB3095-2012）二级标准要求。据此判断项目所在区域属于不达标区域。</w:t>
            </w:r>
          </w:p>
          <w:p>
            <w:pPr>
              <w:autoSpaceDE w:val="0"/>
              <w:autoSpaceDN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淮南市生态环境局就空气质量不达标提出一系列举措，依据《淮南市大气污染防治行动计划实施方案》等工作文件，淮南市通过集中专项整治</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小散乱污</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p>
          <w:p>
            <w:pPr>
              <w:pStyle w:val="44"/>
              <w:widowControl w:val="0"/>
              <w:ind w:firstLine="480"/>
              <w:rPr>
                <w:rFonts w:hint="eastAsia"/>
                <w:color w:val="auto"/>
              </w:rPr>
            </w:pPr>
            <w:r>
              <w:rPr>
                <w:rFonts w:hint="eastAsia"/>
                <w:color w:val="auto"/>
              </w:rPr>
              <w:t>（2）其他污染物现状调查</w:t>
            </w:r>
          </w:p>
          <w:p>
            <w:pPr>
              <w:spacing w:line="360" w:lineRule="auto"/>
              <w:ind w:firstLine="480" w:firstLineChars="200"/>
              <w:rPr>
                <w:rFonts w:hint="eastAsia"/>
                <w:color w:val="auto"/>
                <w:sz w:val="24"/>
              </w:rPr>
            </w:pPr>
            <w:r>
              <w:rPr>
                <w:rFonts w:hint="eastAsia"/>
                <w:color w:val="auto"/>
                <w:sz w:val="24"/>
              </w:rPr>
              <w:t>与本项目有关的其他大气污染物为</w:t>
            </w:r>
            <w:r>
              <w:rPr>
                <w:rFonts w:hint="eastAsia"/>
                <w:color w:val="auto"/>
                <w:sz w:val="24"/>
                <w:lang w:val="en-US" w:eastAsia="zh-CN"/>
              </w:rPr>
              <w:t>TSP</w:t>
            </w:r>
            <w:r>
              <w:rPr>
                <w:rFonts w:hint="eastAsia"/>
                <w:color w:val="auto"/>
                <w:sz w:val="24"/>
              </w:rPr>
              <w:t>，</w:t>
            </w:r>
            <w:r>
              <w:rPr>
                <w:rFonts w:hint="eastAsia"/>
                <w:color w:val="auto"/>
                <w:sz w:val="24"/>
                <w:lang w:val="en-US" w:eastAsia="zh-CN"/>
              </w:rPr>
              <w:t>TSP</w:t>
            </w:r>
            <w:r>
              <w:rPr>
                <w:rFonts w:hint="eastAsia"/>
                <w:color w:val="auto"/>
                <w:sz w:val="24"/>
              </w:rPr>
              <w:t>引用《寿县楚丰钢构有限公司钢结构生产加工项目环境影响报告书》中监测数据，环境监测点位为</w:t>
            </w:r>
            <w:bookmarkStart w:id="3" w:name="OLE_LINK20"/>
            <w:r>
              <w:rPr>
                <w:rFonts w:hint="eastAsia"/>
                <w:color w:val="auto"/>
                <w:sz w:val="24"/>
                <w:lang w:eastAsia="zh-CN"/>
              </w:rPr>
              <w:t>涂家窑</w:t>
            </w:r>
            <w:bookmarkEnd w:id="3"/>
            <w:r>
              <w:rPr>
                <w:rFonts w:hint="eastAsia"/>
                <w:color w:val="auto"/>
                <w:sz w:val="24"/>
                <w:lang w:eastAsia="zh-CN"/>
              </w:rPr>
              <w:t>和魏湖新村</w:t>
            </w:r>
            <w:r>
              <w:rPr>
                <w:rFonts w:hint="eastAsia"/>
                <w:color w:val="auto"/>
                <w:sz w:val="24"/>
              </w:rPr>
              <w:t>，</w:t>
            </w:r>
            <w:r>
              <w:rPr>
                <w:rFonts w:hint="eastAsia"/>
                <w:color w:val="auto"/>
                <w:sz w:val="24"/>
                <w:lang w:eastAsia="zh-CN"/>
              </w:rPr>
              <w:t>分别</w:t>
            </w:r>
            <w:r>
              <w:rPr>
                <w:rFonts w:hint="eastAsia"/>
                <w:color w:val="auto"/>
                <w:sz w:val="24"/>
              </w:rPr>
              <w:t>位于本项目</w:t>
            </w:r>
            <w:r>
              <w:rPr>
                <w:rFonts w:hint="eastAsia"/>
                <w:color w:val="auto"/>
                <w:sz w:val="24"/>
                <w:lang w:eastAsia="zh-CN"/>
              </w:rPr>
              <w:t>西南侧</w:t>
            </w:r>
            <w:r>
              <w:rPr>
                <w:rFonts w:hint="eastAsia"/>
                <w:color w:val="auto"/>
                <w:sz w:val="24"/>
                <w:lang w:val="en-US" w:eastAsia="zh-CN"/>
              </w:rPr>
              <w:t>4086m、4592m</w:t>
            </w:r>
            <w:r>
              <w:rPr>
                <w:rFonts w:hint="eastAsia"/>
                <w:color w:val="auto"/>
                <w:sz w:val="24"/>
              </w:rPr>
              <w:t>，检测时间为202</w:t>
            </w:r>
            <w:r>
              <w:rPr>
                <w:rFonts w:hint="eastAsia"/>
                <w:color w:val="auto"/>
                <w:sz w:val="24"/>
                <w:lang w:val="en-US" w:eastAsia="zh-CN"/>
              </w:rPr>
              <w:t>3</w:t>
            </w:r>
            <w:r>
              <w:rPr>
                <w:rFonts w:hint="eastAsia"/>
                <w:color w:val="auto"/>
                <w:sz w:val="24"/>
              </w:rPr>
              <w:t>年</w:t>
            </w:r>
            <w:r>
              <w:rPr>
                <w:rFonts w:hint="eastAsia"/>
                <w:color w:val="auto"/>
                <w:sz w:val="24"/>
                <w:lang w:val="en-US" w:eastAsia="zh-CN"/>
              </w:rPr>
              <w:t>3</w:t>
            </w:r>
            <w:r>
              <w:rPr>
                <w:rFonts w:hint="eastAsia"/>
                <w:color w:val="auto"/>
                <w:sz w:val="24"/>
              </w:rPr>
              <w:t>月</w:t>
            </w:r>
            <w:r>
              <w:rPr>
                <w:rFonts w:hint="eastAsia"/>
                <w:color w:val="auto"/>
                <w:sz w:val="24"/>
                <w:lang w:val="en-US" w:eastAsia="zh-CN"/>
              </w:rPr>
              <w:t>20</w:t>
            </w:r>
            <w:r>
              <w:rPr>
                <w:rFonts w:hint="eastAsia"/>
                <w:color w:val="auto"/>
                <w:sz w:val="24"/>
              </w:rPr>
              <w:t>日至</w:t>
            </w:r>
            <w:r>
              <w:rPr>
                <w:rFonts w:hint="eastAsia"/>
                <w:color w:val="auto"/>
                <w:sz w:val="24"/>
                <w:lang w:val="en-US" w:eastAsia="zh-CN"/>
              </w:rPr>
              <w:t>3</w:t>
            </w:r>
            <w:r>
              <w:rPr>
                <w:rFonts w:hint="eastAsia"/>
                <w:color w:val="auto"/>
                <w:sz w:val="24"/>
              </w:rPr>
              <w:t>月</w:t>
            </w:r>
            <w:r>
              <w:rPr>
                <w:rFonts w:hint="eastAsia"/>
                <w:color w:val="auto"/>
                <w:sz w:val="24"/>
                <w:lang w:val="en-US" w:eastAsia="zh-CN"/>
              </w:rPr>
              <w:t>26</w:t>
            </w:r>
            <w:r>
              <w:rPr>
                <w:rFonts w:hint="eastAsia"/>
                <w:color w:val="auto"/>
                <w:sz w:val="24"/>
              </w:rPr>
              <w:t>日。监测点位属于本项目周边5km范围内监测点，监测时间在3年之内，符合《建设项目环境影响报告表编制技术指南（污染影响类）》要求。故本项目引用《寿县楚丰钢构有限公司钢结构生产加工项目环境影响报告书》中的监测数据是合理可行的。评价结果如下：</w:t>
            </w:r>
          </w:p>
          <w:p>
            <w:pPr>
              <w:spacing w:line="360" w:lineRule="auto"/>
              <w:jc w:val="center"/>
              <w:rPr>
                <w:color w:val="auto"/>
                <w:sz w:val="24"/>
              </w:rPr>
            </w:pPr>
            <w:r>
              <w:rPr>
                <w:color w:val="auto"/>
              </w:rPr>
              <w:drawing>
                <wp:anchor distT="0" distB="0" distL="114300" distR="114300" simplePos="0" relativeHeight="251659264" behindDoc="0" locked="0" layoutInCell="1" allowOverlap="1">
                  <wp:simplePos x="0" y="0"/>
                  <wp:positionH relativeFrom="column">
                    <wp:posOffset>4648200</wp:posOffset>
                  </wp:positionH>
                  <wp:positionV relativeFrom="paragraph">
                    <wp:posOffset>577850</wp:posOffset>
                  </wp:positionV>
                  <wp:extent cx="714375" cy="581025"/>
                  <wp:effectExtent l="0" t="0" r="9525" b="9525"/>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714375" cy="581025"/>
                          </a:xfrm>
                          <a:prstGeom prst="rect">
                            <a:avLst/>
                          </a:prstGeom>
                          <a:noFill/>
                          <a:ln>
                            <a:noFill/>
                          </a:ln>
                        </pic:spPr>
                      </pic:pic>
                    </a:graphicData>
                  </a:graphic>
                </wp:anchor>
              </w:drawing>
            </w:r>
            <w:r>
              <w:rPr>
                <w:color w:val="auto"/>
              </w:rPr>
              <w:drawing>
                <wp:anchor distT="0" distB="0" distL="114300" distR="114300" simplePos="0" relativeHeight="251661312" behindDoc="0" locked="0" layoutInCell="1" allowOverlap="1">
                  <wp:simplePos x="0" y="0"/>
                  <wp:positionH relativeFrom="column">
                    <wp:posOffset>4719955</wp:posOffset>
                  </wp:positionH>
                  <wp:positionV relativeFrom="paragraph">
                    <wp:posOffset>34925</wp:posOffset>
                  </wp:positionV>
                  <wp:extent cx="609600" cy="523875"/>
                  <wp:effectExtent l="0" t="0" r="0" b="9525"/>
                  <wp:wrapNone/>
                  <wp:docPr id="16" name="图片 5" descr="4d93f9ce6da523d400a8862a7237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4d93f9ce6da523d400a8862a7237c1f"/>
                          <pic:cNvPicPr>
                            <a:picLocks noChangeAspect="1"/>
                          </pic:cNvPicPr>
                        </pic:nvPicPr>
                        <pic:blipFill>
                          <a:blip r:embed="rId12"/>
                          <a:stretch>
                            <a:fillRect/>
                          </a:stretch>
                        </pic:blipFill>
                        <pic:spPr>
                          <a:xfrm>
                            <a:off x="0" y="0"/>
                            <a:ext cx="609600" cy="523875"/>
                          </a:xfrm>
                          <a:prstGeom prst="rect">
                            <a:avLst/>
                          </a:prstGeom>
                          <a:noFill/>
                          <a:ln>
                            <a:noFill/>
                          </a:ln>
                        </pic:spPr>
                      </pic:pic>
                    </a:graphicData>
                  </a:graphic>
                </wp:anchor>
              </w:drawing>
            </w:r>
            <w:r>
              <w:rPr>
                <w:color w:val="auto"/>
              </w:rPr>
              <w:drawing>
                <wp:inline distT="0" distB="0" distL="114300" distR="114300">
                  <wp:extent cx="5372100" cy="2393950"/>
                  <wp:effectExtent l="0" t="0" r="0" b="635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3"/>
                          <a:stretch>
                            <a:fillRect/>
                          </a:stretch>
                        </pic:blipFill>
                        <pic:spPr>
                          <a:xfrm>
                            <a:off x="0" y="0"/>
                            <a:ext cx="5372100" cy="2393950"/>
                          </a:xfrm>
                          <a:prstGeom prst="rect">
                            <a:avLst/>
                          </a:prstGeom>
                          <a:noFill/>
                          <a:ln>
                            <a:noFill/>
                          </a:ln>
                        </pic:spPr>
                      </pic:pic>
                    </a:graphicData>
                  </a:graphic>
                </wp:inline>
              </w:drawing>
            </w:r>
            <w:r>
              <w:rPr>
                <w:rFonts w:hint="eastAsia"/>
                <w:b/>
                <w:bCs/>
                <w:color w:val="auto"/>
                <w:szCs w:val="21"/>
              </w:rPr>
              <w:t>图3-1 引用区域环境空气监测布点图</w:t>
            </w:r>
            <w:r>
              <w:rPr>
                <w:color w:val="auto"/>
              </w:rPr>
              <w:drawing>
                <wp:anchor distT="0" distB="0" distL="114300" distR="114300" simplePos="0" relativeHeight="251660288" behindDoc="0" locked="0" layoutInCell="1" allowOverlap="1">
                  <wp:simplePos x="0" y="0"/>
                  <wp:positionH relativeFrom="column">
                    <wp:posOffset>9997440</wp:posOffset>
                  </wp:positionH>
                  <wp:positionV relativeFrom="paragraph">
                    <wp:posOffset>43180</wp:posOffset>
                  </wp:positionV>
                  <wp:extent cx="606425" cy="523875"/>
                  <wp:effectExtent l="0" t="0" r="3175" b="952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4"/>
                          <a:stretch>
                            <a:fillRect/>
                          </a:stretch>
                        </pic:blipFill>
                        <pic:spPr>
                          <a:xfrm>
                            <a:off x="0" y="0"/>
                            <a:ext cx="606425" cy="523875"/>
                          </a:xfrm>
                          <a:prstGeom prst="rect">
                            <a:avLst/>
                          </a:prstGeom>
                          <a:noFill/>
                          <a:ln>
                            <a:noFill/>
                          </a:ln>
                        </pic:spPr>
                      </pic:pic>
                    </a:graphicData>
                  </a:graphic>
                </wp:anchor>
              </w:drawing>
            </w:r>
          </w:p>
          <w:p>
            <w:pPr>
              <w:jc w:val="center"/>
              <w:rPr>
                <w:b/>
                <w:bCs/>
                <w:color w:val="auto"/>
                <w:szCs w:val="21"/>
              </w:rPr>
            </w:pPr>
            <w:r>
              <w:rPr>
                <w:b/>
                <w:bCs/>
                <w:color w:val="auto"/>
                <w:szCs w:val="21"/>
              </w:rPr>
              <w:t>表3-</w:t>
            </w:r>
            <w:r>
              <w:rPr>
                <w:rFonts w:hint="eastAsia"/>
                <w:b/>
                <w:bCs/>
                <w:color w:val="auto"/>
                <w:szCs w:val="21"/>
              </w:rPr>
              <w:t>2</w:t>
            </w:r>
            <w:r>
              <w:rPr>
                <w:b/>
                <w:bCs/>
                <w:color w:val="auto"/>
                <w:szCs w:val="21"/>
              </w:rPr>
              <w:t xml:space="preserve">  </w:t>
            </w:r>
            <w:r>
              <w:rPr>
                <w:rFonts w:hint="eastAsia"/>
                <w:b/>
                <w:bCs/>
                <w:color w:val="auto"/>
                <w:szCs w:val="21"/>
                <w:lang w:eastAsia="zh-CN"/>
              </w:rPr>
              <w:t>大气监测结果汇总表</w:t>
            </w:r>
            <w:r>
              <w:rPr>
                <w:b/>
                <w:bCs/>
                <w:color w:val="auto"/>
                <w:szCs w:val="21"/>
              </w:rPr>
              <w:t xml:space="preserve"> </w:t>
            </w:r>
          </w:p>
          <w:tbl>
            <w:tblPr>
              <w:tblStyle w:val="25"/>
              <w:tblW w:w="84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3068"/>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rPr>
                  </w:pPr>
                  <w:r>
                    <w:rPr>
                      <w:rFonts w:hint="eastAsia" w:ascii="Times New Roman" w:hAnsi="Times New Roman" w:cs="Times New Roman"/>
                      <w:b w:val="0"/>
                      <w:bCs w:val="0"/>
                      <w:snapToGrid w:val="0"/>
                      <w:color w:val="auto"/>
                      <w:kern w:val="0"/>
                      <w:sz w:val="21"/>
                      <w:lang w:val="en-US"/>
                    </w:rPr>
                    <w:t>监测点位</w:t>
                  </w:r>
                </w:p>
              </w:tc>
              <w:tc>
                <w:tcPr>
                  <w:tcW w:w="306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rPr>
                  </w:pPr>
                  <w:r>
                    <w:rPr>
                      <w:rFonts w:hint="eastAsia" w:ascii="Times New Roman" w:hAnsi="Times New Roman" w:cs="Times New Roman"/>
                      <w:b w:val="0"/>
                      <w:bCs w:val="0"/>
                      <w:snapToGrid w:val="0"/>
                      <w:color w:val="auto"/>
                      <w:kern w:val="0"/>
                      <w:sz w:val="21"/>
                      <w:lang w:val="en-US" w:eastAsia="zh-CN"/>
                    </w:rPr>
                    <w:t>涂家窑</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魏湖新村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eastAsia" w:ascii="Times New Roman" w:hAnsi="Times New Roman" w:cs="Times New Roman"/>
                      <w:b w:val="0"/>
                      <w:bCs w:val="0"/>
                      <w:snapToGrid w:val="0"/>
                      <w:color w:val="auto"/>
                      <w:kern w:val="0"/>
                      <w:sz w:val="21"/>
                      <w:lang w:val="en-US"/>
                    </w:rPr>
                    <w:t>监测日期</w:t>
                  </w:r>
                </w:p>
              </w:tc>
              <w:tc>
                <w:tcPr>
                  <w:tcW w:w="3068"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颗粒物（mg/m</w:t>
                  </w:r>
                  <w:r>
                    <w:rPr>
                      <w:rFonts w:hint="eastAsia" w:ascii="Times New Roman" w:hAnsi="Times New Roman" w:cs="Times New Roman"/>
                      <w:b w:val="0"/>
                      <w:bCs w:val="0"/>
                      <w:snapToGrid w:val="0"/>
                      <w:color w:val="auto"/>
                      <w:kern w:val="0"/>
                      <w:sz w:val="21"/>
                      <w:vertAlign w:val="superscript"/>
                      <w:lang w:val="en-US" w:eastAsia="zh-CN"/>
                    </w:rPr>
                    <w:t>3</w:t>
                  </w:r>
                  <w:r>
                    <w:rPr>
                      <w:rFonts w:hint="eastAsia" w:ascii="Times New Roman" w:hAnsi="Times New Roman" w:cs="Times New Roman"/>
                      <w:b w:val="0"/>
                      <w:bCs w:val="0"/>
                      <w:snapToGrid w:val="0"/>
                      <w:color w:val="auto"/>
                      <w:kern w:val="0"/>
                      <w:sz w:val="21"/>
                      <w:lang w:val="en-US" w:eastAsia="zh-CN"/>
                    </w:rPr>
                    <w:t>）</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颗粒物（mg/m</w:t>
                  </w:r>
                  <w:r>
                    <w:rPr>
                      <w:rFonts w:hint="eastAsia" w:ascii="Times New Roman" w:hAnsi="Times New Roman" w:cs="Times New Roman"/>
                      <w:b w:val="0"/>
                      <w:bCs w:val="0"/>
                      <w:snapToGrid w:val="0"/>
                      <w:color w:val="auto"/>
                      <w:kern w:val="0"/>
                      <w:sz w:val="21"/>
                      <w:vertAlign w:val="superscript"/>
                      <w:lang w:val="en-US" w:eastAsia="zh-CN"/>
                    </w:rPr>
                    <w:t>3</w:t>
                  </w:r>
                  <w:r>
                    <w:rPr>
                      <w:rFonts w:hint="eastAsia" w:ascii="Times New Roman" w:hAnsi="Times New Roman" w:cs="Times New Roman"/>
                      <w:b w:val="0"/>
                      <w:bCs w:val="0"/>
                      <w:snapToGrid w:val="0"/>
                      <w:color w:val="auto"/>
                      <w:kern w:val="0"/>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rPr>
                  </w:pPr>
                  <w:r>
                    <w:rPr>
                      <w:rFonts w:hint="eastAsia" w:ascii="Times New Roman" w:hAnsi="Times New Roman" w:cs="Times New Roman"/>
                      <w:b w:val="0"/>
                      <w:bCs w:val="0"/>
                      <w:snapToGrid w:val="0"/>
                      <w:color w:val="auto"/>
                      <w:kern w:val="0"/>
                      <w:sz w:val="21"/>
                      <w:lang w:val="en-US" w:eastAsia="zh-CN"/>
                    </w:rPr>
                    <w:t>2023年3月20日</w:t>
                  </w:r>
                </w:p>
              </w:tc>
              <w:tc>
                <w:tcPr>
                  <w:tcW w:w="306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0.222</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eastAsia" w:ascii="Times New Roman" w:hAnsi="Times New Roman" w:cs="Times New Roman"/>
                      <w:b w:val="0"/>
                      <w:bCs w:val="0"/>
                      <w:snapToGrid w:val="0"/>
                      <w:color w:val="auto"/>
                      <w:kern w:val="0"/>
                      <w:sz w:val="21"/>
                      <w:lang w:val="en-US" w:eastAsia="zh-CN"/>
                    </w:rPr>
                    <w:t>2023年3月21日</w:t>
                  </w:r>
                </w:p>
              </w:tc>
              <w:tc>
                <w:tcPr>
                  <w:tcW w:w="306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0.216</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eastAsia" w:ascii="Times New Roman" w:hAnsi="Times New Roman" w:cs="Times New Roman"/>
                      <w:b w:val="0"/>
                      <w:bCs w:val="0"/>
                      <w:snapToGrid w:val="0"/>
                      <w:color w:val="auto"/>
                      <w:kern w:val="0"/>
                      <w:sz w:val="21"/>
                      <w:lang w:val="en-US" w:eastAsia="zh-CN"/>
                    </w:rPr>
                    <w:t>2023年3月22日</w:t>
                  </w:r>
                </w:p>
              </w:tc>
              <w:tc>
                <w:tcPr>
                  <w:tcW w:w="306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0.230</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2023年3月23日</w:t>
                  </w:r>
                </w:p>
              </w:tc>
              <w:tc>
                <w:tcPr>
                  <w:tcW w:w="306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0.215</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2023年3月24日</w:t>
                  </w:r>
                </w:p>
              </w:tc>
              <w:tc>
                <w:tcPr>
                  <w:tcW w:w="306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0.221</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2023年3月25日</w:t>
                  </w:r>
                </w:p>
              </w:tc>
              <w:tc>
                <w:tcPr>
                  <w:tcW w:w="306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0.246</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9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2023年3月26日</w:t>
                  </w:r>
                </w:p>
              </w:tc>
              <w:tc>
                <w:tcPr>
                  <w:tcW w:w="3068" w:type="dxa"/>
                  <w:vAlign w:val="center"/>
                </w:tcPr>
                <w:p>
                  <w:pPr>
                    <w:widowControl w:val="0"/>
                    <w:spacing w:line="240" w:lineRule="auto"/>
                    <w:ind w:firstLine="0" w:firstLineChars="0"/>
                    <w:jc w:val="center"/>
                    <w:rPr>
                      <w:rFonts w:hint="eastAsia"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0.218</w:t>
                  </w:r>
                </w:p>
              </w:tc>
              <w:tc>
                <w:tcPr>
                  <w:tcW w:w="33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lang w:val="en-US" w:eastAsia="zh-CN"/>
                    </w:rPr>
                  </w:pPr>
                  <w:r>
                    <w:rPr>
                      <w:rFonts w:hint="eastAsia" w:ascii="Times New Roman" w:hAnsi="Times New Roman" w:cs="Times New Roman"/>
                      <w:b w:val="0"/>
                      <w:bCs w:val="0"/>
                      <w:snapToGrid w:val="0"/>
                      <w:color w:val="auto"/>
                      <w:kern w:val="0"/>
                      <w:sz w:val="21"/>
                      <w:lang w:val="en-US" w:eastAsia="zh-CN"/>
                    </w:rPr>
                    <w:t>0.196</w:t>
                  </w:r>
                </w:p>
              </w:tc>
            </w:tr>
          </w:tbl>
          <w:p>
            <w:pPr>
              <w:jc w:val="center"/>
              <w:rPr>
                <w:b/>
                <w:bCs/>
                <w:color w:val="auto"/>
                <w:szCs w:val="21"/>
              </w:rPr>
            </w:pPr>
            <w:r>
              <w:rPr>
                <w:b/>
                <w:bCs/>
                <w:color w:val="auto"/>
                <w:szCs w:val="21"/>
              </w:rPr>
              <w:t>表3-</w:t>
            </w:r>
            <w:r>
              <w:rPr>
                <w:rFonts w:hint="eastAsia"/>
                <w:b/>
                <w:bCs/>
                <w:color w:val="auto"/>
                <w:szCs w:val="21"/>
                <w:lang w:val="en-US" w:eastAsia="zh-CN"/>
              </w:rPr>
              <w:t>3</w:t>
            </w:r>
            <w:r>
              <w:rPr>
                <w:b/>
                <w:bCs/>
                <w:color w:val="auto"/>
                <w:szCs w:val="21"/>
              </w:rPr>
              <w:t xml:space="preserve">  </w:t>
            </w:r>
            <w:r>
              <w:rPr>
                <w:rFonts w:hint="eastAsia"/>
                <w:b/>
                <w:bCs/>
                <w:color w:val="auto"/>
                <w:szCs w:val="21"/>
              </w:rPr>
              <w:t>项目区域特征因子环境质量现状评价一览表</w:t>
            </w:r>
            <w:r>
              <w:rPr>
                <w:b/>
                <w:bCs/>
                <w:color w:val="auto"/>
                <w:szCs w:val="21"/>
              </w:rPr>
              <w:t xml:space="preserve"> </w:t>
            </w:r>
          </w:p>
          <w:tbl>
            <w:tblPr>
              <w:tblStyle w:val="24"/>
              <w:tblW w:w="84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75"/>
              <w:gridCol w:w="1260"/>
              <w:gridCol w:w="734"/>
              <w:gridCol w:w="1040"/>
              <w:gridCol w:w="1175"/>
              <w:gridCol w:w="767"/>
              <w:gridCol w:w="62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3" w:type="dxa"/>
                  <w:vMerge w:val="restart"/>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监测点位</w:t>
                  </w:r>
                </w:p>
              </w:tc>
              <w:tc>
                <w:tcPr>
                  <w:tcW w:w="2535" w:type="dxa"/>
                  <w:gridSpan w:val="2"/>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监测点坐标/m</w:t>
                  </w:r>
                </w:p>
              </w:tc>
              <w:tc>
                <w:tcPr>
                  <w:tcW w:w="734" w:type="dxa"/>
                  <w:vMerge w:val="restart"/>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污染物</w:t>
                  </w:r>
                </w:p>
              </w:tc>
              <w:tc>
                <w:tcPr>
                  <w:tcW w:w="1040" w:type="dxa"/>
                  <w:vMerge w:val="restart"/>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评价标准/（μg/m³）</w:t>
                  </w:r>
                </w:p>
              </w:tc>
              <w:tc>
                <w:tcPr>
                  <w:tcW w:w="1175" w:type="dxa"/>
                  <w:vMerge w:val="restart"/>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监测浓度范围/（μg/m³）</w:t>
                  </w:r>
                </w:p>
              </w:tc>
              <w:tc>
                <w:tcPr>
                  <w:tcW w:w="767" w:type="dxa"/>
                  <w:vMerge w:val="restart"/>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最大浓度占标率/%</w:t>
                  </w:r>
                </w:p>
              </w:tc>
              <w:tc>
                <w:tcPr>
                  <w:tcW w:w="625" w:type="dxa"/>
                  <w:vMerge w:val="restart"/>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超标率/%</w:t>
                  </w:r>
                </w:p>
              </w:tc>
              <w:tc>
                <w:tcPr>
                  <w:tcW w:w="689" w:type="dxa"/>
                  <w:vMerge w:val="restart"/>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3" w:type="dxa"/>
                  <w:vMerge w:val="continue"/>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p>
              </w:tc>
              <w:tc>
                <w:tcPr>
                  <w:tcW w:w="1275"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X</w:t>
                  </w:r>
                </w:p>
              </w:tc>
              <w:tc>
                <w:tcPr>
                  <w:tcW w:w="1260"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Y</w:t>
                  </w:r>
                </w:p>
              </w:tc>
              <w:tc>
                <w:tcPr>
                  <w:tcW w:w="734" w:type="dxa"/>
                  <w:vMerge w:val="continue"/>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p>
              </w:tc>
              <w:tc>
                <w:tcPr>
                  <w:tcW w:w="1040" w:type="dxa"/>
                  <w:vMerge w:val="continue"/>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p>
              </w:tc>
              <w:tc>
                <w:tcPr>
                  <w:tcW w:w="1175" w:type="dxa"/>
                  <w:vMerge w:val="continue"/>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p>
              </w:tc>
              <w:tc>
                <w:tcPr>
                  <w:tcW w:w="767" w:type="dxa"/>
                  <w:vMerge w:val="continue"/>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p>
              </w:tc>
              <w:tc>
                <w:tcPr>
                  <w:tcW w:w="625" w:type="dxa"/>
                  <w:vMerge w:val="continue"/>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p>
              </w:tc>
              <w:tc>
                <w:tcPr>
                  <w:tcW w:w="689" w:type="dxa"/>
                  <w:vMerge w:val="continue"/>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8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涂家窑</w:t>
                  </w:r>
                </w:p>
              </w:tc>
              <w:tc>
                <w:tcPr>
                  <w:tcW w:w="1275"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116.535995</w:t>
                  </w:r>
                </w:p>
              </w:tc>
              <w:tc>
                <w:tcPr>
                  <w:tcW w:w="1260"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32.486090</w:t>
                  </w:r>
                </w:p>
              </w:tc>
              <w:tc>
                <w:tcPr>
                  <w:tcW w:w="734" w:type="dxa"/>
                  <w:vAlign w:val="center"/>
                </w:tcPr>
                <w:p>
                  <w:pPr>
                    <w:widowControl w:val="0"/>
                    <w:spacing w:line="240" w:lineRule="auto"/>
                    <w:ind w:firstLine="0" w:firstLineChars="0"/>
                    <w:jc w:val="center"/>
                    <w:rPr>
                      <w:rFonts w:hint="eastAsia" w:ascii="Times New Roman" w:hAnsi="Times New Roman" w:eastAsia="宋体" w:cs="Times New Roman"/>
                      <w:b w:val="0"/>
                      <w:bCs w:val="0"/>
                      <w:snapToGrid w:val="0"/>
                      <w:color w:val="auto"/>
                      <w:kern w:val="0"/>
                      <w:sz w:val="21"/>
                      <w:lang w:val="en-US" w:eastAsia="zh-CN"/>
                    </w:rPr>
                  </w:pPr>
                  <w:r>
                    <w:rPr>
                      <w:rFonts w:hint="eastAsia" w:cs="Times New Roman"/>
                      <w:b w:val="0"/>
                      <w:bCs w:val="0"/>
                      <w:snapToGrid w:val="0"/>
                      <w:color w:val="auto"/>
                      <w:kern w:val="0"/>
                      <w:sz w:val="21"/>
                      <w:lang w:val="en-US" w:eastAsia="zh-CN"/>
                    </w:rPr>
                    <w:t>颗粒物</w:t>
                  </w:r>
                </w:p>
              </w:tc>
              <w:tc>
                <w:tcPr>
                  <w:tcW w:w="1040"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lang w:val="en-US" w:eastAsia="zh-CN"/>
                    </w:rPr>
                  </w:pPr>
                  <w:r>
                    <w:rPr>
                      <w:rFonts w:hint="eastAsia" w:cs="Times New Roman"/>
                      <w:b w:val="0"/>
                      <w:bCs w:val="0"/>
                      <w:snapToGrid w:val="0"/>
                      <w:color w:val="auto"/>
                      <w:kern w:val="0"/>
                      <w:sz w:val="21"/>
                      <w:lang w:val="en-US" w:eastAsia="zh-CN"/>
                    </w:rPr>
                    <w:t>300</w:t>
                  </w:r>
                </w:p>
              </w:tc>
              <w:tc>
                <w:tcPr>
                  <w:tcW w:w="1175"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lang w:val="en-US" w:eastAsia="zh-CN"/>
                    </w:rPr>
                  </w:pPr>
                  <w:r>
                    <w:rPr>
                      <w:rFonts w:hint="eastAsia" w:cs="Times New Roman"/>
                      <w:b w:val="0"/>
                      <w:bCs w:val="0"/>
                      <w:snapToGrid w:val="0"/>
                      <w:color w:val="auto"/>
                      <w:kern w:val="0"/>
                      <w:sz w:val="21"/>
                      <w:lang w:val="en-US" w:eastAsia="zh-CN"/>
                    </w:rPr>
                    <w:t>215-246</w:t>
                  </w:r>
                </w:p>
              </w:tc>
              <w:tc>
                <w:tcPr>
                  <w:tcW w:w="767"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lang w:val="en-US" w:eastAsia="zh-CN"/>
                    </w:rPr>
                  </w:pPr>
                  <w:r>
                    <w:rPr>
                      <w:rFonts w:hint="eastAsia" w:cs="Times New Roman"/>
                      <w:b w:val="0"/>
                      <w:bCs w:val="0"/>
                      <w:snapToGrid w:val="0"/>
                      <w:color w:val="auto"/>
                      <w:kern w:val="0"/>
                      <w:sz w:val="21"/>
                      <w:lang w:val="en-US" w:eastAsia="zh-CN"/>
                    </w:rPr>
                    <w:t>0.82</w:t>
                  </w:r>
                </w:p>
              </w:tc>
              <w:tc>
                <w:tcPr>
                  <w:tcW w:w="625"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szCs w:val="24"/>
                      <w:lang w:val="en-US" w:eastAsia="zh-CN" w:bidi="ar-SA"/>
                    </w:rPr>
                  </w:pPr>
                  <w:r>
                    <w:rPr>
                      <w:rFonts w:hint="default" w:ascii="Times New Roman" w:hAnsi="Times New Roman" w:cs="Times New Roman"/>
                      <w:b w:val="0"/>
                      <w:bCs w:val="0"/>
                      <w:snapToGrid w:val="0"/>
                      <w:color w:val="auto"/>
                      <w:kern w:val="0"/>
                      <w:sz w:val="21"/>
                    </w:rPr>
                    <w:t>0</w:t>
                  </w:r>
                </w:p>
              </w:tc>
              <w:tc>
                <w:tcPr>
                  <w:tcW w:w="689"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szCs w:val="24"/>
                      <w:lang w:val="en-US" w:eastAsia="zh-CN" w:bidi="ar-SA"/>
                    </w:rPr>
                  </w:pPr>
                  <w:r>
                    <w:rPr>
                      <w:rFonts w:hint="default" w:ascii="Times New Roman" w:hAnsi="Times New Roman" w:cs="Times New Roman"/>
                      <w:b w:val="0"/>
                      <w:bCs w:val="0"/>
                      <w:snapToGrid w:val="0"/>
                      <w:color w:val="auto"/>
                      <w:kern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8" w:hRule="atLeast"/>
              </w:trPr>
              <w:tc>
                <w:tcPr>
                  <w:tcW w:w="843"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魏湖新村</w:t>
                  </w:r>
                </w:p>
              </w:tc>
              <w:tc>
                <w:tcPr>
                  <w:tcW w:w="1275"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116.541274</w:t>
                  </w:r>
                </w:p>
              </w:tc>
              <w:tc>
                <w:tcPr>
                  <w:tcW w:w="1260" w:type="dxa"/>
                  <w:vAlign w:val="center"/>
                </w:tcPr>
                <w:p>
                  <w:pPr>
                    <w:widowControl w:val="0"/>
                    <w:spacing w:line="240" w:lineRule="auto"/>
                    <w:ind w:firstLine="0" w:firstLineChars="0"/>
                    <w:jc w:val="center"/>
                    <w:rPr>
                      <w:rFonts w:hint="default" w:ascii="Times New Roman" w:hAnsi="Times New Roman" w:cs="Times New Roman"/>
                      <w:b w:val="0"/>
                      <w:bCs w:val="0"/>
                      <w:snapToGrid w:val="0"/>
                      <w:color w:val="auto"/>
                      <w:kern w:val="0"/>
                      <w:sz w:val="21"/>
                    </w:rPr>
                  </w:pPr>
                  <w:r>
                    <w:rPr>
                      <w:rFonts w:hint="default" w:ascii="Times New Roman" w:hAnsi="Times New Roman" w:cs="Times New Roman"/>
                      <w:b w:val="0"/>
                      <w:bCs w:val="0"/>
                      <w:snapToGrid w:val="0"/>
                      <w:color w:val="auto"/>
                      <w:kern w:val="0"/>
                      <w:sz w:val="21"/>
                    </w:rPr>
                    <w:t>32.488190</w:t>
                  </w:r>
                </w:p>
              </w:tc>
              <w:tc>
                <w:tcPr>
                  <w:tcW w:w="734"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szCs w:val="24"/>
                      <w:lang w:val="en-US" w:eastAsia="zh-CN" w:bidi="ar-SA"/>
                    </w:rPr>
                  </w:pPr>
                  <w:r>
                    <w:rPr>
                      <w:rFonts w:hint="eastAsia" w:cs="Times New Roman"/>
                      <w:b w:val="0"/>
                      <w:bCs w:val="0"/>
                      <w:snapToGrid w:val="0"/>
                      <w:color w:val="auto"/>
                      <w:kern w:val="0"/>
                      <w:sz w:val="21"/>
                      <w:lang w:val="en-US" w:eastAsia="zh-CN"/>
                    </w:rPr>
                    <w:t>颗粒物</w:t>
                  </w:r>
                </w:p>
              </w:tc>
              <w:tc>
                <w:tcPr>
                  <w:tcW w:w="1040"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szCs w:val="24"/>
                      <w:lang w:val="en-US" w:eastAsia="zh-CN" w:bidi="ar-SA"/>
                    </w:rPr>
                  </w:pPr>
                  <w:r>
                    <w:rPr>
                      <w:rFonts w:hint="eastAsia" w:cs="Times New Roman"/>
                      <w:b w:val="0"/>
                      <w:bCs w:val="0"/>
                      <w:snapToGrid w:val="0"/>
                      <w:color w:val="auto"/>
                      <w:kern w:val="0"/>
                      <w:sz w:val="21"/>
                      <w:lang w:val="en-US" w:eastAsia="zh-CN"/>
                    </w:rPr>
                    <w:t>300</w:t>
                  </w:r>
                </w:p>
              </w:tc>
              <w:tc>
                <w:tcPr>
                  <w:tcW w:w="1175"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szCs w:val="24"/>
                      <w:lang w:val="en-US" w:eastAsia="zh-CN" w:bidi="ar-SA"/>
                    </w:rPr>
                  </w:pPr>
                  <w:r>
                    <w:rPr>
                      <w:rFonts w:hint="eastAsia" w:cs="Times New Roman"/>
                      <w:b w:val="0"/>
                      <w:bCs w:val="0"/>
                      <w:snapToGrid w:val="0"/>
                      <w:color w:val="auto"/>
                      <w:kern w:val="0"/>
                      <w:sz w:val="21"/>
                      <w:lang w:val="en-US" w:eastAsia="zh-CN"/>
                    </w:rPr>
                    <w:t>186-213</w:t>
                  </w:r>
                </w:p>
              </w:tc>
              <w:tc>
                <w:tcPr>
                  <w:tcW w:w="767"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szCs w:val="24"/>
                      <w:lang w:val="en-US" w:eastAsia="zh-CN" w:bidi="ar-SA"/>
                    </w:rPr>
                  </w:pPr>
                  <w:r>
                    <w:rPr>
                      <w:rFonts w:hint="eastAsia" w:cs="Times New Roman"/>
                      <w:b w:val="0"/>
                      <w:bCs w:val="0"/>
                      <w:snapToGrid w:val="0"/>
                      <w:color w:val="auto"/>
                      <w:kern w:val="0"/>
                      <w:sz w:val="21"/>
                      <w:lang w:val="en-US" w:eastAsia="zh-CN"/>
                    </w:rPr>
                    <w:t>0.41</w:t>
                  </w:r>
                </w:p>
              </w:tc>
              <w:tc>
                <w:tcPr>
                  <w:tcW w:w="625"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szCs w:val="24"/>
                      <w:lang w:val="en-US" w:eastAsia="zh-CN" w:bidi="ar-SA"/>
                    </w:rPr>
                  </w:pPr>
                  <w:r>
                    <w:rPr>
                      <w:rFonts w:hint="default" w:ascii="Times New Roman" w:hAnsi="Times New Roman" w:cs="Times New Roman"/>
                      <w:b w:val="0"/>
                      <w:bCs w:val="0"/>
                      <w:snapToGrid w:val="0"/>
                      <w:color w:val="auto"/>
                      <w:kern w:val="0"/>
                      <w:sz w:val="21"/>
                    </w:rPr>
                    <w:t>0</w:t>
                  </w:r>
                </w:p>
              </w:tc>
              <w:tc>
                <w:tcPr>
                  <w:tcW w:w="689" w:type="dxa"/>
                  <w:vAlign w:val="center"/>
                </w:tcPr>
                <w:p>
                  <w:pPr>
                    <w:widowControl w:val="0"/>
                    <w:spacing w:line="240" w:lineRule="auto"/>
                    <w:ind w:firstLine="0" w:firstLineChars="0"/>
                    <w:jc w:val="center"/>
                    <w:rPr>
                      <w:rFonts w:hint="default" w:ascii="Times New Roman" w:hAnsi="Times New Roman" w:eastAsia="宋体" w:cs="Times New Roman"/>
                      <w:b w:val="0"/>
                      <w:bCs w:val="0"/>
                      <w:snapToGrid w:val="0"/>
                      <w:color w:val="auto"/>
                      <w:kern w:val="0"/>
                      <w:sz w:val="21"/>
                      <w:szCs w:val="24"/>
                      <w:lang w:val="en-US" w:eastAsia="zh-CN" w:bidi="ar-SA"/>
                    </w:rPr>
                  </w:pPr>
                  <w:r>
                    <w:rPr>
                      <w:rFonts w:hint="default" w:ascii="Times New Roman" w:hAnsi="Times New Roman" w:cs="Times New Roman"/>
                      <w:b w:val="0"/>
                      <w:bCs w:val="0"/>
                      <w:snapToGrid w:val="0"/>
                      <w:color w:val="auto"/>
                      <w:kern w:val="0"/>
                      <w:sz w:val="21"/>
                    </w:rPr>
                    <w:t>达标</w:t>
                  </w:r>
                </w:p>
              </w:tc>
            </w:tr>
          </w:tbl>
          <w:p>
            <w:pPr>
              <w:pStyle w:val="36"/>
              <w:ind w:firstLine="480"/>
              <w:rPr>
                <w:rFonts w:hint="eastAsia" w:eastAsia="宋体"/>
                <w:color w:val="auto"/>
                <w:lang w:eastAsia="zh-CN"/>
              </w:rPr>
            </w:pPr>
            <w:r>
              <w:rPr>
                <w:rFonts w:hint="eastAsia"/>
                <w:color w:val="auto"/>
              </w:rPr>
              <w:t>由上表可</w:t>
            </w:r>
            <w:r>
              <w:rPr>
                <w:rFonts w:hint="eastAsia"/>
                <w:color w:val="auto"/>
                <w:lang w:eastAsia="zh-CN"/>
              </w:rPr>
              <w:t>知</w:t>
            </w:r>
            <w:r>
              <w:rPr>
                <w:rFonts w:cs="Times New Roman"/>
                <w:color w:val="auto"/>
                <w:szCs w:val="24"/>
              </w:rPr>
              <w:t>TSP满足《环境空气质量标准》 （GB3095-2012）中的二级标准。</w:t>
            </w:r>
          </w:p>
          <w:p>
            <w:pPr>
              <w:pStyle w:val="36"/>
              <w:ind w:firstLine="480"/>
              <w:rPr>
                <w:b/>
                <w:bCs w:val="0"/>
                <w:color w:val="auto"/>
                <w:sz w:val="24"/>
                <w:highlight w:val="none"/>
              </w:rPr>
            </w:pPr>
            <w:r>
              <w:rPr>
                <w:rFonts w:hint="eastAsia"/>
                <w:b/>
                <w:bCs w:val="0"/>
                <w:color w:val="auto"/>
                <w:sz w:val="24"/>
                <w:highlight w:val="none"/>
                <w:lang w:eastAsia="zh-CN"/>
              </w:rPr>
              <w:t>2.</w:t>
            </w:r>
            <w:r>
              <w:rPr>
                <w:b/>
                <w:bCs w:val="0"/>
                <w:color w:val="auto"/>
                <w:sz w:val="24"/>
                <w:highlight w:val="none"/>
              </w:rPr>
              <w:t>地表水环境质量现状</w:t>
            </w:r>
          </w:p>
          <w:p>
            <w:pPr>
              <w:pStyle w:val="19"/>
              <w:kinsoku/>
              <w:autoSpaceDE/>
              <w:autoSpaceDN/>
              <w:adjustRightInd/>
              <w:snapToGrid/>
              <w:spacing w:before="0" w:beforeAutospacing="0" w:after="0" w:afterAutospacing="0" w:line="360" w:lineRule="auto"/>
              <w:ind w:firstLine="480" w:firstLineChars="200"/>
              <w:jc w:val="both"/>
              <w:textAlignment w:val="auto"/>
              <w:rPr>
                <w:rFonts w:ascii="Times New Roman" w:hAnsi="Times New Roman" w:eastAsia="宋体"/>
                <w:bCs/>
                <w:color w:val="auto"/>
                <w:szCs w:val="24"/>
              </w:rPr>
            </w:pPr>
            <w:r>
              <w:rPr>
                <w:color w:val="auto"/>
                <w:sz w:val="24"/>
              </w:rPr>
              <w:t>项目区域地表水水体为</w:t>
            </w:r>
            <w:r>
              <w:rPr>
                <w:rFonts w:hint="eastAsia"/>
                <w:b/>
                <w:bCs/>
                <w:color w:val="auto"/>
                <w:sz w:val="24"/>
                <w:lang w:eastAsia="zh-CN"/>
              </w:rPr>
              <w:t>淮河</w:t>
            </w:r>
            <w:r>
              <w:rPr>
                <w:rFonts w:hint="eastAsia"/>
                <w:color w:val="auto"/>
                <w:sz w:val="24"/>
                <w:lang w:eastAsia="zh-CN"/>
              </w:rPr>
              <w:t>，</w:t>
            </w:r>
            <w:r>
              <w:rPr>
                <w:rFonts w:hint="default" w:ascii="Times New Roman" w:hAnsi="Times New Roman" w:eastAsia="宋体" w:cs="Times New Roman"/>
                <w:color w:val="auto"/>
                <w:sz w:val="24"/>
                <w:szCs w:val="24"/>
                <w:lang w:eastAsia="zh-CN"/>
              </w:rPr>
              <w:t>2024年，全市地表水24个监测断面中优良水质比例为91.7%，比上年下降了4.1个百分点，Ⅳ类水质比例8.3%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bCs/>
                <w:color w:val="auto"/>
                <w:szCs w:val="24"/>
              </w:rPr>
              <w:t>8个国控断面中优良水质比例为87.5%，Ⅳ类水质比例12.5%，水质总体状况良好；11个省控断面中优良水质比例为90.9%，水质总体状况优</w:t>
            </w:r>
            <w:r>
              <w:rPr>
                <w:rFonts w:ascii="Times New Roman" w:hAnsi="Times New Roman" w:eastAsia="宋体"/>
                <w:bCs/>
                <w:color w:val="auto"/>
                <w:szCs w:val="24"/>
              </w:rPr>
              <w:t>。</w:t>
            </w:r>
          </w:p>
          <w:p>
            <w:pPr>
              <w:pStyle w:val="19"/>
              <w:kinsoku/>
              <w:autoSpaceDE/>
              <w:autoSpaceDN/>
              <w:adjustRightInd/>
              <w:snapToGrid/>
              <w:spacing w:before="0" w:beforeAutospacing="0" w:after="0" w:afterAutospacing="0" w:line="360" w:lineRule="auto"/>
              <w:ind w:firstLine="480" w:firstLineChars="200"/>
              <w:jc w:val="both"/>
              <w:textAlignment w:val="auto"/>
              <w:rPr>
                <w:rFonts w:ascii="Times New Roman" w:hAnsi="Times New Roman" w:eastAsia="宋体"/>
                <w:bCs/>
                <w:color w:val="auto"/>
                <w:szCs w:val="24"/>
              </w:rPr>
            </w:pPr>
            <w:r>
              <w:rPr>
                <w:rFonts w:hint="eastAsia" w:ascii="Times New Roman" w:hAnsi="Times New Roman" w:eastAsia="宋体"/>
                <w:bCs/>
                <w:color w:val="auto"/>
                <w:szCs w:val="24"/>
              </w:rPr>
              <w:t>全市辖区内</w:t>
            </w:r>
            <w:r>
              <w:rPr>
                <w:rFonts w:hint="eastAsia" w:ascii="Times New Roman" w:hAnsi="Times New Roman" w:eastAsia="宋体"/>
                <w:b/>
                <w:bCs w:val="0"/>
                <w:color w:val="auto"/>
                <w:szCs w:val="24"/>
              </w:rPr>
              <w:t>淮河</w:t>
            </w:r>
            <w:r>
              <w:rPr>
                <w:rFonts w:hint="eastAsia" w:ascii="Times New Roman" w:hAnsi="Times New Roman" w:eastAsia="宋体"/>
                <w:bCs/>
                <w:color w:val="auto"/>
                <w:szCs w:val="24"/>
              </w:rPr>
              <w:t>干流水质状况为优，永幸河和丁家沟水质状况为优，西淝河、</w:t>
            </w:r>
            <w:r>
              <w:rPr>
                <w:rFonts w:hint="eastAsia" w:ascii="Times New Roman" w:hAnsi="Times New Roman" w:eastAsia="宋体"/>
                <w:b w:val="0"/>
                <w:bCs/>
                <w:color w:val="auto"/>
                <w:szCs w:val="24"/>
              </w:rPr>
              <w:t>东淝河、</w:t>
            </w:r>
            <w:r>
              <w:rPr>
                <w:rFonts w:hint="eastAsia" w:ascii="Times New Roman" w:hAnsi="Times New Roman" w:eastAsia="宋体"/>
                <w:bCs/>
                <w:color w:val="auto"/>
                <w:szCs w:val="24"/>
              </w:rPr>
              <w:t>架河、泥河、万小河、瓦西干渠、陡涧河和便民沟水质状况为良好。20个监测断面中优良水质比例为100%，与去年持平。其中黄圩和丁家沟河口断面水质均有所好转（Ⅲ类→Ⅱ类），五里闸（</w:t>
            </w:r>
            <w:r>
              <w:rPr>
                <w:rFonts w:hint="eastAsia" w:ascii="Times New Roman" w:hAnsi="Times New Roman"/>
                <w:bCs/>
                <w:color w:val="auto"/>
                <w:szCs w:val="24"/>
                <w:lang w:eastAsia="zh-CN"/>
              </w:rPr>
              <w:t>Ⅱ类</w:t>
            </w:r>
            <w:r>
              <w:rPr>
                <w:rFonts w:hint="eastAsia" w:ascii="Times New Roman" w:hAnsi="Times New Roman" w:eastAsia="宋体"/>
                <w:bCs/>
                <w:color w:val="auto"/>
                <w:szCs w:val="24"/>
              </w:rPr>
              <w:t>→Ⅲ类）和西淝河闸下（</w:t>
            </w:r>
            <w:r>
              <w:rPr>
                <w:rFonts w:hint="eastAsia" w:ascii="Times New Roman" w:hAnsi="Times New Roman"/>
                <w:bCs/>
                <w:color w:val="auto"/>
                <w:szCs w:val="24"/>
                <w:lang w:eastAsia="zh-CN"/>
              </w:rPr>
              <w:t>Ⅱ类</w:t>
            </w:r>
            <w:r>
              <w:rPr>
                <w:rFonts w:hint="eastAsia" w:ascii="Times New Roman" w:hAnsi="Times New Roman" w:eastAsia="宋体"/>
                <w:bCs/>
                <w:color w:val="auto"/>
                <w:szCs w:val="24"/>
              </w:rPr>
              <w:t>→Ⅲ类）水质均有所下降，其他断面水质保持稳定。</w:t>
            </w:r>
          </w:p>
          <w:p>
            <w:pPr>
              <w:spacing w:line="360" w:lineRule="auto"/>
              <w:ind w:firstLine="482" w:firstLineChars="200"/>
              <w:rPr>
                <w:b/>
                <w:bCs/>
                <w:color w:val="auto"/>
                <w:sz w:val="24"/>
              </w:rPr>
            </w:pPr>
            <w:r>
              <w:rPr>
                <w:rFonts w:hint="eastAsia"/>
                <w:b/>
                <w:bCs/>
                <w:color w:val="auto"/>
                <w:sz w:val="24"/>
                <w:lang w:eastAsia="zh-CN"/>
              </w:rPr>
              <w:t>3.</w:t>
            </w:r>
            <w:r>
              <w:rPr>
                <w:rFonts w:hint="eastAsia"/>
                <w:b/>
                <w:bCs/>
                <w:color w:val="auto"/>
                <w:sz w:val="24"/>
              </w:rPr>
              <w:t>声环境</w:t>
            </w:r>
          </w:p>
          <w:p>
            <w:pPr>
              <w:autoSpaceDE w:val="0"/>
              <w:autoSpaceDN w:val="0"/>
              <w:spacing w:line="360" w:lineRule="auto"/>
              <w:ind w:firstLine="480" w:firstLineChars="200"/>
              <w:rPr>
                <w:rFonts w:hint="eastAsia"/>
                <w:color w:val="auto"/>
                <w:kern w:val="0"/>
                <w:sz w:val="24"/>
                <w:lang w:eastAsia="zh-CN"/>
              </w:rPr>
            </w:pPr>
            <w:r>
              <w:rPr>
                <w:rFonts w:hint="eastAsia"/>
                <w:color w:val="auto"/>
                <w:kern w:val="0"/>
                <w:sz w:val="24"/>
                <w:highlight w:val="none"/>
                <w:lang w:eastAsia="zh-CN"/>
              </w:rPr>
              <w:t>本次评价委托安徽山河检测技术有限公司对项目厂界环境和项目区南侧最近住户</w:t>
            </w:r>
            <w:r>
              <w:rPr>
                <w:rFonts w:hint="eastAsia"/>
                <w:color w:val="auto"/>
                <w:kern w:val="0"/>
                <w:sz w:val="24"/>
                <w:lang w:eastAsia="zh-CN"/>
              </w:rPr>
              <w:t>进行了监测，监测点位与结果如下。</w:t>
            </w:r>
          </w:p>
          <w:p>
            <w:pPr>
              <w:pStyle w:val="11"/>
              <w:keepNext w:val="0"/>
              <w:keepLines w:val="0"/>
              <w:pageBreakBefore w:val="0"/>
              <w:widowControl w:val="0"/>
              <w:kinsoku/>
              <w:wordWrap/>
              <w:overflowPunct/>
              <w:topLinePunct w:val="0"/>
              <w:autoSpaceDE/>
              <w:autoSpaceDN/>
              <w:bidi w:val="0"/>
              <w:adjustRightInd w:val="0"/>
              <w:snapToGrid/>
              <w:spacing w:line="240" w:lineRule="auto"/>
              <w:ind w:left="0" w:leftChars="0" w:firstLine="0"/>
              <w:jc w:val="center"/>
              <w:textAlignment w:val="auto"/>
              <w:rPr>
                <w:rFonts w:hint="default"/>
                <w:b/>
                <w:bCs/>
                <w:color w:val="auto"/>
                <w:szCs w:val="21"/>
                <w:lang w:val="en-US" w:eastAsia="zh-CN"/>
              </w:rPr>
            </w:pPr>
            <w:r>
              <w:rPr>
                <w:rFonts w:hint="eastAsia"/>
                <w:b/>
                <w:bCs/>
                <w:color w:val="auto"/>
                <w:kern w:val="0"/>
                <w:sz w:val="21"/>
                <w:szCs w:val="21"/>
                <w:lang w:eastAsia="zh-CN"/>
              </w:rPr>
              <w:t>表</w:t>
            </w:r>
            <w:r>
              <w:rPr>
                <w:rFonts w:hint="eastAsia"/>
                <w:b/>
                <w:bCs/>
                <w:color w:val="auto"/>
                <w:kern w:val="0"/>
                <w:sz w:val="21"/>
                <w:szCs w:val="21"/>
                <w:lang w:val="en-US" w:eastAsia="zh-CN"/>
              </w:rPr>
              <w:t>3-4 声环境监测结果</w:t>
            </w:r>
          </w:p>
          <w:tbl>
            <w:tblPr>
              <w:tblStyle w:val="25"/>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3777"/>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tblHeader/>
              </w:trPr>
              <w:tc>
                <w:tcPr>
                  <w:tcW w:w="98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测点编号</w:t>
                  </w:r>
                </w:p>
              </w:tc>
              <w:tc>
                <w:tcPr>
                  <w:tcW w:w="377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检测点位</w:t>
                  </w:r>
                </w:p>
              </w:tc>
              <w:tc>
                <w:tcPr>
                  <w:tcW w:w="36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等效声级Leq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trPr>
              <w:tc>
                <w:tcPr>
                  <w:tcW w:w="9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377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36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2025.9.27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trPr>
              <w:tc>
                <w:tcPr>
                  <w:tcW w:w="98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377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36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N1</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厂界东</w:t>
                  </w:r>
                </w:p>
              </w:tc>
              <w:tc>
                <w:tcPr>
                  <w:tcW w:w="36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N2</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厂界南</w:t>
                  </w:r>
                </w:p>
              </w:tc>
              <w:tc>
                <w:tcPr>
                  <w:tcW w:w="36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N3</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厂界西</w:t>
                  </w:r>
                </w:p>
              </w:tc>
              <w:tc>
                <w:tcPr>
                  <w:tcW w:w="36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N4</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eastAsia="宋体" w:cs="Times New Roman"/>
                      <w:color w:val="auto"/>
                      <w:sz w:val="21"/>
                      <w:szCs w:val="21"/>
                      <w:vertAlign w:val="baseline"/>
                      <w:lang w:val="en-US" w:eastAsia="zh-CN"/>
                    </w:rPr>
                    <w:t>厂界北</w:t>
                  </w:r>
                </w:p>
              </w:tc>
              <w:tc>
                <w:tcPr>
                  <w:tcW w:w="36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8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N5</w:t>
                  </w:r>
                </w:p>
              </w:tc>
              <w:tc>
                <w:tcPr>
                  <w:tcW w:w="3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南侧住户（曹卫休家）</w:t>
                  </w:r>
                </w:p>
              </w:tc>
              <w:tc>
                <w:tcPr>
                  <w:tcW w:w="364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44</w:t>
                  </w:r>
                </w:p>
              </w:tc>
            </w:tr>
          </w:tbl>
          <w:p>
            <w:pPr>
              <w:pStyle w:val="11"/>
              <w:rPr>
                <w:rFonts w:hint="eastAsia"/>
                <w:color w:val="auto"/>
                <w:lang w:eastAsia="zh-CN"/>
              </w:rPr>
            </w:pPr>
          </w:p>
          <w:p>
            <w:pPr>
              <w:jc w:val="center"/>
              <w:rPr>
                <w:rFonts w:hint="eastAsia"/>
                <w:color w:val="auto"/>
                <w:lang w:eastAsia="zh-CN"/>
              </w:rPr>
            </w:pPr>
            <w:r>
              <w:rPr>
                <w:color w:val="auto"/>
              </w:rPr>
              <w:drawing>
                <wp:inline distT="0" distB="0" distL="114300" distR="114300">
                  <wp:extent cx="4752975" cy="3438525"/>
                  <wp:effectExtent l="0" t="0" r="9525" b="952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5"/>
                          <a:stretch>
                            <a:fillRect/>
                          </a:stretch>
                        </pic:blipFill>
                        <pic:spPr>
                          <a:xfrm>
                            <a:off x="0" y="0"/>
                            <a:ext cx="4752975" cy="3438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bCs/>
                <w:color w:val="auto"/>
                <w:lang w:val="en-US" w:eastAsia="zh-CN"/>
              </w:rPr>
            </w:pPr>
            <w:r>
              <w:rPr>
                <w:rFonts w:hint="eastAsia" w:eastAsia="宋体"/>
                <w:b/>
                <w:bCs/>
                <w:color w:val="auto"/>
                <w:lang w:eastAsia="zh-CN"/>
              </w:rPr>
              <w:t>图</w:t>
            </w:r>
            <w:r>
              <w:rPr>
                <w:rFonts w:hint="eastAsia" w:eastAsia="宋体"/>
                <w:b/>
                <w:bCs/>
                <w:color w:val="auto"/>
                <w:lang w:val="en-US" w:eastAsia="zh-CN"/>
              </w:rPr>
              <w:t>3-1 声环境监测点位图</w:t>
            </w:r>
            <w:r>
              <w:rPr>
                <w:color w:val="auto"/>
              </w:rPr>
              <w:drawing>
                <wp:anchor distT="0" distB="0" distL="114300" distR="114300" simplePos="0" relativeHeight="251665408" behindDoc="0" locked="0" layoutInCell="1" allowOverlap="1">
                  <wp:simplePos x="0" y="0"/>
                  <wp:positionH relativeFrom="column">
                    <wp:posOffset>10265410</wp:posOffset>
                  </wp:positionH>
                  <wp:positionV relativeFrom="paragraph">
                    <wp:posOffset>378460</wp:posOffset>
                  </wp:positionV>
                  <wp:extent cx="671830" cy="549275"/>
                  <wp:effectExtent l="0" t="0" r="13970" b="3175"/>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6"/>
                          <a:srcRect b="17619"/>
                          <a:stretch>
                            <a:fillRect/>
                          </a:stretch>
                        </pic:blipFill>
                        <pic:spPr>
                          <a:xfrm>
                            <a:off x="0" y="0"/>
                            <a:ext cx="671830" cy="549275"/>
                          </a:xfrm>
                          <a:prstGeom prst="rect">
                            <a:avLst/>
                          </a:prstGeom>
                          <a:noFill/>
                          <a:ln>
                            <a:noFill/>
                          </a:ln>
                        </pic:spPr>
                      </pic:pic>
                    </a:graphicData>
                  </a:graphic>
                </wp:anchor>
              </w:drawing>
            </w:r>
            <w:r>
              <w:rPr>
                <w:color w:val="auto"/>
              </w:rPr>
              <w:drawing>
                <wp:anchor distT="0" distB="0" distL="114300" distR="114300" simplePos="0" relativeHeight="251664384" behindDoc="0" locked="0" layoutInCell="1" allowOverlap="1">
                  <wp:simplePos x="0" y="0"/>
                  <wp:positionH relativeFrom="column">
                    <wp:posOffset>10113010</wp:posOffset>
                  </wp:positionH>
                  <wp:positionV relativeFrom="paragraph">
                    <wp:posOffset>226060</wp:posOffset>
                  </wp:positionV>
                  <wp:extent cx="671830" cy="549275"/>
                  <wp:effectExtent l="0" t="0" r="13970" b="3175"/>
                  <wp:wrapNone/>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6"/>
                          <a:srcRect b="17619"/>
                          <a:stretch>
                            <a:fillRect/>
                          </a:stretch>
                        </pic:blipFill>
                        <pic:spPr>
                          <a:xfrm>
                            <a:off x="0" y="0"/>
                            <a:ext cx="671830" cy="549275"/>
                          </a:xfrm>
                          <a:prstGeom prst="rect">
                            <a:avLst/>
                          </a:prstGeom>
                          <a:noFill/>
                          <a:ln>
                            <a:noFill/>
                          </a:ln>
                        </pic:spPr>
                      </pic:pic>
                    </a:graphicData>
                  </a:graphic>
                </wp:anchor>
              </w:drawing>
            </w:r>
            <w:r>
              <w:rPr>
                <w:color w:val="auto"/>
              </w:rPr>
              <w:drawing>
                <wp:anchor distT="0" distB="0" distL="114300" distR="114300" simplePos="0" relativeHeight="251663360" behindDoc="0" locked="0" layoutInCell="1" allowOverlap="1">
                  <wp:simplePos x="0" y="0"/>
                  <wp:positionH relativeFrom="column">
                    <wp:posOffset>9960610</wp:posOffset>
                  </wp:positionH>
                  <wp:positionV relativeFrom="paragraph">
                    <wp:posOffset>73660</wp:posOffset>
                  </wp:positionV>
                  <wp:extent cx="671830" cy="549275"/>
                  <wp:effectExtent l="0" t="0" r="13970" b="3175"/>
                  <wp:wrapNone/>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6"/>
                          <a:srcRect b="17619"/>
                          <a:stretch>
                            <a:fillRect/>
                          </a:stretch>
                        </pic:blipFill>
                        <pic:spPr>
                          <a:xfrm>
                            <a:off x="0" y="0"/>
                            <a:ext cx="671830" cy="549275"/>
                          </a:xfrm>
                          <a:prstGeom prst="rect">
                            <a:avLst/>
                          </a:prstGeom>
                          <a:noFill/>
                          <a:ln>
                            <a:noFill/>
                          </a:ln>
                        </pic:spPr>
                      </pic:pic>
                    </a:graphicData>
                  </a:graphic>
                </wp:anchor>
              </w:drawing>
            </w:r>
          </w:p>
          <w:p>
            <w:pPr>
              <w:pStyle w:val="6"/>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根据现场监测的结果，本项目区域声环境昼间均满足2类区声环境标准。敏感点南侧住户声环境昼间满足1类区声环境标准。</w:t>
            </w:r>
          </w:p>
          <w:p>
            <w:pPr>
              <w:spacing w:line="360" w:lineRule="auto"/>
              <w:ind w:firstLine="482" w:firstLineChars="200"/>
              <w:rPr>
                <w:b/>
                <w:bCs/>
                <w:color w:val="auto"/>
                <w:sz w:val="24"/>
              </w:rPr>
            </w:pPr>
            <w:r>
              <w:rPr>
                <w:rFonts w:hint="eastAsia"/>
                <w:b/>
                <w:bCs/>
                <w:color w:val="auto"/>
                <w:sz w:val="24"/>
                <w:lang w:eastAsia="zh-CN"/>
              </w:rPr>
              <w:t>4.</w:t>
            </w:r>
            <w:r>
              <w:rPr>
                <w:rFonts w:hint="eastAsia"/>
                <w:b/>
                <w:bCs/>
                <w:color w:val="auto"/>
                <w:sz w:val="24"/>
              </w:rPr>
              <w:t>地下水环境</w:t>
            </w:r>
          </w:p>
          <w:p>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根据《关于印发《建设项目环境影响报告表》内容、格式及编制技术指南的通知》环办环评〔</w:t>
            </w:r>
            <w:r>
              <w:rPr>
                <w:rFonts w:hint="default" w:ascii="Times New Roman" w:hAnsi="Times New Roman" w:eastAsia="宋体" w:cs="Times New Roman"/>
                <w:color w:val="auto"/>
                <w:kern w:val="0"/>
                <w:sz w:val="24"/>
                <w:szCs w:val="24"/>
                <w:lang w:val="en-US" w:eastAsia="zh-CN" w:bidi="ar"/>
              </w:rPr>
              <w:t>2020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33 </w:t>
            </w:r>
            <w:r>
              <w:rPr>
                <w:rFonts w:hint="eastAsia" w:ascii="宋体" w:hAnsi="宋体" w:eastAsia="宋体" w:cs="宋体"/>
                <w:color w:val="auto"/>
                <w:kern w:val="0"/>
                <w:sz w:val="24"/>
                <w:szCs w:val="24"/>
                <w:lang w:val="en-US" w:eastAsia="zh-CN" w:bidi="ar"/>
              </w:rPr>
              <w:t>号文，本项目做分区防渗措施，不存在地下水和土壤污染途径，故不开展土壤及地下水环境调查。</w:t>
            </w:r>
          </w:p>
          <w:p>
            <w:pPr>
              <w:spacing w:line="360" w:lineRule="auto"/>
              <w:ind w:firstLine="482" w:firstLineChars="200"/>
              <w:rPr>
                <w:b/>
                <w:bCs/>
                <w:color w:val="auto"/>
                <w:sz w:val="24"/>
              </w:rPr>
            </w:pPr>
            <w:r>
              <w:rPr>
                <w:rFonts w:hint="eastAsia"/>
                <w:b/>
                <w:bCs/>
                <w:color w:val="auto"/>
                <w:sz w:val="24"/>
                <w:lang w:eastAsia="zh-CN"/>
              </w:rPr>
              <w:t>5.</w:t>
            </w:r>
            <w:r>
              <w:rPr>
                <w:rFonts w:hint="eastAsia"/>
                <w:b/>
                <w:bCs/>
                <w:color w:val="auto"/>
                <w:sz w:val="24"/>
              </w:rPr>
              <w:t>生态环境</w:t>
            </w:r>
          </w:p>
          <w:p>
            <w:pPr>
              <w:pStyle w:val="8"/>
              <w:spacing w:line="360" w:lineRule="auto"/>
              <w:ind w:firstLine="480" w:firstLineChars="200"/>
              <w:rPr>
                <w:color w:val="auto"/>
              </w:rPr>
            </w:pPr>
            <w:r>
              <w:rPr>
                <w:rFonts w:hint="eastAsia"/>
                <w:color w:val="auto"/>
              </w:rPr>
              <w:t>项目选址位于</w:t>
            </w:r>
            <w:r>
              <w:rPr>
                <w:rFonts w:hint="eastAsia"/>
                <w:color w:val="auto"/>
                <w:lang w:eastAsia="zh-CN"/>
              </w:rPr>
              <w:t>安徽省淮南市寿县丰庄镇前圩村境内</w:t>
            </w:r>
            <w:r>
              <w:rPr>
                <w:rFonts w:hint="eastAsia"/>
                <w:color w:val="auto"/>
              </w:rPr>
              <w:t>，厂区所在位置用地类型为</w:t>
            </w:r>
            <w:r>
              <w:rPr>
                <w:rFonts w:hint="eastAsia"/>
                <w:color w:val="auto"/>
                <w:lang w:val="en-US" w:eastAsia="zh-CN"/>
              </w:rPr>
              <w:t>工业用地</w:t>
            </w:r>
            <w:r>
              <w:rPr>
                <w:rFonts w:hint="eastAsia"/>
                <w:color w:val="auto"/>
              </w:rPr>
              <w:t>，项目用地范围内无生态环境保护目标。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5" w:type="dxa"/>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636" w:type="dxa"/>
            <w:vAlign w:val="top"/>
          </w:tcPr>
          <w:p>
            <w:pPr>
              <w:adjustRightInd w:val="0"/>
              <w:snapToGrid w:val="0"/>
              <w:spacing w:line="360" w:lineRule="auto"/>
              <w:ind w:firstLine="482" w:firstLineChars="200"/>
              <w:rPr>
                <w:b/>
                <w:bCs/>
                <w:color w:val="auto"/>
                <w:sz w:val="24"/>
              </w:rPr>
            </w:pPr>
            <w:r>
              <w:rPr>
                <w:b/>
                <w:bCs/>
                <w:color w:val="auto"/>
                <w:sz w:val="24"/>
              </w:rPr>
              <w:t>本项目主要环境保护目标如下</w:t>
            </w:r>
          </w:p>
          <w:p>
            <w:pPr>
              <w:jc w:val="center"/>
              <w:rPr>
                <w:color w:val="auto"/>
              </w:rPr>
            </w:pPr>
            <w:r>
              <w:rPr>
                <w:b/>
                <w:bCs/>
                <w:color w:val="auto"/>
                <w:szCs w:val="21"/>
              </w:rPr>
              <w:t>表3-</w:t>
            </w:r>
            <w:r>
              <w:rPr>
                <w:rFonts w:hint="eastAsia"/>
                <w:b/>
                <w:bCs/>
                <w:color w:val="auto"/>
                <w:szCs w:val="21"/>
                <w:lang w:val="en-US" w:eastAsia="zh-CN"/>
              </w:rPr>
              <w:t>5</w:t>
            </w:r>
            <w:r>
              <w:rPr>
                <w:b/>
                <w:bCs/>
                <w:color w:val="auto"/>
                <w:szCs w:val="21"/>
              </w:rPr>
              <w:t xml:space="preserve">  环境保护目标一览表</w:t>
            </w:r>
          </w:p>
          <w:tbl>
            <w:tblPr>
              <w:tblStyle w:val="24"/>
              <w:tblW w:w="84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97"/>
              <w:gridCol w:w="1214"/>
              <w:gridCol w:w="1109"/>
              <w:gridCol w:w="508"/>
              <w:gridCol w:w="750"/>
              <w:gridCol w:w="2026"/>
              <w:gridCol w:w="659"/>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Merge w:val="restart"/>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类别</w:t>
                  </w:r>
                </w:p>
              </w:tc>
              <w:tc>
                <w:tcPr>
                  <w:tcW w:w="897" w:type="dxa"/>
                  <w:vMerge w:val="restart"/>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名称</w:t>
                  </w:r>
                </w:p>
              </w:tc>
              <w:tc>
                <w:tcPr>
                  <w:tcW w:w="2323" w:type="dxa"/>
                  <w:gridSpan w:val="2"/>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坐标</w:t>
                  </w:r>
                </w:p>
              </w:tc>
              <w:tc>
                <w:tcPr>
                  <w:tcW w:w="508" w:type="dxa"/>
                  <w:vMerge w:val="restart"/>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保护</w:t>
                  </w:r>
                </w:p>
                <w:p>
                  <w:pPr>
                    <w:pStyle w:val="32"/>
                    <w:spacing w:line="240" w:lineRule="auto"/>
                    <w:ind w:firstLine="0"/>
                    <w:jc w:val="center"/>
                    <w:rPr>
                      <w:rFonts w:ascii="Times New Roman"/>
                      <w:color w:val="auto"/>
                      <w:sz w:val="21"/>
                      <w:szCs w:val="21"/>
                    </w:rPr>
                  </w:pPr>
                  <w:r>
                    <w:rPr>
                      <w:rFonts w:ascii="Times New Roman"/>
                      <w:color w:val="auto"/>
                      <w:sz w:val="21"/>
                      <w:szCs w:val="21"/>
                    </w:rPr>
                    <w:t>对象</w:t>
                  </w:r>
                </w:p>
              </w:tc>
              <w:tc>
                <w:tcPr>
                  <w:tcW w:w="750" w:type="dxa"/>
                  <w:vMerge w:val="restart"/>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保护</w:t>
                  </w:r>
                </w:p>
                <w:p>
                  <w:pPr>
                    <w:pStyle w:val="32"/>
                    <w:spacing w:line="240" w:lineRule="auto"/>
                    <w:ind w:firstLine="0"/>
                    <w:jc w:val="center"/>
                    <w:rPr>
                      <w:rFonts w:ascii="Times New Roman"/>
                      <w:color w:val="auto"/>
                      <w:sz w:val="21"/>
                      <w:szCs w:val="21"/>
                    </w:rPr>
                  </w:pPr>
                  <w:r>
                    <w:rPr>
                      <w:rFonts w:ascii="Times New Roman"/>
                      <w:color w:val="auto"/>
                      <w:sz w:val="21"/>
                      <w:szCs w:val="21"/>
                    </w:rPr>
                    <w:t>内容</w:t>
                  </w:r>
                </w:p>
              </w:tc>
              <w:tc>
                <w:tcPr>
                  <w:tcW w:w="2026" w:type="dxa"/>
                  <w:vMerge w:val="restart"/>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环境功能</w:t>
                  </w:r>
                </w:p>
              </w:tc>
              <w:tc>
                <w:tcPr>
                  <w:tcW w:w="659" w:type="dxa"/>
                  <w:vMerge w:val="restart"/>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相对厂址方位</w:t>
                  </w:r>
                </w:p>
              </w:tc>
              <w:tc>
                <w:tcPr>
                  <w:tcW w:w="814" w:type="dxa"/>
                  <w:vMerge w:val="restart"/>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相对厂界</w:t>
                  </w:r>
                  <w:r>
                    <w:rPr>
                      <w:rFonts w:hint="eastAsia" w:ascii="Times New Roman"/>
                      <w:color w:val="auto"/>
                      <w:sz w:val="21"/>
                      <w:szCs w:val="21"/>
                      <w:highlight w:val="none"/>
                      <w:lang w:val="en-US" w:eastAsia="zh-CN"/>
                    </w:rPr>
                    <w:t>最近</w:t>
                  </w:r>
                  <w:r>
                    <w:rPr>
                      <w:rFonts w:ascii="Times New Roman"/>
                      <w:color w:val="auto"/>
                      <w:sz w:val="21"/>
                      <w:szCs w:val="21"/>
                      <w:highlight w:val="none"/>
                    </w:rPr>
                    <w:t>距离</w:t>
                  </w:r>
                  <w:r>
                    <w:rPr>
                      <w:rFonts w:ascii="Times New Roman"/>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Merge w:val="continue"/>
                  <w:vAlign w:val="center"/>
                </w:tcPr>
                <w:p>
                  <w:pPr>
                    <w:pStyle w:val="32"/>
                    <w:spacing w:line="240" w:lineRule="auto"/>
                    <w:ind w:firstLine="0"/>
                    <w:jc w:val="center"/>
                    <w:rPr>
                      <w:rFonts w:ascii="Times New Roman"/>
                      <w:color w:val="auto"/>
                      <w:sz w:val="21"/>
                      <w:szCs w:val="21"/>
                    </w:rPr>
                  </w:pPr>
                </w:p>
              </w:tc>
              <w:tc>
                <w:tcPr>
                  <w:tcW w:w="897" w:type="dxa"/>
                  <w:vMerge w:val="continue"/>
                  <w:vAlign w:val="center"/>
                </w:tcPr>
                <w:p>
                  <w:pPr>
                    <w:pStyle w:val="32"/>
                    <w:spacing w:line="240" w:lineRule="auto"/>
                    <w:ind w:firstLine="0"/>
                    <w:jc w:val="center"/>
                    <w:rPr>
                      <w:rFonts w:ascii="Times New Roman"/>
                      <w:color w:val="auto"/>
                      <w:sz w:val="21"/>
                      <w:szCs w:val="21"/>
                    </w:rPr>
                  </w:pPr>
                </w:p>
              </w:tc>
              <w:tc>
                <w:tcPr>
                  <w:tcW w:w="1214"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经度</w:t>
                  </w:r>
                </w:p>
              </w:tc>
              <w:tc>
                <w:tcPr>
                  <w:tcW w:w="1109"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纬度</w:t>
                  </w:r>
                </w:p>
              </w:tc>
              <w:tc>
                <w:tcPr>
                  <w:tcW w:w="508" w:type="dxa"/>
                  <w:vMerge w:val="continue"/>
                  <w:vAlign w:val="center"/>
                </w:tcPr>
                <w:p>
                  <w:pPr>
                    <w:pStyle w:val="32"/>
                    <w:spacing w:line="240" w:lineRule="auto"/>
                    <w:ind w:firstLine="0"/>
                    <w:jc w:val="center"/>
                    <w:rPr>
                      <w:rFonts w:ascii="Times New Roman"/>
                      <w:color w:val="auto"/>
                      <w:sz w:val="21"/>
                      <w:szCs w:val="21"/>
                    </w:rPr>
                  </w:pPr>
                </w:p>
              </w:tc>
              <w:tc>
                <w:tcPr>
                  <w:tcW w:w="750" w:type="dxa"/>
                  <w:vMerge w:val="continue"/>
                  <w:vAlign w:val="center"/>
                </w:tcPr>
                <w:p>
                  <w:pPr>
                    <w:pStyle w:val="32"/>
                    <w:spacing w:line="240" w:lineRule="auto"/>
                    <w:ind w:firstLine="0"/>
                    <w:jc w:val="center"/>
                    <w:rPr>
                      <w:rFonts w:ascii="Times New Roman"/>
                      <w:color w:val="auto"/>
                      <w:sz w:val="21"/>
                      <w:szCs w:val="21"/>
                    </w:rPr>
                  </w:pPr>
                </w:p>
              </w:tc>
              <w:tc>
                <w:tcPr>
                  <w:tcW w:w="2026" w:type="dxa"/>
                  <w:vMerge w:val="continue"/>
                  <w:vAlign w:val="center"/>
                </w:tcPr>
                <w:p>
                  <w:pPr>
                    <w:pStyle w:val="32"/>
                    <w:spacing w:line="240" w:lineRule="auto"/>
                    <w:ind w:firstLine="0"/>
                    <w:jc w:val="center"/>
                    <w:rPr>
                      <w:rFonts w:ascii="Times New Roman"/>
                      <w:color w:val="auto"/>
                      <w:sz w:val="21"/>
                      <w:szCs w:val="21"/>
                    </w:rPr>
                  </w:pPr>
                </w:p>
              </w:tc>
              <w:tc>
                <w:tcPr>
                  <w:tcW w:w="659" w:type="dxa"/>
                  <w:vMerge w:val="continue"/>
                  <w:vAlign w:val="center"/>
                </w:tcPr>
                <w:p>
                  <w:pPr>
                    <w:pStyle w:val="32"/>
                    <w:spacing w:line="240" w:lineRule="auto"/>
                    <w:ind w:firstLine="0"/>
                    <w:jc w:val="center"/>
                    <w:rPr>
                      <w:rFonts w:ascii="Times New Roman"/>
                      <w:color w:val="auto"/>
                      <w:sz w:val="21"/>
                      <w:szCs w:val="21"/>
                    </w:rPr>
                  </w:pPr>
                </w:p>
              </w:tc>
              <w:tc>
                <w:tcPr>
                  <w:tcW w:w="814" w:type="dxa"/>
                  <w:vMerge w:val="continue"/>
                  <w:vAlign w:val="center"/>
                </w:tcPr>
                <w:p>
                  <w:pPr>
                    <w:pStyle w:val="32"/>
                    <w:spacing w:line="240" w:lineRule="auto"/>
                    <w:ind w:firstLine="0"/>
                    <w:jc w:val="center"/>
                    <w:rPr>
                      <w:rFonts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Merge w:val="restart"/>
                  <w:vAlign w:val="center"/>
                </w:tcPr>
                <w:p>
                  <w:pPr>
                    <w:pStyle w:val="32"/>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897" w:type="dxa"/>
                  <w:vAlign w:val="center"/>
                </w:tcPr>
                <w:p>
                  <w:pPr>
                    <w:pStyle w:val="32"/>
                    <w:spacing w:line="240" w:lineRule="auto"/>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前圩村</w:t>
                  </w:r>
                  <w:r>
                    <w:rPr>
                      <w:rFonts w:hint="eastAsia" w:ascii="Times New Roman" w:cs="Times New Roman"/>
                      <w:color w:val="auto"/>
                      <w:sz w:val="21"/>
                      <w:szCs w:val="21"/>
                      <w:lang w:eastAsia="zh-CN"/>
                    </w:rPr>
                    <w:t>（曹卫休家）</w:t>
                  </w:r>
                </w:p>
              </w:tc>
              <w:tc>
                <w:tcPr>
                  <w:tcW w:w="1214" w:type="dxa"/>
                  <w:vAlign w:val="center"/>
                </w:tcPr>
                <w:p>
                  <w:pPr>
                    <w:pStyle w:val="32"/>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116.578777</w:t>
                  </w:r>
                </w:p>
              </w:tc>
              <w:tc>
                <w:tcPr>
                  <w:tcW w:w="1109" w:type="dxa"/>
                  <w:vAlign w:val="center"/>
                </w:tcPr>
                <w:p>
                  <w:pPr>
                    <w:pStyle w:val="32"/>
                    <w:spacing w:line="240" w:lineRule="auto"/>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32.496159</w:t>
                  </w:r>
                </w:p>
              </w:tc>
              <w:tc>
                <w:tcPr>
                  <w:tcW w:w="508" w:type="dxa"/>
                  <w:vAlign w:val="center"/>
                </w:tcPr>
                <w:p>
                  <w:pPr>
                    <w:pStyle w:val="32"/>
                    <w:spacing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居民</w:t>
                  </w:r>
                </w:p>
              </w:tc>
              <w:tc>
                <w:tcPr>
                  <w:tcW w:w="750" w:type="dxa"/>
                  <w:vAlign w:val="center"/>
                </w:tcPr>
                <w:p>
                  <w:pPr>
                    <w:pStyle w:val="32"/>
                    <w:spacing w:line="240" w:lineRule="auto"/>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1户2人</w:t>
                  </w:r>
                </w:p>
              </w:tc>
              <w:tc>
                <w:tcPr>
                  <w:tcW w:w="2026" w:type="dxa"/>
                  <w:vMerge w:val="restart"/>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《环境空气质量标准》</w:t>
                  </w:r>
                  <w:r>
                    <w:rPr>
                      <w:rFonts w:hint="eastAsia" w:ascii="Times New Roman"/>
                      <w:color w:val="auto"/>
                      <w:sz w:val="21"/>
                      <w:szCs w:val="21"/>
                      <w:lang w:eastAsia="zh-CN"/>
                    </w:rPr>
                    <w:t>（</w:t>
                  </w:r>
                  <w:r>
                    <w:rPr>
                      <w:rFonts w:ascii="Times New Roman"/>
                      <w:color w:val="auto"/>
                      <w:sz w:val="21"/>
                      <w:szCs w:val="21"/>
                    </w:rPr>
                    <w:t>GB3095-2012</w:t>
                  </w:r>
                  <w:r>
                    <w:rPr>
                      <w:rFonts w:hint="eastAsia" w:ascii="Times New Roman"/>
                      <w:color w:val="auto"/>
                      <w:sz w:val="21"/>
                      <w:szCs w:val="21"/>
                      <w:lang w:eastAsia="zh-CN"/>
                    </w:rPr>
                    <w:t>）</w:t>
                  </w:r>
                  <w:r>
                    <w:rPr>
                      <w:rFonts w:ascii="Times New Roman"/>
                      <w:color w:val="auto"/>
                      <w:sz w:val="21"/>
                      <w:szCs w:val="21"/>
                    </w:rPr>
                    <w:t>二级标准</w:t>
                  </w:r>
                </w:p>
              </w:tc>
              <w:tc>
                <w:tcPr>
                  <w:tcW w:w="659" w:type="dxa"/>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S</w:t>
                  </w:r>
                </w:p>
              </w:tc>
              <w:tc>
                <w:tcPr>
                  <w:tcW w:w="814" w:type="dxa"/>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Merge w:val="continue"/>
                  <w:vAlign w:val="center"/>
                </w:tcPr>
                <w:p>
                  <w:pPr>
                    <w:pStyle w:val="32"/>
                    <w:spacing w:line="240" w:lineRule="auto"/>
                    <w:ind w:firstLine="0"/>
                    <w:jc w:val="center"/>
                    <w:rPr>
                      <w:rFonts w:hint="default" w:ascii="Times New Roman" w:hAnsi="Times New Roman" w:cs="Times New Roman"/>
                      <w:color w:val="auto"/>
                      <w:sz w:val="21"/>
                      <w:szCs w:val="21"/>
                    </w:rPr>
                  </w:pPr>
                </w:p>
              </w:tc>
              <w:tc>
                <w:tcPr>
                  <w:tcW w:w="897" w:type="dxa"/>
                  <w:vAlign w:val="center"/>
                </w:tcPr>
                <w:p>
                  <w:pPr>
                    <w:pStyle w:val="32"/>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前圩村</w:t>
                  </w:r>
                  <w:r>
                    <w:rPr>
                      <w:rFonts w:hint="eastAsia" w:ascii="Times New Roman" w:cs="Times New Roman"/>
                      <w:color w:val="auto"/>
                      <w:sz w:val="21"/>
                      <w:szCs w:val="21"/>
                      <w:lang w:eastAsia="zh-CN"/>
                    </w:rPr>
                    <w:t>（其他住户）</w:t>
                  </w:r>
                </w:p>
              </w:tc>
              <w:tc>
                <w:tcPr>
                  <w:tcW w:w="1214" w:type="dxa"/>
                  <w:vAlign w:val="center"/>
                </w:tcPr>
                <w:p>
                  <w:pPr>
                    <w:pStyle w:val="32"/>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116.578750</w:t>
                  </w:r>
                </w:p>
              </w:tc>
              <w:tc>
                <w:tcPr>
                  <w:tcW w:w="1109" w:type="dxa"/>
                  <w:vAlign w:val="center"/>
                </w:tcPr>
                <w:p>
                  <w:pPr>
                    <w:pStyle w:val="32"/>
                    <w:spacing w:line="240" w:lineRule="auto"/>
                    <w:ind w:firstLine="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32.49580</w:t>
                  </w:r>
                  <w:r>
                    <w:rPr>
                      <w:rFonts w:hint="eastAsia" w:ascii="Times New Roman" w:cs="Times New Roman"/>
                      <w:color w:val="auto"/>
                      <w:sz w:val="21"/>
                      <w:szCs w:val="21"/>
                      <w:highlight w:val="none"/>
                      <w:lang w:val="en-US" w:eastAsia="zh-CN"/>
                    </w:rPr>
                    <w:t>5</w:t>
                  </w:r>
                </w:p>
              </w:tc>
              <w:tc>
                <w:tcPr>
                  <w:tcW w:w="508" w:type="dxa"/>
                  <w:vAlign w:val="center"/>
                </w:tcPr>
                <w:p>
                  <w:pPr>
                    <w:pStyle w:val="32"/>
                    <w:spacing w:line="240" w:lineRule="auto"/>
                    <w:ind w:firstLine="0"/>
                    <w:jc w:val="center"/>
                    <w:rPr>
                      <w:rFonts w:hint="default" w:ascii="Times New Roman" w:hAnsi="Times New Roman" w:cs="Times New Roman"/>
                      <w:color w:val="auto"/>
                      <w:sz w:val="21"/>
                      <w:szCs w:val="21"/>
                      <w:highlight w:val="none"/>
                      <w:lang w:eastAsia="zh-CN"/>
                    </w:rPr>
                  </w:pPr>
                  <w:r>
                    <w:rPr>
                      <w:rFonts w:hint="eastAsia" w:ascii="Times New Roman" w:cs="Times New Roman"/>
                      <w:color w:val="auto"/>
                      <w:sz w:val="21"/>
                      <w:szCs w:val="21"/>
                      <w:highlight w:val="none"/>
                      <w:lang w:eastAsia="zh-CN"/>
                    </w:rPr>
                    <w:t>居民</w:t>
                  </w:r>
                </w:p>
              </w:tc>
              <w:tc>
                <w:tcPr>
                  <w:tcW w:w="750" w:type="dxa"/>
                  <w:vAlign w:val="center"/>
                </w:tcPr>
                <w:p>
                  <w:pPr>
                    <w:pStyle w:val="32"/>
                    <w:spacing w:line="240" w:lineRule="auto"/>
                    <w:ind w:firstLine="0"/>
                    <w:jc w:val="center"/>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约34户，108人</w:t>
                  </w:r>
                </w:p>
              </w:tc>
              <w:tc>
                <w:tcPr>
                  <w:tcW w:w="2026" w:type="dxa"/>
                  <w:vMerge w:val="continue"/>
                  <w:vAlign w:val="center"/>
                </w:tcPr>
                <w:p>
                  <w:pPr>
                    <w:pStyle w:val="32"/>
                    <w:spacing w:line="240" w:lineRule="auto"/>
                    <w:ind w:firstLine="0"/>
                    <w:jc w:val="center"/>
                    <w:rPr>
                      <w:rFonts w:ascii="Times New Roman"/>
                      <w:color w:val="auto"/>
                      <w:sz w:val="21"/>
                      <w:szCs w:val="21"/>
                    </w:rPr>
                  </w:pPr>
                </w:p>
              </w:tc>
              <w:tc>
                <w:tcPr>
                  <w:tcW w:w="659"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S</w:t>
                  </w:r>
                </w:p>
              </w:tc>
              <w:tc>
                <w:tcPr>
                  <w:tcW w:w="814"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Merge w:val="continue"/>
                  <w:vAlign w:val="center"/>
                </w:tcPr>
                <w:p>
                  <w:pPr>
                    <w:pStyle w:val="32"/>
                    <w:spacing w:line="240" w:lineRule="auto"/>
                    <w:ind w:firstLine="0"/>
                    <w:jc w:val="center"/>
                    <w:rPr>
                      <w:rFonts w:hint="default" w:ascii="Times New Roman" w:hAnsi="Times New Roman" w:cs="Times New Roman"/>
                      <w:color w:val="auto"/>
                      <w:sz w:val="21"/>
                      <w:szCs w:val="21"/>
                    </w:rPr>
                  </w:pPr>
                </w:p>
              </w:tc>
              <w:tc>
                <w:tcPr>
                  <w:tcW w:w="897" w:type="dxa"/>
                  <w:vAlign w:val="center"/>
                </w:tcPr>
                <w:p>
                  <w:pPr>
                    <w:pStyle w:val="32"/>
                    <w:spacing w:line="240" w:lineRule="auto"/>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 w:val="0"/>
                      <w:bCs w:val="0"/>
                      <w:snapToGrid w:val="0"/>
                      <w:color w:val="auto"/>
                      <w:kern w:val="0"/>
                      <w:sz w:val="21"/>
                      <w:lang w:eastAsia="zh-CN"/>
                    </w:rPr>
                    <w:t>夏家圩</w:t>
                  </w:r>
                </w:p>
              </w:tc>
              <w:tc>
                <w:tcPr>
                  <w:tcW w:w="1214" w:type="dxa"/>
                  <w:vAlign w:val="center"/>
                </w:tcPr>
                <w:p>
                  <w:pPr>
                    <w:pStyle w:val="32"/>
                    <w:spacing w:line="240" w:lineRule="auto"/>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116.57537</w:t>
                  </w:r>
                  <w:r>
                    <w:rPr>
                      <w:rFonts w:hint="default" w:ascii="Times New Roman" w:hAnsi="Times New Roman" w:cs="Times New Roman"/>
                      <w:color w:val="auto"/>
                      <w:sz w:val="21"/>
                      <w:szCs w:val="21"/>
                      <w:lang w:val="en-US" w:eastAsia="zh-CN"/>
                    </w:rPr>
                    <w:t>9</w:t>
                  </w:r>
                </w:p>
              </w:tc>
              <w:tc>
                <w:tcPr>
                  <w:tcW w:w="1109" w:type="dxa"/>
                  <w:vAlign w:val="center"/>
                </w:tcPr>
                <w:p>
                  <w:pPr>
                    <w:pStyle w:val="32"/>
                    <w:spacing w:line="240" w:lineRule="auto"/>
                    <w:ind w:firstLine="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32.50002</w:t>
                  </w:r>
                  <w:r>
                    <w:rPr>
                      <w:rFonts w:hint="default" w:ascii="Times New Roman" w:hAnsi="Times New Roman" w:cs="Times New Roman"/>
                      <w:color w:val="auto"/>
                      <w:sz w:val="21"/>
                      <w:szCs w:val="21"/>
                      <w:lang w:val="en-US" w:eastAsia="zh-CN"/>
                    </w:rPr>
                    <w:t>8</w:t>
                  </w:r>
                </w:p>
              </w:tc>
              <w:tc>
                <w:tcPr>
                  <w:tcW w:w="508" w:type="dxa"/>
                  <w:vAlign w:val="center"/>
                </w:tcPr>
                <w:p>
                  <w:pPr>
                    <w:pStyle w:val="32"/>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居民</w:t>
                  </w:r>
                </w:p>
              </w:tc>
              <w:tc>
                <w:tcPr>
                  <w:tcW w:w="750" w:type="dxa"/>
                  <w:vAlign w:val="center"/>
                </w:tcPr>
                <w:p>
                  <w:pPr>
                    <w:pStyle w:val="32"/>
                    <w:spacing w:line="240" w:lineRule="auto"/>
                    <w:ind w:firstLine="0"/>
                    <w:jc w:val="center"/>
                    <w:rPr>
                      <w:rFonts w:hint="default" w:ascii="Times New Roman" w:hAnsi="Times New Roman" w:cs="Times New Roman"/>
                      <w:b w:val="0"/>
                      <w:bCs w:val="0"/>
                      <w:color w:val="auto"/>
                      <w:sz w:val="18"/>
                      <w:szCs w:val="18"/>
                    </w:rPr>
                  </w:pPr>
                  <w:r>
                    <w:rPr>
                      <w:rFonts w:hint="default" w:ascii="Times New Roman" w:hAnsi="Times New Roman" w:cs="Times New Roman"/>
                      <w:color w:val="auto"/>
                      <w:sz w:val="21"/>
                      <w:szCs w:val="21"/>
                    </w:rPr>
                    <w:t>约</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户，</w:t>
                  </w: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人</w:t>
                  </w:r>
                </w:p>
              </w:tc>
              <w:tc>
                <w:tcPr>
                  <w:tcW w:w="2026" w:type="dxa"/>
                  <w:vMerge w:val="continue"/>
                  <w:vAlign w:val="center"/>
                </w:tcPr>
                <w:p>
                  <w:pPr>
                    <w:pStyle w:val="32"/>
                    <w:spacing w:line="240" w:lineRule="auto"/>
                    <w:ind w:firstLine="0"/>
                    <w:jc w:val="center"/>
                    <w:rPr>
                      <w:rFonts w:ascii="Times New Roman"/>
                      <w:color w:val="auto"/>
                      <w:sz w:val="21"/>
                      <w:szCs w:val="21"/>
                    </w:rPr>
                  </w:pPr>
                </w:p>
              </w:tc>
              <w:tc>
                <w:tcPr>
                  <w:tcW w:w="659"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WN</w:t>
                  </w:r>
                </w:p>
              </w:tc>
              <w:tc>
                <w:tcPr>
                  <w:tcW w:w="814"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Merge w:val="continue"/>
                  <w:vAlign w:val="center"/>
                </w:tcPr>
                <w:p>
                  <w:pPr>
                    <w:pStyle w:val="32"/>
                    <w:spacing w:line="240" w:lineRule="auto"/>
                    <w:ind w:firstLine="0"/>
                    <w:jc w:val="center"/>
                    <w:rPr>
                      <w:rFonts w:hint="default" w:ascii="Times New Roman" w:hAnsi="Times New Roman" w:cs="Times New Roman"/>
                      <w:color w:val="auto"/>
                      <w:sz w:val="21"/>
                      <w:szCs w:val="21"/>
                    </w:rPr>
                  </w:pPr>
                </w:p>
              </w:tc>
              <w:tc>
                <w:tcPr>
                  <w:tcW w:w="897" w:type="dxa"/>
                  <w:vAlign w:val="center"/>
                </w:tcPr>
                <w:p>
                  <w:pPr>
                    <w:pStyle w:val="32"/>
                    <w:spacing w:line="240" w:lineRule="auto"/>
                    <w:ind w:firstLine="0"/>
                    <w:jc w:val="center"/>
                    <w:rPr>
                      <w:rFonts w:hint="default" w:ascii="Times New Roman" w:hAnsi="Times New Roman" w:cs="Times New Roman"/>
                      <w:b w:val="0"/>
                      <w:bCs w:val="0"/>
                      <w:snapToGrid w:val="0"/>
                      <w:color w:val="auto"/>
                      <w:kern w:val="0"/>
                      <w:sz w:val="21"/>
                      <w:lang w:eastAsia="zh-CN"/>
                    </w:rPr>
                  </w:pPr>
                  <w:r>
                    <w:rPr>
                      <w:rFonts w:hint="default" w:ascii="Times New Roman" w:hAnsi="Times New Roman" w:cs="Times New Roman"/>
                      <w:b w:val="0"/>
                      <w:bCs w:val="0"/>
                      <w:snapToGrid w:val="0"/>
                      <w:color w:val="auto"/>
                      <w:kern w:val="0"/>
                      <w:sz w:val="21"/>
                      <w:lang w:eastAsia="zh-CN"/>
                    </w:rPr>
                    <w:t>牛家堆坊</w:t>
                  </w:r>
                </w:p>
              </w:tc>
              <w:tc>
                <w:tcPr>
                  <w:tcW w:w="1214" w:type="dxa"/>
                  <w:vAlign w:val="center"/>
                </w:tcPr>
                <w:p>
                  <w:pPr>
                    <w:pStyle w:val="32"/>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116.583071</w:t>
                  </w:r>
                </w:p>
              </w:tc>
              <w:tc>
                <w:tcPr>
                  <w:tcW w:w="1109" w:type="dxa"/>
                  <w:vAlign w:val="center"/>
                </w:tcPr>
                <w:p>
                  <w:pPr>
                    <w:pStyle w:val="32"/>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32.494096</w:t>
                  </w:r>
                </w:p>
              </w:tc>
              <w:tc>
                <w:tcPr>
                  <w:tcW w:w="508" w:type="dxa"/>
                  <w:vAlign w:val="center"/>
                </w:tcPr>
                <w:p>
                  <w:pPr>
                    <w:pStyle w:val="32"/>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居民</w:t>
                  </w:r>
                </w:p>
              </w:tc>
              <w:tc>
                <w:tcPr>
                  <w:tcW w:w="750" w:type="dxa"/>
                  <w:vAlign w:val="center"/>
                </w:tcPr>
                <w:p>
                  <w:pPr>
                    <w:pStyle w:val="32"/>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户，</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人</w:t>
                  </w:r>
                </w:p>
              </w:tc>
              <w:tc>
                <w:tcPr>
                  <w:tcW w:w="2026" w:type="dxa"/>
                  <w:vMerge w:val="continue"/>
                  <w:vAlign w:val="center"/>
                </w:tcPr>
                <w:p>
                  <w:pPr>
                    <w:pStyle w:val="32"/>
                    <w:spacing w:line="240" w:lineRule="auto"/>
                    <w:ind w:firstLine="0"/>
                    <w:jc w:val="center"/>
                    <w:rPr>
                      <w:rFonts w:ascii="Times New Roman"/>
                      <w:color w:val="auto"/>
                      <w:sz w:val="21"/>
                      <w:szCs w:val="21"/>
                    </w:rPr>
                  </w:pPr>
                </w:p>
              </w:tc>
              <w:tc>
                <w:tcPr>
                  <w:tcW w:w="659"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ES</w:t>
                  </w:r>
                </w:p>
              </w:tc>
              <w:tc>
                <w:tcPr>
                  <w:tcW w:w="814"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Merge w:val="continue"/>
                  <w:vAlign w:val="center"/>
                </w:tcPr>
                <w:p>
                  <w:pPr>
                    <w:pStyle w:val="32"/>
                    <w:spacing w:line="240" w:lineRule="auto"/>
                    <w:ind w:firstLine="0"/>
                    <w:jc w:val="center"/>
                    <w:rPr>
                      <w:rFonts w:hint="default" w:ascii="Times New Roman" w:hAnsi="Times New Roman" w:cs="Times New Roman"/>
                      <w:color w:val="auto"/>
                      <w:sz w:val="21"/>
                      <w:szCs w:val="21"/>
                    </w:rPr>
                  </w:pPr>
                </w:p>
              </w:tc>
              <w:tc>
                <w:tcPr>
                  <w:tcW w:w="897" w:type="dxa"/>
                  <w:vAlign w:val="center"/>
                </w:tcPr>
                <w:p>
                  <w:pPr>
                    <w:pStyle w:val="32"/>
                    <w:spacing w:line="240" w:lineRule="auto"/>
                    <w:ind w:firstLine="0"/>
                    <w:jc w:val="center"/>
                    <w:rPr>
                      <w:rFonts w:hint="default" w:ascii="Times New Roman" w:hAnsi="Times New Roman" w:cs="Times New Roman"/>
                      <w:b w:val="0"/>
                      <w:bCs w:val="0"/>
                      <w:snapToGrid w:val="0"/>
                      <w:color w:val="auto"/>
                      <w:kern w:val="0"/>
                      <w:sz w:val="21"/>
                      <w:lang w:eastAsia="zh-CN"/>
                    </w:rPr>
                  </w:pPr>
                  <w:r>
                    <w:rPr>
                      <w:rFonts w:hint="default" w:ascii="Times New Roman" w:hAnsi="Times New Roman" w:cs="Times New Roman"/>
                      <w:b w:val="0"/>
                      <w:bCs w:val="0"/>
                      <w:snapToGrid w:val="0"/>
                      <w:color w:val="auto"/>
                      <w:kern w:val="0"/>
                      <w:sz w:val="21"/>
                      <w:lang w:eastAsia="zh-CN"/>
                    </w:rPr>
                    <w:t>临叶路居民点</w:t>
                  </w:r>
                </w:p>
              </w:tc>
              <w:tc>
                <w:tcPr>
                  <w:tcW w:w="1214" w:type="dxa"/>
                  <w:vAlign w:val="center"/>
                </w:tcPr>
                <w:p>
                  <w:pPr>
                    <w:pStyle w:val="32"/>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116.579517</w:t>
                  </w:r>
                </w:p>
              </w:tc>
              <w:tc>
                <w:tcPr>
                  <w:tcW w:w="1109" w:type="dxa"/>
                  <w:vAlign w:val="center"/>
                </w:tcPr>
                <w:p>
                  <w:pPr>
                    <w:pStyle w:val="32"/>
                    <w:spacing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32.499781</w:t>
                  </w:r>
                </w:p>
              </w:tc>
              <w:tc>
                <w:tcPr>
                  <w:tcW w:w="508" w:type="dxa"/>
                  <w:vAlign w:val="center"/>
                </w:tcPr>
                <w:p>
                  <w:pPr>
                    <w:pStyle w:val="32"/>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居民</w:t>
                  </w:r>
                </w:p>
              </w:tc>
              <w:tc>
                <w:tcPr>
                  <w:tcW w:w="750" w:type="dxa"/>
                  <w:vAlign w:val="center"/>
                </w:tcPr>
                <w:p>
                  <w:pPr>
                    <w:pStyle w:val="32"/>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约</w:t>
                  </w:r>
                  <w:r>
                    <w:rPr>
                      <w:rFonts w:hint="default" w:ascii="Times New Roman" w:hAnsi="Times New Roman" w:cs="Times New Roman"/>
                      <w:color w:val="auto"/>
                      <w:sz w:val="21"/>
                      <w:szCs w:val="21"/>
                      <w:lang w:val="en-US" w:eastAsia="zh-CN"/>
                    </w:rPr>
                    <w:t>22</w:t>
                  </w:r>
                  <w:r>
                    <w:rPr>
                      <w:rFonts w:hint="default" w:ascii="Times New Roman" w:hAnsi="Times New Roman" w:cs="Times New Roman"/>
                      <w:color w:val="auto"/>
                      <w:sz w:val="21"/>
                      <w:szCs w:val="21"/>
                    </w:rPr>
                    <w:t>户，</w:t>
                  </w:r>
                  <w:r>
                    <w:rPr>
                      <w:rFonts w:hint="default"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人</w:t>
                  </w:r>
                </w:p>
              </w:tc>
              <w:tc>
                <w:tcPr>
                  <w:tcW w:w="2026" w:type="dxa"/>
                  <w:vMerge w:val="continue"/>
                  <w:vAlign w:val="center"/>
                </w:tcPr>
                <w:p>
                  <w:pPr>
                    <w:pStyle w:val="32"/>
                    <w:spacing w:line="240" w:lineRule="auto"/>
                    <w:ind w:firstLine="0"/>
                    <w:jc w:val="center"/>
                    <w:rPr>
                      <w:rFonts w:ascii="Times New Roman"/>
                      <w:color w:val="auto"/>
                      <w:sz w:val="21"/>
                      <w:szCs w:val="21"/>
                    </w:rPr>
                  </w:pPr>
                </w:p>
              </w:tc>
              <w:tc>
                <w:tcPr>
                  <w:tcW w:w="659"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EN</w:t>
                  </w:r>
                </w:p>
              </w:tc>
              <w:tc>
                <w:tcPr>
                  <w:tcW w:w="814"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声环境</w:t>
                  </w:r>
                </w:p>
              </w:tc>
              <w:tc>
                <w:tcPr>
                  <w:tcW w:w="4478" w:type="dxa"/>
                  <w:gridSpan w:val="5"/>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50m范围内无声环境保护目标</w:t>
                  </w:r>
                </w:p>
              </w:tc>
              <w:tc>
                <w:tcPr>
                  <w:tcW w:w="2026"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《声环境质量标准》（GB3096-2008）</w:t>
                  </w:r>
                  <w:r>
                    <w:rPr>
                      <w:rFonts w:hint="eastAsia" w:ascii="Times New Roman"/>
                      <w:color w:val="auto"/>
                      <w:sz w:val="21"/>
                      <w:szCs w:val="21"/>
                      <w:lang w:val="en-US" w:eastAsia="zh-CN"/>
                    </w:rPr>
                    <w:t>1</w:t>
                  </w:r>
                  <w:r>
                    <w:rPr>
                      <w:rFonts w:ascii="Times New Roman"/>
                      <w:color w:val="auto"/>
                      <w:sz w:val="21"/>
                      <w:szCs w:val="21"/>
                    </w:rPr>
                    <w:t>类标准。</w:t>
                  </w:r>
                </w:p>
              </w:tc>
              <w:tc>
                <w:tcPr>
                  <w:tcW w:w="659" w:type="dxa"/>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w:t>
                  </w:r>
                </w:p>
              </w:tc>
              <w:tc>
                <w:tcPr>
                  <w:tcW w:w="814" w:type="dxa"/>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地下水 环境</w:t>
                  </w:r>
                </w:p>
              </w:tc>
              <w:tc>
                <w:tcPr>
                  <w:tcW w:w="7977" w:type="dxa"/>
                  <w:gridSpan w:val="8"/>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本项目厂界500米范围内无地下水集中式饮用水水源和热水、矿泉水、温泉等特殊地下水资源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28"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生态环境</w:t>
                  </w:r>
                </w:p>
              </w:tc>
              <w:tc>
                <w:tcPr>
                  <w:tcW w:w="7977" w:type="dxa"/>
                  <w:gridSpan w:val="8"/>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本项目位于</w:t>
                  </w:r>
                  <w:r>
                    <w:rPr>
                      <w:rFonts w:hint="eastAsia" w:ascii="Times New Roman"/>
                      <w:color w:val="auto"/>
                      <w:sz w:val="21"/>
                      <w:szCs w:val="21"/>
                    </w:rPr>
                    <w:t>安徽省淮南市寿县丰庄镇前圩村工业园区</w:t>
                  </w:r>
                  <w:r>
                    <w:rPr>
                      <w:rFonts w:ascii="Times New Roman"/>
                      <w:color w:val="auto"/>
                      <w:sz w:val="21"/>
                      <w:szCs w:val="21"/>
                    </w:rPr>
                    <w:t>，无生态环境保护目标。</w:t>
                  </w:r>
                </w:p>
              </w:tc>
            </w:tr>
          </w:tbl>
          <w:p>
            <w:pPr>
              <w:pStyle w:val="32"/>
              <w:ind w:firstLine="0"/>
              <w:rPr>
                <w:rFonts w:ascii="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425" w:type="dxa"/>
            <w:tcMar>
              <w:left w:w="28" w:type="dxa"/>
              <w:right w:w="28" w:type="dxa"/>
            </w:tcMar>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636" w:type="dxa"/>
            <w:vAlign w:val="top"/>
          </w:tcPr>
          <w:p>
            <w:pPr>
              <w:autoSpaceDE w:val="0"/>
              <w:autoSpaceDN w:val="0"/>
              <w:adjustRightInd w:val="0"/>
              <w:spacing w:line="360" w:lineRule="auto"/>
              <w:ind w:firstLine="482" w:firstLineChars="200"/>
              <w:jc w:val="left"/>
              <w:rPr>
                <w:b/>
                <w:bCs/>
                <w:color w:val="auto"/>
                <w:kern w:val="0"/>
                <w:sz w:val="24"/>
                <w:highlight w:val="none"/>
              </w:rPr>
            </w:pPr>
            <w:r>
              <w:rPr>
                <w:rFonts w:hint="eastAsia"/>
                <w:b/>
                <w:bCs/>
                <w:color w:val="auto"/>
                <w:kern w:val="0"/>
                <w:sz w:val="24"/>
                <w:highlight w:val="none"/>
                <w:lang w:eastAsia="zh-CN"/>
              </w:rPr>
              <w:t>1.</w:t>
            </w:r>
            <w:r>
              <w:rPr>
                <w:b/>
                <w:bCs/>
                <w:color w:val="auto"/>
                <w:kern w:val="0"/>
                <w:sz w:val="24"/>
                <w:highlight w:val="none"/>
              </w:rPr>
              <w:t>水污染物排放标准</w:t>
            </w:r>
          </w:p>
          <w:p>
            <w:pPr>
              <w:spacing w:line="360" w:lineRule="auto"/>
              <w:ind w:firstLine="480" w:firstLineChars="200"/>
              <w:rPr>
                <w:kern w:val="0"/>
                <w:sz w:val="24"/>
              </w:rPr>
            </w:pPr>
            <w:r>
              <w:rPr>
                <w:color w:val="auto"/>
                <w:kern w:val="0"/>
                <w:sz w:val="24"/>
                <w:highlight w:val="none"/>
              </w:rPr>
              <w:t>本项目主要废水为生活污水，</w:t>
            </w:r>
            <w:r>
              <w:rPr>
                <w:rFonts w:hint="eastAsia"/>
                <w:color w:val="auto"/>
                <w:kern w:val="0"/>
                <w:sz w:val="24"/>
                <w:highlight w:val="none"/>
              </w:rPr>
              <w:t>经化粪池预处理后定期由吸污车转运至丰庄镇新村街污水处理站处理。</w:t>
            </w:r>
            <w:r>
              <w:rPr>
                <w:rFonts w:hint="eastAsia"/>
                <w:color w:val="auto"/>
                <w:kern w:val="0"/>
                <w:sz w:val="24"/>
                <w:highlight w:val="none"/>
                <w:lang w:eastAsia="zh-CN"/>
              </w:rPr>
              <w:t>养护废水、进出车辆冲洗废水、设备冲洗废水经沉淀后回用。</w:t>
            </w:r>
            <w:r>
              <w:rPr>
                <w:rFonts w:hint="eastAsia"/>
                <w:color w:val="auto"/>
                <w:kern w:val="0"/>
                <w:sz w:val="24"/>
                <w:highlight w:val="none"/>
              </w:rPr>
              <w:t>新村街污水处理站</w:t>
            </w:r>
            <w:r>
              <w:rPr>
                <w:rFonts w:hint="eastAsia"/>
                <w:color w:val="auto"/>
                <w:kern w:val="0"/>
                <w:sz w:val="24"/>
                <w:highlight w:val="none"/>
                <w:lang w:eastAsia="zh-CN"/>
              </w:rPr>
              <w:t>接管标准</w:t>
            </w:r>
            <w:r>
              <w:rPr>
                <w:kern w:val="0"/>
                <w:sz w:val="24"/>
              </w:rPr>
              <w:t>具体数值见下表。</w:t>
            </w:r>
          </w:p>
          <w:p>
            <w:pPr>
              <w:ind w:firstLine="422" w:firstLineChars="200"/>
              <w:jc w:val="center"/>
              <w:rPr>
                <w:b/>
                <w:bCs/>
                <w:kern w:val="0"/>
                <w:szCs w:val="21"/>
              </w:rPr>
            </w:pPr>
            <w:r>
              <w:rPr>
                <w:b/>
                <w:bCs/>
                <w:kern w:val="0"/>
                <w:szCs w:val="21"/>
              </w:rPr>
              <w:t>表3-</w:t>
            </w:r>
            <w:r>
              <w:rPr>
                <w:rFonts w:hint="eastAsia"/>
                <w:b/>
                <w:bCs/>
                <w:kern w:val="0"/>
                <w:szCs w:val="21"/>
                <w:lang w:val="en-US" w:eastAsia="zh-CN"/>
              </w:rPr>
              <w:t>4</w:t>
            </w:r>
            <w:r>
              <w:rPr>
                <w:b/>
                <w:bCs/>
                <w:kern w:val="0"/>
                <w:szCs w:val="21"/>
              </w:rPr>
              <w:t xml:space="preserve"> 项目废水排放标准</w:t>
            </w:r>
          </w:p>
          <w:tbl>
            <w:tblPr>
              <w:tblStyle w:val="24"/>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1148"/>
              <w:gridCol w:w="1114"/>
              <w:gridCol w:w="1208"/>
              <w:gridCol w:w="1139"/>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2757" w:type="dxa"/>
                  <w:vAlign w:val="center"/>
                </w:tcPr>
                <w:p>
                  <w:pPr>
                    <w:spacing w:line="260" w:lineRule="exact"/>
                    <w:jc w:val="center"/>
                    <w:rPr>
                      <w:szCs w:val="21"/>
                    </w:rPr>
                  </w:pPr>
                  <w:r>
                    <w:rPr>
                      <w:szCs w:val="21"/>
                    </w:rPr>
                    <w:t>污染物名称</w:t>
                  </w:r>
                </w:p>
              </w:tc>
              <w:tc>
                <w:tcPr>
                  <w:tcW w:w="1148" w:type="dxa"/>
                  <w:vAlign w:val="center"/>
                </w:tcPr>
                <w:p>
                  <w:pPr>
                    <w:spacing w:line="260" w:lineRule="exact"/>
                    <w:jc w:val="center"/>
                    <w:rPr>
                      <w:szCs w:val="21"/>
                    </w:rPr>
                  </w:pPr>
                  <w:r>
                    <w:rPr>
                      <w:szCs w:val="21"/>
                    </w:rPr>
                    <w:t>pH</w:t>
                  </w:r>
                </w:p>
              </w:tc>
              <w:tc>
                <w:tcPr>
                  <w:tcW w:w="1114" w:type="dxa"/>
                  <w:vAlign w:val="center"/>
                </w:tcPr>
                <w:p>
                  <w:pPr>
                    <w:spacing w:line="260" w:lineRule="exact"/>
                    <w:jc w:val="center"/>
                    <w:rPr>
                      <w:szCs w:val="21"/>
                    </w:rPr>
                  </w:pPr>
                  <w:r>
                    <w:rPr>
                      <w:szCs w:val="21"/>
                    </w:rPr>
                    <w:t>COD</w:t>
                  </w:r>
                </w:p>
              </w:tc>
              <w:tc>
                <w:tcPr>
                  <w:tcW w:w="1208" w:type="dxa"/>
                  <w:vAlign w:val="center"/>
                </w:tcPr>
                <w:p>
                  <w:pPr>
                    <w:spacing w:line="260" w:lineRule="exact"/>
                    <w:jc w:val="center"/>
                    <w:rPr>
                      <w:szCs w:val="21"/>
                    </w:rPr>
                  </w:pPr>
                  <w:r>
                    <w:rPr>
                      <w:szCs w:val="21"/>
                    </w:rPr>
                    <w:t>BOD</w:t>
                  </w:r>
                  <w:r>
                    <w:rPr>
                      <w:szCs w:val="21"/>
                      <w:vertAlign w:val="subscript"/>
                    </w:rPr>
                    <w:t>5</w:t>
                  </w:r>
                </w:p>
              </w:tc>
              <w:tc>
                <w:tcPr>
                  <w:tcW w:w="1139" w:type="dxa"/>
                  <w:vAlign w:val="center"/>
                </w:tcPr>
                <w:p>
                  <w:pPr>
                    <w:spacing w:line="260" w:lineRule="exact"/>
                    <w:jc w:val="center"/>
                    <w:rPr>
                      <w:szCs w:val="21"/>
                    </w:rPr>
                  </w:pPr>
                  <w:r>
                    <w:rPr>
                      <w:szCs w:val="21"/>
                    </w:rPr>
                    <w:t>NH</w:t>
                  </w:r>
                  <w:r>
                    <w:rPr>
                      <w:szCs w:val="21"/>
                      <w:vertAlign w:val="subscript"/>
                    </w:rPr>
                    <w:t>3</w:t>
                  </w:r>
                  <w:r>
                    <w:rPr>
                      <w:szCs w:val="21"/>
                    </w:rPr>
                    <w:t>-N</w:t>
                  </w:r>
                </w:p>
              </w:tc>
              <w:tc>
                <w:tcPr>
                  <w:tcW w:w="960" w:type="dxa"/>
                  <w:vAlign w:val="center"/>
                </w:tcPr>
                <w:p>
                  <w:pPr>
                    <w:spacing w:line="260" w:lineRule="exact"/>
                    <w:jc w:val="center"/>
                    <w:rPr>
                      <w:szCs w:val="21"/>
                    </w:rPr>
                  </w:pPr>
                  <w:r>
                    <w:rPr>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2757" w:type="dxa"/>
                  <w:vAlign w:val="center"/>
                </w:tcPr>
                <w:p>
                  <w:pPr>
                    <w:spacing w:line="260" w:lineRule="exact"/>
                    <w:jc w:val="center"/>
                    <w:rPr>
                      <w:kern w:val="0"/>
                      <w:szCs w:val="21"/>
                    </w:rPr>
                  </w:pPr>
                  <w:r>
                    <w:rPr>
                      <w:rFonts w:hint="eastAsia"/>
                      <w:kern w:val="0"/>
                      <w:szCs w:val="21"/>
                    </w:rPr>
                    <w:t>新村街污水处理站接管标准</w:t>
                  </w:r>
                </w:p>
              </w:tc>
              <w:tc>
                <w:tcPr>
                  <w:tcW w:w="1148" w:type="dxa"/>
                  <w:vAlign w:val="center"/>
                </w:tcPr>
                <w:p>
                  <w:pPr>
                    <w:spacing w:line="260" w:lineRule="exact"/>
                    <w:jc w:val="center"/>
                    <w:rPr>
                      <w:rFonts w:hint="default" w:eastAsia="宋体"/>
                      <w:szCs w:val="21"/>
                      <w:lang w:val="en-US" w:eastAsia="zh-CN"/>
                    </w:rPr>
                  </w:pPr>
                  <w:r>
                    <w:rPr>
                      <w:rFonts w:hint="eastAsia"/>
                      <w:szCs w:val="21"/>
                      <w:lang w:val="en-US" w:eastAsia="zh-CN"/>
                    </w:rPr>
                    <w:t>6~9</w:t>
                  </w:r>
                </w:p>
              </w:tc>
              <w:tc>
                <w:tcPr>
                  <w:tcW w:w="1114" w:type="dxa"/>
                  <w:vAlign w:val="center"/>
                </w:tcPr>
                <w:p>
                  <w:pPr>
                    <w:spacing w:line="260" w:lineRule="exact"/>
                    <w:jc w:val="center"/>
                    <w:rPr>
                      <w:rFonts w:hint="default" w:eastAsia="宋体"/>
                      <w:szCs w:val="21"/>
                      <w:lang w:val="en-US" w:eastAsia="zh-CN"/>
                    </w:rPr>
                  </w:pPr>
                  <w:r>
                    <w:rPr>
                      <w:rFonts w:hint="eastAsia"/>
                      <w:szCs w:val="21"/>
                      <w:lang w:val="en-US" w:eastAsia="zh-CN"/>
                    </w:rPr>
                    <w:t>350</w:t>
                  </w:r>
                </w:p>
              </w:tc>
              <w:tc>
                <w:tcPr>
                  <w:tcW w:w="1208" w:type="dxa"/>
                  <w:vAlign w:val="center"/>
                </w:tcPr>
                <w:p>
                  <w:pPr>
                    <w:spacing w:line="260" w:lineRule="exact"/>
                    <w:jc w:val="center"/>
                    <w:rPr>
                      <w:rFonts w:hint="default" w:eastAsia="宋体"/>
                      <w:szCs w:val="21"/>
                      <w:lang w:val="en-US" w:eastAsia="zh-CN"/>
                    </w:rPr>
                  </w:pPr>
                  <w:r>
                    <w:rPr>
                      <w:rFonts w:hint="eastAsia"/>
                      <w:szCs w:val="21"/>
                      <w:lang w:val="en-US" w:eastAsia="zh-CN"/>
                    </w:rPr>
                    <w:t>200</w:t>
                  </w:r>
                </w:p>
              </w:tc>
              <w:tc>
                <w:tcPr>
                  <w:tcW w:w="1139" w:type="dxa"/>
                  <w:vAlign w:val="center"/>
                </w:tcPr>
                <w:p>
                  <w:pPr>
                    <w:spacing w:line="260" w:lineRule="exact"/>
                    <w:jc w:val="center"/>
                    <w:rPr>
                      <w:rFonts w:hint="default" w:eastAsia="宋体"/>
                      <w:szCs w:val="21"/>
                      <w:lang w:val="en-US" w:eastAsia="zh-CN"/>
                    </w:rPr>
                  </w:pPr>
                  <w:r>
                    <w:rPr>
                      <w:rFonts w:hint="eastAsia"/>
                      <w:szCs w:val="21"/>
                      <w:lang w:val="en-US" w:eastAsia="zh-CN"/>
                    </w:rPr>
                    <w:t>35</w:t>
                  </w:r>
                </w:p>
              </w:tc>
              <w:tc>
                <w:tcPr>
                  <w:tcW w:w="960" w:type="dxa"/>
                  <w:vAlign w:val="center"/>
                </w:tcPr>
                <w:p>
                  <w:pPr>
                    <w:spacing w:line="260" w:lineRule="exact"/>
                    <w:jc w:val="center"/>
                    <w:rPr>
                      <w:rFonts w:hint="default" w:eastAsia="宋体"/>
                      <w:szCs w:val="21"/>
                      <w:lang w:val="en-US" w:eastAsia="zh-CN"/>
                    </w:rPr>
                  </w:pPr>
                  <w:r>
                    <w:rPr>
                      <w:rFonts w:hint="eastAsia"/>
                      <w:szCs w:val="21"/>
                      <w:lang w:val="en-US" w:eastAsia="zh-CN"/>
                    </w:rPr>
                    <w:t>150</w:t>
                  </w:r>
                </w:p>
              </w:tc>
            </w:tr>
          </w:tbl>
          <w:p>
            <w:pPr>
              <w:spacing w:line="360" w:lineRule="auto"/>
              <w:ind w:firstLine="480" w:firstLineChars="200"/>
              <w:rPr>
                <w:rFonts w:hint="eastAsia"/>
                <w:color w:val="auto"/>
                <w:kern w:val="0"/>
                <w:sz w:val="24"/>
                <w:highlight w:val="yellow"/>
                <w:lang w:eastAsia="zh-CN"/>
              </w:rPr>
            </w:pPr>
          </w:p>
          <w:p>
            <w:pPr>
              <w:spacing w:line="360" w:lineRule="auto"/>
              <w:ind w:firstLine="482" w:firstLineChars="200"/>
              <w:rPr>
                <w:b/>
                <w:bCs/>
                <w:color w:val="auto"/>
                <w:sz w:val="24"/>
              </w:rPr>
            </w:pPr>
            <w:r>
              <w:rPr>
                <w:rFonts w:hint="eastAsia"/>
                <w:b/>
                <w:bCs/>
                <w:color w:val="auto"/>
                <w:sz w:val="24"/>
                <w:lang w:eastAsia="zh-CN"/>
              </w:rPr>
              <w:t>2.</w:t>
            </w:r>
            <w:r>
              <w:rPr>
                <w:b/>
                <w:bCs/>
                <w:color w:val="auto"/>
                <w:sz w:val="24"/>
              </w:rPr>
              <w:t>大气污染物排放标准</w:t>
            </w:r>
          </w:p>
          <w:p>
            <w:pPr>
              <w:autoSpaceDE w:val="0"/>
              <w:autoSpaceDN w:val="0"/>
              <w:adjustRightInd w:val="0"/>
              <w:spacing w:line="360" w:lineRule="auto"/>
              <w:ind w:firstLine="480" w:firstLineChars="200"/>
              <w:jc w:val="left"/>
              <w:rPr>
                <w:color w:val="auto"/>
                <w:sz w:val="24"/>
              </w:rPr>
            </w:pPr>
            <w:r>
              <w:rPr>
                <w:rFonts w:hint="default" w:ascii="Times New Roman" w:hAnsi="Times New Roman" w:cs="Times New Roman"/>
                <w:color w:val="auto"/>
                <w:sz w:val="24"/>
              </w:rPr>
              <w:t>本项目施工期产生的粉尘（颗粒物）排放执行安徽省《施工场地颗粒物排放标准》（DB34/4811-2024）表1中颗粒物浓度排</w:t>
            </w:r>
            <w:r>
              <w:rPr>
                <w:rFonts w:hint="eastAsia" w:ascii="宋体" w:hAnsi="宋体" w:cs="宋体"/>
                <w:color w:val="auto"/>
                <w:sz w:val="24"/>
              </w:rPr>
              <w:t>放限值。</w:t>
            </w:r>
            <w:r>
              <w:rPr>
                <w:rFonts w:ascii="宋体" w:hAnsi="宋体" w:cs="宋体"/>
                <w:color w:val="auto"/>
                <w:sz w:val="24"/>
              </w:rPr>
              <w:t>运营期粉尘排放执行安徽省《水泥工业大</w:t>
            </w:r>
            <w:r>
              <w:rPr>
                <w:color w:val="auto"/>
                <w:sz w:val="24"/>
              </w:rPr>
              <w:t>气污染物排放标准》（DB34/3576-2020）中相关标准及其无组织排放限值</w:t>
            </w:r>
            <w:r>
              <w:rPr>
                <w:rFonts w:hint="eastAsia"/>
                <w:color w:val="auto"/>
                <w:sz w:val="24"/>
                <w:lang w:eastAsia="zh-CN"/>
              </w:rPr>
              <w:t>，</w:t>
            </w:r>
            <w:r>
              <w:rPr>
                <w:color w:val="auto"/>
                <w:sz w:val="24"/>
              </w:rPr>
              <w:t>具体数值见下表：</w:t>
            </w:r>
          </w:p>
          <w:p>
            <w:pPr>
              <w:autoSpaceDE w:val="0"/>
              <w:autoSpaceDN w:val="0"/>
              <w:adjustRightInd w:val="0"/>
              <w:jc w:val="center"/>
              <w:rPr>
                <w:rFonts w:hint="eastAsia"/>
                <w:b/>
                <w:color w:val="auto"/>
                <w:kern w:val="0"/>
                <w:szCs w:val="21"/>
              </w:rPr>
            </w:pPr>
            <w:r>
              <w:rPr>
                <w:b/>
                <w:color w:val="auto"/>
                <w:kern w:val="0"/>
                <w:szCs w:val="21"/>
              </w:rPr>
              <w:t>表3-</w:t>
            </w:r>
            <w:r>
              <w:rPr>
                <w:rFonts w:hint="eastAsia"/>
                <w:b/>
                <w:color w:val="auto"/>
                <w:kern w:val="0"/>
                <w:szCs w:val="21"/>
                <w:lang w:val="en-US" w:eastAsia="zh-CN"/>
              </w:rPr>
              <w:t>6</w:t>
            </w:r>
            <w:r>
              <w:rPr>
                <w:b/>
                <w:color w:val="auto"/>
                <w:kern w:val="0"/>
                <w:szCs w:val="21"/>
              </w:rPr>
              <w:t xml:space="preserve"> </w:t>
            </w:r>
            <w:r>
              <w:rPr>
                <w:rFonts w:hint="eastAsia"/>
                <w:b/>
                <w:color w:val="auto"/>
                <w:kern w:val="0"/>
                <w:szCs w:val="21"/>
              </w:rPr>
              <w:t>《施工场地颗粒物排放标准》（DB34/4811-2024）</w:t>
            </w:r>
          </w:p>
          <w:tbl>
            <w:tblPr>
              <w:tblStyle w:val="24"/>
              <w:tblpPr w:leftFromText="181" w:rightFromText="181" w:vertAnchor="text" w:horzAnchor="margin" w:tblpX="1" w:tblpY="1"/>
              <w:tblOverlap w:val="never"/>
              <w:tblW w:w="8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095"/>
              <w:gridCol w:w="1913"/>
              <w:gridCol w:w="2086"/>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1206" w:type="dxa"/>
                  <w:vAlign w:val="center"/>
                </w:tcPr>
                <w:p>
                  <w:pPr>
                    <w:adjustRightInd w:val="0"/>
                    <w:snapToGrid w:val="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cs="Times New Roman"/>
                      <w:b/>
                      <w:bCs/>
                      <w:color w:val="auto"/>
                      <w:kern w:val="0"/>
                      <w:sz w:val="21"/>
                      <w:szCs w:val="21"/>
                      <w:lang w:eastAsia="zh-CN"/>
                    </w:rPr>
                    <w:t>控制项目</w:t>
                  </w:r>
                </w:p>
              </w:tc>
              <w:tc>
                <w:tcPr>
                  <w:tcW w:w="1095" w:type="dxa"/>
                  <w:vAlign w:val="center"/>
                </w:tcPr>
                <w:p>
                  <w:pPr>
                    <w:adjustRightInd w:val="0"/>
                    <w:snapToGrid w:val="0"/>
                    <w:jc w:val="center"/>
                    <w:rPr>
                      <w:rFonts w:hint="default"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lang w:eastAsia="zh-CN"/>
                    </w:rPr>
                    <w:t>单位</w:t>
                  </w:r>
                </w:p>
              </w:tc>
              <w:tc>
                <w:tcPr>
                  <w:tcW w:w="1913" w:type="dxa"/>
                  <w:vAlign w:val="center"/>
                </w:tcPr>
                <w:p>
                  <w:pPr>
                    <w:adjustRightInd w:val="0"/>
                    <w:snapToGrid w:val="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cs="Times New Roman"/>
                      <w:b/>
                      <w:bCs/>
                      <w:color w:val="auto"/>
                      <w:kern w:val="0"/>
                      <w:sz w:val="21"/>
                      <w:szCs w:val="21"/>
                      <w:lang w:eastAsia="zh-CN"/>
                    </w:rPr>
                    <w:t>监测点浓度限值</w:t>
                  </w:r>
                </w:p>
              </w:tc>
              <w:tc>
                <w:tcPr>
                  <w:tcW w:w="2086" w:type="dxa"/>
                  <w:vAlign w:val="center"/>
                </w:tcPr>
                <w:p>
                  <w:pPr>
                    <w:adjustRightInd w:val="0"/>
                    <w:snapToGrid w:val="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cs="Times New Roman"/>
                      <w:b/>
                      <w:bCs/>
                      <w:color w:val="auto"/>
                      <w:kern w:val="0"/>
                      <w:sz w:val="21"/>
                      <w:szCs w:val="21"/>
                      <w:lang w:eastAsia="zh-CN"/>
                    </w:rPr>
                    <w:t>达标判定依据</w:t>
                  </w:r>
                </w:p>
              </w:tc>
              <w:tc>
                <w:tcPr>
                  <w:tcW w:w="2107" w:type="dxa"/>
                  <w:vAlign w:val="center"/>
                </w:tcPr>
                <w:p>
                  <w:pPr>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1206" w:type="dxa"/>
                  <w:vMerge w:val="restart"/>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TSP</w:t>
                  </w:r>
                </w:p>
              </w:tc>
              <w:tc>
                <w:tcPr>
                  <w:tcW w:w="1095" w:type="dxa"/>
                  <w:vMerge w:val="restart"/>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μg/m</w:t>
                  </w:r>
                  <w:r>
                    <w:rPr>
                      <w:rFonts w:hint="default" w:ascii="Times New Roman" w:hAnsi="Times New Roman" w:cs="Times New Roman"/>
                      <w:color w:val="auto"/>
                      <w:kern w:val="0"/>
                      <w:sz w:val="21"/>
                      <w:szCs w:val="21"/>
                      <w:vertAlign w:val="superscript"/>
                    </w:rPr>
                    <w:t>3</w:t>
                  </w:r>
                </w:p>
              </w:tc>
              <w:tc>
                <w:tcPr>
                  <w:tcW w:w="1913" w:type="dxa"/>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1000</w:t>
                  </w:r>
                </w:p>
              </w:tc>
              <w:tc>
                <w:tcPr>
                  <w:tcW w:w="2086" w:type="dxa"/>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eastAsia="zh-CN"/>
                    </w:rPr>
                    <w:t>超标次数≤</w:t>
                  </w:r>
                  <w:r>
                    <w:rPr>
                      <w:rFonts w:hint="eastAsia" w:ascii="Times New Roman" w:hAnsi="Times New Roman" w:cs="Times New Roman"/>
                      <w:color w:val="auto"/>
                      <w:kern w:val="0"/>
                      <w:sz w:val="21"/>
                      <w:szCs w:val="21"/>
                      <w:lang w:val="en-US" w:eastAsia="zh-CN"/>
                    </w:rPr>
                    <w:t>1次/日</w:t>
                  </w:r>
                </w:p>
              </w:tc>
              <w:tc>
                <w:tcPr>
                  <w:tcW w:w="2107" w:type="dxa"/>
                  <w:vMerge w:val="restart"/>
                  <w:vAlign w:val="center"/>
                </w:tcPr>
                <w:p>
                  <w:pPr>
                    <w:adjustRightInd w:val="0"/>
                    <w:snapToGrid w:val="0"/>
                    <w:jc w:val="center"/>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DB34/4811-2024）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1206" w:type="dxa"/>
                  <w:vMerge w:val="continue"/>
                  <w:vAlign w:val="center"/>
                </w:tcPr>
                <w:p>
                  <w:pPr>
                    <w:adjustRightInd w:val="0"/>
                    <w:snapToGrid w:val="0"/>
                    <w:jc w:val="center"/>
                    <w:rPr>
                      <w:color w:val="auto"/>
                    </w:rPr>
                  </w:pPr>
                </w:p>
              </w:tc>
              <w:tc>
                <w:tcPr>
                  <w:tcW w:w="1095" w:type="dxa"/>
                  <w:vMerge w:val="continue"/>
                  <w:vAlign w:val="center"/>
                </w:tcPr>
                <w:p>
                  <w:pPr>
                    <w:adjustRightInd w:val="0"/>
                    <w:snapToGrid w:val="0"/>
                    <w:jc w:val="center"/>
                    <w:rPr>
                      <w:color w:val="auto"/>
                    </w:rPr>
                  </w:pPr>
                </w:p>
              </w:tc>
              <w:tc>
                <w:tcPr>
                  <w:tcW w:w="1913" w:type="dxa"/>
                  <w:vAlign w:val="center"/>
                </w:tcPr>
                <w:p>
                  <w:pPr>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500</w:t>
                  </w:r>
                </w:p>
              </w:tc>
              <w:tc>
                <w:tcPr>
                  <w:tcW w:w="2086" w:type="dxa"/>
                  <w:vAlign w:val="center"/>
                </w:tcPr>
                <w:p>
                  <w:pPr>
                    <w:adjustRightInd w:val="0"/>
                    <w:snapToGrid w:val="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超标次数≤</w:t>
                  </w:r>
                  <w:r>
                    <w:rPr>
                      <w:rFonts w:hint="eastAsia" w:ascii="Times New Roman" w:hAnsi="Times New Roman" w:cs="Times New Roman"/>
                      <w:color w:val="auto"/>
                      <w:kern w:val="0"/>
                      <w:sz w:val="21"/>
                      <w:szCs w:val="21"/>
                      <w:lang w:val="en-US" w:eastAsia="zh-CN"/>
                    </w:rPr>
                    <w:t>6次/日</w:t>
                  </w:r>
                </w:p>
              </w:tc>
              <w:tc>
                <w:tcPr>
                  <w:tcW w:w="2107" w:type="dxa"/>
                  <w:vMerge w:val="continue"/>
                  <w:vAlign w:val="center"/>
                </w:tcPr>
                <w:p>
                  <w:pPr>
                    <w:adjustRightInd w:val="0"/>
                    <w:snapToGrid w:val="0"/>
                    <w:jc w:val="center"/>
                    <w:rPr>
                      <w:rFonts w:hint="default" w:ascii="Times New Roman" w:hAnsi="Times New Roman" w:cs="Times New Roman"/>
                      <w:color w:val="auto"/>
                      <w:kern w:val="0"/>
                      <w:sz w:val="21"/>
                      <w:szCs w:val="21"/>
                    </w:rPr>
                  </w:pPr>
                </w:p>
              </w:tc>
            </w:tr>
          </w:tbl>
          <w:p>
            <w:pPr>
              <w:autoSpaceDE w:val="0"/>
              <w:autoSpaceDN w:val="0"/>
              <w:adjustRightInd w:val="0"/>
              <w:jc w:val="center"/>
              <w:rPr>
                <w:b/>
                <w:color w:val="auto"/>
                <w:kern w:val="0"/>
                <w:szCs w:val="21"/>
              </w:rPr>
            </w:pPr>
          </w:p>
          <w:p>
            <w:pPr>
              <w:autoSpaceDE w:val="0"/>
              <w:autoSpaceDN w:val="0"/>
              <w:adjustRightInd w:val="0"/>
              <w:jc w:val="center"/>
              <w:rPr>
                <w:b/>
                <w:color w:val="auto"/>
                <w:kern w:val="0"/>
                <w:szCs w:val="21"/>
              </w:rPr>
            </w:pPr>
            <w:r>
              <w:rPr>
                <w:b/>
                <w:color w:val="auto"/>
                <w:kern w:val="0"/>
                <w:szCs w:val="21"/>
              </w:rPr>
              <w:t>表3-</w:t>
            </w:r>
            <w:r>
              <w:rPr>
                <w:rFonts w:hint="eastAsia"/>
                <w:b/>
                <w:color w:val="auto"/>
                <w:kern w:val="0"/>
                <w:szCs w:val="21"/>
                <w:lang w:val="en-US" w:eastAsia="zh-CN"/>
              </w:rPr>
              <w:t>7</w:t>
            </w:r>
            <w:r>
              <w:rPr>
                <w:b/>
                <w:color w:val="auto"/>
                <w:kern w:val="0"/>
                <w:szCs w:val="21"/>
              </w:rPr>
              <w:t xml:space="preserve">  安徽省《水泥工业大气污染物排放标准》（DB34/3576-2020）</w:t>
            </w:r>
          </w:p>
          <w:tbl>
            <w:tblPr>
              <w:tblStyle w:val="24"/>
              <w:tblW w:w="84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5"/>
              <w:gridCol w:w="1887"/>
              <w:gridCol w:w="841"/>
              <w:gridCol w:w="871"/>
              <w:gridCol w:w="1912"/>
              <w:gridCol w:w="16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jc w:val="center"/>
              </w:trPr>
              <w:tc>
                <w:tcPr>
                  <w:tcW w:w="1255" w:type="dxa"/>
                  <w:vMerge w:val="restart"/>
                  <w:vAlign w:val="center"/>
                </w:tcPr>
                <w:p>
                  <w:pPr>
                    <w:spacing w:line="280" w:lineRule="exact"/>
                    <w:jc w:val="center"/>
                    <w:rPr>
                      <w:b/>
                      <w:color w:val="auto"/>
                      <w:szCs w:val="21"/>
                    </w:rPr>
                  </w:pPr>
                  <w:r>
                    <w:rPr>
                      <w:b/>
                      <w:color w:val="auto"/>
                      <w:szCs w:val="21"/>
                    </w:rPr>
                    <w:t>生产过程</w:t>
                  </w:r>
                </w:p>
              </w:tc>
              <w:tc>
                <w:tcPr>
                  <w:tcW w:w="1887" w:type="dxa"/>
                  <w:vMerge w:val="restart"/>
                  <w:vAlign w:val="center"/>
                </w:tcPr>
                <w:p>
                  <w:pPr>
                    <w:spacing w:line="280" w:lineRule="exact"/>
                    <w:jc w:val="center"/>
                    <w:rPr>
                      <w:b/>
                      <w:color w:val="auto"/>
                      <w:szCs w:val="21"/>
                    </w:rPr>
                  </w:pPr>
                  <w:r>
                    <w:rPr>
                      <w:b/>
                      <w:color w:val="auto"/>
                      <w:szCs w:val="21"/>
                    </w:rPr>
                    <w:t>生产设备</w:t>
                  </w:r>
                </w:p>
              </w:tc>
              <w:tc>
                <w:tcPr>
                  <w:tcW w:w="1712" w:type="dxa"/>
                  <w:gridSpan w:val="2"/>
                  <w:vMerge w:val="restart"/>
                  <w:vAlign w:val="center"/>
                </w:tcPr>
                <w:p>
                  <w:pPr>
                    <w:spacing w:line="280" w:lineRule="exact"/>
                    <w:jc w:val="center"/>
                    <w:rPr>
                      <w:b/>
                      <w:color w:val="auto"/>
                      <w:szCs w:val="21"/>
                    </w:rPr>
                  </w:pPr>
                  <w:r>
                    <w:rPr>
                      <w:b/>
                      <w:color w:val="auto"/>
                      <w:szCs w:val="21"/>
                    </w:rPr>
                    <w:t>特别排放限值（mg/m³）</w:t>
                  </w:r>
                </w:p>
              </w:tc>
              <w:tc>
                <w:tcPr>
                  <w:tcW w:w="3553" w:type="dxa"/>
                  <w:gridSpan w:val="2"/>
                  <w:vAlign w:val="center"/>
                </w:tcPr>
                <w:p>
                  <w:pPr>
                    <w:spacing w:line="280" w:lineRule="exact"/>
                    <w:jc w:val="center"/>
                    <w:rPr>
                      <w:b/>
                      <w:color w:val="auto"/>
                      <w:szCs w:val="21"/>
                    </w:rPr>
                  </w:pPr>
                  <w:r>
                    <w:rPr>
                      <w:b/>
                      <w:color w:val="auto"/>
                      <w:szCs w:val="21"/>
                    </w:rPr>
                    <w:t>无组织排放监控浓度限值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jc w:val="center"/>
              </w:trPr>
              <w:tc>
                <w:tcPr>
                  <w:tcW w:w="1255" w:type="dxa"/>
                  <w:vMerge w:val="continue"/>
                  <w:tcBorders>
                    <w:top w:val="nil"/>
                  </w:tcBorders>
                  <w:vAlign w:val="center"/>
                </w:tcPr>
                <w:p>
                  <w:pPr>
                    <w:spacing w:line="280" w:lineRule="exact"/>
                    <w:jc w:val="center"/>
                    <w:rPr>
                      <w:b/>
                      <w:color w:val="auto"/>
                      <w:szCs w:val="21"/>
                    </w:rPr>
                  </w:pPr>
                </w:p>
              </w:tc>
              <w:tc>
                <w:tcPr>
                  <w:tcW w:w="1887" w:type="dxa"/>
                  <w:vMerge w:val="continue"/>
                  <w:tcBorders>
                    <w:top w:val="nil"/>
                  </w:tcBorders>
                  <w:vAlign w:val="center"/>
                </w:tcPr>
                <w:p>
                  <w:pPr>
                    <w:spacing w:line="280" w:lineRule="exact"/>
                    <w:jc w:val="center"/>
                    <w:rPr>
                      <w:b/>
                      <w:color w:val="auto"/>
                      <w:szCs w:val="21"/>
                    </w:rPr>
                  </w:pPr>
                </w:p>
              </w:tc>
              <w:tc>
                <w:tcPr>
                  <w:tcW w:w="1712" w:type="dxa"/>
                  <w:gridSpan w:val="2"/>
                  <w:vMerge w:val="continue"/>
                  <w:tcBorders>
                    <w:top w:val="nil"/>
                  </w:tcBorders>
                  <w:vAlign w:val="center"/>
                </w:tcPr>
                <w:p>
                  <w:pPr>
                    <w:spacing w:line="280" w:lineRule="exact"/>
                    <w:jc w:val="center"/>
                    <w:rPr>
                      <w:b/>
                      <w:color w:val="auto"/>
                      <w:szCs w:val="21"/>
                    </w:rPr>
                  </w:pPr>
                </w:p>
              </w:tc>
              <w:tc>
                <w:tcPr>
                  <w:tcW w:w="1912" w:type="dxa"/>
                  <w:vAlign w:val="center"/>
                </w:tcPr>
                <w:p>
                  <w:pPr>
                    <w:spacing w:line="280" w:lineRule="exact"/>
                    <w:jc w:val="center"/>
                    <w:rPr>
                      <w:b/>
                      <w:color w:val="auto"/>
                      <w:szCs w:val="21"/>
                    </w:rPr>
                  </w:pPr>
                  <w:r>
                    <w:rPr>
                      <w:b/>
                      <w:color w:val="auto"/>
                      <w:szCs w:val="21"/>
                    </w:rPr>
                    <w:t>监控点</w:t>
                  </w:r>
                </w:p>
              </w:tc>
              <w:tc>
                <w:tcPr>
                  <w:tcW w:w="1641" w:type="dxa"/>
                  <w:vAlign w:val="center"/>
                </w:tcPr>
                <w:p>
                  <w:pPr>
                    <w:spacing w:line="280" w:lineRule="exact"/>
                    <w:jc w:val="center"/>
                    <w:rPr>
                      <w:b/>
                      <w:color w:val="auto"/>
                      <w:szCs w:val="21"/>
                    </w:rPr>
                  </w:pPr>
                  <w:r>
                    <w:rPr>
                      <w:b/>
                      <w:color w:val="auto"/>
                      <w:szCs w:val="21"/>
                    </w:rPr>
                    <w:t>浓度（mg/m³）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0" w:hRule="atLeast"/>
                <w:jc w:val="center"/>
              </w:trPr>
              <w:tc>
                <w:tcPr>
                  <w:tcW w:w="1255" w:type="dxa"/>
                  <w:vAlign w:val="center"/>
                </w:tcPr>
                <w:p>
                  <w:pPr>
                    <w:spacing w:line="280" w:lineRule="exact"/>
                    <w:jc w:val="center"/>
                    <w:rPr>
                      <w:bCs/>
                      <w:color w:val="auto"/>
                      <w:szCs w:val="21"/>
                    </w:rPr>
                  </w:pPr>
                  <w:r>
                    <w:rPr>
                      <w:bCs/>
                      <w:color w:val="auto"/>
                      <w:szCs w:val="21"/>
                    </w:rPr>
                    <w:t>散装水泥中转站及水泥制品生产</w:t>
                  </w:r>
                </w:p>
              </w:tc>
              <w:tc>
                <w:tcPr>
                  <w:tcW w:w="1887" w:type="dxa"/>
                  <w:vAlign w:val="center"/>
                </w:tcPr>
                <w:p>
                  <w:pPr>
                    <w:spacing w:line="280" w:lineRule="exact"/>
                    <w:jc w:val="center"/>
                    <w:rPr>
                      <w:bCs/>
                      <w:color w:val="auto"/>
                      <w:szCs w:val="21"/>
                    </w:rPr>
                  </w:pPr>
                  <w:r>
                    <w:rPr>
                      <w:bCs/>
                      <w:color w:val="auto"/>
                      <w:szCs w:val="21"/>
                    </w:rPr>
                    <w:t>水泥仓及其他通风生产设备</w:t>
                  </w:r>
                </w:p>
              </w:tc>
              <w:tc>
                <w:tcPr>
                  <w:tcW w:w="841" w:type="dxa"/>
                  <w:vAlign w:val="center"/>
                </w:tcPr>
                <w:p>
                  <w:pPr>
                    <w:spacing w:line="280" w:lineRule="exact"/>
                    <w:jc w:val="center"/>
                    <w:rPr>
                      <w:bCs/>
                      <w:color w:val="auto"/>
                      <w:szCs w:val="21"/>
                    </w:rPr>
                  </w:pPr>
                  <w:r>
                    <w:rPr>
                      <w:bCs/>
                      <w:color w:val="auto"/>
                      <w:szCs w:val="21"/>
                    </w:rPr>
                    <w:t>颗粒物</w:t>
                  </w:r>
                </w:p>
              </w:tc>
              <w:tc>
                <w:tcPr>
                  <w:tcW w:w="871" w:type="dxa"/>
                  <w:vAlign w:val="center"/>
                </w:tcPr>
                <w:p>
                  <w:pPr>
                    <w:spacing w:line="280" w:lineRule="exact"/>
                    <w:jc w:val="center"/>
                    <w:rPr>
                      <w:bCs/>
                      <w:color w:val="auto"/>
                      <w:szCs w:val="21"/>
                    </w:rPr>
                  </w:pPr>
                  <w:r>
                    <w:rPr>
                      <w:bCs/>
                      <w:color w:val="auto"/>
                      <w:szCs w:val="21"/>
                    </w:rPr>
                    <w:t>10</w:t>
                  </w:r>
                </w:p>
              </w:tc>
              <w:tc>
                <w:tcPr>
                  <w:tcW w:w="1912" w:type="dxa"/>
                  <w:vAlign w:val="center"/>
                </w:tcPr>
                <w:p>
                  <w:pPr>
                    <w:spacing w:line="280" w:lineRule="exact"/>
                    <w:jc w:val="center"/>
                    <w:rPr>
                      <w:bCs/>
                      <w:color w:val="auto"/>
                      <w:szCs w:val="21"/>
                    </w:rPr>
                  </w:pPr>
                  <w:r>
                    <w:rPr>
                      <w:bCs/>
                      <w:color w:val="auto"/>
                      <w:szCs w:val="21"/>
                    </w:rPr>
                    <w:t>厂界外20m处上风向设参照点，下风向设监控点</w:t>
                  </w:r>
                </w:p>
              </w:tc>
              <w:tc>
                <w:tcPr>
                  <w:tcW w:w="1641" w:type="dxa"/>
                  <w:vAlign w:val="center"/>
                </w:tcPr>
                <w:p>
                  <w:pPr>
                    <w:spacing w:line="280" w:lineRule="exact"/>
                    <w:jc w:val="center"/>
                    <w:rPr>
                      <w:bCs/>
                      <w:color w:val="auto"/>
                      <w:szCs w:val="21"/>
                    </w:rPr>
                  </w:pPr>
                  <w:r>
                    <w:rPr>
                      <w:bCs/>
                      <w:color w:val="auto"/>
                      <w:szCs w:val="21"/>
                    </w:rPr>
                    <w:t>0.5</w:t>
                  </w:r>
                </w:p>
              </w:tc>
            </w:tr>
          </w:tbl>
          <w:p>
            <w:pPr>
              <w:autoSpaceDE w:val="0"/>
              <w:autoSpaceDN w:val="0"/>
              <w:adjustRightInd w:val="0"/>
              <w:ind w:firstLine="422" w:firstLineChars="200"/>
              <w:jc w:val="center"/>
              <w:rPr>
                <w:b/>
                <w:color w:val="auto"/>
                <w:kern w:val="0"/>
                <w:szCs w:val="21"/>
              </w:rPr>
            </w:pPr>
          </w:p>
          <w:p>
            <w:pPr>
              <w:spacing w:line="360" w:lineRule="auto"/>
              <w:ind w:firstLine="482" w:firstLineChars="200"/>
              <w:rPr>
                <w:b/>
                <w:bCs/>
                <w:color w:val="auto"/>
                <w:sz w:val="24"/>
              </w:rPr>
            </w:pPr>
            <w:r>
              <w:rPr>
                <w:rFonts w:hint="eastAsia"/>
                <w:b/>
                <w:bCs/>
                <w:color w:val="auto"/>
                <w:sz w:val="24"/>
                <w:lang w:eastAsia="zh-CN"/>
              </w:rPr>
              <w:t>3.</w:t>
            </w:r>
            <w:r>
              <w:rPr>
                <w:b/>
                <w:bCs/>
                <w:color w:val="auto"/>
                <w:sz w:val="24"/>
              </w:rPr>
              <w:t>噪声排放标准</w:t>
            </w:r>
          </w:p>
          <w:p>
            <w:pPr>
              <w:spacing w:line="360" w:lineRule="auto"/>
              <w:ind w:firstLine="480" w:firstLineChars="200"/>
              <w:rPr>
                <w:rFonts w:hint="eastAsia" w:eastAsia="宋体"/>
                <w:color w:val="auto"/>
                <w:sz w:val="24"/>
                <w:lang w:eastAsia="zh-CN"/>
              </w:rPr>
            </w:pPr>
            <w:r>
              <w:rPr>
                <w:rFonts w:hint="eastAsia"/>
                <w:color w:val="auto"/>
                <w:sz w:val="24"/>
              </w:rPr>
              <w:t>施工期噪声执行《建筑施工场界环境噪声排放标准》（GB12523-2011）</w:t>
            </w:r>
            <w:r>
              <w:rPr>
                <w:rFonts w:hint="eastAsia"/>
                <w:color w:val="auto"/>
                <w:sz w:val="24"/>
                <w:lang w:eastAsia="zh-CN"/>
              </w:rPr>
              <w:t>，</w:t>
            </w:r>
            <w:r>
              <w:rPr>
                <w:color w:val="auto"/>
                <w:sz w:val="24"/>
              </w:rPr>
              <w:t>运营期噪声排放执行《工业企业厂界环境噪声排放标准》（GB12348-2008）中</w:t>
            </w:r>
            <w:r>
              <w:rPr>
                <w:rFonts w:hint="eastAsia"/>
                <w:color w:val="auto"/>
                <w:sz w:val="24"/>
                <w:lang w:val="en-US" w:eastAsia="zh-CN"/>
              </w:rPr>
              <w:t>2</w:t>
            </w:r>
            <w:r>
              <w:rPr>
                <w:color w:val="auto"/>
                <w:sz w:val="24"/>
              </w:rPr>
              <w:t>类标准。其标准限值详见下表：</w:t>
            </w:r>
          </w:p>
          <w:p>
            <w:pPr>
              <w:autoSpaceDE w:val="0"/>
              <w:autoSpaceDN w:val="0"/>
              <w:adjustRightInd w:val="0"/>
              <w:jc w:val="center"/>
              <w:rPr>
                <w:b/>
                <w:color w:val="auto"/>
                <w:kern w:val="0"/>
                <w:szCs w:val="21"/>
              </w:rPr>
            </w:pPr>
            <w:r>
              <w:rPr>
                <w:b/>
                <w:color w:val="auto"/>
                <w:kern w:val="0"/>
                <w:szCs w:val="21"/>
              </w:rPr>
              <w:t>表3-</w:t>
            </w:r>
            <w:r>
              <w:rPr>
                <w:rFonts w:hint="eastAsia"/>
                <w:b/>
                <w:color w:val="auto"/>
                <w:kern w:val="0"/>
                <w:szCs w:val="21"/>
                <w:lang w:val="en-US" w:eastAsia="zh-CN"/>
              </w:rPr>
              <w:t>9</w:t>
            </w:r>
            <w:r>
              <w:rPr>
                <w:b/>
                <w:color w:val="auto"/>
                <w:kern w:val="0"/>
                <w:szCs w:val="21"/>
              </w:rPr>
              <w:t xml:space="preserve">  厂界噪声排放限值 单位dB（A）</w:t>
            </w:r>
          </w:p>
          <w:tbl>
            <w:tblPr>
              <w:tblStyle w:val="24"/>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4"/>
              <w:gridCol w:w="1797"/>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vAlign w:val="center"/>
                </w:tcPr>
                <w:p>
                  <w:pPr>
                    <w:pStyle w:val="26"/>
                    <w:ind w:firstLine="0"/>
                    <w:jc w:val="center"/>
                    <w:rPr>
                      <w:rFonts w:ascii="Times New Roman" w:hAnsi="Times New Roman"/>
                      <w:b/>
                      <w:bCs/>
                      <w:color w:val="auto"/>
                      <w:sz w:val="21"/>
                      <w:szCs w:val="21"/>
                    </w:rPr>
                  </w:pPr>
                  <w:r>
                    <w:rPr>
                      <w:rFonts w:ascii="Times New Roman" w:hAnsi="Times New Roman"/>
                      <w:b/>
                      <w:bCs/>
                      <w:color w:val="auto"/>
                      <w:sz w:val="21"/>
                      <w:szCs w:val="21"/>
                    </w:rPr>
                    <w:t>标准</w:t>
                  </w:r>
                </w:p>
              </w:tc>
              <w:tc>
                <w:tcPr>
                  <w:tcW w:w="1797" w:type="dxa"/>
                  <w:vAlign w:val="center"/>
                </w:tcPr>
                <w:p>
                  <w:pPr>
                    <w:pStyle w:val="26"/>
                    <w:ind w:firstLine="0"/>
                    <w:jc w:val="center"/>
                    <w:rPr>
                      <w:rFonts w:ascii="Times New Roman" w:hAnsi="Times New Roman"/>
                      <w:b/>
                      <w:bCs/>
                      <w:color w:val="auto"/>
                      <w:sz w:val="21"/>
                      <w:szCs w:val="21"/>
                    </w:rPr>
                  </w:pPr>
                  <w:r>
                    <w:rPr>
                      <w:rFonts w:ascii="Times New Roman" w:hAnsi="Times New Roman"/>
                      <w:b/>
                      <w:bCs/>
                      <w:color w:val="auto"/>
                      <w:kern w:val="0"/>
                      <w:sz w:val="21"/>
                      <w:szCs w:val="21"/>
                    </w:rPr>
                    <w:t>昼间</w:t>
                  </w:r>
                </w:p>
              </w:tc>
              <w:tc>
                <w:tcPr>
                  <w:tcW w:w="2775" w:type="dxa"/>
                  <w:vAlign w:val="center"/>
                </w:tcPr>
                <w:p>
                  <w:pPr>
                    <w:pStyle w:val="26"/>
                    <w:ind w:firstLine="0"/>
                    <w:jc w:val="center"/>
                    <w:rPr>
                      <w:rFonts w:ascii="Times New Roman" w:hAnsi="Times New Roman"/>
                      <w:b/>
                      <w:bCs/>
                      <w:color w:val="auto"/>
                      <w:sz w:val="21"/>
                      <w:szCs w:val="21"/>
                    </w:rPr>
                  </w:pPr>
                  <w:r>
                    <w:rPr>
                      <w:rFonts w:ascii="Times New Roman" w:hAnsi="Times New Roman"/>
                      <w:b/>
                      <w:bCs/>
                      <w:color w:val="auto"/>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vAlign w:val="center"/>
                </w:tcPr>
                <w:p>
                  <w:pPr>
                    <w:pStyle w:val="26"/>
                    <w:ind w:firstLine="0"/>
                    <w:jc w:val="center"/>
                    <w:rPr>
                      <w:rFonts w:ascii="Times New Roman" w:hAnsi="Times New Roman"/>
                      <w:color w:val="auto"/>
                      <w:sz w:val="21"/>
                      <w:szCs w:val="21"/>
                    </w:rPr>
                  </w:pPr>
                  <w:r>
                    <w:rPr>
                      <w:rFonts w:ascii="Times New Roman" w:hAnsi="Times New Roman"/>
                      <w:color w:val="auto"/>
                      <w:sz w:val="21"/>
                      <w:szCs w:val="21"/>
                    </w:rPr>
                    <w:t>GB12523-2011</w:t>
                  </w:r>
                </w:p>
              </w:tc>
              <w:tc>
                <w:tcPr>
                  <w:tcW w:w="1797" w:type="dxa"/>
                  <w:vAlign w:val="center"/>
                </w:tcPr>
                <w:p>
                  <w:pPr>
                    <w:pStyle w:val="26"/>
                    <w:ind w:firstLine="0"/>
                    <w:jc w:val="center"/>
                    <w:rPr>
                      <w:rFonts w:ascii="Times New Roman" w:hAnsi="Times New Roman"/>
                      <w:color w:val="auto"/>
                      <w:sz w:val="21"/>
                      <w:szCs w:val="21"/>
                    </w:rPr>
                  </w:pPr>
                  <w:r>
                    <w:rPr>
                      <w:rFonts w:ascii="Times New Roman" w:hAnsi="Times New Roman"/>
                      <w:color w:val="auto"/>
                      <w:sz w:val="21"/>
                      <w:szCs w:val="21"/>
                    </w:rPr>
                    <w:t>70</w:t>
                  </w:r>
                </w:p>
              </w:tc>
              <w:tc>
                <w:tcPr>
                  <w:tcW w:w="2775" w:type="dxa"/>
                  <w:vAlign w:val="center"/>
                </w:tcPr>
                <w:p>
                  <w:pPr>
                    <w:pStyle w:val="26"/>
                    <w:ind w:firstLine="0"/>
                    <w:jc w:val="center"/>
                    <w:rPr>
                      <w:rFonts w:ascii="Times New Roman" w:hAnsi="Times New Roman"/>
                      <w:color w:val="auto"/>
                      <w:sz w:val="21"/>
                      <w:szCs w:val="21"/>
                    </w:rPr>
                  </w:pPr>
                  <w:r>
                    <w:rPr>
                      <w:rFonts w:ascii="Times New Roman" w:hAnsi="Times New Roman"/>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vAlign w:val="center"/>
                </w:tcPr>
                <w:p>
                  <w:pPr>
                    <w:pStyle w:val="26"/>
                    <w:ind w:firstLine="0"/>
                    <w:jc w:val="center"/>
                    <w:rPr>
                      <w:rFonts w:ascii="Times New Roman" w:hAnsi="Times New Roman"/>
                      <w:color w:val="auto"/>
                      <w:sz w:val="21"/>
                      <w:szCs w:val="21"/>
                    </w:rPr>
                  </w:pPr>
                  <w:r>
                    <w:rPr>
                      <w:rFonts w:ascii="Times New Roman" w:hAnsi="Times New Roman"/>
                      <w:color w:val="auto"/>
                      <w:kern w:val="0"/>
                      <w:sz w:val="21"/>
                      <w:szCs w:val="21"/>
                    </w:rPr>
                    <w:t>（GB12348-2008）</w:t>
                  </w:r>
                  <w:r>
                    <w:rPr>
                      <w:rFonts w:hint="eastAsia" w:ascii="Times New Roman" w:hAnsi="Times New Roman"/>
                      <w:color w:val="auto"/>
                      <w:kern w:val="0"/>
                      <w:sz w:val="21"/>
                      <w:szCs w:val="21"/>
                      <w:lang w:val="en-US" w:eastAsia="zh-CN"/>
                    </w:rPr>
                    <w:t>2</w:t>
                  </w:r>
                  <w:r>
                    <w:rPr>
                      <w:rFonts w:ascii="Times New Roman" w:hAnsi="Times New Roman"/>
                      <w:color w:val="auto"/>
                      <w:kern w:val="0"/>
                      <w:sz w:val="21"/>
                      <w:szCs w:val="21"/>
                    </w:rPr>
                    <w:t>类功能区排放标准</w:t>
                  </w:r>
                </w:p>
              </w:tc>
              <w:tc>
                <w:tcPr>
                  <w:tcW w:w="1797" w:type="dxa"/>
                  <w:vAlign w:val="center"/>
                </w:tcPr>
                <w:p>
                  <w:pPr>
                    <w:pStyle w:val="26"/>
                    <w:ind w:firstLine="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60</w:t>
                  </w:r>
                </w:p>
              </w:tc>
              <w:tc>
                <w:tcPr>
                  <w:tcW w:w="2775" w:type="dxa"/>
                  <w:vAlign w:val="center"/>
                </w:tcPr>
                <w:p>
                  <w:pPr>
                    <w:pStyle w:val="26"/>
                    <w:ind w:firstLine="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w:t>
                  </w:r>
                </w:p>
              </w:tc>
            </w:tr>
          </w:tbl>
          <w:p>
            <w:pPr>
              <w:autoSpaceDE w:val="0"/>
              <w:autoSpaceDN w:val="0"/>
              <w:adjustRightInd w:val="0"/>
              <w:jc w:val="center"/>
              <w:rPr>
                <w:b/>
                <w:color w:val="auto"/>
                <w:kern w:val="0"/>
                <w:szCs w:val="21"/>
              </w:rPr>
            </w:pPr>
          </w:p>
          <w:p>
            <w:pPr>
              <w:autoSpaceDE w:val="0"/>
              <w:autoSpaceDN w:val="0"/>
              <w:adjustRightInd w:val="0"/>
              <w:jc w:val="center"/>
              <w:rPr>
                <w:b/>
                <w:color w:val="auto"/>
                <w:kern w:val="0"/>
                <w:szCs w:val="21"/>
              </w:rPr>
            </w:pPr>
          </w:p>
          <w:p>
            <w:pPr>
              <w:spacing w:line="360" w:lineRule="auto"/>
              <w:ind w:firstLine="482" w:firstLineChars="200"/>
              <w:textAlignment w:val="baseline"/>
              <w:rPr>
                <w:color w:val="auto"/>
                <w:sz w:val="24"/>
              </w:rPr>
            </w:pPr>
            <w:r>
              <w:rPr>
                <w:rFonts w:hint="eastAsia"/>
                <w:b/>
                <w:bCs/>
                <w:color w:val="auto"/>
                <w:sz w:val="24"/>
                <w:lang w:eastAsia="zh-CN"/>
              </w:rPr>
              <w:t>4.</w:t>
            </w:r>
            <w:r>
              <w:rPr>
                <w:b/>
                <w:bCs/>
                <w:color w:val="auto"/>
                <w:sz w:val="24"/>
              </w:rPr>
              <w:t>固体废物排放标准</w:t>
            </w:r>
          </w:p>
          <w:p>
            <w:pPr>
              <w:spacing w:line="360" w:lineRule="auto"/>
              <w:ind w:firstLine="480" w:firstLineChars="200"/>
              <w:rPr>
                <w:color w:val="auto"/>
                <w:kern w:val="0"/>
                <w:sz w:val="24"/>
              </w:rPr>
            </w:pPr>
            <w:r>
              <w:rPr>
                <w:color w:val="auto"/>
                <w:sz w:val="24"/>
              </w:rPr>
              <w:t>一般工业固体废物贮存执行《一般工业固体废物贮存和填埋污染控制标准》（GB 18599-2020）。危险废物贮存执行《危险废物贮存污染控制标准》 （GB18597-2023）。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25" w:hRule="atLeast"/>
          <w:jc w:val="center"/>
        </w:trPr>
        <w:tc>
          <w:tcPr>
            <w:tcW w:w="425" w:type="dxa"/>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636" w:type="dxa"/>
            <w:vAlign w:val="top"/>
          </w:tcPr>
          <w:p>
            <w:pPr>
              <w:pStyle w:val="26"/>
              <w:numPr>
                <w:ilvl w:val="1"/>
                <w:numId w:val="0"/>
              </w:numPr>
              <w:spacing w:line="360" w:lineRule="auto"/>
              <w:ind w:firstLine="480" w:firstLineChars="200"/>
              <w:rPr>
                <w:rFonts w:hint="eastAsia" w:ascii="Times New Roman" w:hAnsi="Times New Roman"/>
                <w:b w:val="0"/>
                <w:bCs/>
                <w:color w:val="auto"/>
                <w:highlight w:val="none"/>
              </w:rPr>
            </w:pPr>
            <w:r>
              <w:rPr>
                <w:rFonts w:hint="eastAsia" w:ascii="Times New Roman" w:hAnsi="Times New Roman"/>
                <w:b w:val="0"/>
                <w:bCs/>
                <w:color w:val="auto"/>
                <w:highlight w:val="none"/>
              </w:rPr>
              <w:t>根据《国务院关于印发&lt;“十四五”节能减排综合性工作方案&gt;的通知》（国发</w:t>
            </w:r>
            <w:r>
              <w:rPr>
                <w:rFonts w:hint="eastAsia" w:ascii="Times New Roman" w:hAnsi="Times New Roman"/>
                <w:b w:val="0"/>
                <w:bCs/>
                <w:color w:val="auto"/>
                <w:highlight w:val="none"/>
                <w:lang w:eastAsia="zh-CN"/>
              </w:rPr>
              <w:t>〔2021〕</w:t>
            </w:r>
            <w:r>
              <w:rPr>
                <w:rFonts w:hint="eastAsia" w:ascii="Times New Roman" w:hAnsi="Times New Roman"/>
                <w:b w:val="0"/>
                <w:bCs/>
                <w:color w:val="auto"/>
                <w:highlight w:val="none"/>
              </w:rPr>
              <w:t>33 号）、《关于印发大气污染防治行动计划的通知》（国发〔2013〕37 号），目前国家对化学需氧量（COD）、氨氮（NH</w:t>
            </w:r>
            <w:r>
              <w:rPr>
                <w:rFonts w:hint="eastAsia" w:ascii="Times New Roman" w:hAnsi="Times New Roman"/>
                <w:b w:val="0"/>
                <w:bCs/>
                <w:color w:val="auto"/>
                <w:highlight w:val="none"/>
                <w:vertAlign w:val="subscript"/>
              </w:rPr>
              <w:t>3</w:t>
            </w:r>
            <w:r>
              <w:rPr>
                <w:rFonts w:hint="eastAsia" w:ascii="Times New Roman" w:hAnsi="Times New Roman"/>
                <w:b w:val="0"/>
                <w:bCs/>
                <w:color w:val="auto"/>
                <w:highlight w:val="none"/>
              </w:rPr>
              <w:t>-N）、二氧化硫（SO</w:t>
            </w:r>
            <w:r>
              <w:rPr>
                <w:rFonts w:hint="eastAsia" w:ascii="Times New Roman" w:hAnsi="Times New Roman"/>
                <w:b w:val="0"/>
                <w:bCs/>
                <w:color w:val="auto"/>
                <w:highlight w:val="none"/>
                <w:vertAlign w:val="subscript"/>
              </w:rPr>
              <w:t>2</w:t>
            </w:r>
            <w:r>
              <w:rPr>
                <w:rFonts w:hint="eastAsia" w:ascii="Times New Roman" w:hAnsi="Times New Roman"/>
                <w:b w:val="0"/>
                <w:bCs/>
                <w:color w:val="auto"/>
                <w:highlight w:val="none"/>
              </w:rPr>
              <w:t>）、氮氧化物（NOx）、颗粒物、有机废气（VOCs）等主要污染物实行排放总量控制计划管理。</w:t>
            </w:r>
          </w:p>
          <w:p>
            <w:pPr>
              <w:pStyle w:val="26"/>
              <w:numPr>
                <w:ilvl w:val="1"/>
                <w:numId w:val="0"/>
              </w:numPr>
              <w:spacing w:line="360" w:lineRule="auto"/>
              <w:ind w:leftChars="200"/>
              <w:rPr>
                <w:rFonts w:hint="eastAsia" w:ascii="Times New Roman" w:hAnsi="Times New Roman"/>
                <w:b w:val="0"/>
                <w:bCs/>
                <w:color w:val="auto"/>
                <w:highlight w:val="none"/>
              </w:rPr>
            </w:pPr>
            <w:r>
              <w:rPr>
                <w:rFonts w:hint="eastAsia" w:ascii="Times New Roman" w:hAnsi="Times New Roman"/>
                <w:b w:val="0"/>
                <w:bCs/>
                <w:color w:val="auto"/>
                <w:highlight w:val="none"/>
              </w:rPr>
              <w:t>（1）项目废水污染物总量分析如下：</w:t>
            </w:r>
          </w:p>
          <w:p>
            <w:pPr>
              <w:pStyle w:val="26"/>
              <w:numPr>
                <w:ilvl w:val="1"/>
                <w:numId w:val="0"/>
              </w:numPr>
              <w:spacing w:line="360" w:lineRule="auto"/>
              <w:ind w:leftChars="200"/>
              <w:rPr>
                <w:rFonts w:hint="eastAsia" w:ascii="Times New Roman" w:hAnsi="Times New Roman"/>
                <w:b w:val="0"/>
                <w:bCs/>
                <w:color w:val="auto"/>
                <w:highlight w:val="none"/>
              </w:rPr>
            </w:pPr>
            <w:r>
              <w:rPr>
                <w:rFonts w:hint="eastAsia" w:ascii="Times New Roman" w:hAnsi="Times New Roman"/>
                <w:b w:val="0"/>
                <w:bCs/>
                <w:color w:val="auto"/>
                <w:highlight w:val="none"/>
              </w:rPr>
              <w:t>本项目</w:t>
            </w:r>
            <w:r>
              <w:rPr>
                <w:rFonts w:hint="eastAsia" w:ascii="Times New Roman" w:hAnsi="Times New Roman"/>
                <w:b w:val="0"/>
                <w:bCs/>
                <w:color w:val="auto"/>
                <w:highlight w:val="none"/>
                <w:lang w:val="en-US" w:eastAsia="zh-CN"/>
              </w:rPr>
              <w:t>无</w:t>
            </w:r>
            <w:r>
              <w:rPr>
                <w:rFonts w:hint="eastAsia" w:ascii="Times New Roman" w:hAnsi="Times New Roman"/>
                <w:b w:val="0"/>
                <w:bCs/>
                <w:color w:val="auto"/>
                <w:highlight w:val="none"/>
              </w:rPr>
              <w:t>外排废水。</w:t>
            </w:r>
          </w:p>
          <w:p>
            <w:pPr>
              <w:pStyle w:val="26"/>
              <w:numPr>
                <w:ilvl w:val="1"/>
                <w:numId w:val="0"/>
              </w:numPr>
              <w:spacing w:line="360" w:lineRule="auto"/>
              <w:ind w:leftChars="200"/>
              <w:rPr>
                <w:rFonts w:hint="eastAsia" w:ascii="Times New Roman" w:hAnsi="Times New Roman"/>
                <w:b/>
                <w:color w:val="auto"/>
                <w:highlight w:val="none"/>
              </w:rPr>
            </w:pPr>
            <w:r>
              <w:rPr>
                <w:rFonts w:hint="eastAsia" w:ascii="Times New Roman" w:hAnsi="Times New Roman"/>
                <w:b/>
                <w:color w:val="auto"/>
                <w:highlight w:val="none"/>
              </w:rPr>
              <w:t>（2）项目废气污染物总量分析如下：</w:t>
            </w:r>
          </w:p>
          <w:p>
            <w:pPr>
              <w:pStyle w:val="26"/>
              <w:numPr>
                <w:ilvl w:val="1"/>
                <w:numId w:val="0"/>
              </w:numPr>
              <w:spacing w:line="360" w:lineRule="auto"/>
              <w:ind w:firstLine="480" w:firstLineChars="200"/>
              <w:rPr>
                <w:rFonts w:ascii="Times New Roman"/>
                <w:color w:val="auto"/>
              </w:rPr>
            </w:pPr>
            <w:r>
              <w:rPr>
                <w:rFonts w:hint="eastAsia" w:ascii="Times New Roman" w:hAnsi="Times New Roman"/>
                <w:b w:val="0"/>
                <w:bCs/>
                <w:color w:val="auto"/>
                <w:highlight w:val="none"/>
              </w:rPr>
              <w:t>项目废气污染物总量申请有组织排放量。根据源强核算结果，本项目有组织排放的颗粒物为</w:t>
            </w:r>
            <w:r>
              <w:rPr>
                <w:rFonts w:hint="eastAsia" w:ascii="Times New Roman" w:hAnsi="Times New Roman"/>
                <w:b w:val="0"/>
                <w:bCs/>
                <w:color w:val="auto"/>
                <w:highlight w:val="none"/>
                <w:lang w:val="en-US" w:eastAsia="zh-CN"/>
              </w:rPr>
              <w:t>0.07</w:t>
            </w:r>
            <w:r>
              <w:rPr>
                <w:rFonts w:hint="eastAsia" w:ascii="Times New Roman" w:hAnsi="Times New Roman"/>
                <w:b w:val="0"/>
                <w:bCs/>
                <w:color w:val="auto"/>
                <w:highlight w:val="none"/>
              </w:rPr>
              <w:t>t/a。因此需要申请颗粒物为</w:t>
            </w:r>
            <w:r>
              <w:rPr>
                <w:rFonts w:hint="eastAsia" w:ascii="Times New Roman" w:hAnsi="Times New Roman"/>
                <w:b w:val="0"/>
                <w:bCs/>
                <w:color w:val="auto"/>
                <w:highlight w:val="none"/>
                <w:lang w:val="en-US" w:eastAsia="zh-CN"/>
              </w:rPr>
              <w:t>0.07</w:t>
            </w:r>
            <w:r>
              <w:rPr>
                <w:rFonts w:hint="eastAsia" w:ascii="Times New Roman" w:hAnsi="Times New Roman"/>
                <w:b w:val="0"/>
                <w:bCs/>
                <w:color w:val="auto"/>
                <w:highlight w:val="none"/>
              </w:rPr>
              <w:t>t/a。</w:t>
            </w:r>
          </w:p>
        </w:tc>
      </w:tr>
    </w:tbl>
    <w:p>
      <w:pPr>
        <w:pStyle w:val="19"/>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4"/>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7"/>
        <w:gridCol w:w="83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97" w:hRule="atLeast"/>
          <w:jc w:val="center"/>
        </w:trPr>
        <w:tc>
          <w:tcPr>
            <w:tcW w:w="637" w:type="dxa"/>
            <w:tcMar>
              <w:left w:w="28" w:type="dxa"/>
              <w:right w:w="28" w:type="dxa"/>
            </w:tcMar>
            <w:vAlign w:val="center"/>
          </w:tcPr>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pPr>
              <w:pStyle w:val="1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pPr>
              <w:pStyle w:val="19"/>
              <w:adjustRightInd w:val="0"/>
              <w:snapToGrid w:val="0"/>
              <w:spacing w:before="0" w:beforeAutospacing="0" w:after="0" w:afterAutospacing="0"/>
              <w:jc w:val="center"/>
              <w:rPr>
                <w:rFonts w:ascii="Times New Roman" w:hAnsi="Times New Roman"/>
                <w:bCs/>
                <w:color w:val="auto"/>
                <w:kern w:val="2"/>
                <w:sz w:val="21"/>
                <w:szCs w:val="21"/>
                <w:highlight w:val="yellow"/>
              </w:rPr>
            </w:pPr>
            <w:r>
              <w:rPr>
                <w:rFonts w:ascii="Times New Roman" w:hAnsi="Times New Roman"/>
                <w:color w:val="auto"/>
                <w:kern w:val="2"/>
                <w:sz w:val="21"/>
                <w:szCs w:val="21"/>
              </w:rPr>
              <w:t>施</w:t>
            </w:r>
          </w:p>
        </w:tc>
        <w:tc>
          <w:tcPr>
            <w:tcW w:w="8344" w:type="dxa"/>
            <w:vAlign w:val="top"/>
          </w:tcPr>
          <w:p>
            <w:pPr>
              <w:pStyle w:val="46"/>
              <w:numPr>
                <w:ilvl w:val="0"/>
                <w:numId w:val="5"/>
              </w:numPr>
              <w:spacing w:before="34" w:line="360" w:lineRule="auto"/>
              <w:ind w:left="102" w:firstLine="480" w:firstLineChars="200"/>
              <w:rPr>
                <w:rFonts w:hint="eastAsia" w:ascii="Times New Roman" w:eastAsia="Times New Roman"/>
                <w:b/>
                <w:color w:val="auto"/>
                <w:sz w:val="24"/>
              </w:rPr>
            </w:pPr>
            <w:r>
              <w:rPr>
                <w:rFonts w:hint="eastAsia" w:ascii="Times New Roman" w:eastAsia="Times New Roman"/>
                <w:b/>
                <w:color w:val="auto"/>
                <w:sz w:val="24"/>
              </w:rPr>
              <w:t>施工废气</w:t>
            </w:r>
          </w:p>
          <w:p>
            <w:pPr>
              <w:pStyle w:val="46"/>
              <w:spacing w:before="34" w:line="360" w:lineRule="auto"/>
              <w:ind w:firstLine="480" w:firstLineChars="200"/>
              <w:rPr>
                <w:rFonts w:hint="eastAsia" w:ascii="Times New Roman" w:eastAsia="Times New Roman"/>
                <w:bCs/>
                <w:color w:val="auto"/>
                <w:sz w:val="24"/>
              </w:rPr>
            </w:pPr>
            <w:r>
              <w:rPr>
                <w:rFonts w:hint="eastAsia" w:ascii="Times New Roman" w:eastAsia="Times New Roman"/>
                <w:bCs/>
                <w:color w:val="auto"/>
                <w:sz w:val="24"/>
              </w:rPr>
              <w:t>施工期间对大气环境的影响主要表现为施工扬尘和装修过程中的有机气体污染。扬尘主要来源于：施工物料的堆放、装卸过</w:t>
            </w:r>
            <w:r>
              <w:rPr>
                <w:rFonts w:hint="eastAsia" w:ascii="Times New Roman" w:eastAsia="宋体"/>
                <w:bCs/>
                <w:color w:val="auto"/>
                <w:sz w:val="24"/>
                <w:lang w:eastAsia="zh-CN"/>
              </w:rPr>
              <w:t>程中</w:t>
            </w:r>
            <w:r>
              <w:rPr>
                <w:rFonts w:hint="eastAsia" w:ascii="Times New Roman" w:eastAsia="Times New Roman"/>
                <w:bCs/>
                <w:color w:val="auto"/>
                <w:sz w:val="24"/>
              </w:rPr>
              <w:t>产生的扬尘；建筑物料的运输造成的道路扬尘；清除固废和清理工作面引起的扬尘。有机废气污染主要来源于装修期的涂料废气。对于施工废气，建设单位应采取以下措施：</w:t>
            </w:r>
          </w:p>
          <w:p>
            <w:pPr>
              <w:pStyle w:val="46"/>
              <w:spacing w:before="34" w:line="360" w:lineRule="auto"/>
              <w:ind w:firstLine="480" w:firstLineChars="200"/>
              <w:rPr>
                <w:rFonts w:hint="eastAsia" w:ascii="Times New Roman" w:eastAsia="Times New Roman"/>
                <w:bCs/>
                <w:color w:val="auto"/>
                <w:sz w:val="24"/>
              </w:rPr>
            </w:pPr>
            <w:r>
              <w:rPr>
                <w:rFonts w:hint="eastAsia" w:ascii="Times New Roman" w:eastAsia="Times New Roman"/>
                <w:bCs/>
                <w:color w:val="auto"/>
                <w:sz w:val="24"/>
              </w:rPr>
              <w:t>①加强施工现场管理，施工现场采取围挡措施；</w:t>
            </w:r>
          </w:p>
          <w:p>
            <w:pPr>
              <w:pStyle w:val="46"/>
              <w:spacing w:before="34" w:line="360" w:lineRule="auto"/>
              <w:ind w:firstLine="480" w:firstLineChars="200"/>
              <w:rPr>
                <w:rFonts w:hint="eastAsia" w:ascii="Times New Roman" w:eastAsia="Times New Roman"/>
                <w:bCs/>
                <w:color w:val="auto"/>
                <w:sz w:val="24"/>
              </w:rPr>
            </w:pPr>
            <w:r>
              <w:rPr>
                <w:rFonts w:hint="eastAsia" w:ascii="Times New Roman" w:eastAsia="Times New Roman"/>
                <w:bCs/>
                <w:color w:val="auto"/>
                <w:sz w:val="24"/>
              </w:rPr>
              <w:t>②施工现场出入口道路实施混凝土硬化并配备车辆冲洗设施，包括冲洗平台、冲洗设备、排水沟、沉淀池等，冲洗设施宜设立循环用水装置。对驶出施工现场的机动车辆冲洗干净，方可上路；</w:t>
            </w:r>
          </w:p>
          <w:p>
            <w:pPr>
              <w:pStyle w:val="46"/>
              <w:spacing w:before="34" w:line="360" w:lineRule="auto"/>
              <w:ind w:firstLine="480" w:firstLineChars="200"/>
              <w:rPr>
                <w:rFonts w:hint="eastAsia" w:ascii="Times New Roman" w:eastAsia="Times New Roman"/>
                <w:bCs/>
                <w:color w:val="auto"/>
                <w:sz w:val="24"/>
              </w:rPr>
            </w:pPr>
            <w:r>
              <w:rPr>
                <w:rFonts w:hint="eastAsia" w:ascii="Times New Roman" w:eastAsia="Times New Roman"/>
                <w:bCs/>
                <w:color w:val="auto"/>
                <w:sz w:val="24"/>
              </w:rPr>
              <w:t>③施工现场应配备与工程规模相适应的环境保护和卫生管理人员，每天清扫场区道路、堆场等处浮土、积灰，及定期洒水和喷洒抑制剂，保持场容场貌整洁。施工场地洒水次数应根据天气状况而定，一般每天不少于3次，若遇到大风或干燥天气和夏季高温季节要适当增加洒水次数；</w:t>
            </w:r>
          </w:p>
          <w:p>
            <w:pPr>
              <w:pStyle w:val="46"/>
              <w:spacing w:before="34" w:line="360" w:lineRule="auto"/>
              <w:ind w:firstLine="480" w:firstLineChars="200"/>
              <w:rPr>
                <w:rFonts w:hint="eastAsia" w:ascii="Times New Roman" w:eastAsia="Times New Roman"/>
                <w:bCs/>
                <w:color w:val="auto"/>
                <w:sz w:val="24"/>
              </w:rPr>
            </w:pPr>
            <w:r>
              <w:rPr>
                <w:rFonts w:hint="eastAsia" w:ascii="Times New Roman" w:eastAsia="Times New Roman"/>
                <w:bCs/>
                <w:color w:val="auto"/>
                <w:sz w:val="24"/>
              </w:rPr>
              <w:t>④施工现场土方开挖后尽快完成回填，不能及时回填的场地，采取洒水、覆盖等防尘措施；</w:t>
            </w:r>
          </w:p>
          <w:p>
            <w:pPr>
              <w:pStyle w:val="46"/>
              <w:spacing w:before="34" w:line="360" w:lineRule="auto"/>
              <w:ind w:firstLine="480" w:firstLineChars="200"/>
              <w:rPr>
                <w:rFonts w:hint="eastAsia" w:ascii="Times New Roman" w:eastAsia="Times New Roman"/>
                <w:bCs/>
                <w:color w:val="auto"/>
                <w:sz w:val="24"/>
              </w:rPr>
            </w:pPr>
            <w:r>
              <w:rPr>
                <w:rFonts w:hint="eastAsia" w:ascii="Times New Roman" w:eastAsia="Times New Roman"/>
                <w:bCs/>
                <w:color w:val="auto"/>
                <w:sz w:val="24"/>
              </w:rPr>
              <w:t>⑤在场地内堆放作回填使用的土方应集中堆放，同时，在土方未干化之前，经表面整平压实后，用密目网进行覆盖，并定时洒水维持湿润；</w:t>
            </w:r>
          </w:p>
          <w:p>
            <w:pPr>
              <w:pStyle w:val="46"/>
              <w:spacing w:before="34" w:line="360" w:lineRule="auto"/>
              <w:ind w:firstLine="480" w:firstLineChars="200"/>
              <w:rPr>
                <w:rFonts w:hint="eastAsia" w:ascii="Times New Roman" w:eastAsia="Times New Roman"/>
                <w:bCs/>
                <w:color w:val="auto"/>
                <w:sz w:val="24"/>
              </w:rPr>
            </w:pPr>
            <w:r>
              <w:rPr>
                <w:rFonts w:hint="eastAsia" w:ascii="Times New Roman" w:eastAsia="Times New Roman"/>
                <w:bCs/>
                <w:color w:val="auto"/>
                <w:sz w:val="24"/>
              </w:rPr>
              <w:t>⑥在进行产生大量泥浆的施工作业时，应当设置相应的泥浆池、泥浆沟，确保泥浆不外溢；</w:t>
            </w:r>
          </w:p>
          <w:p>
            <w:pPr>
              <w:pStyle w:val="46"/>
              <w:spacing w:before="34" w:line="360" w:lineRule="auto"/>
              <w:ind w:firstLine="480" w:firstLineChars="200"/>
              <w:rPr>
                <w:rFonts w:hint="eastAsia" w:ascii="Times New Roman"/>
                <w:bCs/>
                <w:color w:val="auto"/>
                <w:sz w:val="24"/>
              </w:rPr>
            </w:pPr>
            <w:r>
              <w:rPr>
                <w:rFonts w:hint="eastAsia" w:ascii="Times New Roman" w:eastAsia="Times New Roman"/>
                <w:bCs/>
                <w:color w:val="auto"/>
                <w:sz w:val="24"/>
              </w:rPr>
              <w:t>⑦室内装修时采用环保水性涂料，减少影响</w:t>
            </w:r>
            <w:r>
              <w:rPr>
                <w:rFonts w:hint="eastAsia" w:ascii="Times New Roman"/>
                <w:bCs/>
                <w:color w:val="auto"/>
                <w:sz w:val="24"/>
              </w:rPr>
              <w:t>。</w:t>
            </w:r>
          </w:p>
          <w:p>
            <w:pPr>
              <w:pStyle w:val="46"/>
              <w:spacing w:before="34" w:line="360" w:lineRule="auto"/>
              <w:ind w:firstLine="482" w:firstLineChars="200"/>
              <w:rPr>
                <w:rFonts w:hint="eastAsia" w:ascii="Times New Roman"/>
                <w:b/>
                <w:color w:val="auto"/>
                <w:sz w:val="24"/>
              </w:rPr>
            </w:pPr>
            <w:r>
              <w:rPr>
                <w:rFonts w:hint="eastAsia" w:ascii="Times New Roman"/>
                <w:b/>
                <w:color w:val="auto"/>
                <w:sz w:val="24"/>
                <w:lang w:eastAsia="zh-CN"/>
              </w:rPr>
              <w:t>2.</w:t>
            </w:r>
            <w:r>
              <w:rPr>
                <w:rFonts w:hint="eastAsia" w:ascii="Times New Roman"/>
                <w:b/>
                <w:color w:val="auto"/>
                <w:sz w:val="24"/>
              </w:rPr>
              <w:t>施工废水</w:t>
            </w:r>
          </w:p>
          <w:p>
            <w:pPr>
              <w:pStyle w:val="46"/>
              <w:spacing w:before="34" w:line="360" w:lineRule="auto"/>
              <w:ind w:firstLine="480" w:firstLineChars="200"/>
              <w:rPr>
                <w:rFonts w:hint="default" w:ascii="Times New Roman" w:hAnsi="Times New Roman" w:eastAsia="宋体" w:cs="Times New Roman"/>
                <w:sz w:val="24"/>
                <w:szCs w:val="24"/>
                <w:highlight w:val="none"/>
                <w:lang w:eastAsia="zh-CN"/>
              </w:rPr>
            </w:pPr>
            <w:r>
              <w:rPr>
                <w:rFonts w:hint="eastAsia" w:ascii="Times New Roman"/>
                <w:bCs/>
                <w:color w:val="auto"/>
                <w:sz w:val="24"/>
              </w:rPr>
              <w:t>施工废水主要为施工人员的生活污水、施工机械车辆冲洗和冲洗砂等产生的冲洗水，废水中主要污染物为 COD、BOD、SS、石油类等。施工人员 50 人/d，生活用水每天按 50L/人计算，则生活用水量为 2.5m</w:t>
            </w:r>
            <w:r>
              <w:rPr>
                <w:rFonts w:hint="eastAsia" w:ascii="Times New Roman"/>
                <w:bCs/>
                <w:color w:val="auto"/>
                <w:sz w:val="24"/>
                <w:vertAlign w:val="superscript"/>
              </w:rPr>
              <w:t>3</w:t>
            </w:r>
            <w:r>
              <w:rPr>
                <w:rFonts w:hint="eastAsia" w:ascii="Times New Roman"/>
                <w:bCs/>
                <w:color w:val="auto"/>
                <w:sz w:val="24"/>
              </w:rPr>
              <w:t>/d，排放量按用水量的 80%计，则生活污水排放量为 2m</w:t>
            </w:r>
            <w:r>
              <w:rPr>
                <w:rFonts w:hint="eastAsia" w:ascii="Times New Roman"/>
                <w:bCs/>
                <w:color w:val="auto"/>
                <w:sz w:val="24"/>
                <w:vertAlign w:val="superscript"/>
              </w:rPr>
              <w:t>3</w:t>
            </w:r>
            <w:r>
              <w:rPr>
                <w:rFonts w:hint="eastAsia" w:ascii="Times New Roman"/>
                <w:bCs/>
                <w:color w:val="auto"/>
                <w:sz w:val="24"/>
              </w:rPr>
              <w:t>/d。生活污水</w:t>
            </w:r>
            <w:r>
              <w:rPr>
                <w:rFonts w:hint="default" w:ascii="Times New Roman" w:hAnsi="Times New Roman" w:cs="Times New Roman"/>
                <w:sz w:val="24"/>
                <w:szCs w:val="24"/>
                <w:highlight w:val="none"/>
              </w:rPr>
              <w:t>经化粪池预处理后定期由吸污车转运至</w:t>
            </w:r>
            <w:r>
              <w:rPr>
                <w:rFonts w:hint="eastAsia" w:ascii="Times New Roman" w:hAnsi="Times New Roman" w:eastAsia="宋体" w:cs="Times New Roman"/>
                <w:sz w:val="24"/>
                <w:szCs w:val="24"/>
                <w:highlight w:val="none"/>
                <w:lang w:eastAsia="zh-CN"/>
              </w:rPr>
              <w:t>丰庄镇新村街污水处理站</w:t>
            </w:r>
            <w:r>
              <w:rPr>
                <w:rFonts w:hint="default" w:ascii="Times New Roman" w:hAnsi="Times New Roman" w:eastAsia="宋体" w:cs="Times New Roman"/>
                <w:sz w:val="24"/>
                <w:szCs w:val="24"/>
                <w:highlight w:val="none"/>
                <w:lang w:eastAsia="zh-CN"/>
              </w:rPr>
              <w:t>处理</w:t>
            </w:r>
            <w:r>
              <w:rPr>
                <w:rFonts w:hint="eastAsia" w:ascii="Times New Roman" w:hAnsi="Times New Roman" w:eastAsia="宋体" w:cs="Times New Roman"/>
                <w:sz w:val="24"/>
                <w:szCs w:val="24"/>
                <w:highlight w:val="none"/>
                <w:lang w:eastAsia="zh-CN"/>
              </w:rPr>
              <w:t>。</w:t>
            </w:r>
          </w:p>
          <w:p>
            <w:pPr>
              <w:pStyle w:val="46"/>
              <w:spacing w:before="34" w:line="360" w:lineRule="auto"/>
              <w:ind w:firstLine="480" w:firstLineChars="200"/>
              <w:rPr>
                <w:rFonts w:hint="eastAsia" w:ascii="Times New Roman"/>
                <w:bCs/>
                <w:color w:val="auto"/>
                <w:sz w:val="24"/>
              </w:rPr>
            </w:pPr>
            <w:r>
              <w:rPr>
                <w:rFonts w:hint="eastAsia" w:ascii="Times New Roman"/>
                <w:bCs/>
                <w:color w:val="auto"/>
                <w:sz w:val="24"/>
              </w:rPr>
              <w:t>施工现场应建造</w:t>
            </w:r>
            <w:r>
              <w:rPr>
                <w:rFonts w:hint="eastAsia" w:ascii="Times New Roman"/>
                <w:bCs/>
                <w:color w:val="auto"/>
                <w:sz w:val="24"/>
                <w:lang w:val="en-US" w:eastAsia="zh-CN"/>
              </w:rPr>
              <w:t>隔油</w:t>
            </w:r>
            <w:r>
              <w:rPr>
                <w:rFonts w:hint="eastAsia" w:ascii="Times New Roman"/>
                <w:bCs/>
                <w:color w:val="auto"/>
                <w:sz w:val="24"/>
              </w:rPr>
              <w:t>沉淀池对含油量大的施工机械冲洗水或悬浮物含量高的其他施工废水需经处理后回用于洒水抑尘；砂浆和石灰浆等废液集中处理，干燥后与固废一起处置，多余施工废水排入沉淀池，沉淀后循环利用。当工程结束时，应清理施工现场、施工驻地等临时工程用地，</w:t>
            </w:r>
            <w:r>
              <w:rPr>
                <w:rFonts w:hint="eastAsia" w:ascii="Times New Roman"/>
                <w:bCs/>
                <w:color w:val="auto"/>
                <w:sz w:val="24"/>
                <w:lang w:eastAsia="zh-CN"/>
              </w:rPr>
              <w:t>防止</w:t>
            </w:r>
            <w:r>
              <w:rPr>
                <w:rFonts w:hint="eastAsia" w:ascii="Times New Roman"/>
                <w:bCs/>
                <w:color w:val="auto"/>
                <w:sz w:val="24"/>
              </w:rPr>
              <w:t>施工废料、垃圾等被雨水冲刷进入水体，造成水污染。本项目施工期采取以上措施后，可大大减少施工期水环境污染影响，并将工程施工作业对区域水环境影响控制在可接受范围内。</w:t>
            </w:r>
          </w:p>
          <w:p>
            <w:pPr>
              <w:pStyle w:val="46"/>
              <w:spacing w:before="34" w:line="360" w:lineRule="auto"/>
              <w:ind w:firstLine="482" w:firstLineChars="200"/>
              <w:rPr>
                <w:rFonts w:ascii="Times New Roman" w:eastAsia="Times New Roman"/>
                <w:b/>
                <w:color w:val="auto"/>
                <w:sz w:val="24"/>
              </w:rPr>
            </w:pPr>
            <w:r>
              <w:rPr>
                <w:rFonts w:hint="eastAsia" w:ascii="Times New Roman"/>
                <w:b/>
                <w:color w:val="auto"/>
                <w:sz w:val="24"/>
                <w:lang w:eastAsia="zh-CN"/>
              </w:rPr>
              <w:t>3.</w:t>
            </w:r>
            <w:r>
              <w:rPr>
                <w:rFonts w:hint="eastAsia" w:ascii="Times New Roman"/>
                <w:b/>
                <w:color w:val="auto"/>
                <w:sz w:val="24"/>
              </w:rPr>
              <w:t>施工噪声</w:t>
            </w:r>
          </w:p>
          <w:p>
            <w:pPr>
              <w:pStyle w:val="46"/>
              <w:spacing w:before="121"/>
              <w:ind w:left="582"/>
              <w:jc w:val="left"/>
              <w:rPr>
                <w:rFonts w:hint="default" w:ascii="Times New Roman" w:hAnsi="Times New Roman" w:cs="Times New Roman"/>
                <w:color w:val="auto"/>
                <w:sz w:val="24"/>
              </w:rPr>
            </w:pPr>
            <w:r>
              <w:rPr>
                <w:rFonts w:hint="default" w:ascii="Times New Roman" w:hAnsi="Times New Roman" w:cs="Times New Roman"/>
                <w:color w:val="auto"/>
                <w:sz w:val="24"/>
              </w:rPr>
              <w:t>①施工期噪声特点</w:t>
            </w:r>
          </w:p>
          <w:p>
            <w:pPr>
              <w:pStyle w:val="46"/>
              <w:spacing w:before="166" w:line="367" w:lineRule="auto"/>
              <w:ind w:left="102" w:right="22" w:firstLine="480"/>
              <w:rPr>
                <w:rFonts w:hint="default" w:ascii="Times New Roman" w:hAnsi="Times New Roman" w:cs="Times New Roman"/>
                <w:color w:val="auto"/>
                <w:sz w:val="24"/>
              </w:rPr>
            </w:pPr>
            <w:r>
              <w:rPr>
                <w:rFonts w:hint="default" w:ascii="Times New Roman" w:hAnsi="Times New Roman" w:cs="Times New Roman"/>
                <w:color w:val="auto"/>
                <w:spacing w:val="4"/>
                <w:sz w:val="24"/>
              </w:rPr>
              <w:t>施</w:t>
            </w:r>
            <w:r>
              <w:rPr>
                <w:rFonts w:hint="default" w:ascii="Times New Roman" w:hAnsi="Times New Roman" w:cs="Times New Roman"/>
                <w:color w:val="auto"/>
                <w:spacing w:val="7"/>
                <w:sz w:val="24"/>
              </w:rPr>
              <w:t>工</w:t>
            </w:r>
            <w:r>
              <w:rPr>
                <w:rFonts w:hint="default" w:ascii="Times New Roman" w:hAnsi="Times New Roman" w:cs="Times New Roman"/>
                <w:color w:val="auto"/>
                <w:spacing w:val="4"/>
                <w:sz w:val="24"/>
              </w:rPr>
              <w:t>期的</w:t>
            </w:r>
            <w:r>
              <w:rPr>
                <w:rFonts w:hint="default" w:ascii="Times New Roman" w:hAnsi="Times New Roman" w:cs="Times New Roman"/>
                <w:color w:val="auto"/>
                <w:spacing w:val="7"/>
                <w:sz w:val="24"/>
              </w:rPr>
              <w:t>噪</w:t>
            </w:r>
            <w:r>
              <w:rPr>
                <w:rFonts w:hint="default" w:ascii="Times New Roman" w:hAnsi="Times New Roman" w:cs="Times New Roman"/>
                <w:color w:val="auto"/>
                <w:spacing w:val="4"/>
                <w:sz w:val="24"/>
              </w:rPr>
              <w:t>声污染</w:t>
            </w:r>
            <w:r>
              <w:rPr>
                <w:rFonts w:hint="default" w:ascii="Times New Roman" w:hAnsi="Times New Roman" w:cs="Times New Roman"/>
                <w:color w:val="auto"/>
                <w:spacing w:val="7"/>
                <w:sz w:val="24"/>
              </w:rPr>
              <w:t>特</w:t>
            </w:r>
            <w:r>
              <w:rPr>
                <w:rFonts w:hint="default" w:ascii="Times New Roman" w:hAnsi="Times New Roman" w:cs="Times New Roman"/>
                <w:color w:val="auto"/>
                <w:spacing w:val="4"/>
                <w:sz w:val="24"/>
              </w:rPr>
              <w:t>点是</w:t>
            </w:r>
            <w:r>
              <w:rPr>
                <w:rFonts w:hint="default" w:ascii="Times New Roman" w:hAnsi="Times New Roman" w:cs="Times New Roman"/>
                <w:color w:val="auto"/>
                <w:spacing w:val="7"/>
                <w:sz w:val="24"/>
              </w:rPr>
              <w:t>随</w:t>
            </w:r>
            <w:r>
              <w:rPr>
                <w:rFonts w:hint="default" w:ascii="Times New Roman" w:hAnsi="Times New Roman" w:cs="Times New Roman"/>
                <w:color w:val="auto"/>
                <w:spacing w:val="4"/>
                <w:sz w:val="24"/>
              </w:rPr>
              <w:t>着施</w:t>
            </w:r>
            <w:r>
              <w:rPr>
                <w:rFonts w:hint="default" w:ascii="Times New Roman" w:hAnsi="Times New Roman" w:cs="Times New Roman"/>
                <w:color w:val="auto"/>
                <w:spacing w:val="7"/>
                <w:sz w:val="24"/>
              </w:rPr>
              <w:t>工</w:t>
            </w:r>
            <w:r>
              <w:rPr>
                <w:rFonts w:hint="default" w:ascii="Times New Roman" w:hAnsi="Times New Roman" w:cs="Times New Roman"/>
                <w:color w:val="auto"/>
                <w:spacing w:val="4"/>
                <w:sz w:val="24"/>
              </w:rPr>
              <w:t>阶段的</w:t>
            </w:r>
            <w:r>
              <w:rPr>
                <w:rFonts w:hint="default" w:ascii="Times New Roman" w:hAnsi="Times New Roman" w:cs="Times New Roman"/>
                <w:color w:val="auto"/>
                <w:spacing w:val="7"/>
                <w:sz w:val="24"/>
              </w:rPr>
              <w:t>不</w:t>
            </w:r>
            <w:r>
              <w:rPr>
                <w:rFonts w:hint="default" w:ascii="Times New Roman" w:hAnsi="Times New Roman" w:cs="Times New Roman"/>
                <w:color w:val="auto"/>
                <w:spacing w:val="4"/>
                <w:sz w:val="24"/>
              </w:rPr>
              <w:t>同，</w:t>
            </w:r>
            <w:r>
              <w:rPr>
                <w:rFonts w:hint="default" w:ascii="Times New Roman" w:hAnsi="Times New Roman" w:cs="Times New Roman"/>
                <w:color w:val="auto"/>
                <w:spacing w:val="7"/>
                <w:sz w:val="24"/>
              </w:rPr>
              <w:t>噪</w:t>
            </w:r>
            <w:r>
              <w:rPr>
                <w:rFonts w:hint="default" w:ascii="Times New Roman" w:hAnsi="Times New Roman" w:cs="Times New Roman"/>
                <w:color w:val="auto"/>
                <w:spacing w:val="4"/>
                <w:sz w:val="24"/>
              </w:rPr>
              <w:t>声源</w:t>
            </w:r>
            <w:r>
              <w:rPr>
                <w:rFonts w:hint="default" w:ascii="Times New Roman" w:hAnsi="Times New Roman" w:cs="Times New Roman"/>
                <w:color w:val="auto"/>
                <w:spacing w:val="7"/>
                <w:sz w:val="24"/>
              </w:rPr>
              <w:t>将</w:t>
            </w:r>
            <w:r>
              <w:rPr>
                <w:rFonts w:hint="default" w:ascii="Times New Roman" w:hAnsi="Times New Roman" w:cs="Times New Roman"/>
                <w:color w:val="auto"/>
                <w:spacing w:val="4"/>
                <w:sz w:val="24"/>
              </w:rPr>
              <w:t>发生</w:t>
            </w:r>
            <w:r>
              <w:rPr>
                <w:rFonts w:hint="default" w:ascii="Times New Roman" w:hAnsi="Times New Roman" w:cs="Times New Roman"/>
                <w:color w:val="auto"/>
                <w:spacing w:val="7"/>
                <w:sz w:val="24"/>
              </w:rPr>
              <w:t>明</w:t>
            </w:r>
            <w:r>
              <w:rPr>
                <w:rFonts w:hint="default" w:ascii="Times New Roman" w:hAnsi="Times New Roman" w:cs="Times New Roman"/>
                <w:color w:val="auto"/>
                <w:spacing w:val="4"/>
                <w:sz w:val="24"/>
              </w:rPr>
              <w:t>显的</w:t>
            </w:r>
            <w:r>
              <w:rPr>
                <w:rFonts w:hint="default" w:ascii="Times New Roman" w:hAnsi="Times New Roman" w:cs="Times New Roman"/>
                <w:color w:val="auto"/>
                <w:sz w:val="24"/>
              </w:rPr>
              <w:t>变化，噪声影响程度也有所不同。高噪声施工机械相对集中于土方期和结构期，施工时间也相对较长</w:t>
            </w:r>
            <w:r>
              <w:rPr>
                <w:rFonts w:hint="default" w:ascii="Times New Roman" w:hAnsi="Times New Roman" w:cs="Times New Roman"/>
                <w:color w:val="auto"/>
                <w:spacing w:val="-24"/>
                <w:sz w:val="24"/>
              </w:rPr>
              <w:t>。</w:t>
            </w:r>
            <w:r>
              <w:rPr>
                <w:rFonts w:hint="default" w:ascii="Times New Roman" w:hAnsi="Times New Roman" w:cs="Times New Roman"/>
                <w:color w:val="auto"/>
                <w:sz w:val="24"/>
              </w:rPr>
              <w:t>施工期声源都在室外</w:t>
            </w:r>
            <w:r>
              <w:rPr>
                <w:rFonts w:hint="default" w:ascii="Times New Roman" w:hAnsi="Times New Roman" w:cs="Times New Roman"/>
                <w:color w:val="auto"/>
                <w:spacing w:val="-27"/>
                <w:sz w:val="24"/>
              </w:rPr>
              <w:t>，</w:t>
            </w:r>
            <w:r>
              <w:rPr>
                <w:rFonts w:hint="default" w:ascii="Times New Roman" w:hAnsi="Times New Roman" w:cs="Times New Roman"/>
                <w:color w:val="auto"/>
                <w:sz w:val="24"/>
              </w:rPr>
              <w:t>影响范围较远</w:t>
            </w:r>
            <w:r>
              <w:rPr>
                <w:rFonts w:hint="default" w:ascii="Times New Roman" w:hAnsi="Times New Roman" w:cs="Times New Roman"/>
                <w:color w:val="auto"/>
                <w:spacing w:val="-24"/>
                <w:sz w:val="24"/>
              </w:rPr>
              <w:t>，</w:t>
            </w:r>
            <w:r>
              <w:rPr>
                <w:rFonts w:hint="default" w:ascii="Times New Roman" w:hAnsi="Times New Roman" w:cs="Times New Roman"/>
                <w:color w:val="auto"/>
                <w:sz w:val="24"/>
              </w:rPr>
              <w:t>装修期大部分声源在室内</w:t>
            </w:r>
            <w:r>
              <w:rPr>
                <w:rFonts w:hint="default" w:ascii="Times New Roman" w:hAnsi="Times New Roman" w:cs="Times New Roman"/>
                <w:color w:val="auto"/>
                <w:spacing w:val="-20"/>
                <w:sz w:val="24"/>
              </w:rPr>
              <w:t>，</w:t>
            </w:r>
            <w:r>
              <w:rPr>
                <w:rFonts w:hint="default" w:ascii="Times New Roman" w:hAnsi="Times New Roman" w:cs="Times New Roman"/>
                <w:color w:val="auto"/>
                <w:sz w:val="24"/>
              </w:rPr>
              <w:t>有墙壁阻隔降噪</w:t>
            </w:r>
            <w:r>
              <w:rPr>
                <w:rFonts w:hint="default" w:ascii="Times New Roman" w:hAnsi="Times New Roman" w:cs="Times New Roman"/>
                <w:color w:val="auto"/>
                <w:spacing w:val="-17"/>
                <w:sz w:val="24"/>
              </w:rPr>
              <w:t>。</w:t>
            </w:r>
            <w:r>
              <w:rPr>
                <w:rFonts w:hint="default" w:ascii="Times New Roman" w:hAnsi="Times New Roman" w:cs="Times New Roman"/>
                <w:color w:val="auto"/>
                <w:sz w:val="24"/>
              </w:rPr>
              <w:t>综合分析</w:t>
            </w:r>
            <w:r>
              <w:rPr>
                <w:rFonts w:hint="default" w:ascii="Times New Roman" w:hAnsi="Times New Roman" w:cs="Times New Roman"/>
                <w:color w:val="auto"/>
                <w:spacing w:val="-20"/>
                <w:sz w:val="24"/>
              </w:rPr>
              <w:t>，</w:t>
            </w:r>
            <w:r>
              <w:rPr>
                <w:rFonts w:hint="default" w:ascii="Times New Roman" w:hAnsi="Times New Roman" w:cs="Times New Roman"/>
                <w:color w:val="auto"/>
                <w:sz w:val="24"/>
              </w:rPr>
              <w:t>施工噪声具有阶段性</w:t>
            </w:r>
            <w:r>
              <w:rPr>
                <w:rFonts w:hint="default" w:ascii="Times New Roman" w:hAnsi="Times New Roman" w:cs="Times New Roman"/>
                <w:color w:val="auto"/>
                <w:spacing w:val="-20"/>
                <w:sz w:val="24"/>
              </w:rPr>
              <w:t>、</w:t>
            </w:r>
            <w:r>
              <w:rPr>
                <w:rFonts w:hint="default" w:ascii="Times New Roman" w:hAnsi="Times New Roman" w:cs="Times New Roman"/>
                <w:color w:val="auto"/>
                <w:sz w:val="24"/>
              </w:rPr>
              <w:t>临时性和不固定性</w:t>
            </w:r>
            <w:r>
              <w:rPr>
                <w:rFonts w:hint="default" w:ascii="Times New Roman" w:hAnsi="Times New Roman" w:cs="Times New Roman"/>
                <w:color w:val="auto"/>
                <w:spacing w:val="-24"/>
                <w:sz w:val="24"/>
              </w:rPr>
              <w:t>，</w:t>
            </w:r>
            <w:r>
              <w:rPr>
                <w:rFonts w:hint="default" w:ascii="Times New Roman" w:hAnsi="Times New Roman" w:cs="Times New Roman"/>
                <w:color w:val="auto"/>
                <w:sz w:val="24"/>
              </w:rPr>
              <w:t>不同的施工设备产生的噪声不同</w:t>
            </w:r>
            <w:r>
              <w:rPr>
                <w:rFonts w:hint="default" w:ascii="Times New Roman" w:hAnsi="Times New Roman" w:cs="Times New Roman"/>
                <w:color w:val="auto"/>
                <w:spacing w:val="-27"/>
                <w:sz w:val="24"/>
              </w:rPr>
              <w:t>，</w:t>
            </w:r>
            <w:r>
              <w:rPr>
                <w:rFonts w:hint="default" w:ascii="Times New Roman" w:hAnsi="Times New Roman" w:cs="Times New Roman"/>
                <w:color w:val="auto"/>
                <w:sz w:val="24"/>
              </w:rPr>
              <w:t>在多台机械设备同时作业时</w:t>
            </w:r>
            <w:r>
              <w:rPr>
                <w:rFonts w:hint="default" w:ascii="Times New Roman" w:hAnsi="Times New Roman" w:cs="Times New Roman"/>
                <w:color w:val="auto"/>
                <w:spacing w:val="-24"/>
                <w:sz w:val="24"/>
              </w:rPr>
              <w:t>，</w:t>
            </w:r>
            <w:r>
              <w:rPr>
                <w:rFonts w:hint="default" w:ascii="Times New Roman" w:hAnsi="Times New Roman" w:cs="Times New Roman"/>
                <w:color w:val="auto"/>
                <w:sz w:val="24"/>
              </w:rPr>
              <w:t>各台设备产生的噪声会产生叠加。</w:t>
            </w:r>
          </w:p>
          <w:p>
            <w:pPr>
              <w:pStyle w:val="46"/>
              <w:spacing w:before="38"/>
              <w:ind w:left="582"/>
              <w:jc w:val="left"/>
              <w:rPr>
                <w:rFonts w:hint="default" w:ascii="Times New Roman" w:hAnsi="Times New Roman" w:cs="Times New Roman"/>
                <w:color w:val="auto"/>
                <w:sz w:val="24"/>
              </w:rPr>
            </w:pPr>
            <w:r>
              <w:rPr>
                <w:rFonts w:hint="default" w:ascii="Times New Roman" w:hAnsi="Times New Roman" w:cs="Times New Roman"/>
                <w:color w:val="auto"/>
                <w:sz w:val="24"/>
              </w:rPr>
              <w:t>②噪声预测模式</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eastAsia" w:ascii="Times New Roman" w:hAnsi="Times New Roman" w:cs="Times New Roman"/>
                <w:snapToGrid w:val="0"/>
                <w:color w:val="auto"/>
                <w:kern w:val="0"/>
                <w:sz w:val="24"/>
                <w:highlight w:val="none"/>
                <w:lang w:val="en-US" w:eastAsia="zh-CN"/>
              </w:rPr>
              <w:t>A</w:t>
            </w:r>
            <w:r>
              <w:rPr>
                <w:rFonts w:hint="default" w:ascii="Times New Roman" w:hAnsi="Times New Roman" w:eastAsia="宋体" w:cs="Times New Roman"/>
                <w:snapToGrid w:val="0"/>
                <w:color w:val="auto"/>
                <w:kern w:val="0"/>
                <w:sz w:val="24"/>
                <w:highlight w:val="none"/>
              </w:rPr>
              <w:t>每个点声源对预测点的噪声贡献值按下式计算：</w:t>
            </w:r>
          </w:p>
          <w:p>
            <w:pPr>
              <w:pageBreakBefore w:val="0"/>
              <w:kinsoku/>
              <w:wordWrap/>
              <w:overflowPunct w:val="0"/>
              <w:bidi w:val="0"/>
              <w:spacing w:line="460" w:lineRule="exact"/>
              <w:jc w:val="center"/>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）-20lg（r/r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式中：L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（r）——距离声源r处的声级，dB；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）——距离声源r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处的声级，dB；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r——预测点与声源之间的距离，m；</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——参考处与声源之间的距离，m，本项目r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取1m。</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eastAsia" w:ascii="Times New Roman" w:hAnsi="Times New Roman" w:cs="Times New Roman"/>
                <w:snapToGrid w:val="0"/>
                <w:color w:val="auto"/>
                <w:kern w:val="0"/>
                <w:sz w:val="24"/>
                <w:highlight w:val="none"/>
                <w:lang w:val="en-US" w:eastAsia="zh-CN"/>
              </w:rPr>
              <w:t>B</w:t>
            </w:r>
            <w:r>
              <w:rPr>
                <w:rFonts w:hint="default" w:ascii="Times New Roman" w:hAnsi="Times New Roman" w:eastAsia="宋体" w:cs="Times New Roman"/>
                <w:snapToGrid w:val="0"/>
                <w:color w:val="auto"/>
                <w:kern w:val="0"/>
                <w:sz w:val="24"/>
                <w:highlight w:val="none"/>
              </w:rPr>
              <w:t>多个声源在预测点处的噪声贡献值叠加采用下式计算：</w:t>
            </w:r>
          </w:p>
          <w:p>
            <w:pPr>
              <w:pageBreakBefore w:val="0"/>
              <w:kinsoku/>
              <w:wordWrap/>
              <w:overflowPunct w:val="0"/>
              <w:bidi w:val="0"/>
              <w:spacing w:line="360" w:lineRule="auto"/>
              <w:jc w:val="center"/>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position w:val="-28"/>
                <w:sz w:val="24"/>
                <w:szCs w:val="21"/>
                <w:highlight w:val="none"/>
              </w:rPr>
              <w:object>
                <v:shape id="_x0000_i1025" o:spt="75" type="#_x0000_t75" style="height:37.5pt;width:144.8pt;" o:ole="t" filled="f" o:preferrelative="t" stroked="f" coordsize="21600,21600">
                  <v:path/>
                  <v:fill on="f" focussize="0,0"/>
                  <v:stroke on="f"/>
                  <v:imagedata r:id="rId18" o:title=""/>
                  <o:lock v:ext="edit" aspectratio="t"/>
                  <w10:wrap type="none"/>
                  <w10:anchorlock/>
                </v:shape>
                <o:OLEObject Type="Embed" ProgID="Equation.3" ShapeID="_x0000_i1025" DrawAspect="Content" ObjectID="_1468075725" r:id="rId17">
                  <o:LockedField>false</o:LockedField>
                </o:OLEObject>
              </w:objec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sz w:val="24"/>
                <w:szCs w:val="21"/>
                <w:highlight w:val="none"/>
              </w:rPr>
              <w:t>式中：Leqg——声源在预测点的等效A声级贡献值，dB；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sz w:val="24"/>
                <w:szCs w:val="21"/>
                <w:highlight w:val="none"/>
              </w:rPr>
              <w:t>n——声源个数；</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kern w:val="0"/>
                <w:sz w:val="24"/>
                <w:szCs w:val="21"/>
                <w:highlight w:val="none"/>
              </w:rPr>
              <w:t>L</w:t>
            </w:r>
            <w:r>
              <w:rPr>
                <w:rFonts w:hint="default" w:ascii="Times New Roman" w:hAnsi="Times New Roman" w:eastAsia="宋体" w:cs="Times New Roman"/>
                <w:snapToGrid w:val="0"/>
                <w:color w:val="auto"/>
                <w:kern w:val="0"/>
                <w:sz w:val="24"/>
                <w:szCs w:val="21"/>
                <w:highlight w:val="none"/>
                <w:vertAlign w:val="subscript"/>
              </w:rPr>
              <w:t>i</w:t>
            </w:r>
            <w:r>
              <w:rPr>
                <w:rFonts w:hint="default" w:ascii="Times New Roman" w:hAnsi="Times New Roman" w:eastAsia="宋体" w:cs="Times New Roman"/>
                <w:snapToGrid w:val="0"/>
                <w:color w:val="auto"/>
                <w:kern w:val="0"/>
                <w:sz w:val="24"/>
                <w:szCs w:val="21"/>
                <w:highlight w:val="none"/>
              </w:rPr>
              <w:t>——各声源对某点的声压级，dB</w:t>
            </w:r>
            <w:r>
              <w:rPr>
                <w:rFonts w:hint="default" w:ascii="Times New Roman" w:hAnsi="Times New Roman" w:eastAsia="宋体" w:cs="Times New Roman"/>
                <w:color w:val="auto"/>
                <w:sz w:val="24"/>
                <w:highlight w:val="none"/>
              </w:rPr>
              <w:t>。</w:t>
            </w:r>
          </w:p>
          <w:p>
            <w:pPr>
              <w:pStyle w:val="46"/>
              <w:spacing w:before="147"/>
              <w:ind w:left="582"/>
              <w:jc w:val="left"/>
              <w:rPr>
                <w:color w:val="auto"/>
                <w:sz w:val="24"/>
              </w:rPr>
            </w:pPr>
            <w:r>
              <w:rPr>
                <w:rFonts w:ascii="Times New Roman" w:eastAsia="Times New Roman"/>
                <w:color w:val="auto"/>
                <w:sz w:val="24"/>
              </w:rPr>
              <w:t>C.</w:t>
            </w:r>
            <w:r>
              <w:rPr>
                <w:color w:val="auto"/>
                <w:sz w:val="24"/>
              </w:rPr>
              <w:t>主要噪声源强</w:t>
            </w:r>
          </w:p>
          <w:p>
            <w:pPr>
              <w:pStyle w:val="46"/>
              <w:tabs>
                <w:tab w:val="left" w:pos="1174"/>
                <w:tab w:val="left" w:pos="3493"/>
              </w:tabs>
              <w:spacing w:before="10"/>
              <w:ind w:left="423"/>
              <w:jc w:val="center"/>
              <w:rPr>
                <w:b/>
                <w:color w:val="auto"/>
              </w:rPr>
            </w:pPr>
            <w:r>
              <w:rPr>
                <w:b/>
                <w:color w:val="auto"/>
              </w:rPr>
              <w:t>表</w:t>
            </w:r>
            <w:r>
              <w:rPr>
                <w:b/>
                <w:color w:val="auto"/>
                <w:spacing w:val="-55"/>
              </w:rPr>
              <w:t xml:space="preserve"> </w:t>
            </w:r>
            <w:r>
              <w:rPr>
                <w:rFonts w:ascii="Times New Roman" w:eastAsia="Times New Roman"/>
                <w:b/>
                <w:color w:val="auto"/>
              </w:rPr>
              <w:t>4-</w:t>
            </w:r>
            <w:r>
              <w:rPr>
                <w:rFonts w:hint="eastAsia" w:ascii="Times New Roman" w:eastAsia="宋体"/>
                <w:b/>
                <w:color w:val="auto"/>
                <w:lang w:val="en-US" w:eastAsia="zh-CN"/>
              </w:rPr>
              <w:t>1</w:t>
            </w:r>
            <w:r>
              <w:rPr>
                <w:rFonts w:ascii="Times New Roman" w:eastAsia="Times New Roman"/>
                <w:b/>
                <w:color w:val="auto"/>
              </w:rPr>
              <w:tab/>
            </w:r>
            <w:r>
              <w:rPr>
                <w:b/>
                <w:color w:val="auto"/>
              </w:rPr>
              <w:t>建筑施工机械噪声声级</w:t>
            </w:r>
            <w:r>
              <w:rPr>
                <w:b/>
                <w:color w:val="auto"/>
              </w:rPr>
              <w:tab/>
            </w:r>
            <w:r>
              <w:rPr>
                <w:b/>
                <w:color w:val="auto"/>
              </w:rPr>
              <w:t>单位：</w:t>
            </w:r>
            <w:r>
              <w:rPr>
                <w:b/>
                <w:color w:val="auto"/>
                <w:spacing w:val="-4"/>
              </w:rPr>
              <w:t xml:space="preserve"> </w:t>
            </w:r>
            <w:r>
              <w:rPr>
                <w:rFonts w:ascii="Times New Roman" w:eastAsia="Times New Roman"/>
                <w:b/>
                <w:color w:val="auto"/>
              </w:rPr>
              <w:t>dB</w:t>
            </w:r>
            <w:r>
              <w:rPr>
                <w:b/>
                <w:color w:val="auto"/>
              </w:rPr>
              <w:t>（</w:t>
            </w:r>
            <w:r>
              <w:rPr>
                <w:rFonts w:ascii="Times New Roman" w:eastAsia="Times New Roman"/>
                <w:b/>
                <w:color w:val="auto"/>
              </w:rPr>
              <w:t>A</w:t>
            </w:r>
            <w:r>
              <w:rPr>
                <w:b/>
                <w:color w:val="auto"/>
              </w:rPr>
              <w:t>）</w:t>
            </w:r>
          </w:p>
          <w:tbl>
            <w:tblPr>
              <w:tblStyle w:val="25"/>
              <w:tblW w:w="80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500"/>
              <w:gridCol w:w="1395"/>
              <w:gridCol w:w="4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施工阶段</w:t>
                  </w:r>
                </w:p>
              </w:tc>
              <w:tc>
                <w:tcPr>
                  <w:tcW w:w="1500"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声源</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声级</w:t>
                  </w:r>
                  <w:r>
                    <w:rPr>
                      <w:rFonts w:hint="eastAsia" w:ascii="Times New Roman" w:hAnsi="Times New Roman" w:cs="Times New Roman"/>
                      <w:b w:val="0"/>
                      <w:bCs/>
                      <w:color w:val="auto"/>
                      <w:sz w:val="21"/>
                      <w:szCs w:val="21"/>
                      <w:vertAlign w:val="baseline"/>
                      <w:lang w:val="en-US" w:eastAsia="zh-CN"/>
                    </w:rPr>
                    <w:t>dB（A）</w:t>
                  </w:r>
                  <w:r>
                    <w:rPr>
                      <w:rFonts w:hint="default"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lang w:val="en-US" w:eastAsia="zh-CN"/>
                    </w:rPr>
                    <w:t>5m</w:t>
                  </w:r>
                  <w:r>
                    <w:rPr>
                      <w:rFonts w:hint="default" w:ascii="Times New Roman" w:hAnsi="Times New Roman" w:cs="Times New Roman"/>
                      <w:b w:val="0"/>
                      <w:bCs/>
                      <w:color w:val="auto"/>
                      <w:sz w:val="21"/>
                      <w:szCs w:val="21"/>
                      <w:vertAlign w:val="baseline"/>
                      <w:lang w:eastAsia="zh-CN"/>
                    </w:rPr>
                    <w:t>）</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restart"/>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地基与基础工程阶段</w:t>
                  </w:r>
                </w:p>
              </w:tc>
              <w:tc>
                <w:tcPr>
                  <w:tcW w:w="1500"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电动挖掘机</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72</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kern w:val="0"/>
                      <w:sz w:val="21"/>
                      <w:szCs w:val="21"/>
                      <w:lang w:eastAsia="zh-CN" w:bidi="ar"/>
                    </w:rPr>
                    <w:t>参考</w:t>
                  </w:r>
                  <w:r>
                    <w:rPr>
                      <w:rFonts w:hint="default" w:ascii="Times New Roman" w:hAnsi="Times New Roman" w:cs="Times New Roman"/>
                      <w:b w:val="0"/>
                      <w:bCs/>
                      <w:color w:val="auto"/>
                      <w:kern w:val="0"/>
                      <w:sz w:val="21"/>
                      <w:szCs w:val="21"/>
                      <w:lang w:eastAsia="zh-CN" w:bidi="ar"/>
                    </w:rPr>
                    <w:t>《低噪声施工设备指导名录（</w:t>
                  </w:r>
                  <w:r>
                    <w:rPr>
                      <w:rFonts w:hint="default" w:ascii="Times New Roman" w:hAnsi="Times New Roman" w:cs="Times New Roman"/>
                      <w:b w:val="0"/>
                      <w:bCs/>
                      <w:color w:val="auto"/>
                      <w:kern w:val="0"/>
                      <w:sz w:val="21"/>
                      <w:szCs w:val="21"/>
                      <w:lang w:val="en-US" w:eastAsia="zh-CN" w:bidi="ar"/>
                    </w:rPr>
                    <w:t>2024年版</w:t>
                  </w:r>
                  <w:r>
                    <w:rPr>
                      <w:rFonts w:hint="default" w:ascii="Times New Roman" w:hAnsi="Times New Roman" w:cs="Times New Roman"/>
                      <w:b w:val="0"/>
                      <w:bCs/>
                      <w:color w:val="auto"/>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05" w:type="dxa"/>
                  <w:vMerge w:val="continue"/>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p>
              </w:tc>
              <w:tc>
                <w:tcPr>
                  <w:tcW w:w="1500"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i w:val="0"/>
                      <w:iCs w:val="0"/>
                      <w:caps w:val="0"/>
                      <w:color w:val="auto"/>
                      <w:spacing w:val="8"/>
                      <w:sz w:val="21"/>
                      <w:szCs w:val="21"/>
                      <w:shd w:val="clear" w:color="auto" w:fill="FFFFFF"/>
                      <w:lang w:eastAsia="zh-CN"/>
                    </w:rPr>
                    <w:t>电夯</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7</w:t>
                  </w:r>
                  <w:r>
                    <w:rPr>
                      <w:rFonts w:hint="eastAsia" w:ascii="Times New Roman" w:hAnsi="Times New Roman" w:cs="Times New Roman"/>
                      <w:b w:val="0"/>
                      <w:bCs/>
                      <w:color w:val="auto"/>
                      <w:sz w:val="21"/>
                      <w:szCs w:val="21"/>
                      <w:vertAlign w:val="baseline"/>
                      <w:lang w:val="en-US" w:eastAsia="zh-CN"/>
                    </w:rPr>
                    <w:t>1</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参考《低噪声施工设备技术要求 第 2 部分：夯实机械》（JG/T 566.2-2023）中附录 A 的实测案例，某型号低噪声电夯（型号：HRB-200E）在 10m 处声压级为 65dB (A)，按点声源噪声衰减公式（ΔL=20lg (r</w:t>
                  </w:r>
                  <w:r>
                    <w:rPr>
                      <w:rFonts w:hint="eastAsia" w:ascii="Times New Roman" w:hAnsi="Times New Roman" w:cs="Times New Roman"/>
                      <w:b w:val="0"/>
                      <w:bCs/>
                      <w:color w:val="auto"/>
                      <w:sz w:val="21"/>
                      <w:szCs w:val="21"/>
                      <w:vertAlign w:val="subscript"/>
                      <w:lang w:val="en-US" w:eastAsia="zh-CN"/>
                    </w:rPr>
                    <w:t>2</w:t>
                  </w:r>
                  <w:r>
                    <w:rPr>
                      <w:rFonts w:hint="default" w:ascii="Times New Roman" w:hAnsi="Times New Roman" w:cs="Times New Roman"/>
                      <w:b w:val="0"/>
                      <w:bCs/>
                      <w:color w:val="auto"/>
                      <w:sz w:val="21"/>
                      <w:szCs w:val="21"/>
                      <w:vertAlign w:val="baseline"/>
                      <w:lang w:val="en-US" w:eastAsia="zh-CN"/>
                    </w:rPr>
                    <w:t>/r</w:t>
                  </w:r>
                  <w:r>
                    <w:rPr>
                      <w:rFonts w:hint="eastAsia" w:ascii="Times New Roman" w:hAnsi="Times New Roman" w:cs="Times New Roman"/>
                      <w:b w:val="0"/>
                      <w:bCs/>
                      <w:color w:val="auto"/>
                      <w:sz w:val="21"/>
                      <w:szCs w:val="21"/>
                      <w:vertAlign w:val="subscript"/>
                      <w:lang w:val="en-US" w:eastAsia="zh-CN"/>
                    </w:rPr>
                    <w:t>1</w:t>
                  </w:r>
                  <w:r>
                    <w:rPr>
                      <w:rFonts w:hint="default" w:ascii="Times New Roman" w:hAnsi="Times New Roman" w:cs="Times New Roman"/>
                      <w:b w:val="0"/>
                      <w:bCs/>
                      <w:color w:val="auto"/>
                      <w:sz w:val="21"/>
                      <w:szCs w:val="21"/>
                      <w:vertAlign w:val="baseline"/>
                      <w:lang w:val="en-US" w:eastAsia="zh-CN"/>
                    </w:rPr>
                    <w:t>)）计算，r</w:t>
                  </w:r>
                  <w:r>
                    <w:rPr>
                      <w:rFonts w:hint="eastAsia" w:ascii="Times New Roman" w:hAnsi="Times New Roman" w:cs="Times New Roman"/>
                      <w:b w:val="0"/>
                      <w:bCs/>
                      <w:color w:val="auto"/>
                      <w:sz w:val="21"/>
                      <w:szCs w:val="21"/>
                      <w:vertAlign w:val="subscript"/>
                      <w:lang w:val="en-US" w:eastAsia="zh-CN"/>
                    </w:rPr>
                    <w:t>1</w:t>
                  </w:r>
                  <w:r>
                    <w:rPr>
                      <w:rFonts w:hint="default" w:ascii="Times New Roman" w:hAnsi="Times New Roman" w:cs="Times New Roman"/>
                      <w:b w:val="0"/>
                      <w:bCs/>
                      <w:color w:val="auto"/>
                      <w:sz w:val="21"/>
                      <w:szCs w:val="21"/>
                      <w:vertAlign w:val="baseline"/>
                      <w:lang w:val="en-US" w:eastAsia="zh-CN"/>
                    </w:rPr>
                    <w:t>=5m、r</w:t>
                  </w:r>
                  <w:r>
                    <w:rPr>
                      <w:rFonts w:hint="eastAsia" w:ascii="Times New Roman" w:hAnsi="Times New Roman" w:cs="Times New Roman"/>
                      <w:b w:val="0"/>
                      <w:bCs/>
                      <w:color w:val="auto"/>
                      <w:sz w:val="21"/>
                      <w:szCs w:val="21"/>
                      <w:vertAlign w:val="subscript"/>
                      <w:lang w:val="en-US" w:eastAsia="zh-CN"/>
                    </w:rPr>
                    <w:t>2</w:t>
                  </w:r>
                  <w:r>
                    <w:rPr>
                      <w:rFonts w:hint="default" w:ascii="Times New Roman" w:hAnsi="Times New Roman" w:cs="Times New Roman"/>
                      <w:b w:val="0"/>
                      <w:bCs/>
                      <w:color w:val="auto"/>
                      <w:sz w:val="21"/>
                      <w:szCs w:val="21"/>
                      <w:vertAlign w:val="baseline"/>
                      <w:lang w:val="en-US" w:eastAsia="zh-CN"/>
                    </w:rPr>
                    <w:t xml:space="preserve">=10m 时，ΔL=6dB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，则 5m 处声压级 = 65+6=71dB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42" w:lineRule="exact"/>
                    <w:ind w:left="0" w:leftChars="0" w:right="0" w:rightChars="0"/>
                    <w:jc w:val="center"/>
                    <w:textAlignment w:val="auto"/>
                    <w:rPr>
                      <w:rFonts w:hint="default" w:ascii="Times New Roman" w:hAnsi="Times New Roman" w:cs="Times New Roman"/>
                      <w:b w:val="0"/>
                      <w:bCs/>
                      <w:color w:val="auto"/>
                      <w:sz w:val="21"/>
                      <w:szCs w:val="21"/>
                      <w:vertAlign w:val="baseline"/>
                    </w:rPr>
                  </w:pPr>
                  <w:r>
                    <w:rPr>
                      <w:rStyle w:val="21"/>
                      <w:rFonts w:hint="default" w:ascii="Times New Roman" w:hAnsi="Times New Roman" w:eastAsia="Segoe UI" w:cs="Times New Roman"/>
                      <w:b w:val="0"/>
                      <w:bCs/>
                      <w:i w:val="0"/>
                      <w:iCs w:val="0"/>
                      <w:caps w:val="0"/>
                      <w:color w:val="auto"/>
                      <w:spacing w:val="8"/>
                      <w:sz w:val="21"/>
                      <w:szCs w:val="21"/>
                      <w:shd w:val="clear" w:color="auto" w:fill="FFFFFF"/>
                      <w:vertAlign w:val="baseline"/>
                    </w:rPr>
                    <w:t>静力压桩机</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55</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 xml:space="preserve">依据《静力压桩机》（JG/T 109-2016）第 5.8 条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设备正常工作时，距机身 5m 处噪声限值≤65dB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，低噪声型号通过 JG/T 109-2016 附录 C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噪声测量方法</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实测，采用液压胶管（符合 GB/T 3683-2011《液压软管总成》）替代刚性弯管后，噪声降低 8dB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，普通静力压桩机 5m 处实测 63dB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，优化后为 55dB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42" w:lineRule="exact"/>
                    <w:ind w:left="0" w:leftChars="0" w:right="0" w:rightChars="0"/>
                    <w:jc w:val="center"/>
                    <w:textAlignment w:val="auto"/>
                    <w:rPr>
                      <w:rFonts w:hint="default" w:ascii="Times New Roman" w:hAnsi="Times New Roman" w:cs="Times New Roman"/>
                      <w:b w:val="0"/>
                      <w:bCs/>
                      <w:color w:val="auto"/>
                      <w:sz w:val="21"/>
                      <w:szCs w:val="21"/>
                      <w:vertAlign w:val="baseline"/>
                    </w:rPr>
                  </w:pPr>
                  <w:r>
                    <w:rPr>
                      <w:rStyle w:val="21"/>
                      <w:rFonts w:hint="default" w:ascii="Times New Roman" w:hAnsi="Times New Roman" w:eastAsia="Segoe UI" w:cs="Times New Roman"/>
                      <w:b w:val="0"/>
                      <w:bCs/>
                      <w:i w:val="0"/>
                      <w:iCs w:val="0"/>
                      <w:caps w:val="0"/>
                      <w:color w:val="auto"/>
                      <w:spacing w:val="8"/>
                      <w:sz w:val="21"/>
                      <w:szCs w:val="21"/>
                      <w:shd w:val="clear" w:color="auto" w:fill="FFFFFF"/>
                      <w:vertAlign w:val="baseline"/>
                    </w:rPr>
                    <w:t>电泵车</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73</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 xml:space="preserve">依据《混凝土泵车》（GB/T 19133-2022）第 6.7 条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设备在额定工况下，距车身 5m 处噪声限值≤78dB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，低噪声型号（配备变频电机，符合 GB/T 18613-2020《中小型三相异步电动机能效限定值及能效等级》中 1 级能效标准）通过 GB/T 19133-2022 附录 D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噪声测量方法</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实测，10m 处声压级为 67dB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，按衰减公式计算 5m 处 = 67+6=73dB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42" w:lineRule="exact"/>
                    <w:ind w:left="0" w:leftChars="0" w:right="0" w:rightChars="0"/>
                    <w:jc w:val="center"/>
                    <w:textAlignment w:val="auto"/>
                    <w:rPr>
                      <w:rFonts w:hint="default" w:ascii="Times New Roman" w:hAnsi="Times New Roman" w:cs="Times New Roman"/>
                      <w:b w:val="0"/>
                      <w:bCs/>
                      <w:color w:val="auto"/>
                      <w:sz w:val="21"/>
                      <w:szCs w:val="21"/>
                      <w:vertAlign w:val="baseline"/>
                    </w:rPr>
                  </w:pPr>
                  <w:r>
                    <w:rPr>
                      <w:rStyle w:val="21"/>
                      <w:rFonts w:hint="default" w:ascii="Times New Roman" w:hAnsi="Times New Roman" w:eastAsia="Segoe UI" w:cs="Times New Roman"/>
                      <w:b w:val="0"/>
                      <w:bCs/>
                      <w:i w:val="0"/>
                      <w:iCs w:val="0"/>
                      <w:caps w:val="0"/>
                      <w:color w:val="auto"/>
                      <w:spacing w:val="8"/>
                      <w:sz w:val="21"/>
                      <w:szCs w:val="21"/>
                      <w:shd w:val="clear" w:color="auto" w:fill="FFFFFF"/>
                      <w:vertAlign w:val="baseline"/>
                    </w:rPr>
                    <w:t>低噪声振捣棒</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65</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 xml:space="preserve">依据《混凝土振动器》（GB/T 8529-2018）第 5.6 条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插入式振捣棒在额定频率下，距棒头 1m 处噪声限值≤82dB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，低噪声型号（采用橡胶减振手柄，符合 GB/T 28079-2011 要求）通过 GB/T 8529-2018 附录 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噪声测量方法</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 实测，5m 处声压级为 65dB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restart"/>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eastAsia="zh-CN"/>
                    </w:rPr>
                  </w:pPr>
                  <w:r>
                    <w:rPr>
                      <w:rFonts w:hint="eastAsia"/>
                      <w:color w:val="auto"/>
                      <w:sz w:val="21"/>
                      <w:szCs w:val="21"/>
                      <w:highlight w:val="none"/>
                      <w:lang w:eastAsia="zh-CN"/>
                    </w:rPr>
                    <w:t>主体结构工程阶段</w:t>
                  </w: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56" w:lineRule="exact"/>
                    <w:ind w:left="0" w:leftChars="0" w:right="0" w:rightChars="0"/>
                    <w:jc w:val="center"/>
                    <w:textAlignment w:val="auto"/>
                    <w:rPr>
                      <w:rFonts w:hint="default" w:ascii="Times New Roman" w:hAnsi="Times New Roman" w:cs="Times New Roman"/>
                      <w:b w:val="0"/>
                      <w:bCs/>
                      <w:color w:val="auto"/>
                      <w:sz w:val="21"/>
                      <w:szCs w:val="21"/>
                      <w:vertAlign w:val="baseline"/>
                    </w:rPr>
                  </w:pPr>
                  <w:r>
                    <w:rPr>
                      <w:rStyle w:val="21"/>
                      <w:rFonts w:hint="default" w:ascii="Times New Roman" w:hAnsi="Times New Roman" w:eastAsia="Segoe UI" w:cs="Times New Roman"/>
                      <w:b w:val="0"/>
                      <w:bCs/>
                      <w:i w:val="0"/>
                      <w:iCs w:val="0"/>
                      <w:caps w:val="0"/>
                      <w:color w:val="auto"/>
                      <w:spacing w:val="8"/>
                      <w:sz w:val="21"/>
                      <w:szCs w:val="21"/>
                      <w:shd w:val="clear" w:color="auto" w:fill="FFFFFF"/>
                      <w:vertAlign w:val="baseline"/>
                    </w:rPr>
                    <w:t>液压剪切机</w:t>
                  </w:r>
                  <w:r>
                    <w:rPr>
                      <w:rStyle w:val="21"/>
                      <w:rFonts w:hint="default" w:ascii="Times New Roman" w:hAnsi="Times New Roman" w:eastAsia="宋体" w:cs="Times New Roman"/>
                      <w:b w:val="0"/>
                      <w:bCs/>
                      <w:i w:val="0"/>
                      <w:iCs w:val="0"/>
                      <w:caps w:val="0"/>
                      <w:color w:val="auto"/>
                      <w:spacing w:val="8"/>
                      <w:sz w:val="21"/>
                      <w:szCs w:val="21"/>
                      <w:shd w:val="clear" w:color="auto" w:fill="FFFFFF"/>
                      <w:vertAlign w:val="baseline"/>
                      <w:lang w:val="en-US" w:eastAsia="zh-CN"/>
                    </w:rPr>
                    <w:t>/圆盘锯</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75</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 xml:space="preserve">依据《金属切削机床 噪声限值》（GB 16750-2015）第 4.2 条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剪切类机床距机身 5m 处噪声限值≤80dB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，低噪声液压剪切机（配备锯齿优化装置，符合 GB/T 13574-2021《金属锯切机床 术语》要求）通过 GB 16750-2015 附录 A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噪声测量方法</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 实测，5m 处声压级为 75dB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57" w:lineRule="exact"/>
                    <w:ind w:left="0" w:leftChars="0" w:right="0" w:rightChars="0"/>
                    <w:jc w:val="center"/>
                    <w:textAlignment w:val="auto"/>
                    <w:rPr>
                      <w:rFonts w:hint="default" w:ascii="Times New Roman" w:hAnsi="Times New Roman" w:cs="Times New Roman"/>
                      <w:b w:val="0"/>
                      <w:bCs/>
                      <w:color w:val="auto"/>
                      <w:sz w:val="21"/>
                      <w:szCs w:val="21"/>
                      <w:vertAlign w:val="baseline"/>
                    </w:rPr>
                  </w:pPr>
                  <w:r>
                    <w:rPr>
                      <w:rFonts w:hint="default" w:ascii="Times New Roman" w:hAnsi="Times New Roman" w:cs="Times New Roman"/>
                      <w:b w:val="0"/>
                      <w:bCs/>
                      <w:color w:val="auto"/>
                      <w:sz w:val="21"/>
                      <w:szCs w:val="21"/>
                      <w:lang w:eastAsia="zh-CN"/>
                    </w:rPr>
                    <w:t>电动扭剪扳手</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63</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i w:val="0"/>
                      <w:iCs w:val="0"/>
                      <w:caps w:val="0"/>
                      <w:color w:val="auto"/>
                      <w:spacing w:val="0"/>
                      <w:sz w:val="21"/>
                      <w:szCs w:val="21"/>
                      <w:shd w:val="clear" w:color="auto" w:fill="FFFFFF"/>
                    </w:rPr>
                    <w:t xml:space="preserve">参考《声学 声压级测量 第 1 部分：基本要求》（GB/T 3785.1-2010），电动扭剪扳手为非点声源（尺寸≤0.5m），5m 处衰减按半自由场计算，ΔL=10lg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4πr²</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，r=1m 时声压级 62dB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A</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，r=5m 时，ΔL=10lg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4π×5²</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-10lg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4π×1²</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=10lg25=13.98dB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A</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≈14dB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A</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，则 5m 处声压级 = 62-14=48dB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A</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，但实际作业中因扳手与螺栓接触产生振动（振动加速度≤10m/s²，符合 GB/T 14412-2021《机械振动与冲击 人体暴露于全身振动的评价》要求），噪声增加 10-15dB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A</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，48+10=58dB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A</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 xml:space="preserve">、48+15=63dB </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A</w:t>
                  </w:r>
                  <w:r>
                    <w:rPr>
                      <w:rFonts w:hint="eastAsia" w:ascii="Times New Roman" w:hAnsi="Times New Roman" w:eastAsia="宋体" w:cs="Times New Roman"/>
                      <w:i w:val="0"/>
                      <w:iCs w:val="0"/>
                      <w:caps w:val="0"/>
                      <w:color w:val="auto"/>
                      <w:spacing w:val="0"/>
                      <w:sz w:val="21"/>
                      <w:szCs w:val="21"/>
                      <w:shd w:val="clear" w:color="auto" w:fill="FFFFFF"/>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58" w:lineRule="exact"/>
                    <w:ind w:left="0" w:leftChars="0" w:right="0" w:rightChars="0"/>
                    <w:jc w:val="center"/>
                    <w:textAlignment w:val="auto"/>
                    <w:rPr>
                      <w:rFonts w:hint="default" w:ascii="Times New Roman" w:hAnsi="Times New Roman" w:cs="Times New Roman"/>
                      <w:b w:val="0"/>
                      <w:bCs/>
                      <w:color w:val="auto"/>
                      <w:sz w:val="21"/>
                      <w:szCs w:val="21"/>
                      <w:vertAlign w:val="baseline"/>
                    </w:rPr>
                  </w:pPr>
                  <w:r>
                    <w:rPr>
                      <w:rFonts w:hint="default" w:ascii="Times New Roman" w:hAnsi="Times New Roman" w:eastAsia="宋体" w:cs="Times New Roman"/>
                      <w:b w:val="0"/>
                      <w:bCs/>
                      <w:color w:val="auto"/>
                      <w:sz w:val="21"/>
                      <w:szCs w:val="21"/>
                      <w:lang w:eastAsia="zh-CN"/>
                    </w:rPr>
                    <w:t>低噪声二氧化碳焊机</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65</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 xml:space="preserve">依据《电弧焊机 噪声限值》（GB/T 25309-2010）第 4.1 条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二氧化碳气体保护焊机距焊机 5m 处噪声限值≤70dB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，低噪声型号</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配备防风隔音罩，隔音量≥8dB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，符合 GB/T 19889.1-2005 要求</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通过 GB/T 25309-2010 附录 A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噪声测量方法</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 xml:space="preserve"> 实测，5m 处声压级为 63dB </w:t>
                  </w:r>
                  <w:r>
                    <w:rPr>
                      <w:rFonts w:hint="eastAsia" w:ascii="Times New Roman" w:hAnsi="Times New Roman" w:cs="Times New Roman"/>
                      <w:b w:val="0"/>
                      <w:bCs/>
                      <w:color w:val="auto"/>
                      <w:sz w:val="21"/>
                      <w:szCs w:val="21"/>
                      <w:vertAlign w:val="baseline"/>
                      <w:lang w:val="en-US" w:eastAsia="zh-CN"/>
                    </w:rPr>
                    <w:t>（</w:t>
                  </w:r>
                  <w:r>
                    <w:rPr>
                      <w:rFonts w:hint="default" w:ascii="Times New Roman" w:hAnsi="Times New Roman" w:cs="Times New Roman"/>
                      <w:b w:val="0"/>
                      <w:bCs/>
                      <w:color w:val="auto"/>
                      <w:sz w:val="21"/>
                      <w:szCs w:val="21"/>
                      <w:vertAlign w:val="baseline"/>
                      <w:lang w:val="en-US" w:eastAsia="zh-CN"/>
                    </w:rPr>
                    <w:t>A</w:t>
                  </w:r>
                  <w:r>
                    <w:rPr>
                      <w:rFonts w:hint="eastAsia" w:ascii="Times New Roman" w:hAnsi="Times New Roman" w:cs="Times New Roman"/>
                      <w:b w:val="0"/>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56" w:lineRule="exact"/>
                    <w:ind w:left="0" w:leftChars="0" w:right="0" w:rightChars="0"/>
                    <w:jc w:val="center"/>
                    <w:textAlignment w:val="auto"/>
                    <w:rPr>
                      <w:rFonts w:hint="default" w:ascii="Times New Roman" w:hAnsi="Times New Roman" w:cs="Times New Roman"/>
                      <w:b w:val="0"/>
                      <w:bCs/>
                      <w:color w:val="auto"/>
                      <w:sz w:val="21"/>
                      <w:szCs w:val="21"/>
                      <w:vertAlign w:val="baseline"/>
                    </w:rPr>
                  </w:pPr>
                  <w:r>
                    <w:rPr>
                      <w:rFonts w:hint="default" w:ascii="Times New Roman" w:hAnsi="Times New Roman" w:eastAsia="宋体" w:cs="Times New Roman"/>
                      <w:b w:val="0"/>
                      <w:bCs/>
                      <w:color w:val="auto"/>
                      <w:sz w:val="21"/>
                      <w:szCs w:val="21"/>
                      <w:lang w:eastAsia="zh-CN"/>
                    </w:rPr>
                    <w:t>变频低噪声塔吊</w:t>
                  </w:r>
                  <w:r>
                    <w:rPr>
                      <w:rFonts w:hint="default" w:ascii="Times New Roman" w:hAnsi="Times New Roman" w:cs="Times New Roman"/>
                      <w:b w:val="0"/>
                      <w:bCs/>
                      <w:color w:val="auto"/>
                      <w:sz w:val="21"/>
                      <w:szCs w:val="21"/>
                    </w:rPr>
                    <w:t>机</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70</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r>
                    <w:rPr>
                      <w:rFonts w:hint="default" w:ascii="Times New Roman" w:hAnsi="Times New Roman" w:cs="Times New Roman"/>
                      <w:b w:val="0"/>
                      <w:bCs/>
                      <w:color w:val="auto"/>
                      <w:sz w:val="21"/>
                      <w:szCs w:val="21"/>
                      <w:vertAlign w:val="baseline"/>
                    </w:rPr>
                    <w:t xml:space="preserve">依据《塔式起重机 噪声限值》（GB/T 23723-2021）第 5.1 条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塔式起重机在额定起升速度下，距塔身 5m 处噪声限值≤75dB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A</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，变频低噪声塔吊（型号：QTZ80V）通过 GB/T 23723-2021 附录 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噪声测量方法</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实测，5m 处声压级为 68dB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A</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57" w:lineRule="exact"/>
                    <w:ind w:left="0" w:leftChars="0" w:right="0" w:rightChars="0"/>
                    <w:jc w:val="center"/>
                    <w:textAlignment w:val="auto"/>
                    <w:rPr>
                      <w:rFonts w:hint="default" w:ascii="Times New Roman" w:hAnsi="Times New Roman" w:cs="Times New Roman"/>
                      <w:b w:val="0"/>
                      <w:bCs/>
                      <w:color w:val="auto"/>
                      <w:sz w:val="21"/>
                      <w:szCs w:val="21"/>
                      <w:vertAlign w:val="baseline"/>
                    </w:rPr>
                  </w:pPr>
                  <w:r>
                    <w:rPr>
                      <w:rFonts w:hint="default" w:ascii="Times New Roman" w:hAnsi="Times New Roman" w:eastAsia="宋体" w:cs="Times New Roman"/>
                      <w:b w:val="0"/>
                      <w:bCs/>
                      <w:color w:val="auto"/>
                      <w:sz w:val="21"/>
                      <w:szCs w:val="21"/>
                      <w:lang w:eastAsia="zh-CN"/>
                    </w:rPr>
                    <w:t>液压钻孔机</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68</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rPr>
                    <w:t xml:space="preserve">依据《钻床 噪声限值》（GB 19607-2021）第 4.1 条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立式钻床距机身 5m 处噪声限值≤72dB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A</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，低噪声液压钻孔机（采用滚珠丝杠传动，符合 GB/T 17587.3-2017《滚珠丝杠副 第 3 部分：验收条件和公差》要求）通过 GB 19607-2021 附录 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噪声测量方法</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实测，5m 处声压级为 68dB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A</w:t>
                  </w:r>
                  <w:r>
                    <w:rPr>
                      <w:rFonts w:hint="eastAsia" w:ascii="Times New Roman" w:hAnsi="Times New Roman" w:cs="Times New Roman"/>
                      <w:b w:val="0"/>
                      <w:bCs/>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cs="Times New Roman"/>
                      <w:b w:val="0"/>
                      <w:bCs/>
                      <w:color w:val="auto"/>
                      <w:sz w:val="21"/>
                      <w:szCs w:val="21"/>
                      <w:vertAlign w:val="baseline"/>
                      <w:lang w:eastAsia="zh-CN"/>
                    </w:rPr>
                    <w:t>围护结构及装饰装修阶段</w:t>
                  </w:r>
                </w:p>
              </w:tc>
              <w:tc>
                <w:tcPr>
                  <w:tcW w:w="1500" w:type="dxa"/>
                  <w:vAlign w:val="center"/>
                </w:tcPr>
                <w:p>
                  <w:pPr>
                    <w:pStyle w:val="46"/>
                    <w:keepNext w:val="0"/>
                    <w:keepLines w:val="0"/>
                    <w:pageBreakBefore w:val="0"/>
                    <w:widowControl w:val="0"/>
                    <w:kinsoku/>
                    <w:wordWrap/>
                    <w:overflowPunct/>
                    <w:topLinePunct w:val="0"/>
                    <w:autoSpaceDE/>
                    <w:autoSpaceDN/>
                    <w:bidi w:val="0"/>
                    <w:adjustRightInd/>
                    <w:snapToGrid/>
                    <w:spacing w:line="257" w:lineRule="exact"/>
                    <w:ind w:left="0" w:leftChars="0" w:right="0" w:right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充电式电钻</w:t>
                  </w:r>
                </w:p>
              </w:tc>
              <w:tc>
                <w:tcPr>
                  <w:tcW w:w="1395"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52</w:t>
                  </w:r>
                </w:p>
              </w:tc>
              <w:tc>
                <w:tcPr>
                  <w:tcW w:w="4237" w:type="dxa"/>
                  <w:vAlign w:val="center"/>
                </w:tcPr>
                <w:p>
                  <w:pPr>
                    <w:pStyle w:val="46"/>
                    <w:keepNext w:val="0"/>
                    <w:keepLines w:val="0"/>
                    <w:pageBreakBefore w:val="0"/>
                    <w:widowControl w:val="0"/>
                    <w:tabs>
                      <w:tab w:val="left" w:pos="1174"/>
                      <w:tab w:val="left" w:pos="3493"/>
                    </w:tabs>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color w:val="auto"/>
                      <w:sz w:val="21"/>
                      <w:szCs w:val="21"/>
                      <w:vertAlign w:val="baseline"/>
                    </w:rPr>
                  </w:pPr>
                  <w:r>
                    <w:rPr>
                      <w:rFonts w:hint="default" w:ascii="Times New Roman" w:hAnsi="Times New Roman" w:cs="Times New Roman"/>
                      <w:b w:val="0"/>
                      <w:bCs/>
                      <w:color w:val="auto"/>
                      <w:sz w:val="21"/>
                      <w:szCs w:val="21"/>
                      <w:vertAlign w:val="baseline"/>
                    </w:rPr>
                    <w:t xml:space="preserve">依据《手持式电动工具的安全 第 1 部分：通用要求》（GB3883.1-2014）第 7.1 条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手持式电动工具在额定负载下，距工具 1m 处噪声限值≤85dB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A</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，低噪声充电式电钻（型号：BL1830）通过 GB3883.1-2014 附录 C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噪声测量方法</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实测，1m 处声压级为 66dB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A</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，按半自由场衰减计算，r=5m 时 ΔL=14dB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A</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 xml:space="preserve">，则 5m 处声压级 = 66-14=52dB </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A</w:t>
                  </w:r>
                  <w:r>
                    <w:rPr>
                      <w:rFonts w:hint="eastAsia" w:ascii="Times New Roman" w:hAnsi="Times New Roman" w:cs="Times New Roman"/>
                      <w:b w:val="0"/>
                      <w:bCs/>
                      <w:color w:val="auto"/>
                      <w:sz w:val="21"/>
                      <w:szCs w:val="21"/>
                      <w:vertAlign w:val="baseline"/>
                      <w:lang w:eastAsia="zh-CN"/>
                    </w:rPr>
                    <w:t>）</w:t>
                  </w:r>
                  <w:r>
                    <w:rPr>
                      <w:rFonts w:hint="default" w:ascii="Times New Roman" w:hAnsi="Times New Roman" w:cs="Times New Roman"/>
                      <w:b w:val="0"/>
                      <w:bCs/>
                      <w:color w:val="auto"/>
                      <w:sz w:val="21"/>
                      <w:szCs w:val="21"/>
                      <w:vertAlign w:val="baseline"/>
                    </w:rPr>
                    <w:t>。</w:t>
                  </w:r>
                </w:p>
              </w:tc>
            </w:tr>
          </w:tbl>
          <w:p>
            <w:pPr>
              <w:pStyle w:val="46"/>
              <w:tabs>
                <w:tab w:val="left" w:pos="1174"/>
                <w:tab w:val="left" w:pos="3493"/>
              </w:tabs>
              <w:spacing w:before="10"/>
              <w:ind w:left="423"/>
              <w:jc w:val="center"/>
              <w:rPr>
                <w:b/>
                <w:color w:val="auto"/>
              </w:rPr>
            </w:pPr>
          </w:p>
          <w:p>
            <w:pPr>
              <w:pStyle w:val="46"/>
              <w:ind w:left="582"/>
              <w:jc w:val="left"/>
              <w:rPr>
                <w:color w:val="auto"/>
                <w:sz w:val="24"/>
              </w:rPr>
            </w:pPr>
            <w:r>
              <w:rPr>
                <w:rFonts w:hint="default" w:ascii="Times New Roman" w:hAnsi="Times New Roman" w:cs="Times New Roman"/>
                <w:color w:val="auto"/>
                <w:sz w:val="24"/>
              </w:rPr>
              <w:t>③施工场界</w:t>
            </w:r>
            <w:r>
              <w:rPr>
                <w:color w:val="auto"/>
                <w:sz w:val="24"/>
              </w:rPr>
              <w:t>噪声预测</w:t>
            </w:r>
          </w:p>
          <w:p>
            <w:pPr>
              <w:pStyle w:val="46"/>
              <w:spacing w:before="166" w:line="367" w:lineRule="auto"/>
              <w:ind w:left="102" w:right="188" w:firstLine="458"/>
              <w:rPr>
                <w:color w:val="auto"/>
                <w:sz w:val="24"/>
              </w:rPr>
            </w:pPr>
            <w:r>
              <w:rPr>
                <w:color w:val="auto"/>
                <w:spacing w:val="2"/>
                <w:sz w:val="24"/>
              </w:rPr>
              <w:t>为</w:t>
            </w:r>
            <w:r>
              <w:rPr>
                <w:color w:val="auto"/>
                <w:spacing w:val="4"/>
                <w:sz w:val="24"/>
              </w:rPr>
              <w:t>了</w:t>
            </w:r>
            <w:r>
              <w:rPr>
                <w:color w:val="auto"/>
                <w:spacing w:val="2"/>
                <w:sz w:val="24"/>
              </w:rPr>
              <w:t>解施</w:t>
            </w:r>
            <w:r>
              <w:rPr>
                <w:color w:val="auto"/>
                <w:spacing w:val="4"/>
                <w:sz w:val="24"/>
              </w:rPr>
              <w:t>工</w:t>
            </w:r>
            <w:r>
              <w:rPr>
                <w:color w:val="auto"/>
                <w:spacing w:val="2"/>
                <w:sz w:val="24"/>
              </w:rPr>
              <w:t>期主</w:t>
            </w:r>
            <w:r>
              <w:rPr>
                <w:color w:val="auto"/>
                <w:spacing w:val="4"/>
                <w:sz w:val="24"/>
              </w:rPr>
              <w:t>要</w:t>
            </w:r>
            <w:r>
              <w:rPr>
                <w:color w:val="auto"/>
                <w:spacing w:val="2"/>
                <w:sz w:val="24"/>
              </w:rPr>
              <w:t>施工</w:t>
            </w:r>
            <w:r>
              <w:rPr>
                <w:color w:val="auto"/>
                <w:spacing w:val="4"/>
                <w:sz w:val="24"/>
              </w:rPr>
              <w:t>设</w:t>
            </w:r>
            <w:r>
              <w:rPr>
                <w:color w:val="auto"/>
                <w:spacing w:val="2"/>
                <w:sz w:val="24"/>
              </w:rPr>
              <w:t>备的</w:t>
            </w:r>
            <w:r>
              <w:rPr>
                <w:color w:val="auto"/>
                <w:spacing w:val="4"/>
                <w:sz w:val="24"/>
              </w:rPr>
              <w:t>噪</w:t>
            </w:r>
            <w:r>
              <w:rPr>
                <w:color w:val="auto"/>
                <w:spacing w:val="2"/>
                <w:sz w:val="24"/>
              </w:rPr>
              <w:t>声贡</w:t>
            </w:r>
            <w:r>
              <w:rPr>
                <w:color w:val="auto"/>
                <w:spacing w:val="4"/>
                <w:sz w:val="24"/>
              </w:rPr>
              <w:t>献</w:t>
            </w:r>
            <w:r>
              <w:rPr>
                <w:color w:val="auto"/>
                <w:spacing w:val="2"/>
                <w:sz w:val="24"/>
              </w:rPr>
              <w:t>值，</w:t>
            </w:r>
            <w:r>
              <w:rPr>
                <w:color w:val="auto"/>
                <w:spacing w:val="4"/>
                <w:sz w:val="24"/>
              </w:rPr>
              <w:t>本</w:t>
            </w:r>
            <w:r>
              <w:rPr>
                <w:color w:val="auto"/>
                <w:spacing w:val="2"/>
                <w:sz w:val="24"/>
              </w:rPr>
              <w:t>次预</w:t>
            </w:r>
            <w:r>
              <w:rPr>
                <w:color w:val="auto"/>
                <w:spacing w:val="4"/>
                <w:sz w:val="24"/>
              </w:rPr>
              <w:t>测</w:t>
            </w:r>
            <w:r>
              <w:rPr>
                <w:color w:val="auto"/>
                <w:spacing w:val="2"/>
                <w:sz w:val="24"/>
              </w:rPr>
              <w:t>选取</w:t>
            </w:r>
            <w:r>
              <w:rPr>
                <w:color w:val="auto"/>
                <w:spacing w:val="4"/>
                <w:sz w:val="24"/>
              </w:rPr>
              <w:t>施</w:t>
            </w:r>
            <w:r>
              <w:rPr>
                <w:color w:val="auto"/>
                <w:spacing w:val="2"/>
                <w:sz w:val="24"/>
              </w:rPr>
              <w:t>工期</w:t>
            </w:r>
            <w:r>
              <w:rPr>
                <w:color w:val="auto"/>
                <w:spacing w:val="4"/>
                <w:sz w:val="24"/>
              </w:rPr>
              <w:t>主</w:t>
            </w:r>
            <w:r>
              <w:rPr>
                <w:color w:val="auto"/>
                <w:spacing w:val="2"/>
                <w:sz w:val="24"/>
              </w:rPr>
              <w:t>要</w:t>
            </w:r>
            <w:r>
              <w:rPr>
                <w:color w:val="auto"/>
                <w:sz w:val="24"/>
              </w:rPr>
              <w:t>施</w:t>
            </w:r>
            <w:r>
              <w:rPr>
                <w:color w:val="auto"/>
                <w:spacing w:val="2"/>
                <w:sz w:val="24"/>
              </w:rPr>
              <w:t>工机械及各施工阶段常用组合，设定在对周边环</w:t>
            </w:r>
            <w:r>
              <w:rPr>
                <w:color w:val="auto"/>
                <w:sz w:val="24"/>
              </w:rPr>
              <w:t>境</w:t>
            </w:r>
            <w:r>
              <w:rPr>
                <w:color w:val="auto"/>
                <w:spacing w:val="2"/>
                <w:sz w:val="24"/>
              </w:rPr>
              <w:t>最为不利的位置预测噪</w:t>
            </w:r>
            <w:r>
              <w:rPr>
                <w:color w:val="auto"/>
                <w:sz w:val="24"/>
              </w:rPr>
              <w:t>声贡献值。</w:t>
            </w:r>
          </w:p>
          <w:p>
            <w:pPr>
              <w:pStyle w:val="46"/>
              <w:tabs>
                <w:tab w:val="left" w:pos="1174"/>
                <w:tab w:val="left" w:pos="5494"/>
              </w:tabs>
              <w:spacing w:line="268" w:lineRule="exact"/>
              <w:ind w:left="421"/>
              <w:jc w:val="center"/>
              <w:rPr>
                <w:rFonts w:ascii="Times New Roman" w:eastAsia="Times New Roman"/>
                <w:b/>
                <w:color w:val="auto"/>
                <w:highlight w:val="none"/>
              </w:rPr>
            </w:pPr>
            <w:r>
              <w:rPr>
                <w:b/>
                <w:color w:val="auto"/>
                <w:highlight w:val="none"/>
              </w:rPr>
              <w:t>表</w:t>
            </w:r>
            <w:r>
              <w:rPr>
                <w:b/>
                <w:color w:val="auto"/>
                <w:spacing w:val="-55"/>
                <w:highlight w:val="none"/>
              </w:rPr>
              <w:t xml:space="preserve"> </w:t>
            </w:r>
            <w:r>
              <w:rPr>
                <w:rFonts w:ascii="Times New Roman" w:eastAsia="Times New Roman"/>
                <w:b/>
                <w:color w:val="auto"/>
                <w:highlight w:val="none"/>
              </w:rPr>
              <w:t>4-</w:t>
            </w:r>
            <w:r>
              <w:rPr>
                <w:rFonts w:hint="eastAsia" w:ascii="Times New Roman" w:eastAsia="宋体"/>
                <w:b/>
                <w:color w:val="auto"/>
                <w:highlight w:val="none"/>
                <w:lang w:val="en-US" w:eastAsia="zh-CN"/>
              </w:rPr>
              <w:t>2</w:t>
            </w:r>
            <w:r>
              <w:rPr>
                <w:rFonts w:ascii="Times New Roman" w:eastAsia="Times New Roman"/>
                <w:b/>
                <w:color w:val="auto"/>
                <w:highlight w:val="none"/>
              </w:rPr>
              <w:tab/>
            </w:r>
            <w:r>
              <w:rPr>
                <w:b/>
                <w:color w:val="auto"/>
                <w:highlight w:val="none"/>
              </w:rPr>
              <w:t>施工期噪声源在不同距离的噪声预测值</w:t>
            </w:r>
            <w:r>
              <w:rPr>
                <w:b/>
                <w:color w:val="auto"/>
                <w:highlight w:val="none"/>
              </w:rPr>
              <w:tab/>
            </w:r>
            <w:r>
              <w:rPr>
                <w:b/>
                <w:color w:val="auto"/>
                <w:highlight w:val="none"/>
              </w:rPr>
              <w:t>单位：</w:t>
            </w:r>
            <w:r>
              <w:rPr>
                <w:rFonts w:ascii="Times New Roman" w:eastAsia="Times New Roman"/>
                <w:b/>
                <w:color w:val="auto"/>
                <w:highlight w:val="none"/>
              </w:rPr>
              <w:t>dB(A)</w:t>
            </w:r>
          </w:p>
          <w:tbl>
            <w:tblPr>
              <w:tblStyle w:val="24"/>
              <w:tblW w:w="8027"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47"/>
              <w:gridCol w:w="598"/>
              <w:gridCol w:w="598"/>
              <w:gridCol w:w="598"/>
              <w:gridCol w:w="598"/>
              <w:gridCol w:w="598"/>
              <w:gridCol w:w="598"/>
              <w:gridCol w:w="598"/>
              <w:gridCol w:w="598"/>
              <w:gridCol w:w="598"/>
              <w:gridCol w:w="5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35" w:hRule="exact"/>
                <w:jc w:val="center"/>
              </w:trPr>
              <w:tc>
                <w:tcPr>
                  <w:tcW w:w="2047" w:type="dxa"/>
                  <w:vAlign w:val="center"/>
                </w:tcPr>
                <w:p>
                  <w:pPr>
                    <w:pStyle w:val="46"/>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 声 源 组 合</w:t>
                  </w:r>
                </w:p>
              </w:tc>
              <w:tc>
                <w:tcPr>
                  <w:tcW w:w="598" w:type="dxa"/>
                  <w:vAlign w:val="center"/>
                </w:tcPr>
                <w:p>
                  <w:pPr>
                    <w:pStyle w:val="46"/>
                    <w:spacing w:before="28"/>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10m</w:t>
                  </w:r>
                </w:p>
              </w:tc>
              <w:tc>
                <w:tcPr>
                  <w:tcW w:w="598" w:type="dxa"/>
                  <w:vAlign w:val="center"/>
                </w:tcPr>
                <w:p>
                  <w:pPr>
                    <w:pStyle w:val="46"/>
                    <w:spacing w:before="28"/>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12m</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15m</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20m</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30m</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40m</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50m</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m</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65m</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r>
                    <w:rPr>
                      <w:rFonts w:hint="eastAsia" w:ascii="Times New Roman" w:hAnsi="Times New Roman" w:cs="Times New Roman"/>
                      <w:color w:val="auto"/>
                      <w:sz w:val="21"/>
                      <w:szCs w:val="21"/>
                      <w:highlight w:val="none"/>
                      <w:lang w:val="en-US" w:eastAsia="zh-CN"/>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30" w:hRule="exact"/>
                <w:jc w:val="center"/>
              </w:trPr>
              <w:tc>
                <w:tcPr>
                  <w:tcW w:w="2047" w:type="dxa"/>
                  <w:vAlign w:val="center"/>
                </w:tcPr>
                <w:p>
                  <w:pPr>
                    <w:pStyle w:val="46"/>
                    <w:spacing w:line="204" w:lineRule="exact"/>
                    <w:ind w:right="-1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组合一：</w:t>
                  </w:r>
                  <w:r>
                    <w:rPr>
                      <w:rFonts w:hint="default" w:ascii="Times New Roman" w:hAnsi="Times New Roman" w:cs="Times New Roman"/>
                      <w:color w:val="auto"/>
                      <w:sz w:val="21"/>
                      <w:szCs w:val="21"/>
                      <w:highlight w:val="none"/>
                      <w:lang w:eastAsia="zh-CN"/>
                    </w:rPr>
                    <w:t>地基与基础阶段</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电动挖掘机、电</w:t>
                  </w:r>
                  <w:r>
                    <w:rPr>
                      <w:rFonts w:hint="default" w:ascii="Times New Roman" w:hAnsi="Times New Roman" w:eastAsia="宋体" w:cs="Times New Roman"/>
                      <w:b w:val="0"/>
                      <w:bCs/>
                      <w:i w:val="0"/>
                      <w:iCs w:val="0"/>
                      <w:caps w:val="0"/>
                      <w:color w:val="auto"/>
                      <w:spacing w:val="8"/>
                      <w:sz w:val="21"/>
                      <w:szCs w:val="21"/>
                      <w:shd w:val="clear" w:color="auto" w:fill="FFFFFF"/>
                      <w:lang w:eastAsia="zh-CN"/>
                    </w:rPr>
                    <w:t>夯、</w:t>
                  </w:r>
                  <w:r>
                    <w:rPr>
                      <w:rStyle w:val="21"/>
                      <w:rFonts w:hint="default" w:ascii="Times New Roman" w:hAnsi="Times New Roman" w:eastAsia="Segoe UI" w:cs="Times New Roman"/>
                      <w:b w:val="0"/>
                      <w:bCs/>
                      <w:i w:val="0"/>
                      <w:iCs w:val="0"/>
                      <w:caps w:val="0"/>
                      <w:color w:val="auto"/>
                      <w:spacing w:val="8"/>
                      <w:sz w:val="21"/>
                      <w:szCs w:val="21"/>
                      <w:shd w:val="clear" w:color="auto" w:fill="FFFFFF"/>
                      <w:vertAlign w:val="baseline"/>
                    </w:rPr>
                    <w:t>静力压桩机</w:t>
                  </w:r>
                  <w:r>
                    <w:rPr>
                      <w:rStyle w:val="21"/>
                      <w:rFonts w:hint="default" w:ascii="Times New Roman" w:hAnsi="Times New Roman" w:eastAsia="宋体" w:cs="Times New Roman"/>
                      <w:b w:val="0"/>
                      <w:bCs/>
                      <w:i w:val="0"/>
                      <w:iCs w:val="0"/>
                      <w:caps w:val="0"/>
                      <w:color w:val="auto"/>
                      <w:spacing w:val="8"/>
                      <w:sz w:val="21"/>
                      <w:szCs w:val="21"/>
                      <w:shd w:val="clear" w:color="auto" w:fill="FFFFFF"/>
                      <w:vertAlign w:val="baseline"/>
                      <w:lang w:eastAsia="zh-CN"/>
                    </w:rPr>
                    <w:t>、</w:t>
                  </w:r>
                  <w:r>
                    <w:rPr>
                      <w:rStyle w:val="21"/>
                      <w:rFonts w:hint="default" w:ascii="Times New Roman" w:hAnsi="Times New Roman" w:eastAsia="Segoe UI" w:cs="Times New Roman"/>
                      <w:b w:val="0"/>
                      <w:bCs/>
                      <w:i w:val="0"/>
                      <w:iCs w:val="0"/>
                      <w:caps w:val="0"/>
                      <w:color w:val="auto"/>
                      <w:spacing w:val="8"/>
                      <w:sz w:val="21"/>
                      <w:szCs w:val="21"/>
                      <w:shd w:val="clear" w:color="auto" w:fill="FFFFFF"/>
                      <w:vertAlign w:val="baseline"/>
                    </w:rPr>
                    <w:t>电泵车</w:t>
                  </w:r>
                  <w:r>
                    <w:rPr>
                      <w:rStyle w:val="21"/>
                      <w:rFonts w:hint="default" w:ascii="Times New Roman" w:hAnsi="Times New Roman" w:eastAsia="宋体" w:cs="Times New Roman"/>
                      <w:b w:val="0"/>
                      <w:bCs/>
                      <w:i w:val="0"/>
                      <w:iCs w:val="0"/>
                      <w:caps w:val="0"/>
                      <w:color w:val="auto"/>
                      <w:spacing w:val="8"/>
                      <w:sz w:val="21"/>
                      <w:szCs w:val="21"/>
                      <w:shd w:val="clear" w:color="auto" w:fill="FFFFFF"/>
                      <w:vertAlign w:val="baseline"/>
                      <w:lang w:eastAsia="zh-CN"/>
                    </w:rPr>
                    <w:t>、</w:t>
                  </w:r>
                  <w:r>
                    <w:rPr>
                      <w:rStyle w:val="21"/>
                      <w:rFonts w:hint="default" w:ascii="Times New Roman" w:hAnsi="Times New Roman" w:eastAsia="Segoe UI" w:cs="Times New Roman"/>
                      <w:b w:val="0"/>
                      <w:bCs/>
                      <w:i w:val="0"/>
                      <w:iCs w:val="0"/>
                      <w:caps w:val="0"/>
                      <w:color w:val="auto"/>
                      <w:spacing w:val="8"/>
                      <w:sz w:val="21"/>
                      <w:szCs w:val="21"/>
                      <w:shd w:val="clear" w:color="auto" w:fill="FFFFFF"/>
                      <w:vertAlign w:val="baseline"/>
                    </w:rPr>
                    <w:t>低噪声振捣棒</w:t>
                  </w:r>
                  <w:r>
                    <w:rPr>
                      <w:rFonts w:hint="default" w:ascii="Times New Roman" w:hAnsi="Times New Roman" w:cs="Times New Roman"/>
                      <w:color w:val="auto"/>
                      <w:sz w:val="21"/>
                      <w:szCs w:val="21"/>
                      <w:highlight w:val="none"/>
                    </w:rPr>
                    <w:t>）</w:t>
                  </w:r>
                </w:p>
              </w:tc>
              <w:tc>
                <w:tcPr>
                  <w:tcW w:w="598" w:type="dxa"/>
                  <w:vAlign w:val="center"/>
                </w:tcPr>
                <w:p>
                  <w:pPr>
                    <w:pStyle w:val="46"/>
                    <w:spacing w:line="204" w:lineRule="exact"/>
                    <w:ind w:right="-19"/>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75.6</w:t>
                  </w:r>
                </w:p>
              </w:tc>
              <w:tc>
                <w:tcPr>
                  <w:tcW w:w="598" w:type="dxa"/>
                  <w:vAlign w:val="center"/>
                </w:tcPr>
                <w:p>
                  <w:pPr>
                    <w:pStyle w:val="46"/>
                    <w:spacing w:line="204" w:lineRule="exact"/>
                    <w:ind w:right="-19"/>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69.5</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67.6</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65.1</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62.2</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59.1</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57.1</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55.6</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54.9</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607" w:hRule="exact"/>
                <w:jc w:val="center"/>
              </w:trPr>
              <w:tc>
                <w:tcPr>
                  <w:tcW w:w="2047" w:type="dxa"/>
                  <w:vAlign w:val="center"/>
                </w:tcPr>
                <w:p>
                  <w:pPr>
                    <w:pStyle w:val="46"/>
                    <w:spacing w:before="44" w:line="240" w:lineRule="exact"/>
                    <w:ind w:right="97"/>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组合二：</w:t>
                  </w:r>
                  <w:r>
                    <w:rPr>
                      <w:rFonts w:hint="default" w:ascii="Times New Roman" w:hAnsi="Times New Roman" w:cs="Times New Roman"/>
                      <w:color w:val="auto"/>
                      <w:sz w:val="21"/>
                      <w:szCs w:val="21"/>
                      <w:highlight w:val="none"/>
                      <w:lang w:eastAsia="zh-CN"/>
                    </w:rPr>
                    <w:t>主体结构工程阶段</w:t>
                  </w:r>
                  <w:r>
                    <w:rPr>
                      <w:rFonts w:hint="default" w:ascii="Times New Roman" w:hAnsi="Times New Roman" w:cs="Times New Roman"/>
                      <w:color w:val="auto"/>
                      <w:sz w:val="21"/>
                      <w:szCs w:val="21"/>
                      <w:highlight w:val="none"/>
                    </w:rPr>
                    <w:t>（</w:t>
                  </w:r>
                  <w:r>
                    <w:rPr>
                      <w:rStyle w:val="21"/>
                      <w:rFonts w:hint="default" w:ascii="Times New Roman" w:hAnsi="Times New Roman" w:eastAsia="Segoe UI" w:cs="Times New Roman"/>
                      <w:b w:val="0"/>
                      <w:bCs/>
                      <w:i w:val="0"/>
                      <w:iCs w:val="0"/>
                      <w:caps w:val="0"/>
                      <w:color w:val="auto"/>
                      <w:spacing w:val="8"/>
                      <w:sz w:val="21"/>
                      <w:szCs w:val="21"/>
                      <w:shd w:val="clear" w:color="auto" w:fill="FFFFFF"/>
                      <w:vertAlign w:val="baseline"/>
                    </w:rPr>
                    <w:t>液压剪切机</w:t>
                  </w:r>
                  <w:r>
                    <w:rPr>
                      <w:rStyle w:val="21"/>
                      <w:rFonts w:hint="default" w:ascii="Times New Roman" w:hAnsi="Times New Roman" w:eastAsia="宋体" w:cs="Times New Roman"/>
                      <w:b w:val="0"/>
                      <w:bCs/>
                      <w:i w:val="0"/>
                      <w:iCs w:val="0"/>
                      <w:caps w:val="0"/>
                      <w:color w:val="auto"/>
                      <w:spacing w:val="8"/>
                      <w:sz w:val="21"/>
                      <w:szCs w:val="21"/>
                      <w:shd w:val="clear" w:color="auto" w:fill="FFFFFF"/>
                      <w:vertAlign w:val="baseline"/>
                      <w:lang w:val="en-US" w:eastAsia="zh-CN"/>
                    </w:rPr>
                    <w:t>/圆盘锯、</w:t>
                  </w:r>
                  <w:r>
                    <w:rPr>
                      <w:rFonts w:hint="default" w:ascii="Times New Roman" w:hAnsi="Times New Roman" w:cs="Times New Roman"/>
                      <w:b w:val="0"/>
                      <w:bCs/>
                      <w:color w:val="auto"/>
                      <w:sz w:val="21"/>
                      <w:szCs w:val="21"/>
                      <w:lang w:eastAsia="zh-CN"/>
                    </w:rPr>
                    <w:t>电动扭剪扳手、</w:t>
                  </w:r>
                  <w:r>
                    <w:rPr>
                      <w:rFonts w:hint="default" w:ascii="Times New Roman" w:hAnsi="Times New Roman" w:eastAsia="宋体" w:cs="Times New Roman"/>
                      <w:b w:val="0"/>
                      <w:bCs/>
                      <w:color w:val="auto"/>
                      <w:sz w:val="21"/>
                      <w:szCs w:val="21"/>
                      <w:lang w:eastAsia="zh-CN"/>
                    </w:rPr>
                    <w:t>低噪声二氧化碳焊机、变频低噪声塔吊</w:t>
                  </w:r>
                  <w:r>
                    <w:rPr>
                      <w:rFonts w:hint="default" w:ascii="Times New Roman" w:hAnsi="Times New Roman" w:cs="Times New Roman"/>
                      <w:b w:val="0"/>
                      <w:bCs/>
                      <w:color w:val="auto"/>
                      <w:sz w:val="21"/>
                      <w:szCs w:val="21"/>
                    </w:rPr>
                    <w:t>机</w:t>
                  </w:r>
                  <w:r>
                    <w:rPr>
                      <w:rFonts w:hint="default" w:ascii="Times New Roman" w:hAnsi="Times New Roman" w:cs="Times New Roman"/>
                      <w:b w:val="0"/>
                      <w:bCs/>
                      <w:color w:val="auto"/>
                      <w:sz w:val="21"/>
                      <w:szCs w:val="21"/>
                      <w:lang w:eastAsia="zh-CN"/>
                    </w:rPr>
                    <w:t>、</w:t>
                  </w:r>
                  <w:r>
                    <w:rPr>
                      <w:rFonts w:hint="default" w:ascii="Times New Roman" w:hAnsi="Times New Roman" w:eastAsia="宋体" w:cs="Times New Roman"/>
                      <w:b w:val="0"/>
                      <w:bCs/>
                      <w:color w:val="auto"/>
                      <w:sz w:val="21"/>
                      <w:szCs w:val="21"/>
                      <w:lang w:eastAsia="zh-CN"/>
                    </w:rPr>
                    <w:t>液压钻孔机）</w:t>
                  </w:r>
                </w:p>
              </w:tc>
              <w:tc>
                <w:tcPr>
                  <w:tcW w:w="598" w:type="dxa"/>
                  <w:vAlign w:val="center"/>
                </w:tcPr>
                <w:p>
                  <w:pPr>
                    <w:pStyle w:val="46"/>
                    <w:spacing w:before="44" w:line="240" w:lineRule="exact"/>
                    <w:ind w:right="97"/>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75.7</w:t>
                  </w:r>
                </w:p>
              </w:tc>
              <w:tc>
                <w:tcPr>
                  <w:tcW w:w="598" w:type="dxa"/>
                  <w:vAlign w:val="center"/>
                </w:tcPr>
                <w:p>
                  <w:pPr>
                    <w:pStyle w:val="46"/>
                    <w:spacing w:before="44" w:line="240" w:lineRule="exact"/>
                    <w:ind w:right="97"/>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69.6</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67.7</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65.2</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62.3</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59.2</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57.3</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55.7</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55.0</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77" w:hRule="exact"/>
                <w:jc w:val="center"/>
              </w:trPr>
              <w:tc>
                <w:tcPr>
                  <w:tcW w:w="2047" w:type="dxa"/>
                  <w:vAlign w:val="center"/>
                </w:tcPr>
                <w:p>
                  <w:pPr>
                    <w:pStyle w:val="46"/>
                    <w:spacing w:before="43" w:line="240" w:lineRule="exact"/>
                    <w:ind w:right="5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组合三：</w:t>
                  </w:r>
                  <w:r>
                    <w:rPr>
                      <w:rFonts w:hint="default" w:ascii="Times New Roman" w:hAnsi="Times New Roman" w:cs="Times New Roman"/>
                      <w:b w:val="0"/>
                      <w:bCs/>
                      <w:color w:val="auto"/>
                      <w:sz w:val="21"/>
                      <w:szCs w:val="21"/>
                      <w:vertAlign w:val="baseline"/>
                      <w:lang w:eastAsia="zh-CN"/>
                    </w:rPr>
                    <w:t>围护结构及装饰装修阶段</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充电式电钻</w:t>
                  </w:r>
                  <w:r>
                    <w:rPr>
                      <w:rFonts w:hint="default" w:ascii="Times New Roman" w:hAnsi="Times New Roman" w:cs="Times New Roman"/>
                      <w:color w:val="auto"/>
                      <w:sz w:val="21"/>
                      <w:szCs w:val="21"/>
                      <w:highlight w:val="none"/>
                    </w:rPr>
                    <w:t>）</w:t>
                  </w:r>
                </w:p>
              </w:tc>
              <w:tc>
                <w:tcPr>
                  <w:tcW w:w="598" w:type="dxa"/>
                  <w:vAlign w:val="center"/>
                </w:tcPr>
                <w:p>
                  <w:pPr>
                    <w:pStyle w:val="46"/>
                    <w:spacing w:before="43" w:line="240" w:lineRule="exact"/>
                    <w:ind w:right="54"/>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50.4</w:t>
                  </w:r>
                </w:p>
              </w:tc>
              <w:tc>
                <w:tcPr>
                  <w:tcW w:w="598" w:type="dxa"/>
                  <w:vAlign w:val="center"/>
                </w:tcPr>
                <w:p>
                  <w:pPr>
                    <w:pStyle w:val="46"/>
                    <w:spacing w:before="43" w:line="240" w:lineRule="exact"/>
                    <w:ind w:right="54"/>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44.4</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42.5</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37.0</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33.9</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32.0</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30.4</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29.7</w:t>
                  </w:r>
                </w:p>
              </w:tc>
              <w:tc>
                <w:tcPr>
                  <w:tcW w:w="598" w:type="dxa"/>
                  <w:vAlign w:val="center"/>
                </w:tcPr>
                <w:p>
                  <w:pPr>
                    <w:pStyle w:val="46"/>
                    <w:keepNext w:val="0"/>
                    <w:keepLines w:val="0"/>
                    <w:pageBreakBefore w:val="0"/>
                    <w:widowControl w:val="0"/>
                    <w:kinsoku/>
                    <w:wordWrap/>
                    <w:overflowPunct/>
                    <w:topLinePunct w:val="0"/>
                    <w:autoSpaceDE/>
                    <w:autoSpaceDN/>
                    <w:bidi w:val="0"/>
                    <w:adjustRightInd/>
                    <w:snapToGrid/>
                    <w:ind w:left="21" w:leftChars="10" w:right="57"/>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29.1</w:t>
                  </w:r>
                </w:p>
              </w:tc>
            </w:tr>
          </w:tbl>
          <w:p>
            <w:pPr>
              <w:pStyle w:val="46"/>
              <w:tabs>
                <w:tab w:val="left" w:pos="1174"/>
                <w:tab w:val="left" w:pos="5494"/>
              </w:tabs>
              <w:spacing w:line="268" w:lineRule="exact"/>
              <w:ind w:left="421"/>
              <w:jc w:val="center"/>
              <w:rPr>
                <w:rFonts w:ascii="Times New Roman" w:eastAsia="Times New Roman"/>
                <w:b/>
                <w:color w:val="auto"/>
                <w:highlight w:val="none"/>
              </w:rPr>
            </w:pPr>
          </w:p>
          <w:p>
            <w:pPr>
              <w:pStyle w:val="28"/>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0" w:firstLineChars="200"/>
              <w:jc w:val="both"/>
              <w:textAlignment w:val="auto"/>
              <w:rPr>
                <w:rFonts w:hint="eastAsia"/>
                <w:b w:val="0"/>
                <w:bCs w:val="0"/>
                <w:color w:val="auto"/>
                <w:lang w:eastAsia="zh-CN"/>
              </w:rPr>
            </w:pPr>
            <w:r>
              <w:rPr>
                <w:rFonts w:hint="default"/>
                <w:b w:val="0"/>
                <w:bCs w:val="0"/>
                <w:color w:val="auto"/>
                <w:lang w:eastAsia="zh-CN"/>
              </w:rPr>
              <w:t>根据预测结果可知，</w:t>
            </w:r>
            <w:r>
              <w:rPr>
                <w:rFonts w:hint="eastAsia"/>
                <w:b w:val="0"/>
                <w:bCs w:val="0"/>
                <w:color w:val="auto"/>
                <w:lang w:eastAsia="zh-CN"/>
              </w:rPr>
              <w:t>以地基与基础阶段为例，</w:t>
            </w:r>
            <w:r>
              <w:rPr>
                <w:rFonts w:hint="default"/>
                <w:b w:val="0"/>
                <w:bCs w:val="0"/>
                <w:color w:val="auto"/>
                <w:lang w:eastAsia="zh-CN"/>
              </w:rPr>
              <w:t>多台施工机械同时施工时，昼间</w:t>
            </w:r>
            <w:r>
              <w:rPr>
                <w:rFonts w:hint="eastAsia"/>
                <w:b w:val="0"/>
                <w:bCs w:val="0"/>
                <w:color w:val="auto"/>
                <w:lang w:val="en-US" w:eastAsia="zh-CN"/>
              </w:rPr>
              <w:t>12</w:t>
            </w:r>
            <w:r>
              <w:rPr>
                <w:rFonts w:hint="default"/>
                <w:b w:val="0"/>
                <w:bCs w:val="0"/>
                <w:color w:val="auto"/>
                <w:lang w:eastAsia="zh-CN"/>
              </w:rPr>
              <w:t>m处，夜间</w:t>
            </w:r>
            <w:r>
              <w:rPr>
                <w:rFonts w:hint="eastAsia"/>
                <w:b w:val="0"/>
                <w:bCs w:val="0"/>
                <w:color w:val="auto"/>
                <w:lang w:val="en-US" w:eastAsia="zh-CN"/>
              </w:rPr>
              <w:t>65</w:t>
            </w:r>
            <w:r>
              <w:rPr>
                <w:rFonts w:hint="default"/>
                <w:b w:val="0"/>
                <w:bCs w:val="0"/>
                <w:color w:val="auto"/>
                <w:lang w:eastAsia="zh-CN"/>
              </w:rPr>
              <w:t>m处噪声能够满足《建筑施工场界环境噪声排放标准》</w:t>
            </w:r>
            <w:r>
              <w:rPr>
                <w:rFonts w:hint="eastAsia"/>
                <w:b w:val="0"/>
                <w:bCs w:val="0"/>
                <w:color w:val="auto"/>
                <w:lang w:eastAsia="zh-CN"/>
              </w:rPr>
              <w:t>（</w:t>
            </w:r>
            <w:r>
              <w:rPr>
                <w:rFonts w:hint="default"/>
                <w:b w:val="0"/>
                <w:bCs w:val="0"/>
                <w:color w:val="auto"/>
                <w:lang w:eastAsia="zh-CN"/>
              </w:rPr>
              <w:t>GB12523-2011</w:t>
            </w:r>
            <w:r>
              <w:rPr>
                <w:rFonts w:hint="eastAsia"/>
                <w:b w:val="0"/>
                <w:bCs w:val="0"/>
                <w:color w:val="auto"/>
                <w:lang w:eastAsia="zh-CN"/>
              </w:rPr>
              <w:t>）</w:t>
            </w:r>
            <w:r>
              <w:rPr>
                <w:rFonts w:hint="default"/>
                <w:b w:val="0"/>
                <w:bCs w:val="0"/>
                <w:color w:val="auto"/>
                <w:lang w:eastAsia="zh-CN"/>
              </w:rPr>
              <w:t>标准限值</w:t>
            </w:r>
            <w:r>
              <w:rPr>
                <w:rFonts w:hint="eastAsia"/>
                <w:b w:val="0"/>
                <w:bCs w:val="0"/>
                <w:color w:val="auto"/>
                <w:lang w:eastAsia="zh-CN"/>
              </w:rPr>
              <w:t>（昼间</w:t>
            </w:r>
            <w:r>
              <w:rPr>
                <w:rFonts w:hint="eastAsia"/>
                <w:b w:val="0"/>
                <w:bCs w:val="0"/>
                <w:color w:val="auto"/>
                <w:lang w:val="en-US" w:eastAsia="zh-CN"/>
              </w:rPr>
              <w:t>70dB（A）、夜间55dB（A）</w:t>
            </w:r>
            <w:r>
              <w:rPr>
                <w:rFonts w:hint="eastAsia"/>
                <w:b w:val="0"/>
                <w:bCs w:val="0"/>
                <w:color w:val="auto"/>
                <w:lang w:eastAsia="zh-CN"/>
              </w:rPr>
              <w:t>）要求。</w:t>
            </w:r>
          </w:p>
          <w:p>
            <w:pPr>
              <w:widowControl/>
              <w:spacing w:line="360" w:lineRule="auto"/>
              <w:ind w:firstLine="480" w:firstLineChars="200"/>
              <w:jc w:val="left"/>
              <w:rPr>
                <w:rFonts w:hint="eastAsia" w:ascii="宋体" w:hAnsi="宋体" w:cs="宋体"/>
                <w:color w:val="auto"/>
                <w:kern w:val="0"/>
                <w:sz w:val="24"/>
                <w:szCs w:val="24"/>
                <w:lang w:bidi="ar"/>
              </w:rPr>
            </w:pPr>
            <w:r>
              <w:rPr>
                <w:rFonts w:hint="default"/>
                <w:b w:val="0"/>
                <w:bCs w:val="0"/>
                <w:color w:val="auto"/>
                <w:sz w:val="24"/>
                <w:szCs w:val="24"/>
                <w:lang w:eastAsia="zh-CN"/>
              </w:rPr>
              <w:t>项目夜间施工噪声降至标准值 55dB（A）的衰减距离较远，</w:t>
            </w:r>
            <w:r>
              <w:rPr>
                <w:rFonts w:hint="eastAsia" w:ascii="宋体" w:hAnsi="宋体" w:cs="宋体"/>
                <w:color w:val="auto"/>
                <w:kern w:val="0"/>
                <w:sz w:val="24"/>
                <w:szCs w:val="24"/>
                <w:lang w:bidi="ar"/>
              </w:rPr>
              <w:t xml:space="preserve">为了不产生噪声扰民，建议施工方采取以下措施以避免或减缓此不利影响： </w:t>
            </w:r>
          </w:p>
          <w:p>
            <w:pPr>
              <w:pStyle w:val="46"/>
              <w:spacing w:line="360" w:lineRule="auto"/>
              <w:ind w:firstLine="480" w:firstLineChars="200"/>
              <w:jc w:val="left"/>
              <w:rPr>
                <w:rFonts w:ascii="Times New Roman" w:hAnsi="Times New Roman" w:cs="Times New Roman"/>
                <w:color w:val="auto"/>
                <w:sz w:val="24"/>
              </w:rPr>
            </w:pPr>
            <w:r>
              <w:rPr>
                <w:rFonts w:ascii="Times New Roman" w:hAnsi="Times New Roman" w:eastAsia="Times New Roman" w:cs="Times New Roman"/>
                <w:color w:val="auto"/>
                <w:sz w:val="24"/>
              </w:rPr>
              <w:t>A</w:t>
            </w:r>
            <w:r>
              <w:rPr>
                <w:rFonts w:hint="eastAsia" w:ascii="Times New Roman" w:hAnsi="Times New Roman" w:eastAsia="宋体" w:cs="Times New Roman"/>
                <w:color w:val="auto"/>
                <w:sz w:val="24"/>
                <w:lang w:eastAsia="zh-CN"/>
              </w:rPr>
              <w:t>.</w:t>
            </w:r>
            <w:r>
              <w:rPr>
                <w:rFonts w:ascii="Times New Roman" w:hAnsi="Times New Roman" w:cs="Times New Roman"/>
                <w:color w:val="auto"/>
                <w:sz w:val="24"/>
              </w:rPr>
              <w:t>合理安排施工时间，严禁</w:t>
            </w:r>
            <w:r>
              <w:rPr>
                <w:rFonts w:hint="eastAsia" w:ascii="Times New Roman" w:hAnsi="Times New Roman" w:cs="Times New Roman"/>
                <w:color w:val="auto"/>
                <w:sz w:val="24"/>
                <w:lang w:eastAsia="zh-CN"/>
              </w:rPr>
              <w:t>午</w:t>
            </w:r>
            <w:r>
              <w:rPr>
                <w:rFonts w:ascii="Times New Roman" w:hAnsi="Times New Roman" w:cs="Times New Roman"/>
                <w:color w:val="auto"/>
                <w:sz w:val="24"/>
              </w:rPr>
              <w:t>间（</w:t>
            </w:r>
            <w:r>
              <w:rPr>
                <w:rFonts w:ascii="Times New Roman" w:hAnsi="Times New Roman" w:eastAsia="Times New Roman" w:cs="Times New Roman"/>
                <w:color w:val="auto"/>
                <w:sz w:val="24"/>
              </w:rPr>
              <w:t>12:00-14:00</w:t>
            </w:r>
            <w:r>
              <w:rPr>
                <w:rFonts w:ascii="Times New Roman" w:hAnsi="Times New Roman" w:cs="Times New Roman"/>
                <w:color w:val="auto"/>
                <w:sz w:val="24"/>
              </w:rPr>
              <w:t>）和夜间（</w:t>
            </w:r>
            <w:r>
              <w:rPr>
                <w:rFonts w:ascii="Times New Roman" w:hAnsi="Times New Roman" w:eastAsia="Times New Roman" w:cs="Times New Roman"/>
                <w:color w:val="auto"/>
                <w:sz w:val="24"/>
              </w:rPr>
              <w:t>22</w:t>
            </w:r>
            <w:r>
              <w:rPr>
                <w:rFonts w:hint="eastAsia" w:ascii="Times New Roman" w:hAnsi="Times New Roman" w:eastAsia="宋体" w:cs="Times New Roman"/>
                <w:color w:val="auto"/>
                <w:sz w:val="24"/>
                <w:lang w:eastAsia="zh-CN"/>
              </w:rPr>
              <w:t>:</w:t>
            </w:r>
            <w:r>
              <w:rPr>
                <w:rFonts w:ascii="Times New Roman" w:hAnsi="Times New Roman" w:eastAsia="Times New Roman" w:cs="Times New Roman"/>
                <w:color w:val="auto"/>
                <w:sz w:val="24"/>
              </w:rPr>
              <w:t>00-</w:t>
            </w:r>
            <w:r>
              <w:rPr>
                <w:rFonts w:ascii="Times New Roman" w:hAnsi="Times New Roman" w:cs="Times New Roman"/>
                <w:color w:val="auto"/>
                <w:sz w:val="24"/>
              </w:rPr>
              <w:t>次日</w:t>
            </w:r>
            <w:r>
              <w:rPr>
                <w:rFonts w:ascii="Times New Roman" w:hAnsi="Times New Roman" w:eastAsia="Times New Roman" w:cs="Times New Roman"/>
                <w:color w:val="auto"/>
                <w:sz w:val="24"/>
              </w:rPr>
              <w:t>6</w:t>
            </w:r>
            <w:r>
              <w:rPr>
                <w:rFonts w:ascii="Times New Roman" w:hAnsi="Times New Roman" w:eastAsia="Times New Roman" w:cs="Times New Roman"/>
                <w:color w:val="auto"/>
                <w:w w:val="99"/>
                <w:sz w:val="24"/>
              </w:rPr>
              <w:t>:</w:t>
            </w:r>
            <w:r>
              <w:rPr>
                <w:rFonts w:ascii="Times New Roman" w:hAnsi="Times New Roman" w:eastAsia="Times New Roman" w:cs="Times New Roman"/>
                <w:color w:val="auto"/>
                <w:sz w:val="24"/>
              </w:rPr>
              <w:t>00</w:t>
            </w:r>
            <w:r>
              <w:rPr>
                <w:rFonts w:ascii="Times New Roman" w:hAnsi="Times New Roman" w:cs="Times New Roman"/>
                <w:color w:val="auto"/>
                <w:sz w:val="24"/>
              </w:rPr>
              <w:t>）施工；</w:t>
            </w:r>
            <w:r>
              <w:rPr>
                <w:rFonts w:ascii="Times New Roman" w:hAnsi="Times New Roman" w:cs="Times New Roman"/>
                <w:color w:val="auto"/>
                <w:spacing w:val="2"/>
                <w:sz w:val="24"/>
              </w:rPr>
              <w:t>若</w:t>
            </w:r>
            <w:r>
              <w:rPr>
                <w:rFonts w:ascii="Times New Roman" w:hAnsi="Times New Roman" w:cs="Times New Roman"/>
                <w:color w:val="auto"/>
                <w:sz w:val="24"/>
              </w:rPr>
              <w:t>因工艺或特殊需要必</w:t>
            </w:r>
            <w:r>
              <w:rPr>
                <w:rFonts w:ascii="Times New Roman" w:hAnsi="Times New Roman" w:cs="Times New Roman"/>
                <w:color w:val="auto"/>
                <w:spacing w:val="2"/>
                <w:sz w:val="24"/>
              </w:rPr>
              <w:t>须</w:t>
            </w:r>
            <w:r>
              <w:rPr>
                <w:rFonts w:ascii="Times New Roman" w:hAnsi="Times New Roman" w:cs="Times New Roman"/>
                <w:color w:val="auto"/>
                <w:sz w:val="24"/>
              </w:rPr>
              <w:t>连续施工，施工单位</w:t>
            </w:r>
            <w:r>
              <w:rPr>
                <w:rFonts w:ascii="Times New Roman" w:hAnsi="Times New Roman" w:cs="Times New Roman"/>
                <w:color w:val="auto"/>
                <w:spacing w:val="2"/>
                <w:sz w:val="24"/>
              </w:rPr>
              <w:t>应</w:t>
            </w:r>
            <w:r>
              <w:rPr>
                <w:rFonts w:ascii="Times New Roman" w:hAnsi="Times New Roman" w:cs="Times New Roman"/>
                <w:color w:val="auto"/>
                <w:sz w:val="24"/>
              </w:rPr>
              <w:t>在施工前</w:t>
            </w:r>
            <w:r>
              <w:rPr>
                <w:rFonts w:ascii="Times New Roman" w:hAnsi="Times New Roman" w:eastAsia="Times New Roman" w:cs="Times New Roman"/>
                <w:color w:val="auto"/>
                <w:sz w:val="24"/>
              </w:rPr>
              <w:t>3</w:t>
            </w:r>
            <w:r>
              <w:rPr>
                <w:rFonts w:ascii="Times New Roman" w:hAnsi="Times New Roman" w:cs="Times New Roman"/>
                <w:color w:val="auto"/>
                <w:sz w:val="24"/>
              </w:rPr>
              <w:t>日内报请地方生态环境部门批准，并向施工场地周围的居民或单位发布公告。</w:t>
            </w:r>
          </w:p>
          <w:p>
            <w:pPr>
              <w:pStyle w:val="46"/>
              <w:numPr>
                <w:ilvl w:val="0"/>
                <w:numId w:val="6"/>
              </w:num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施工须选用低噪设备，专人负责保养维护；</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C</w:t>
            </w:r>
            <w:r>
              <w:rPr>
                <w:rFonts w:hint="eastAsia" w:ascii="Times New Roman" w:hAnsi="Times New Roman" w:cs="Times New Roman"/>
                <w:color w:val="auto"/>
                <w:sz w:val="24"/>
                <w:lang w:eastAsia="zh-CN"/>
              </w:rPr>
              <w:t>.</w:t>
            </w:r>
            <w:r>
              <w:rPr>
                <w:rFonts w:ascii="Times New Roman" w:hAnsi="Times New Roman" w:cs="Times New Roman"/>
                <w:color w:val="auto"/>
                <w:sz w:val="24"/>
              </w:rPr>
              <w:t>施工单位须将钢筋加工间等高噪声作业点根据实际情况合理</w:t>
            </w:r>
            <w:r>
              <w:rPr>
                <w:rFonts w:hint="eastAsia" w:ascii="Times New Roman" w:hAnsi="Times New Roman" w:cs="Times New Roman"/>
                <w:color w:val="auto"/>
                <w:sz w:val="24"/>
                <w:lang w:eastAsia="zh-CN"/>
              </w:rPr>
              <w:t>地</w:t>
            </w:r>
            <w:r>
              <w:rPr>
                <w:rFonts w:ascii="Times New Roman" w:hAnsi="Times New Roman" w:cs="Times New Roman"/>
                <w:color w:val="auto"/>
                <w:sz w:val="24"/>
              </w:rPr>
              <w:t>布置于施工场区中部，以有效利用施工场区的距离衰减减少对项目周边的影响，同时对施工期固定的机械设备尽量入棚操作。</w:t>
            </w:r>
          </w:p>
          <w:p>
            <w:pPr>
              <w:pStyle w:val="46"/>
              <w:spacing w:line="360" w:lineRule="auto"/>
              <w:ind w:firstLine="480" w:firstLineChars="200"/>
              <w:rPr>
                <w:rFonts w:hint="eastAsia"/>
                <w:color w:val="auto"/>
                <w:sz w:val="24"/>
              </w:rPr>
            </w:pPr>
            <w:r>
              <w:rPr>
                <w:rFonts w:ascii="Times New Roman" w:hAnsi="Times New Roman" w:cs="Times New Roman"/>
                <w:color w:val="auto"/>
                <w:sz w:val="24"/>
              </w:rPr>
              <w:t>D</w:t>
            </w:r>
            <w:r>
              <w:rPr>
                <w:rFonts w:hint="eastAsia" w:ascii="Times New Roman" w:hAnsi="Times New Roman" w:cs="Times New Roman"/>
                <w:color w:val="auto"/>
                <w:sz w:val="24"/>
                <w:lang w:eastAsia="zh-CN"/>
              </w:rPr>
              <w:t>.</w:t>
            </w:r>
            <w:r>
              <w:rPr>
                <w:rFonts w:ascii="Times New Roman" w:hAnsi="Times New Roman" w:cs="Times New Roman"/>
                <w:color w:val="auto"/>
                <w:sz w:val="24"/>
              </w:rPr>
              <w:t>建设单位应在各场界设置高围挡，根据类比，上述声屏障可有效隔声 10-20dB</w:t>
            </w:r>
            <w:r>
              <w:rPr>
                <w:rFonts w:hint="eastAsia" w:ascii="Times New Roman" w:hAnsi="Times New Roman" w:cs="Times New Roman"/>
                <w:color w:val="auto"/>
                <w:sz w:val="24"/>
                <w:lang w:eastAsia="zh-CN"/>
              </w:rPr>
              <w:t>（</w:t>
            </w:r>
            <w:r>
              <w:rPr>
                <w:rFonts w:ascii="Times New Roman" w:hAnsi="Times New Roman" w:cs="Times New Roman"/>
                <w:color w:val="auto"/>
                <w:sz w:val="24"/>
              </w:rPr>
              <w:t>A</w:t>
            </w:r>
            <w:r>
              <w:rPr>
                <w:rFonts w:hint="eastAsia" w:ascii="Times New Roman" w:hAnsi="Times New Roman" w:cs="Times New Roman"/>
                <w:color w:val="auto"/>
                <w:sz w:val="24"/>
                <w:lang w:eastAsia="zh-CN"/>
              </w:rPr>
              <w:t>）</w:t>
            </w:r>
            <w:r>
              <w:rPr>
                <w:rFonts w:ascii="Times New Roman" w:hAnsi="Times New Roman" w:cs="Times New Roman"/>
                <w:color w:val="auto"/>
                <w:sz w:val="24"/>
              </w:rPr>
              <w:t>，可大大减少施</w:t>
            </w:r>
            <w:r>
              <w:rPr>
                <w:rFonts w:hint="eastAsia"/>
                <w:color w:val="auto"/>
                <w:sz w:val="24"/>
              </w:rPr>
              <w:t>工噪声对敏感点的影响；此外，在结构阶段和装修阶段，建设单位应对建筑物外部采用围挡，以减轻施工噪声对环境影响。</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E</w:t>
            </w:r>
            <w:r>
              <w:rPr>
                <w:rFonts w:hint="eastAsia" w:ascii="Times New Roman" w:hAnsi="Times New Roman" w:cs="Times New Roman"/>
                <w:color w:val="auto"/>
                <w:sz w:val="24"/>
                <w:lang w:eastAsia="zh-CN"/>
              </w:rPr>
              <w:t>.</w:t>
            </w:r>
            <w:r>
              <w:rPr>
                <w:rFonts w:ascii="Times New Roman" w:hAnsi="Times New Roman" w:cs="Times New Roman"/>
                <w:color w:val="auto"/>
                <w:sz w:val="24"/>
              </w:rPr>
              <w:t>施工车辆出入地点应尽量远离敏感点，同时车辆出入现场时须低速、禁鸣，最大限度减少施工噪声影响。</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F</w:t>
            </w:r>
            <w:r>
              <w:rPr>
                <w:rFonts w:hint="eastAsia" w:ascii="Times New Roman" w:hAnsi="Times New Roman" w:cs="Times New Roman"/>
                <w:color w:val="auto"/>
                <w:sz w:val="24"/>
                <w:lang w:eastAsia="zh-CN"/>
              </w:rPr>
              <w:t>.</w:t>
            </w:r>
            <w:r>
              <w:rPr>
                <w:rFonts w:ascii="Times New Roman" w:hAnsi="Times New Roman" w:cs="Times New Roman"/>
                <w:color w:val="auto"/>
                <w:sz w:val="24"/>
              </w:rPr>
              <w:t>建设管理部门应加强对施工场地的噪声管理，施工企业也应对施工噪声进行自律，文明施工，禁止工人恶意制造噪声，避免因施工噪声产生纠纷。</w:t>
            </w:r>
          </w:p>
          <w:p>
            <w:pPr>
              <w:pStyle w:val="46"/>
              <w:spacing w:line="360" w:lineRule="auto"/>
              <w:ind w:firstLine="480" w:firstLineChars="200"/>
              <w:rPr>
                <w:rFonts w:ascii="Times New Roman" w:eastAsia="Times New Roman"/>
                <w:b/>
                <w:color w:val="auto"/>
              </w:rPr>
            </w:pPr>
            <w:r>
              <w:rPr>
                <w:rFonts w:ascii="Times New Roman" w:hAnsi="Times New Roman" w:cs="Times New Roman"/>
                <w:color w:val="auto"/>
                <w:sz w:val="24"/>
              </w:rPr>
              <w:t>G</w:t>
            </w:r>
            <w:r>
              <w:rPr>
                <w:rFonts w:hint="eastAsia" w:ascii="Times New Roman" w:hAnsi="Times New Roman" w:cs="Times New Roman"/>
                <w:color w:val="auto"/>
                <w:sz w:val="24"/>
                <w:lang w:eastAsia="zh-CN"/>
              </w:rPr>
              <w:t>.建设</w:t>
            </w:r>
            <w:r>
              <w:rPr>
                <w:rFonts w:ascii="Times New Roman" w:hAnsi="Times New Roman" w:cs="Times New Roman"/>
                <w:color w:val="auto"/>
                <w:sz w:val="24"/>
              </w:rPr>
              <w:t>施工单位还应与施工场地周围居民建立良好的关系，及时让他们</w:t>
            </w:r>
            <w:r>
              <w:rPr>
                <w:rFonts w:ascii="Times New Roman" w:hAnsi="Times New Roman" w:cs="Times New Roman"/>
                <w:color w:val="auto"/>
                <w:sz w:val="24"/>
                <w:highlight w:val="none"/>
              </w:rPr>
              <w:t>了解施工进度</w:t>
            </w:r>
            <w:r>
              <w:rPr>
                <w:rFonts w:hint="eastAsia"/>
                <w:color w:val="auto"/>
                <w:sz w:val="24"/>
                <w:highlight w:val="none"/>
              </w:rPr>
              <w:t>及采取的降噪措施，并取得大家的共同理解。</w:t>
            </w:r>
          </w:p>
          <w:p>
            <w:pPr>
              <w:pStyle w:val="46"/>
              <w:spacing w:before="135" w:line="360" w:lineRule="auto"/>
              <w:ind w:right="99" w:firstLine="482" w:firstLineChars="200"/>
              <w:rPr>
                <w:rFonts w:hint="eastAsia"/>
                <w:b/>
                <w:bCs/>
                <w:color w:val="auto"/>
                <w:sz w:val="24"/>
              </w:rPr>
            </w:pPr>
            <w:r>
              <w:rPr>
                <w:rFonts w:hint="eastAsia"/>
                <w:b/>
                <w:bCs/>
                <w:color w:val="auto"/>
                <w:sz w:val="24"/>
                <w:lang w:eastAsia="zh-CN"/>
              </w:rPr>
              <w:t>4.</w:t>
            </w:r>
            <w:r>
              <w:rPr>
                <w:rFonts w:hint="eastAsia"/>
                <w:b/>
                <w:bCs/>
                <w:color w:val="auto"/>
                <w:sz w:val="24"/>
              </w:rPr>
              <w:t>施工期固废</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项目施工期固废主要有建筑施工和装修过程中产生的建筑垃圾、施工人员的生活垃圾以及开挖土石方。</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施工期生活垃圾集中收集后，由环卫部门定期清运。</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工程施工过程中产生的建筑垃圾和废弃渣土应严格落实建设部《城市建筑垃圾和工程渣土管理规定》及其他相关规定和要求，妥善做好施工期间工地建筑垃圾和渣土的临时暂存、清运及综合处置工作。具体如下：</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（1）施工期建筑垃圾的主要成分是混凝土、石块、砂石、渣土等，一般不存在</w:t>
            </w:r>
            <w:r>
              <w:rPr>
                <w:rFonts w:hint="eastAsia" w:ascii="Times New Roman" w:hAnsi="Times New Roman" w:cs="Times New Roman"/>
                <w:color w:val="auto"/>
                <w:sz w:val="24"/>
                <w:lang w:eastAsia="zh-CN"/>
              </w:rPr>
              <w:t>“</w:t>
            </w:r>
            <w:r>
              <w:rPr>
                <w:rFonts w:ascii="Times New Roman" w:hAnsi="Times New Roman" w:cs="Times New Roman"/>
                <w:color w:val="auto"/>
                <w:sz w:val="24"/>
              </w:rPr>
              <w:t>二次污染</w:t>
            </w:r>
            <w:r>
              <w:rPr>
                <w:rFonts w:hint="eastAsia" w:ascii="Times New Roman" w:hAnsi="Times New Roman" w:cs="Times New Roman"/>
                <w:color w:val="auto"/>
                <w:sz w:val="24"/>
                <w:lang w:eastAsia="zh-CN"/>
              </w:rPr>
              <w:t>”</w:t>
            </w:r>
            <w:r>
              <w:rPr>
                <w:rFonts w:ascii="Times New Roman" w:hAnsi="Times New Roman" w:cs="Times New Roman"/>
                <w:color w:val="auto"/>
                <w:sz w:val="24"/>
              </w:rPr>
              <w:t>的问题，部分可回收利用，也可以</w:t>
            </w:r>
            <w:r>
              <w:rPr>
                <w:rFonts w:hint="eastAsia" w:ascii="Times New Roman" w:hAnsi="Times New Roman" w:cs="Times New Roman"/>
                <w:color w:val="auto"/>
                <w:sz w:val="24"/>
                <w:lang w:eastAsia="zh-CN"/>
              </w:rPr>
              <w:t>用作</w:t>
            </w:r>
            <w:r>
              <w:rPr>
                <w:rFonts w:ascii="Times New Roman" w:hAnsi="Times New Roman" w:cs="Times New Roman"/>
                <w:color w:val="auto"/>
                <w:sz w:val="24"/>
              </w:rPr>
              <w:t>其他工程回填，如铺设道路，</w:t>
            </w:r>
            <w:r>
              <w:rPr>
                <w:rFonts w:ascii="Segoe UI" w:hAnsi="Segoe UI" w:eastAsia="Segoe UI" w:cs="Segoe UI"/>
                <w:i w:val="0"/>
                <w:iCs w:val="0"/>
                <w:caps w:val="0"/>
                <w:color w:val="auto"/>
                <w:spacing w:val="0"/>
                <w:sz w:val="24"/>
                <w:szCs w:val="24"/>
                <w:shd w:val="clear" w:fill="FFFFFF"/>
              </w:rPr>
              <w:t>剩余少量建筑垃圾应委托有资质的单位清运至合规的建筑垃圾消纳场或资源化利用处置中心进行无害化处置，并严格执行当地城市建设管理部门的相关要求。同时做好施工过程中多余渣土和建筑垃圾的及时清运工作，避免在场地长期堆存，渣土和建筑垃圾临时堆存场所应选择在远离周边水体、地势平坦区域，同时做好堆场四周围挡和排水等水保措施。</w:t>
            </w:r>
          </w:p>
          <w:p>
            <w:pPr>
              <w:pStyle w:val="46"/>
              <w:spacing w:line="360" w:lineRule="auto"/>
              <w:ind w:firstLine="480" w:firstLineChars="200"/>
              <w:rPr>
                <w:rFonts w:hint="eastAsia"/>
                <w:color w:val="auto"/>
                <w:sz w:val="24"/>
              </w:rPr>
            </w:pPr>
            <w:r>
              <w:rPr>
                <w:rFonts w:ascii="Times New Roman" w:hAnsi="Times New Roman" w:cs="Times New Roman"/>
                <w:color w:val="auto"/>
                <w:sz w:val="24"/>
              </w:rPr>
              <w:t>（2）不得将建筑施工渣土</w:t>
            </w:r>
            <w:r>
              <w:rPr>
                <w:rFonts w:hint="eastAsia"/>
                <w:color w:val="auto"/>
                <w:sz w:val="24"/>
              </w:rPr>
              <w:t>（建筑垃圾）混入生活垃圾，不得将危险废物混入建筑施工渣土（建筑垃圾），不得擅自设立弃置场</w:t>
            </w:r>
            <w:r>
              <w:rPr>
                <w:rFonts w:hint="eastAsia"/>
                <w:color w:val="auto"/>
                <w:sz w:val="24"/>
                <w:lang w:eastAsia="zh-CN"/>
              </w:rPr>
              <w:t>收纳</w:t>
            </w:r>
            <w:r>
              <w:rPr>
                <w:rFonts w:hint="eastAsia"/>
                <w:color w:val="auto"/>
                <w:sz w:val="24"/>
              </w:rPr>
              <w:t>建筑施工渣土（建筑垃圾）。</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（3）</w:t>
            </w:r>
            <w:r>
              <w:rPr>
                <w:rFonts w:hint="eastAsia" w:ascii="Times New Roman" w:hAnsi="Times New Roman" w:cs="Times New Roman"/>
                <w:color w:val="auto"/>
                <w:sz w:val="24"/>
                <w:lang w:eastAsia="zh-CN"/>
              </w:rPr>
              <w:t>建设</w:t>
            </w:r>
            <w:r>
              <w:rPr>
                <w:rFonts w:ascii="Times New Roman" w:hAnsi="Times New Roman" w:cs="Times New Roman"/>
                <w:color w:val="auto"/>
                <w:sz w:val="24"/>
              </w:rPr>
              <w:t>施工单位应当及时清运工程施工过程中产生的建筑施工渣土（建筑垃圾），保持市容市貌，防止环境污染。</w:t>
            </w:r>
          </w:p>
          <w:p>
            <w:pPr>
              <w:pStyle w:val="46"/>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4）运输建筑施工渣土（建筑垃圾）的车辆应符合限定载重吨位和防遗撒、防扬尘运输要求。建筑垃圾、工程渣土准运证由市城管执法部门按一车一证核发。未取得建筑施工渣土（建筑垃圾）准运证的车辆不得运输建筑垃圾、工程渣土。</w:t>
            </w:r>
          </w:p>
          <w:p>
            <w:pPr>
              <w:pStyle w:val="46"/>
              <w:spacing w:line="360" w:lineRule="auto"/>
              <w:ind w:firstLine="480" w:firstLineChars="200"/>
              <w:rPr>
                <w:rFonts w:hint="eastAsia"/>
                <w:color w:val="auto"/>
                <w:sz w:val="24"/>
              </w:rPr>
            </w:pPr>
            <w:r>
              <w:rPr>
                <w:rFonts w:ascii="Times New Roman" w:hAnsi="Times New Roman" w:cs="Times New Roman"/>
                <w:color w:val="auto"/>
                <w:sz w:val="24"/>
              </w:rPr>
              <w:t>（5）建</w:t>
            </w:r>
            <w:r>
              <w:rPr>
                <w:rFonts w:hint="eastAsia"/>
                <w:color w:val="auto"/>
                <w:sz w:val="24"/>
              </w:rPr>
              <w:t>筑施工渣土（建筑垃圾）运输单位，应当严格落实建筑施工渣土（建筑垃圾）运输及堆放管理措施。 建筑施工渣土（建筑垃圾）车辆证照不全或未经运输核准不准进入施工现场；应当随车携带建筑施工渣土（建筑垃圾）准运证，按规定的路线、时间行驶，不得随意变更；确需变更的，须经原审批部门同意后，方可变更。在运输过程中，车辆必须采取全封闭、全覆盖措施，确保车辆整洁，不抛洒滴漏，不污染路面，并按照市城管执法部门批准的运输路线、时间、堆放场地进行运输、倾倒。遇重污染天气，省、市启动大气污染预警应急二级、一级响应时，在预警发布至解除期间，禁止一切建筑施工渣土（建筑垃圾）运输活动。严禁出让、转借、涂改和仿造渣土处置核准文件和准运证。</w:t>
            </w:r>
          </w:p>
          <w:p>
            <w:pPr>
              <w:pStyle w:val="46"/>
              <w:spacing w:line="360" w:lineRule="auto"/>
              <w:ind w:firstLine="480" w:firstLineChars="200"/>
              <w:rPr>
                <w:rFonts w:hint="eastAsia"/>
                <w:color w:val="auto"/>
                <w:sz w:val="24"/>
              </w:rPr>
            </w:pPr>
            <w:r>
              <w:rPr>
                <w:rFonts w:hint="eastAsia"/>
                <w:color w:val="auto"/>
                <w:sz w:val="24"/>
              </w:rPr>
              <w:t>（6）建筑施工渣土（建筑垃圾）运输作业时，建设单位或施工单位应当</w:t>
            </w:r>
          </w:p>
          <w:p>
            <w:pPr>
              <w:pStyle w:val="46"/>
              <w:spacing w:line="360" w:lineRule="auto"/>
              <w:rPr>
                <w:rFonts w:hint="eastAsia"/>
                <w:color w:val="auto"/>
                <w:sz w:val="24"/>
              </w:rPr>
            </w:pPr>
            <w:r>
              <w:rPr>
                <w:rFonts w:hint="eastAsia"/>
                <w:color w:val="auto"/>
                <w:sz w:val="24"/>
              </w:rPr>
              <w:t>督促运输单位在清运时间内组织人力、物力或委托专业市容环境卫生服务单位做好车辆运输线路沿途的污染清理工作。</w:t>
            </w:r>
          </w:p>
          <w:p>
            <w:pPr>
              <w:pStyle w:val="46"/>
              <w:spacing w:line="360" w:lineRule="auto"/>
              <w:ind w:firstLine="480" w:firstLineChars="200"/>
              <w:rPr>
                <w:rFonts w:hint="eastAsia"/>
                <w:color w:val="auto"/>
                <w:sz w:val="24"/>
              </w:rPr>
            </w:pPr>
            <w:r>
              <w:rPr>
                <w:rFonts w:hint="eastAsia"/>
                <w:color w:val="auto"/>
                <w:sz w:val="24"/>
              </w:rPr>
              <w:t>综上所述，本项目施工期建设单位在采取上述治理措施后，本项目施工期的固体废弃物均实现清洁处理和处置，不会造成二次污染，对周围环境影响较小。</w:t>
            </w:r>
          </w:p>
          <w:p>
            <w:pPr>
              <w:pStyle w:val="46"/>
              <w:spacing w:before="135" w:line="357" w:lineRule="auto"/>
              <w:ind w:right="99" w:firstLine="482" w:firstLineChars="200"/>
              <w:rPr>
                <w:rFonts w:hint="eastAsia"/>
                <w:b/>
                <w:bCs/>
                <w:color w:val="auto"/>
                <w:sz w:val="24"/>
              </w:rPr>
            </w:pPr>
            <w:r>
              <w:rPr>
                <w:rFonts w:hint="eastAsia"/>
                <w:b/>
                <w:bCs/>
                <w:color w:val="auto"/>
                <w:sz w:val="24"/>
                <w:lang w:eastAsia="zh-CN"/>
              </w:rPr>
              <w:t>5.</w:t>
            </w:r>
            <w:r>
              <w:rPr>
                <w:rFonts w:hint="eastAsia"/>
                <w:b/>
                <w:bCs/>
                <w:color w:val="auto"/>
                <w:sz w:val="24"/>
              </w:rPr>
              <w:t>施工期生态环境影响和保护措施</w:t>
            </w:r>
          </w:p>
          <w:p>
            <w:pPr>
              <w:spacing w:line="360" w:lineRule="auto"/>
              <w:ind w:firstLine="480" w:firstLineChars="200"/>
              <w:rPr>
                <w:color w:val="auto"/>
                <w:sz w:val="24"/>
                <w:highlight w:val="yellow"/>
              </w:rPr>
            </w:pPr>
            <w:r>
              <w:rPr>
                <w:rFonts w:hint="eastAsia"/>
                <w:color w:val="auto"/>
                <w:sz w:val="24"/>
              </w:rPr>
              <w:t>工程施工过程中开挖土方，可能对陆地现有地表结构造成破坏，改变土壤结构。同时可能导致水土流失，破坏当地的生态环境。项目所在地为淮南市寿县丰庄镇</w:t>
            </w:r>
            <w:r>
              <w:rPr>
                <w:rFonts w:hint="eastAsia"/>
                <w:color w:val="auto"/>
                <w:sz w:val="24"/>
                <w:lang w:eastAsia="zh-CN"/>
              </w:rPr>
              <w:t>，</w:t>
            </w:r>
            <w:r>
              <w:rPr>
                <w:rFonts w:hint="eastAsia"/>
                <w:color w:val="auto"/>
                <w:sz w:val="24"/>
              </w:rPr>
              <w:t>项目建成后通过进行绿化等措施，可对原生态环境进行补偿，因此项目的建设对区域生态环境影响较小。</w:t>
            </w:r>
          </w:p>
        </w:tc>
      </w:tr>
    </w:tbl>
    <w:p>
      <w:pPr>
        <w:pStyle w:val="32"/>
        <w:rPr>
          <w:bCs/>
          <w:color w:val="auto"/>
          <w:szCs w:val="21"/>
        </w:rPr>
        <w:sectPr>
          <w:pgSz w:w="11905" w:h="16838"/>
          <w:pgMar w:top="1701" w:right="1531" w:bottom="2126" w:left="1531" w:header="851" w:footer="850" w:gutter="0"/>
          <w:cols w:space="720" w:num="1"/>
          <w:docGrid w:linePitch="312" w:charSpace="0"/>
        </w:sectPr>
      </w:pPr>
    </w:p>
    <w:tbl>
      <w:tblPr>
        <w:tblStyle w:val="24"/>
        <w:tblW w:w="132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7" w:hRule="atLeast"/>
          <w:jc w:val="center"/>
        </w:trPr>
        <w:tc>
          <w:tcPr>
            <w:tcW w:w="427" w:type="dxa"/>
            <w:vAlign w:val="center"/>
          </w:tcPr>
          <w:p>
            <w:pPr>
              <w:pStyle w:val="19"/>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运营</w:t>
            </w:r>
          </w:p>
          <w:p>
            <w:pPr>
              <w:pStyle w:val="19"/>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期环</w:t>
            </w:r>
          </w:p>
          <w:p>
            <w:pPr>
              <w:pStyle w:val="19"/>
              <w:spacing w:before="0" w:beforeAutospacing="0" w:after="0" w:afterAutospacing="0"/>
              <w:jc w:val="center"/>
              <w:rPr>
                <w:rFonts w:ascii="Times New Roman" w:hAnsi="Times New Roman"/>
                <w:b/>
                <w:bCs/>
                <w:color w:val="auto"/>
                <w:kern w:val="2"/>
                <w:szCs w:val="24"/>
              </w:rPr>
            </w:pPr>
            <w:r>
              <w:rPr>
                <w:rFonts w:ascii="Times New Roman" w:hAnsi="Times New Roman"/>
                <w:b/>
                <w:bCs/>
                <w:color w:val="auto"/>
                <w:kern w:val="2"/>
                <w:szCs w:val="24"/>
              </w:rPr>
              <w:t>境影</w:t>
            </w:r>
          </w:p>
          <w:p>
            <w:pPr>
              <w:pStyle w:val="19"/>
              <w:spacing w:before="0" w:beforeAutospacing="0" w:after="0" w:afterAutospacing="0"/>
              <w:jc w:val="center"/>
              <w:rPr>
                <w:rFonts w:hint="eastAsia" w:ascii="黑体" w:hAnsi="黑体" w:eastAsia="黑体"/>
                <w:snapToGrid w:val="0"/>
                <w:color w:val="auto"/>
                <w:szCs w:val="24"/>
              </w:rPr>
            </w:pPr>
            <w:r>
              <w:rPr>
                <w:rFonts w:ascii="Times New Roman" w:hAnsi="Times New Roman"/>
                <w:b/>
                <w:bCs/>
                <w:color w:val="auto"/>
                <w:kern w:val="2"/>
                <w:szCs w:val="24"/>
              </w:rPr>
              <w:t>响和保护措施</w:t>
            </w:r>
          </w:p>
        </w:tc>
        <w:tc>
          <w:tcPr>
            <w:tcW w:w="12800" w:type="dxa"/>
            <w:vAlign w:val="center"/>
          </w:tcPr>
          <w:p>
            <w:pPr>
              <w:pStyle w:val="26"/>
              <w:numPr>
                <w:ilvl w:val="1"/>
                <w:numId w:val="0"/>
              </w:numPr>
              <w:spacing w:line="360" w:lineRule="auto"/>
              <w:ind w:leftChars="200"/>
              <w:rPr>
                <w:rFonts w:ascii="Times New Roman" w:hAnsi="Times New Roman"/>
                <w:color w:val="auto"/>
              </w:rPr>
            </w:pPr>
            <w:r>
              <w:rPr>
                <w:rFonts w:hint="eastAsia" w:ascii="Times New Roman" w:hAnsi="Times New Roman"/>
                <w:color w:val="auto"/>
                <w:lang w:eastAsia="zh-CN"/>
              </w:rPr>
              <w:t>1.</w:t>
            </w:r>
            <w:r>
              <w:rPr>
                <w:rFonts w:hint="eastAsia" w:ascii="Times New Roman" w:hAnsi="Times New Roman"/>
                <w:color w:val="auto"/>
              </w:rPr>
              <w:t>废气</w:t>
            </w:r>
          </w:p>
          <w:p>
            <w:pPr>
              <w:pStyle w:val="26"/>
              <w:numPr>
                <w:ilvl w:val="1"/>
                <w:numId w:val="0"/>
              </w:numPr>
              <w:spacing w:line="360" w:lineRule="auto"/>
              <w:ind w:leftChars="200"/>
              <w:rPr>
                <w:rFonts w:ascii="Times New Roman" w:hAnsi="Times New Roman"/>
                <w:color w:val="auto"/>
              </w:rPr>
            </w:pPr>
            <w:r>
              <w:rPr>
                <w:rFonts w:ascii="Times New Roman" w:hAnsi="Times New Roman"/>
                <w:color w:val="auto"/>
              </w:rPr>
              <w:t>1.1污染工序及源强分析</w:t>
            </w:r>
          </w:p>
          <w:p>
            <w:pPr>
              <w:pStyle w:val="26"/>
              <w:numPr>
                <w:ilvl w:val="1"/>
                <w:numId w:val="0"/>
              </w:numPr>
              <w:spacing w:line="360" w:lineRule="auto"/>
              <w:ind w:firstLine="480" w:firstLineChars="200"/>
              <w:rPr>
                <w:rFonts w:hint="eastAsia" w:ascii="宋体" w:hAnsi="宋体" w:cs="宋体"/>
                <w:b w:val="0"/>
                <w:bCs/>
                <w:color w:val="auto"/>
                <w:highlight w:val="none"/>
              </w:rPr>
            </w:pPr>
            <w:r>
              <w:rPr>
                <w:rFonts w:hint="eastAsia" w:ascii="Times New Roman" w:hAnsi="Times New Roman"/>
                <w:b w:val="0"/>
                <w:bCs/>
                <w:color w:val="auto"/>
                <w:highlight w:val="none"/>
              </w:rPr>
              <w:t>项目运营过程中产生的废气主要为</w:t>
            </w:r>
            <w:r>
              <w:rPr>
                <w:rFonts w:hint="eastAsia" w:ascii="宋体" w:hAnsi="宋体" w:cs="宋体"/>
                <w:color w:val="auto"/>
                <w:highlight w:val="none"/>
              </w:rPr>
              <w:t>堆场卸料上料粉尘、输送</w:t>
            </w:r>
            <w:r>
              <w:rPr>
                <w:rFonts w:hint="eastAsia" w:ascii="宋体" w:hAnsi="宋体" w:cs="宋体"/>
                <w:color w:val="auto"/>
                <w:highlight w:val="none"/>
                <w:lang w:eastAsia="zh-CN"/>
              </w:rPr>
              <w:t>、计量</w:t>
            </w:r>
            <w:r>
              <w:rPr>
                <w:rFonts w:hint="eastAsia" w:ascii="宋体" w:hAnsi="宋体" w:cs="宋体"/>
                <w:color w:val="auto"/>
                <w:highlight w:val="none"/>
              </w:rPr>
              <w:t>粉尘、</w:t>
            </w:r>
            <w:r>
              <w:rPr>
                <w:rFonts w:hint="eastAsia" w:ascii="宋体" w:hAnsi="宋体" w:cs="宋体"/>
                <w:color w:val="auto"/>
                <w:highlight w:val="none"/>
                <w:lang w:eastAsia="zh-CN"/>
              </w:rPr>
              <w:t>水泥罐</w:t>
            </w:r>
            <w:r>
              <w:rPr>
                <w:rFonts w:hint="eastAsia" w:ascii="宋体" w:hAnsi="宋体" w:cs="宋体"/>
                <w:color w:val="auto"/>
                <w:highlight w:val="none"/>
              </w:rPr>
              <w:t>呼吸孔粉尘、搅拌粉尘</w:t>
            </w:r>
            <w:r>
              <w:rPr>
                <w:rFonts w:hint="eastAsia" w:ascii="宋体" w:hAnsi="宋体" w:cs="宋体"/>
                <w:color w:val="auto"/>
                <w:highlight w:val="none"/>
                <w:lang w:eastAsia="zh-CN"/>
              </w:rPr>
              <w:t>。</w:t>
            </w:r>
            <w:r>
              <w:rPr>
                <w:rFonts w:hint="eastAsia" w:ascii="宋体" w:hAnsi="宋体" w:cs="宋体"/>
                <w:color w:val="auto"/>
                <w:highlight w:val="none"/>
              </w:rPr>
              <w:t>车辆运输扬尘</w:t>
            </w:r>
            <w:r>
              <w:rPr>
                <w:rFonts w:hint="eastAsia" w:ascii="宋体" w:hAnsi="宋体" w:cs="宋体"/>
                <w:color w:val="auto"/>
                <w:kern w:val="0"/>
                <w:highlight w:val="none"/>
                <w:lang w:bidi="ar"/>
              </w:rPr>
              <w:t>。</w:t>
            </w:r>
            <w:r>
              <w:rPr>
                <w:rFonts w:hint="eastAsia" w:ascii="宋体" w:hAnsi="宋体" w:cs="宋体"/>
                <w:b w:val="0"/>
                <w:bCs/>
                <w:color w:val="auto"/>
                <w:highlight w:val="none"/>
              </w:rPr>
              <w:t>废气源强及排放口信息汇总具体见下表。</w:t>
            </w:r>
          </w:p>
          <w:p>
            <w:pPr>
              <w:pStyle w:val="4"/>
              <w:jc w:val="center"/>
              <w:rPr>
                <w:b/>
                <w:bCs/>
                <w:color w:val="auto"/>
                <w:szCs w:val="21"/>
                <w:highlight w:val="none"/>
              </w:rPr>
            </w:pPr>
            <w:r>
              <w:rPr>
                <w:b/>
                <w:bCs/>
                <w:color w:val="auto"/>
                <w:szCs w:val="21"/>
                <w:highlight w:val="none"/>
              </w:rPr>
              <w:t>表</w:t>
            </w:r>
            <w:r>
              <w:rPr>
                <w:rFonts w:hint="eastAsia"/>
                <w:b/>
                <w:bCs/>
                <w:color w:val="auto"/>
                <w:szCs w:val="21"/>
                <w:highlight w:val="none"/>
              </w:rPr>
              <w:t>4-</w:t>
            </w:r>
            <w:r>
              <w:rPr>
                <w:rFonts w:hint="eastAsia"/>
                <w:b/>
                <w:bCs/>
                <w:color w:val="auto"/>
                <w:szCs w:val="21"/>
                <w:highlight w:val="none"/>
                <w:lang w:val="en-US" w:eastAsia="zh-CN"/>
              </w:rPr>
              <w:t>3</w:t>
            </w:r>
            <w:r>
              <w:rPr>
                <w:rFonts w:hint="eastAsia"/>
                <w:b/>
                <w:bCs/>
                <w:color w:val="auto"/>
                <w:szCs w:val="21"/>
                <w:highlight w:val="none"/>
              </w:rPr>
              <w:t xml:space="preserve"> 项目</w:t>
            </w:r>
            <w:r>
              <w:rPr>
                <w:rFonts w:hint="eastAsia"/>
                <w:b/>
                <w:bCs/>
                <w:color w:val="auto"/>
                <w:szCs w:val="21"/>
                <w:highlight w:val="none"/>
                <w:lang w:eastAsia="zh-CN"/>
              </w:rPr>
              <w:t>有组织</w:t>
            </w:r>
            <w:r>
              <w:rPr>
                <w:b/>
                <w:bCs/>
                <w:color w:val="auto"/>
                <w:szCs w:val="21"/>
                <w:highlight w:val="none"/>
              </w:rPr>
              <w:t>废气污染源正常排放汇总表</w:t>
            </w:r>
          </w:p>
          <w:tbl>
            <w:tblPr>
              <w:tblStyle w:val="24"/>
              <w:tblW w:w="1256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387"/>
              <w:gridCol w:w="387"/>
              <w:gridCol w:w="690"/>
              <w:gridCol w:w="539"/>
              <w:gridCol w:w="515"/>
              <w:gridCol w:w="557"/>
              <w:gridCol w:w="529"/>
              <w:gridCol w:w="658"/>
              <w:gridCol w:w="388"/>
              <w:gridCol w:w="388"/>
              <w:gridCol w:w="690"/>
              <w:gridCol w:w="601"/>
              <w:gridCol w:w="515"/>
              <w:gridCol w:w="720"/>
              <w:gridCol w:w="388"/>
              <w:gridCol w:w="430"/>
              <w:gridCol w:w="388"/>
              <w:gridCol w:w="388"/>
              <w:gridCol w:w="1790"/>
              <w:gridCol w:w="690"/>
              <w:gridCol w:w="5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 w:type="dxa"/>
                  <w:vMerge w:val="restart"/>
                  <w:vAlign w:val="center"/>
                </w:tcPr>
                <w:p>
                  <w:pPr>
                    <w:pStyle w:val="4"/>
                    <w:jc w:val="center"/>
                    <w:rPr>
                      <w:b/>
                      <w:bCs/>
                      <w:color w:val="auto"/>
                      <w:szCs w:val="21"/>
                      <w:highlight w:val="none"/>
                    </w:rPr>
                  </w:pPr>
                  <w:r>
                    <w:rPr>
                      <w:b/>
                      <w:bCs/>
                      <w:color w:val="auto"/>
                      <w:szCs w:val="21"/>
                      <w:highlight w:val="none"/>
                    </w:rPr>
                    <w:t>产排污环节</w:t>
                  </w:r>
                </w:p>
              </w:tc>
              <w:tc>
                <w:tcPr>
                  <w:tcW w:w="387" w:type="dxa"/>
                  <w:vMerge w:val="restart"/>
                  <w:vAlign w:val="center"/>
                </w:tcPr>
                <w:p>
                  <w:pPr>
                    <w:pStyle w:val="4"/>
                    <w:jc w:val="center"/>
                    <w:rPr>
                      <w:b/>
                      <w:bCs/>
                      <w:color w:val="auto"/>
                      <w:szCs w:val="21"/>
                      <w:highlight w:val="none"/>
                    </w:rPr>
                  </w:pPr>
                  <w:r>
                    <w:rPr>
                      <w:b/>
                      <w:bCs/>
                      <w:color w:val="auto"/>
                      <w:szCs w:val="21"/>
                      <w:highlight w:val="none"/>
                    </w:rPr>
                    <w:t>排放形式</w:t>
                  </w:r>
                </w:p>
              </w:tc>
              <w:tc>
                <w:tcPr>
                  <w:tcW w:w="387" w:type="dxa"/>
                  <w:vMerge w:val="restart"/>
                  <w:vAlign w:val="center"/>
                </w:tcPr>
                <w:p>
                  <w:pPr>
                    <w:pStyle w:val="4"/>
                    <w:jc w:val="center"/>
                    <w:rPr>
                      <w:b/>
                      <w:bCs/>
                      <w:color w:val="auto"/>
                      <w:szCs w:val="21"/>
                      <w:highlight w:val="none"/>
                    </w:rPr>
                  </w:pPr>
                  <w:r>
                    <w:rPr>
                      <w:b/>
                      <w:bCs/>
                      <w:color w:val="auto"/>
                      <w:szCs w:val="21"/>
                      <w:highlight w:val="none"/>
                    </w:rPr>
                    <w:t>污染物</w:t>
                  </w:r>
                </w:p>
                <w:p>
                  <w:pPr>
                    <w:pStyle w:val="4"/>
                    <w:jc w:val="center"/>
                    <w:rPr>
                      <w:b/>
                      <w:bCs/>
                      <w:color w:val="auto"/>
                      <w:szCs w:val="21"/>
                      <w:highlight w:val="none"/>
                    </w:rPr>
                  </w:pPr>
                  <w:r>
                    <w:rPr>
                      <w:b/>
                      <w:bCs/>
                      <w:color w:val="auto"/>
                      <w:szCs w:val="21"/>
                      <w:highlight w:val="none"/>
                    </w:rPr>
                    <w:t>种类</w:t>
                  </w:r>
                </w:p>
              </w:tc>
              <w:tc>
                <w:tcPr>
                  <w:tcW w:w="1744" w:type="dxa"/>
                  <w:gridSpan w:val="3"/>
                  <w:vAlign w:val="center"/>
                </w:tcPr>
                <w:p>
                  <w:pPr>
                    <w:pStyle w:val="4"/>
                    <w:jc w:val="center"/>
                    <w:rPr>
                      <w:rFonts w:hint="eastAsia"/>
                      <w:b/>
                      <w:bCs/>
                      <w:color w:val="auto"/>
                      <w:szCs w:val="21"/>
                      <w:highlight w:val="none"/>
                    </w:rPr>
                  </w:pPr>
                  <w:r>
                    <w:rPr>
                      <w:b/>
                      <w:bCs/>
                      <w:color w:val="auto"/>
                      <w:szCs w:val="21"/>
                      <w:highlight w:val="none"/>
                    </w:rPr>
                    <w:t>污染物产生</w:t>
                  </w:r>
                  <w:r>
                    <w:rPr>
                      <w:rFonts w:hint="eastAsia"/>
                      <w:b/>
                      <w:bCs/>
                      <w:color w:val="auto"/>
                      <w:szCs w:val="21"/>
                      <w:highlight w:val="none"/>
                    </w:rPr>
                    <w:t>情况</w:t>
                  </w:r>
                </w:p>
              </w:tc>
              <w:tc>
                <w:tcPr>
                  <w:tcW w:w="2520" w:type="dxa"/>
                  <w:gridSpan w:val="5"/>
                  <w:vAlign w:val="center"/>
                </w:tcPr>
                <w:p>
                  <w:pPr>
                    <w:pStyle w:val="4"/>
                    <w:jc w:val="center"/>
                    <w:rPr>
                      <w:b/>
                      <w:bCs/>
                      <w:color w:val="auto"/>
                      <w:szCs w:val="21"/>
                      <w:highlight w:val="none"/>
                    </w:rPr>
                  </w:pPr>
                  <w:r>
                    <w:rPr>
                      <w:b/>
                      <w:bCs/>
                      <w:color w:val="auto"/>
                      <w:szCs w:val="21"/>
                      <w:highlight w:val="none"/>
                    </w:rPr>
                    <w:t>污染治理设施</w:t>
                  </w:r>
                </w:p>
              </w:tc>
              <w:tc>
                <w:tcPr>
                  <w:tcW w:w="1806" w:type="dxa"/>
                  <w:gridSpan w:val="3"/>
                  <w:vAlign w:val="center"/>
                </w:tcPr>
                <w:p>
                  <w:pPr>
                    <w:pStyle w:val="4"/>
                    <w:jc w:val="center"/>
                    <w:rPr>
                      <w:rFonts w:hint="eastAsia"/>
                      <w:b/>
                      <w:bCs/>
                      <w:color w:val="auto"/>
                      <w:szCs w:val="21"/>
                      <w:highlight w:val="none"/>
                    </w:rPr>
                  </w:pPr>
                  <w:r>
                    <w:rPr>
                      <w:b/>
                      <w:bCs/>
                      <w:color w:val="auto"/>
                      <w:szCs w:val="21"/>
                      <w:highlight w:val="none"/>
                    </w:rPr>
                    <w:t>污染物排放</w:t>
                  </w:r>
                  <w:r>
                    <w:rPr>
                      <w:rFonts w:hint="eastAsia"/>
                      <w:b/>
                      <w:bCs/>
                      <w:color w:val="auto"/>
                      <w:szCs w:val="21"/>
                      <w:highlight w:val="none"/>
                    </w:rPr>
                    <w:t>情况</w:t>
                  </w:r>
                </w:p>
              </w:tc>
              <w:tc>
                <w:tcPr>
                  <w:tcW w:w="4104" w:type="dxa"/>
                  <w:gridSpan w:val="6"/>
                  <w:vAlign w:val="center"/>
                </w:tcPr>
                <w:p>
                  <w:pPr>
                    <w:pStyle w:val="4"/>
                    <w:jc w:val="center"/>
                    <w:rPr>
                      <w:b/>
                      <w:bCs/>
                      <w:color w:val="auto"/>
                      <w:szCs w:val="21"/>
                      <w:highlight w:val="none"/>
                    </w:rPr>
                  </w:pPr>
                  <w:r>
                    <w:rPr>
                      <w:b/>
                      <w:bCs/>
                      <w:color w:val="auto"/>
                      <w:szCs w:val="21"/>
                      <w:highlight w:val="none"/>
                    </w:rPr>
                    <w:t>排放口基本情况</w:t>
                  </w:r>
                </w:p>
              </w:tc>
              <w:tc>
                <w:tcPr>
                  <w:tcW w:w="1229" w:type="dxa"/>
                  <w:gridSpan w:val="2"/>
                  <w:vAlign w:val="center"/>
                </w:tcPr>
                <w:p>
                  <w:pPr>
                    <w:pStyle w:val="4"/>
                    <w:jc w:val="center"/>
                    <w:rPr>
                      <w:b/>
                      <w:bCs/>
                      <w:color w:val="auto"/>
                      <w:szCs w:val="21"/>
                      <w:highlight w:val="none"/>
                    </w:rPr>
                  </w:pPr>
                  <w:r>
                    <w:rPr>
                      <w:b/>
                      <w:bCs/>
                      <w:color w:val="auto"/>
                      <w:szCs w:val="21"/>
                      <w:highlight w:val="none"/>
                    </w:rPr>
                    <w:t>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7" w:type="dxa"/>
                  <w:vMerge w:val="continue"/>
                  <w:vAlign w:val="center"/>
                </w:tcPr>
                <w:p>
                  <w:pPr>
                    <w:pStyle w:val="4"/>
                    <w:jc w:val="center"/>
                    <w:rPr>
                      <w:b/>
                      <w:bCs/>
                      <w:color w:val="auto"/>
                      <w:szCs w:val="21"/>
                      <w:highlight w:val="none"/>
                    </w:rPr>
                  </w:pPr>
                </w:p>
              </w:tc>
              <w:tc>
                <w:tcPr>
                  <w:tcW w:w="387" w:type="dxa"/>
                  <w:vMerge w:val="continue"/>
                  <w:vAlign w:val="center"/>
                </w:tcPr>
                <w:p>
                  <w:pPr>
                    <w:pStyle w:val="4"/>
                    <w:jc w:val="center"/>
                    <w:rPr>
                      <w:b/>
                      <w:bCs/>
                      <w:color w:val="auto"/>
                      <w:szCs w:val="21"/>
                      <w:highlight w:val="none"/>
                    </w:rPr>
                  </w:pPr>
                </w:p>
              </w:tc>
              <w:tc>
                <w:tcPr>
                  <w:tcW w:w="387" w:type="dxa"/>
                  <w:vMerge w:val="continue"/>
                  <w:vAlign w:val="center"/>
                </w:tcPr>
                <w:p>
                  <w:pPr>
                    <w:pStyle w:val="4"/>
                    <w:jc w:val="center"/>
                    <w:rPr>
                      <w:b/>
                      <w:bCs/>
                      <w:color w:val="auto"/>
                      <w:szCs w:val="21"/>
                      <w:highlight w:val="none"/>
                    </w:rPr>
                  </w:pPr>
                </w:p>
              </w:tc>
              <w:tc>
                <w:tcPr>
                  <w:tcW w:w="690" w:type="dxa"/>
                  <w:vAlign w:val="center"/>
                </w:tcPr>
                <w:p>
                  <w:pPr>
                    <w:pStyle w:val="4"/>
                    <w:jc w:val="center"/>
                    <w:rPr>
                      <w:b/>
                      <w:bCs/>
                      <w:color w:val="auto"/>
                      <w:szCs w:val="21"/>
                      <w:highlight w:val="none"/>
                    </w:rPr>
                  </w:pPr>
                  <w:r>
                    <w:rPr>
                      <w:b/>
                      <w:bCs/>
                      <w:color w:val="auto"/>
                      <w:szCs w:val="21"/>
                      <w:highlight w:val="none"/>
                    </w:rPr>
                    <w:t>产生浓度</w:t>
                  </w:r>
                </w:p>
              </w:tc>
              <w:tc>
                <w:tcPr>
                  <w:tcW w:w="539" w:type="dxa"/>
                  <w:vAlign w:val="center"/>
                </w:tcPr>
                <w:p>
                  <w:pPr>
                    <w:pStyle w:val="4"/>
                    <w:jc w:val="center"/>
                    <w:rPr>
                      <w:rFonts w:hint="eastAsia"/>
                      <w:b/>
                      <w:bCs/>
                      <w:color w:val="auto"/>
                      <w:szCs w:val="21"/>
                      <w:highlight w:val="none"/>
                    </w:rPr>
                  </w:pPr>
                  <w:r>
                    <w:rPr>
                      <w:b/>
                      <w:bCs/>
                      <w:color w:val="auto"/>
                      <w:szCs w:val="21"/>
                      <w:highlight w:val="none"/>
                    </w:rPr>
                    <w:t>产生</w:t>
                  </w:r>
                  <w:r>
                    <w:rPr>
                      <w:rFonts w:hint="eastAsia"/>
                      <w:b/>
                      <w:bCs/>
                      <w:color w:val="auto"/>
                      <w:szCs w:val="21"/>
                      <w:highlight w:val="none"/>
                    </w:rPr>
                    <w:t>速率</w:t>
                  </w:r>
                </w:p>
              </w:tc>
              <w:tc>
                <w:tcPr>
                  <w:tcW w:w="515" w:type="dxa"/>
                  <w:vAlign w:val="center"/>
                </w:tcPr>
                <w:p>
                  <w:pPr>
                    <w:pStyle w:val="4"/>
                    <w:jc w:val="center"/>
                    <w:rPr>
                      <w:b/>
                      <w:bCs/>
                      <w:color w:val="auto"/>
                      <w:szCs w:val="21"/>
                      <w:highlight w:val="none"/>
                    </w:rPr>
                  </w:pPr>
                  <w:r>
                    <w:rPr>
                      <w:b/>
                      <w:bCs/>
                      <w:color w:val="auto"/>
                      <w:szCs w:val="21"/>
                      <w:highlight w:val="none"/>
                    </w:rPr>
                    <w:t>产生量</w:t>
                  </w:r>
                </w:p>
              </w:tc>
              <w:tc>
                <w:tcPr>
                  <w:tcW w:w="557" w:type="dxa"/>
                  <w:vAlign w:val="center"/>
                </w:tcPr>
                <w:p>
                  <w:pPr>
                    <w:pStyle w:val="4"/>
                    <w:jc w:val="center"/>
                    <w:rPr>
                      <w:b/>
                      <w:bCs/>
                      <w:color w:val="auto"/>
                      <w:szCs w:val="21"/>
                      <w:highlight w:val="none"/>
                    </w:rPr>
                  </w:pPr>
                  <w:r>
                    <w:rPr>
                      <w:b/>
                      <w:bCs/>
                      <w:color w:val="auto"/>
                      <w:szCs w:val="21"/>
                      <w:highlight w:val="none"/>
                    </w:rPr>
                    <w:t>处理能力</w:t>
                  </w:r>
                </w:p>
              </w:tc>
              <w:tc>
                <w:tcPr>
                  <w:tcW w:w="529" w:type="dxa"/>
                  <w:vMerge w:val="restart"/>
                  <w:vAlign w:val="center"/>
                </w:tcPr>
                <w:p>
                  <w:pPr>
                    <w:pStyle w:val="4"/>
                    <w:jc w:val="center"/>
                    <w:rPr>
                      <w:b/>
                      <w:bCs/>
                      <w:color w:val="auto"/>
                      <w:szCs w:val="21"/>
                      <w:highlight w:val="none"/>
                    </w:rPr>
                  </w:pPr>
                  <w:r>
                    <w:rPr>
                      <w:b/>
                      <w:bCs/>
                      <w:color w:val="auto"/>
                      <w:szCs w:val="21"/>
                      <w:highlight w:val="none"/>
                    </w:rPr>
                    <w:t>收集效率</w:t>
                  </w:r>
                </w:p>
              </w:tc>
              <w:tc>
                <w:tcPr>
                  <w:tcW w:w="658" w:type="dxa"/>
                  <w:vMerge w:val="restart"/>
                  <w:vAlign w:val="center"/>
                </w:tcPr>
                <w:p>
                  <w:pPr>
                    <w:pStyle w:val="4"/>
                    <w:jc w:val="center"/>
                    <w:rPr>
                      <w:b/>
                      <w:bCs/>
                      <w:color w:val="auto"/>
                      <w:szCs w:val="21"/>
                      <w:highlight w:val="none"/>
                    </w:rPr>
                  </w:pPr>
                  <w:r>
                    <w:rPr>
                      <w:b/>
                      <w:bCs/>
                      <w:color w:val="auto"/>
                      <w:szCs w:val="21"/>
                      <w:highlight w:val="none"/>
                    </w:rPr>
                    <w:t>去除效率</w:t>
                  </w:r>
                </w:p>
              </w:tc>
              <w:tc>
                <w:tcPr>
                  <w:tcW w:w="388" w:type="dxa"/>
                  <w:vMerge w:val="restart"/>
                  <w:vAlign w:val="center"/>
                </w:tcPr>
                <w:p>
                  <w:pPr>
                    <w:pStyle w:val="4"/>
                    <w:jc w:val="center"/>
                    <w:rPr>
                      <w:b/>
                      <w:bCs/>
                      <w:color w:val="auto"/>
                      <w:szCs w:val="21"/>
                      <w:highlight w:val="none"/>
                    </w:rPr>
                  </w:pPr>
                  <w:r>
                    <w:rPr>
                      <w:b/>
                      <w:bCs/>
                      <w:color w:val="auto"/>
                      <w:szCs w:val="21"/>
                      <w:highlight w:val="none"/>
                    </w:rPr>
                    <w:t>是否可行技术</w:t>
                  </w:r>
                </w:p>
              </w:tc>
              <w:tc>
                <w:tcPr>
                  <w:tcW w:w="388" w:type="dxa"/>
                  <w:vMerge w:val="restart"/>
                  <w:vAlign w:val="center"/>
                </w:tcPr>
                <w:p>
                  <w:pPr>
                    <w:pStyle w:val="4"/>
                    <w:jc w:val="center"/>
                    <w:rPr>
                      <w:rFonts w:hint="eastAsia"/>
                      <w:b/>
                      <w:bCs/>
                      <w:color w:val="auto"/>
                      <w:szCs w:val="21"/>
                      <w:highlight w:val="none"/>
                    </w:rPr>
                  </w:pPr>
                  <w:r>
                    <w:rPr>
                      <w:rFonts w:hint="eastAsia"/>
                      <w:b/>
                      <w:bCs/>
                      <w:color w:val="auto"/>
                      <w:szCs w:val="21"/>
                      <w:highlight w:val="none"/>
                    </w:rPr>
                    <w:t>处理工艺</w:t>
                  </w:r>
                </w:p>
              </w:tc>
              <w:tc>
                <w:tcPr>
                  <w:tcW w:w="690" w:type="dxa"/>
                  <w:vAlign w:val="center"/>
                </w:tcPr>
                <w:p>
                  <w:pPr>
                    <w:pStyle w:val="4"/>
                    <w:jc w:val="center"/>
                    <w:rPr>
                      <w:b/>
                      <w:bCs/>
                      <w:color w:val="auto"/>
                      <w:szCs w:val="21"/>
                      <w:highlight w:val="none"/>
                    </w:rPr>
                  </w:pPr>
                  <w:r>
                    <w:rPr>
                      <w:b/>
                      <w:bCs/>
                      <w:color w:val="auto"/>
                      <w:szCs w:val="21"/>
                      <w:highlight w:val="none"/>
                    </w:rPr>
                    <w:t>排放浓度</w:t>
                  </w:r>
                </w:p>
              </w:tc>
              <w:tc>
                <w:tcPr>
                  <w:tcW w:w="601" w:type="dxa"/>
                  <w:vAlign w:val="center"/>
                </w:tcPr>
                <w:p>
                  <w:pPr>
                    <w:pStyle w:val="4"/>
                    <w:jc w:val="center"/>
                    <w:rPr>
                      <w:b/>
                      <w:bCs/>
                      <w:color w:val="auto"/>
                      <w:szCs w:val="21"/>
                      <w:highlight w:val="none"/>
                    </w:rPr>
                  </w:pPr>
                  <w:r>
                    <w:rPr>
                      <w:rFonts w:hint="eastAsia"/>
                      <w:b/>
                      <w:bCs/>
                      <w:color w:val="auto"/>
                      <w:szCs w:val="21"/>
                      <w:highlight w:val="none"/>
                    </w:rPr>
                    <w:t>排放速率</w:t>
                  </w:r>
                </w:p>
              </w:tc>
              <w:tc>
                <w:tcPr>
                  <w:tcW w:w="515" w:type="dxa"/>
                  <w:vAlign w:val="center"/>
                </w:tcPr>
                <w:p>
                  <w:pPr>
                    <w:pStyle w:val="4"/>
                    <w:jc w:val="center"/>
                    <w:rPr>
                      <w:b/>
                      <w:bCs/>
                      <w:color w:val="auto"/>
                      <w:szCs w:val="21"/>
                      <w:highlight w:val="none"/>
                    </w:rPr>
                  </w:pPr>
                  <w:r>
                    <w:rPr>
                      <w:b/>
                      <w:bCs/>
                      <w:color w:val="auto"/>
                      <w:szCs w:val="21"/>
                      <w:highlight w:val="none"/>
                    </w:rPr>
                    <w:t>排放量</w:t>
                  </w:r>
                </w:p>
              </w:tc>
              <w:tc>
                <w:tcPr>
                  <w:tcW w:w="720" w:type="dxa"/>
                  <w:vAlign w:val="center"/>
                </w:tcPr>
                <w:p>
                  <w:pPr>
                    <w:pStyle w:val="4"/>
                    <w:jc w:val="center"/>
                    <w:rPr>
                      <w:b/>
                      <w:bCs/>
                      <w:color w:val="auto"/>
                      <w:szCs w:val="21"/>
                      <w:highlight w:val="none"/>
                    </w:rPr>
                  </w:pPr>
                  <w:r>
                    <w:rPr>
                      <w:b/>
                      <w:bCs/>
                      <w:color w:val="auto"/>
                      <w:szCs w:val="21"/>
                      <w:highlight w:val="none"/>
                    </w:rPr>
                    <w:t>编号及名称</w:t>
                  </w:r>
                </w:p>
              </w:tc>
              <w:tc>
                <w:tcPr>
                  <w:tcW w:w="388" w:type="dxa"/>
                  <w:vAlign w:val="center"/>
                </w:tcPr>
                <w:p>
                  <w:pPr>
                    <w:pStyle w:val="4"/>
                    <w:jc w:val="center"/>
                    <w:rPr>
                      <w:b/>
                      <w:bCs/>
                      <w:color w:val="auto"/>
                      <w:szCs w:val="21"/>
                      <w:highlight w:val="none"/>
                    </w:rPr>
                  </w:pPr>
                  <w:r>
                    <w:rPr>
                      <w:b/>
                      <w:bCs/>
                      <w:color w:val="auto"/>
                      <w:szCs w:val="21"/>
                      <w:highlight w:val="none"/>
                    </w:rPr>
                    <w:t>高度</w:t>
                  </w:r>
                </w:p>
              </w:tc>
              <w:tc>
                <w:tcPr>
                  <w:tcW w:w="430" w:type="dxa"/>
                  <w:vAlign w:val="center"/>
                </w:tcPr>
                <w:p>
                  <w:pPr>
                    <w:pStyle w:val="4"/>
                    <w:jc w:val="center"/>
                    <w:rPr>
                      <w:b/>
                      <w:bCs/>
                      <w:color w:val="auto"/>
                      <w:szCs w:val="21"/>
                      <w:highlight w:val="none"/>
                    </w:rPr>
                  </w:pPr>
                  <w:r>
                    <w:rPr>
                      <w:b/>
                      <w:bCs/>
                      <w:color w:val="auto"/>
                      <w:szCs w:val="21"/>
                      <w:highlight w:val="none"/>
                    </w:rPr>
                    <w:t>内径</w:t>
                  </w:r>
                </w:p>
              </w:tc>
              <w:tc>
                <w:tcPr>
                  <w:tcW w:w="388" w:type="dxa"/>
                  <w:vAlign w:val="center"/>
                </w:tcPr>
                <w:p>
                  <w:pPr>
                    <w:pStyle w:val="4"/>
                    <w:jc w:val="center"/>
                    <w:rPr>
                      <w:b/>
                      <w:bCs/>
                      <w:color w:val="auto"/>
                      <w:szCs w:val="21"/>
                      <w:highlight w:val="none"/>
                    </w:rPr>
                  </w:pPr>
                  <w:r>
                    <w:rPr>
                      <w:b/>
                      <w:bCs/>
                      <w:color w:val="auto"/>
                      <w:szCs w:val="21"/>
                      <w:highlight w:val="none"/>
                    </w:rPr>
                    <w:t>温度</w:t>
                  </w:r>
                </w:p>
              </w:tc>
              <w:tc>
                <w:tcPr>
                  <w:tcW w:w="388" w:type="dxa"/>
                  <w:vAlign w:val="center"/>
                </w:tcPr>
                <w:p>
                  <w:pPr>
                    <w:pStyle w:val="4"/>
                    <w:jc w:val="center"/>
                    <w:rPr>
                      <w:b/>
                      <w:bCs/>
                      <w:color w:val="auto"/>
                      <w:szCs w:val="21"/>
                      <w:highlight w:val="none"/>
                    </w:rPr>
                  </w:pPr>
                  <w:r>
                    <w:rPr>
                      <w:b/>
                      <w:bCs/>
                      <w:color w:val="auto"/>
                      <w:szCs w:val="21"/>
                      <w:highlight w:val="none"/>
                    </w:rPr>
                    <w:t>类型</w:t>
                  </w:r>
                </w:p>
              </w:tc>
              <w:tc>
                <w:tcPr>
                  <w:tcW w:w="1790" w:type="dxa"/>
                  <w:vAlign w:val="center"/>
                </w:tcPr>
                <w:p>
                  <w:pPr>
                    <w:pStyle w:val="4"/>
                    <w:jc w:val="center"/>
                    <w:rPr>
                      <w:b/>
                      <w:bCs/>
                      <w:color w:val="auto"/>
                      <w:szCs w:val="21"/>
                      <w:highlight w:val="none"/>
                    </w:rPr>
                  </w:pPr>
                  <w:r>
                    <w:rPr>
                      <w:b/>
                      <w:bCs/>
                      <w:color w:val="auto"/>
                      <w:szCs w:val="21"/>
                      <w:highlight w:val="none"/>
                    </w:rPr>
                    <w:t>地理</w:t>
                  </w:r>
                </w:p>
                <w:p>
                  <w:pPr>
                    <w:pStyle w:val="4"/>
                    <w:jc w:val="center"/>
                    <w:rPr>
                      <w:b/>
                      <w:bCs/>
                      <w:color w:val="auto"/>
                      <w:szCs w:val="21"/>
                      <w:highlight w:val="none"/>
                    </w:rPr>
                  </w:pPr>
                  <w:r>
                    <w:rPr>
                      <w:b/>
                      <w:bCs/>
                      <w:color w:val="auto"/>
                      <w:szCs w:val="21"/>
                      <w:highlight w:val="none"/>
                    </w:rPr>
                    <w:t>坐标</w:t>
                  </w:r>
                </w:p>
              </w:tc>
              <w:tc>
                <w:tcPr>
                  <w:tcW w:w="690" w:type="dxa"/>
                  <w:vMerge w:val="restart"/>
                  <w:vAlign w:val="center"/>
                </w:tcPr>
                <w:p>
                  <w:pPr>
                    <w:pStyle w:val="4"/>
                    <w:jc w:val="center"/>
                    <w:rPr>
                      <w:b/>
                      <w:bCs/>
                      <w:color w:val="auto"/>
                      <w:szCs w:val="21"/>
                      <w:highlight w:val="none"/>
                    </w:rPr>
                  </w:pPr>
                  <w:r>
                    <w:rPr>
                      <w:b/>
                      <w:bCs/>
                      <w:color w:val="auto"/>
                      <w:szCs w:val="21"/>
                      <w:highlight w:val="none"/>
                    </w:rPr>
                    <w:t>浓度</w:t>
                  </w:r>
                </w:p>
                <w:p>
                  <w:pPr>
                    <w:pStyle w:val="4"/>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539" w:type="dxa"/>
                  <w:vMerge w:val="restart"/>
                  <w:vAlign w:val="center"/>
                </w:tcPr>
                <w:p>
                  <w:pPr>
                    <w:pStyle w:val="4"/>
                    <w:jc w:val="center"/>
                    <w:rPr>
                      <w:b/>
                      <w:bCs/>
                      <w:color w:val="auto"/>
                      <w:szCs w:val="21"/>
                      <w:highlight w:val="none"/>
                    </w:rPr>
                  </w:pPr>
                  <w:r>
                    <w:rPr>
                      <w:b/>
                      <w:bCs/>
                      <w:color w:val="auto"/>
                      <w:szCs w:val="21"/>
                      <w:highlight w:val="none"/>
                    </w:rPr>
                    <w:t>速率</w:t>
                  </w:r>
                </w:p>
                <w:p>
                  <w:pPr>
                    <w:pStyle w:val="4"/>
                    <w:jc w:val="center"/>
                    <w:rPr>
                      <w:b/>
                      <w:bCs/>
                      <w:color w:val="auto"/>
                      <w:szCs w:val="21"/>
                      <w:highlight w:val="none"/>
                    </w:rPr>
                  </w:pPr>
                  <w:r>
                    <w:rPr>
                      <w:b/>
                      <w:bCs/>
                      <w:color w:val="auto"/>
                      <w:szCs w:val="21"/>
                      <w:highlight w:val="none"/>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 w:type="dxa"/>
                  <w:vMerge w:val="continue"/>
                  <w:vAlign w:val="center"/>
                </w:tcPr>
                <w:p>
                  <w:pPr>
                    <w:pStyle w:val="4"/>
                    <w:jc w:val="center"/>
                    <w:rPr>
                      <w:b/>
                      <w:bCs/>
                      <w:color w:val="auto"/>
                      <w:szCs w:val="21"/>
                      <w:highlight w:val="none"/>
                    </w:rPr>
                  </w:pPr>
                </w:p>
              </w:tc>
              <w:tc>
                <w:tcPr>
                  <w:tcW w:w="387" w:type="dxa"/>
                  <w:vMerge w:val="continue"/>
                  <w:vAlign w:val="center"/>
                </w:tcPr>
                <w:p>
                  <w:pPr>
                    <w:pStyle w:val="4"/>
                    <w:jc w:val="center"/>
                    <w:rPr>
                      <w:b/>
                      <w:bCs/>
                      <w:color w:val="auto"/>
                      <w:szCs w:val="21"/>
                      <w:highlight w:val="none"/>
                    </w:rPr>
                  </w:pPr>
                </w:p>
              </w:tc>
              <w:tc>
                <w:tcPr>
                  <w:tcW w:w="387" w:type="dxa"/>
                  <w:vMerge w:val="continue"/>
                  <w:vAlign w:val="center"/>
                </w:tcPr>
                <w:p>
                  <w:pPr>
                    <w:pStyle w:val="4"/>
                    <w:jc w:val="center"/>
                    <w:rPr>
                      <w:b/>
                      <w:bCs/>
                      <w:color w:val="auto"/>
                      <w:szCs w:val="21"/>
                      <w:highlight w:val="none"/>
                    </w:rPr>
                  </w:pPr>
                </w:p>
              </w:tc>
              <w:tc>
                <w:tcPr>
                  <w:tcW w:w="690" w:type="dxa"/>
                  <w:vAlign w:val="center"/>
                </w:tcPr>
                <w:p>
                  <w:pPr>
                    <w:pStyle w:val="4"/>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539" w:type="dxa"/>
                  <w:vAlign w:val="center"/>
                </w:tcPr>
                <w:p>
                  <w:pPr>
                    <w:pStyle w:val="4"/>
                    <w:jc w:val="center"/>
                    <w:rPr>
                      <w:b/>
                      <w:bCs/>
                      <w:color w:val="auto"/>
                      <w:szCs w:val="21"/>
                      <w:highlight w:val="none"/>
                    </w:rPr>
                  </w:pPr>
                  <w:r>
                    <w:rPr>
                      <w:b/>
                      <w:bCs/>
                      <w:color w:val="auto"/>
                      <w:szCs w:val="21"/>
                      <w:highlight w:val="none"/>
                    </w:rPr>
                    <w:t>kg/h</w:t>
                  </w:r>
                </w:p>
              </w:tc>
              <w:tc>
                <w:tcPr>
                  <w:tcW w:w="515" w:type="dxa"/>
                  <w:vAlign w:val="center"/>
                </w:tcPr>
                <w:p>
                  <w:pPr>
                    <w:pStyle w:val="4"/>
                    <w:jc w:val="center"/>
                    <w:rPr>
                      <w:b/>
                      <w:bCs/>
                      <w:color w:val="auto"/>
                      <w:szCs w:val="21"/>
                      <w:highlight w:val="none"/>
                    </w:rPr>
                  </w:pPr>
                  <w:r>
                    <w:rPr>
                      <w:rFonts w:hint="eastAsia"/>
                      <w:b/>
                      <w:bCs/>
                      <w:color w:val="auto"/>
                      <w:szCs w:val="21"/>
                      <w:highlight w:val="none"/>
                    </w:rPr>
                    <w:t>t</w:t>
                  </w:r>
                  <w:r>
                    <w:rPr>
                      <w:b/>
                      <w:bCs/>
                      <w:color w:val="auto"/>
                      <w:szCs w:val="21"/>
                      <w:highlight w:val="none"/>
                    </w:rPr>
                    <w:t>/a</w:t>
                  </w:r>
                </w:p>
              </w:tc>
              <w:tc>
                <w:tcPr>
                  <w:tcW w:w="557" w:type="dxa"/>
                  <w:vAlign w:val="center"/>
                </w:tcPr>
                <w:p>
                  <w:pPr>
                    <w:pStyle w:val="4"/>
                    <w:jc w:val="center"/>
                    <w:rPr>
                      <w:b/>
                      <w:bCs/>
                      <w:color w:val="auto"/>
                      <w:szCs w:val="21"/>
                      <w:highlight w:val="none"/>
                    </w:rPr>
                  </w:pPr>
                  <w:r>
                    <w:rPr>
                      <w:b/>
                      <w:bCs/>
                      <w:color w:val="auto"/>
                      <w:szCs w:val="21"/>
                      <w:highlight w:val="none"/>
                    </w:rPr>
                    <w:t>m</w:t>
                  </w:r>
                  <w:r>
                    <w:rPr>
                      <w:b/>
                      <w:bCs/>
                      <w:color w:val="auto"/>
                      <w:szCs w:val="21"/>
                      <w:highlight w:val="none"/>
                      <w:vertAlign w:val="superscript"/>
                    </w:rPr>
                    <w:t>3</w:t>
                  </w:r>
                  <w:r>
                    <w:rPr>
                      <w:b/>
                      <w:bCs/>
                      <w:color w:val="auto"/>
                      <w:szCs w:val="21"/>
                      <w:highlight w:val="none"/>
                    </w:rPr>
                    <w:t>/h</w:t>
                  </w:r>
                </w:p>
              </w:tc>
              <w:tc>
                <w:tcPr>
                  <w:tcW w:w="529" w:type="dxa"/>
                  <w:vMerge w:val="continue"/>
                  <w:vAlign w:val="center"/>
                </w:tcPr>
                <w:p>
                  <w:pPr>
                    <w:pStyle w:val="4"/>
                    <w:rPr>
                      <w:b/>
                      <w:bCs/>
                      <w:color w:val="auto"/>
                      <w:szCs w:val="21"/>
                      <w:highlight w:val="none"/>
                    </w:rPr>
                  </w:pPr>
                </w:p>
              </w:tc>
              <w:tc>
                <w:tcPr>
                  <w:tcW w:w="658" w:type="dxa"/>
                  <w:vMerge w:val="continue"/>
                  <w:vAlign w:val="center"/>
                </w:tcPr>
                <w:p>
                  <w:pPr>
                    <w:pStyle w:val="4"/>
                    <w:rPr>
                      <w:b/>
                      <w:bCs/>
                      <w:color w:val="auto"/>
                      <w:szCs w:val="21"/>
                      <w:highlight w:val="none"/>
                    </w:rPr>
                  </w:pPr>
                </w:p>
              </w:tc>
              <w:tc>
                <w:tcPr>
                  <w:tcW w:w="388" w:type="dxa"/>
                  <w:vMerge w:val="continue"/>
                  <w:vAlign w:val="center"/>
                </w:tcPr>
                <w:p>
                  <w:pPr>
                    <w:pStyle w:val="4"/>
                    <w:jc w:val="center"/>
                    <w:rPr>
                      <w:b/>
                      <w:bCs/>
                      <w:color w:val="auto"/>
                      <w:szCs w:val="21"/>
                      <w:highlight w:val="none"/>
                    </w:rPr>
                  </w:pPr>
                </w:p>
              </w:tc>
              <w:tc>
                <w:tcPr>
                  <w:tcW w:w="388" w:type="dxa"/>
                  <w:vMerge w:val="continue"/>
                  <w:vAlign w:val="center"/>
                </w:tcPr>
                <w:p>
                  <w:pPr>
                    <w:pStyle w:val="4"/>
                    <w:jc w:val="center"/>
                    <w:rPr>
                      <w:b/>
                      <w:bCs/>
                      <w:color w:val="auto"/>
                      <w:szCs w:val="21"/>
                      <w:highlight w:val="none"/>
                    </w:rPr>
                  </w:pPr>
                </w:p>
              </w:tc>
              <w:tc>
                <w:tcPr>
                  <w:tcW w:w="690" w:type="dxa"/>
                  <w:vAlign w:val="center"/>
                </w:tcPr>
                <w:p>
                  <w:pPr>
                    <w:pStyle w:val="4"/>
                    <w:jc w:val="center"/>
                    <w:rPr>
                      <w:b/>
                      <w:bCs/>
                      <w:color w:val="auto"/>
                      <w:szCs w:val="21"/>
                      <w:highlight w:val="none"/>
                    </w:rPr>
                  </w:pPr>
                  <w:r>
                    <w:rPr>
                      <w:b/>
                      <w:bCs/>
                      <w:color w:val="auto"/>
                      <w:szCs w:val="21"/>
                      <w:highlight w:val="none"/>
                    </w:rPr>
                    <w:t>mg/m</w:t>
                  </w:r>
                  <w:r>
                    <w:rPr>
                      <w:b/>
                      <w:bCs/>
                      <w:color w:val="auto"/>
                      <w:szCs w:val="21"/>
                      <w:highlight w:val="none"/>
                      <w:vertAlign w:val="superscript"/>
                    </w:rPr>
                    <w:t>3</w:t>
                  </w:r>
                </w:p>
              </w:tc>
              <w:tc>
                <w:tcPr>
                  <w:tcW w:w="601" w:type="dxa"/>
                  <w:vAlign w:val="center"/>
                </w:tcPr>
                <w:p>
                  <w:pPr>
                    <w:pStyle w:val="4"/>
                    <w:jc w:val="center"/>
                    <w:rPr>
                      <w:b/>
                      <w:bCs/>
                      <w:color w:val="auto"/>
                      <w:szCs w:val="21"/>
                      <w:highlight w:val="none"/>
                    </w:rPr>
                  </w:pPr>
                  <w:r>
                    <w:rPr>
                      <w:b/>
                      <w:bCs/>
                      <w:color w:val="auto"/>
                      <w:szCs w:val="21"/>
                      <w:highlight w:val="none"/>
                    </w:rPr>
                    <w:t>kg/h</w:t>
                  </w:r>
                </w:p>
              </w:tc>
              <w:tc>
                <w:tcPr>
                  <w:tcW w:w="515" w:type="dxa"/>
                  <w:vAlign w:val="center"/>
                </w:tcPr>
                <w:p>
                  <w:pPr>
                    <w:pStyle w:val="4"/>
                    <w:jc w:val="center"/>
                    <w:rPr>
                      <w:b/>
                      <w:bCs/>
                      <w:color w:val="auto"/>
                      <w:szCs w:val="21"/>
                      <w:highlight w:val="none"/>
                    </w:rPr>
                  </w:pPr>
                  <w:r>
                    <w:rPr>
                      <w:rFonts w:hint="eastAsia"/>
                      <w:b/>
                      <w:bCs/>
                      <w:color w:val="auto"/>
                      <w:szCs w:val="21"/>
                      <w:highlight w:val="none"/>
                    </w:rPr>
                    <w:t>t</w:t>
                  </w:r>
                  <w:r>
                    <w:rPr>
                      <w:b/>
                      <w:bCs/>
                      <w:color w:val="auto"/>
                      <w:szCs w:val="21"/>
                      <w:highlight w:val="none"/>
                    </w:rPr>
                    <w:t>/a</w:t>
                  </w:r>
                </w:p>
              </w:tc>
              <w:tc>
                <w:tcPr>
                  <w:tcW w:w="720" w:type="dxa"/>
                  <w:vAlign w:val="center"/>
                </w:tcPr>
                <w:p>
                  <w:pPr>
                    <w:pStyle w:val="4"/>
                    <w:jc w:val="center"/>
                    <w:rPr>
                      <w:b/>
                      <w:bCs/>
                      <w:color w:val="auto"/>
                      <w:szCs w:val="21"/>
                      <w:highlight w:val="none"/>
                    </w:rPr>
                  </w:pPr>
                  <w:r>
                    <w:rPr>
                      <w:b/>
                      <w:bCs/>
                      <w:color w:val="auto"/>
                      <w:szCs w:val="21"/>
                      <w:highlight w:val="none"/>
                    </w:rPr>
                    <w:t>/</w:t>
                  </w:r>
                </w:p>
              </w:tc>
              <w:tc>
                <w:tcPr>
                  <w:tcW w:w="388" w:type="dxa"/>
                  <w:vAlign w:val="center"/>
                </w:tcPr>
                <w:p>
                  <w:pPr>
                    <w:pStyle w:val="4"/>
                    <w:jc w:val="center"/>
                    <w:rPr>
                      <w:b/>
                      <w:bCs/>
                      <w:color w:val="auto"/>
                      <w:szCs w:val="21"/>
                      <w:highlight w:val="none"/>
                    </w:rPr>
                  </w:pPr>
                  <w:r>
                    <w:rPr>
                      <w:b/>
                      <w:bCs/>
                      <w:color w:val="auto"/>
                      <w:szCs w:val="21"/>
                      <w:highlight w:val="none"/>
                    </w:rPr>
                    <w:t>m</w:t>
                  </w:r>
                </w:p>
              </w:tc>
              <w:tc>
                <w:tcPr>
                  <w:tcW w:w="430" w:type="dxa"/>
                  <w:vAlign w:val="center"/>
                </w:tcPr>
                <w:p>
                  <w:pPr>
                    <w:pStyle w:val="4"/>
                    <w:jc w:val="center"/>
                    <w:rPr>
                      <w:b/>
                      <w:bCs/>
                      <w:color w:val="auto"/>
                      <w:szCs w:val="21"/>
                      <w:highlight w:val="none"/>
                    </w:rPr>
                  </w:pPr>
                  <w:r>
                    <w:rPr>
                      <w:b/>
                      <w:bCs/>
                      <w:color w:val="auto"/>
                      <w:szCs w:val="21"/>
                      <w:highlight w:val="none"/>
                    </w:rPr>
                    <w:t>m</w:t>
                  </w:r>
                </w:p>
              </w:tc>
              <w:tc>
                <w:tcPr>
                  <w:tcW w:w="388" w:type="dxa"/>
                  <w:vAlign w:val="center"/>
                </w:tcPr>
                <w:p>
                  <w:pPr>
                    <w:pStyle w:val="4"/>
                    <w:jc w:val="center"/>
                    <w:rPr>
                      <w:b/>
                      <w:bCs/>
                      <w:color w:val="auto"/>
                      <w:szCs w:val="21"/>
                      <w:highlight w:val="none"/>
                    </w:rPr>
                  </w:pPr>
                  <w:r>
                    <w:rPr>
                      <w:b/>
                      <w:bCs/>
                      <w:color w:val="auto"/>
                      <w:szCs w:val="21"/>
                      <w:highlight w:val="none"/>
                    </w:rPr>
                    <w:t>℃</w:t>
                  </w:r>
                </w:p>
              </w:tc>
              <w:tc>
                <w:tcPr>
                  <w:tcW w:w="388" w:type="dxa"/>
                  <w:vAlign w:val="center"/>
                </w:tcPr>
                <w:p>
                  <w:pPr>
                    <w:pStyle w:val="4"/>
                    <w:jc w:val="center"/>
                    <w:rPr>
                      <w:b/>
                      <w:bCs/>
                      <w:color w:val="auto"/>
                      <w:szCs w:val="21"/>
                      <w:highlight w:val="none"/>
                    </w:rPr>
                  </w:pPr>
                  <w:r>
                    <w:rPr>
                      <w:b/>
                      <w:bCs/>
                      <w:color w:val="auto"/>
                      <w:szCs w:val="21"/>
                      <w:highlight w:val="none"/>
                    </w:rPr>
                    <w:t>/</w:t>
                  </w:r>
                </w:p>
              </w:tc>
              <w:tc>
                <w:tcPr>
                  <w:tcW w:w="1790" w:type="dxa"/>
                  <w:vAlign w:val="center"/>
                </w:tcPr>
                <w:p>
                  <w:pPr>
                    <w:pStyle w:val="4"/>
                    <w:jc w:val="center"/>
                    <w:rPr>
                      <w:b/>
                      <w:bCs/>
                      <w:color w:val="auto"/>
                      <w:szCs w:val="21"/>
                      <w:highlight w:val="none"/>
                    </w:rPr>
                  </w:pPr>
                  <w:r>
                    <w:rPr>
                      <w:b/>
                      <w:bCs/>
                      <w:color w:val="auto"/>
                      <w:szCs w:val="21"/>
                      <w:highlight w:val="none"/>
                    </w:rPr>
                    <w:t>/</w:t>
                  </w:r>
                </w:p>
              </w:tc>
              <w:tc>
                <w:tcPr>
                  <w:tcW w:w="690" w:type="dxa"/>
                  <w:vMerge w:val="continue"/>
                  <w:vAlign w:val="center"/>
                </w:tcPr>
                <w:p>
                  <w:pPr>
                    <w:pStyle w:val="4"/>
                    <w:jc w:val="center"/>
                    <w:rPr>
                      <w:b/>
                      <w:bCs/>
                      <w:color w:val="auto"/>
                      <w:szCs w:val="21"/>
                      <w:highlight w:val="none"/>
                    </w:rPr>
                  </w:pPr>
                </w:p>
              </w:tc>
              <w:tc>
                <w:tcPr>
                  <w:tcW w:w="539" w:type="dxa"/>
                  <w:vMerge w:val="continue"/>
                  <w:vAlign w:val="center"/>
                </w:tcPr>
                <w:p>
                  <w:pPr>
                    <w:pStyle w:val="4"/>
                    <w:jc w:val="center"/>
                    <w:rPr>
                      <w:b/>
                      <w:bCs/>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7" w:type="dxa"/>
                  <w:vAlign w:val="center"/>
                </w:tcPr>
                <w:p>
                  <w:pPr>
                    <w:pStyle w:val="4"/>
                    <w:jc w:val="center"/>
                    <w:rPr>
                      <w:rFonts w:hint="eastAsia"/>
                      <w:color w:val="auto"/>
                      <w:szCs w:val="21"/>
                      <w:lang w:eastAsia="zh-CN"/>
                    </w:rPr>
                  </w:pPr>
                  <w:r>
                    <w:rPr>
                      <w:rFonts w:hint="eastAsia"/>
                      <w:color w:val="auto"/>
                      <w:szCs w:val="21"/>
                      <w:lang w:eastAsia="zh-CN"/>
                    </w:rPr>
                    <w:t>搅拌粉尘</w:t>
                  </w:r>
                </w:p>
              </w:tc>
              <w:tc>
                <w:tcPr>
                  <w:tcW w:w="387"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有组织</w:t>
                  </w:r>
                </w:p>
              </w:tc>
              <w:tc>
                <w:tcPr>
                  <w:tcW w:w="387"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颗粒物</w:t>
                  </w:r>
                </w:p>
              </w:tc>
              <w:tc>
                <w:tcPr>
                  <w:tcW w:w="690" w:type="dxa"/>
                  <w:vAlign w:val="center"/>
                </w:tcPr>
                <w:p>
                  <w:pPr>
                    <w:jc w:val="center"/>
                    <w:rPr>
                      <w:rFonts w:hint="default"/>
                      <w:color w:val="auto"/>
                      <w:szCs w:val="21"/>
                      <w:lang w:val="en-US" w:eastAsia="zh-CN"/>
                    </w:rPr>
                  </w:pPr>
                  <w:r>
                    <w:rPr>
                      <w:rFonts w:hint="eastAsia"/>
                      <w:color w:val="auto"/>
                      <w:szCs w:val="21"/>
                      <w:lang w:val="en-US" w:eastAsia="zh-CN"/>
                    </w:rPr>
                    <w:t>390</w:t>
                  </w:r>
                </w:p>
              </w:tc>
              <w:tc>
                <w:tcPr>
                  <w:tcW w:w="539" w:type="dxa"/>
                  <w:vAlign w:val="center"/>
                </w:tcPr>
                <w:p>
                  <w:pPr>
                    <w:jc w:val="center"/>
                    <w:rPr>
                      <w:rFonts w:hint="default"/>
                      <w:color w:val="auto"/>
                      <w:szCs w:val="21"/>
                      <w:lang w:val="en-US" w:eastAsia="zh-CN"/>
                    </w:rPr>
                  </w:pPr>
                  <w:r>
                    <w:rPr>
                      <w:rFonts w:hint="eastAsia"/>
                      <w:color w:val="auto"/>
                      <w:szCs w:val="21"/>
                      <w:lang w:val="en-US" w:eastAsia="zh-CN"/>
                    </w:rPr>
                    <w:t>7.8</w:t>
                  </w:r>
                </w:p>
              </w:tc>
              <w:tc>
                <w:tcPr>
                  <w:tcW w:w="515" w:type="dxa"/>
                  <w:vAlign w:val="center"/>
                </w:tcPr>
                <w:p>
                  <w:pPr>
                    <w:jc w:val="center"/>
                    <w:rPr>
                      <w:rFonts w:hint="default"/>
                      <w:color w:val="auto"/>
                      <w:szCs w:val="21"/>
                      <w:lang w:val="en-US" w:eastAsia="zh-CN"/>
                    </w:rPr>
                  </w:pPr>
                  <w:r>
                    <w:rPr>
                      <w:rFonts w:hint="eastAsia"/>
                      <w:color w:val="auto"/>
                      <w:szCs w:val="21"/>
                      <w:lang w:val="en-US" w:eastAsia="zh-CN"/>
                    </w:rPr>
                    <w:t>23.4</w:t>
                  </w:r>
                </w:p>
              </w:tc>
              <w:tc>
                <w:tcPr>
                  <w:tcW w:w="557" w:type="dxa"/>
                  <w:vAlign w:val="center"/>
                </w:tcPr>
                <w:p>
                  <w:pPr>
                    <w:spacing w:line="340" w:lineRule="exact"/>
                    <w:ind w:left="-105" w:leftChars="-50" w:right="-105" w:rightChars="-50"/>
                    <w:jc w:val="center"/>
                    <w:rPr>
                      <w:rFonts w:hint="default"/>
                      <w:color w:val="auto"/>
                      <w:szCs w:val="21"/>
                      <w:lang w:val="en-US" w:eastAsia="zh-CN"/>
                    </w:rPr>
                  </w:pPr>
                  <w:r>
                    <w:rPr>
                      <w:rFonts w:hint="eastAsia"/>
                      <w:color w:val="auto"/>
                      <w:szCs w:val="21"/>
                      <w:lang w:val="en-US" w:eastAsia="zh-CN"/>
                    </w:rPr>
                    <w:t>20000</w:t>
                  </w:r>
                </w:p>
              </w:tc>
              <w:tc>
                <w:tcPr>
                  <w:tcW w:w="529"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90%</w:t>
                  </w:r>
                </w:p>
              </w:tc>
              <w:tc>
                <w:tcPr>
                  <w:tcW w:w="658" w:type="dxa"/>
                  <w:vAlign w:val="center"/>
                </w:tcPr>
                <w:p>
                  <w:pPr>
                    <w:pStyle w:val="4"/>
                    <w:ind w:left="0" w:leftChars="0" w:firstLine="0" w:firstLineChars="0"/>
                    <w:jc w:val="center"/>
                    <w:rPr>
                      <w:rFonts w:hint="default"/>
                      <w:color w:val="auto"/>
                      <w:szCs w:val="21"/>
                      <w:lang w:val="en-US" w:eastAsia="zh-CN"/>
                    </w:rPr>
                  </w:pPr>
                  <w:r>
                    <w:rPr>
                      <w:rFonts w:hint="eastAsia"/>
                      <w:color w:val="auto"/>
                      <w:szCs w:val="21"/>
                      <w:lang w:val="en-US" w:eastAsia="zh-CN"/>
                    </w:rPr>
                    <w:t>99.7%</w:t>
                  </w:r>
                </w:p>
              </w:tc>
              <w:tc>
                <w:tcPr>
                  <w:tcW w:w="388" w:type="dxa"/>
                  <w:vAlign w:val="center"/>
                </w:tcPr>
                <w:p>
                  <w:pPr>
                    <w:pStyle w:val="4"/>
                    <w:ind w:left="0" w:leftChars="0" w:firstLine="0" w:firstLineChars="0"/>
                    <w:jc w:val="center"/>
                    <w:rPr>
                      <w:rFonts w:hint="eastAsia"/>
                      <w:color w:val="auto"/>
                      <w:szCs w:val="21"/>
                    </w:rPr>
                  </w:pPr>
                  <w:r>
                    <w:rPr>
                      <w:rFonts w:hint="eastAsia"/>
                      <w:color w:val="auto"/>
                      <w:szCs w:val="21"/>
                    </w:rPr>
                    <w:t>可行</w:t>
                  </w:r>
                </w:p>
              </w:tc>
              <w:tc>
                <w:tcPr>
                  <w:tcW w:w="388" w:type="dxa"/>
                  <w:vAlign w:val="center"/>
                </w:tcPr>
                <w:p>
                  <w:pPr>
                    <w:pStyle w:val="4"/>
                    <w:ind w:left="0" w:leftChars="0" w:firstLine="0" w:firstLineChars="0"/>
                    <w:jc w:val="center"/>
                    <w:rPr>
                      <w:rFonts w:hint="eastAsia"/>
                      <w:color w:val="auto"/>
                      <w:szCs w:val="21"/>
                      <w:lang w:eastAsia="zh-CN"/>
                    </w:rPr>
                  </w:pPr>
                  <w:r>
                    <w:rPr>
                      <w:rFonts w:hint="eastAsia"/>
                      <w:color w:val="auto"/>
                      <w:szCs w:val="21"/>
                      <w:lang w:eastAsia="zh-CN"/>
                    </w:rPr>
                    <w:t>脉冲布袋除尘器</w:t>
                  </w:r>
                </w:p>
              </w:tc>
              <w:tc>
                <w:tcPr>
                  <w:tcW w:w="690" w:type="dxa"/>
                  <w:vAlign w:val="center"/>
                </w:tcPr>
                <w:p>
                  <w:pPr>
                    <w:jc w:val="center"/>
                    <w:rPr>
                      <w:rFonts w:hint="default"/>
                      <w:color w:val="auto"/>
                      <w:szCs w:val="21"/>
                      <w:lang w:val="en-US" w:eastAsia="zh-CN"/>
                    </w:rPr>
                  </w:pPr>
                  <w:r>
                    <w:rPr>
                      <w:rFonts w:hint="eastAsia"/>
                      <w:color w:val="auto"/>
                      <w:szCs w:val="21"/>
                      <w:lang w:val="en-US" w:eastAsia="zh-CN"/>
                    </w:rPr>
                    <w:t>1.17</w:t>
                  </w:r>
                </w:p>
              </w:tc>
              <w:tc>
                <w:tcPr>
                  <w:tcW w:w="601" w:type="dxa"/>
                  <w:vAlign w:val="center"/>
                </w:tcPr>
                <w:p>
                  <w:pPr>
                    <w:jc w:val="center"/>
                    <w:rPr>
                      <w:rFonts w:hint="default"/>
                      <w:color w:val="auto"/>
                      <w:szCs w:val="21"/>
                      <w:lang w:val="en-US" w:eastAsia="zh-CN"/>
                    </w:rPr>
                  </w:pPr>
                  <w:r>
                    <w:rPr>
                      <w:rFonts w:hint="eastAsia"/>
                      <w:color w:val="auto"/>
                      <w:szCs w:val="21"/>
                      <w:lang w:val="en-US" w:eastAsia="zh-CN"/>
                    </w:rPr>
                    <w:t>0.023</w:t>
                  </w:r>
                </w:p>
              </w:tc>
              <w:tc>
                <w:tcPr>
                  <w:tcW w:w="515" w:type="dxa"/>
                  <w:vAlign w:val="center"/>
                </w:tcPr>
                <w:p>
                  <w:pPr>
                    <w:jc w:val="center"/>
                    <w:rPr>
                      <w:rFonts w:hint="default"/>
                      <w:color w:val="auto"/>
                      <w:szCs w:val="21"/>
                      <w:lang w:val="en-US" w:eastAsia="zh-CN"/>
                    </w:rPr>
                  </w:pPr>
                  <w:r>
                    <w:rPr>
                      <w:rFonts w:hint="eastAsia"/>
                      <w:color w:val="auto"/>
                      <w:szCs w:val="21"/>
                      <w:lang w:val="en-US" w:eastAsia="zh-CN"/>
                    </w:rPr>
                    <w:t>0.07</w:t>
                  </w:r>
                </w:p>
              </w:tc>
              <w:tc>
                <w:tcPr>
                  <w:tcW w:w="720"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排气筒DA00</w:t>
                  </w:r>
                  <w:r>
                    <w:rPr>
                      <w:rFonts w:hint="eastAsia"/>
                      <w:color w:val="auto"/>
                      <w:szCs w:val="21"/>
                      <w:lang w:val="en-US" w:eastAsia="zh-CN"/>
                    </w:rPr>
                    <w:t>1</w:t>
                  </w:r>
                </w:p>
              </w:tc>
              <w:tc>
                <w:tcPr>
                  <w:tcW w:w="388"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15</w:t>
                  </w:r>
                </w:p>
              </w:tc>
              <w:tc>
                <w:tcPr>
                  <w:tcW w:w="430"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0.5</w:t>
                  </w:r>
                </w:p>
              </w:tc>
              <w:tc>
                <w:tcPr>
                  <w:tcW w:w="388"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25</w:t>
                  </w:r>
                </w:p>
              </w:tc>
              <w:tc>
                <w:tcPr>
                  <w:tcW w:w="388"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rPr>
                    <w:t>一般排放口</w:t>
                  </w:r>
                </w:p>
              </w:tc>
              <w:tc>
                <w:tcPr>
                  <w:tcW w:w="1790" w:type="dxa"/>
                  <w:vAlign w:val="center"/>
                </w:tcPr>
                <w:p>
                  <w:pPr>
                    <w:pStyle w:val="4"/>
                    <w:ind w:left="0" w:lef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116.578028,32.496922</w:t>
                  </w:r>
                </w:p>
              </w:tc>
              <w:tc>
                <w:tcPr>
                  <w:tcW w:w="690" w:type="dxa"/>
                  <w:vAlign w:val="center"/>
                </w:tcPr>
                <w:p>
                  <w:pPr>
                    <w:pStyle w:val="4"/>
                    <w:ind w:left="0" w:leftChars="0" w:firstLine="0" w:firstLineChars="0"/>
                    <w:jc w:val="center"/>
                    <w:rPr>
                      <w:rFonts w:hint="eastAsia"/>
                      <w:color w:val="auto"/>
                      <w:szCs w:val="21"/>
                      <w:lang w:val="en-US" w:eastAsia="zh-CN"/>
                    </w:rPr>
                  </w:pPr>
                  <w:r>
                    <w:rPr>
                      <w:rFonts w:hint="eastAsia"/>
                      <w:color w:val="auto"/>
                      <w:szCs w:val="21"/>
                      <w:lang w:val="en-US" w:eastAsia="zh-CN"/>
                    </w:rPr>
                    <w:t>10</w:t>
                  </w:r>
                </w:p>
              </w:tc>
              <w:tc>
                <w:tcPr>
                  <w:tcW w:w="539" w:type="dxa"/>
                  <w:vAlign w:val="center"/>
                </w:tcPr>
                <w:p>
                  <w:pPr>
                    <w:pStyle w:val="4"/>
                    <w:jc w:val="center"/>
                    <w:rPr>
                      <w:rFonts w:hint="default"/>
                      <w:color w:val="auto"/>
                      <w:szCs w:val="21"/>
                      <w:lang w:val="en-US" w:eastAsia="zh-CN"/>
                    </w:rPr>
                  </w:pPr>
                  <w:r>
                    <w:rPr>
                      <w:rFonts w:hint="eastAsia"/>
                      <w:color w:val="auto"/>
                      <w:szCs w:val="21"/>
                      <w:lang w:val="en-US" w:eastAsia="zh-CN"/>
                    </w:rPr>
                    <w:t>/</w:t>
                  </w:r>
                </w:p>
              </w:tc>
            </w:tr>
          </w:tbl>
          <w:p>
            <w:pPr>
              <w:pStyle w:val="26"/>
              <w:spacing w:line="240" w:lineRule="auto"/>
              <w:ind w:firstLine="420" w:firstLineChars="200"/>
              <w:jc w:val="center"/>
              <w:rPr>
                <w:rFonts w:hint="eastAsia" w:ascii="Times New Roman" w:hAnsi="Times New Roman"/>
                <w:color w:val="auto"/>
                <w:sz w:val="21"/>
                <w:szCs w:val="21"/>
              </w:rPr>
            </w:pPr>
          </w:p>
          <w:p>
            <w:pPr>
              <w:pStyle w:val="26"/>
              <w:ind w:firstLine="422" w:firstLineChars="200"/>
              <w:jc w:val="center"/>
              <w:rPr>
                <w:rFonts w:hint="eastAsia" w:ascii="Times New Roman" w:hAnsi="Times New Roman"/>
                <w:b/>
                <w:color w:val="auto"/>
                <w:sz w:val="21"/>
                <w:szCs w:val="21"/>
              </w:rPr>
            </w:pPr>
          </w:p>
          <w:p>
            <w:pPr>
              <w:pStyle w:val="26"/>
              <w:ind w:firstLine="422" w:firstLineChars="200"/>
              <w:jc w:val="center"/>
              <w:rPr>
                <w:rFonts w:ascii="Times New Roman" w:hAnsi="Times New Roman"/>
                <w:b/>
                <w:color w:val="auto"/>
                <w:sz w:val="21"/>
                <w:szCs w:val="21"/>
              </w:rPr>
            </w:pPr>
            <w:r>
              <w:rPr>
                <w:rFonts w:hint="eastAsia" w:ascii="Times New Roman" w:hAnsi="Times New Roman"/>
                <w:b/>
                <w:color w:val="auto"/>
                <w:sz w:val="21"/>
                <w:szCs w:val="21"/>
              </w:rPr>
              <w:t>表4-</w:t>
            </w:r>
            <w:r>
              <w:rPr>
                <w:rFonts w:hint="eastAsia" w:ascii="Times New Roman" w:hAnsi="Times New Roman"/>
                <w:b/>
                <w:color w:val="auto"/>
                <w:sz w:val="21"/>
                <w:szCs w:val="21"/>
                <w:lang w:val="en-US" w:eastAsia="zh-CN"/>
              </w:rPr>
              <w:t>4</w:t>
            </w:r>
            <w:r>
              <w:rPr>
                <w:rFonts w:hint="eastAsia" w:ascii="Times New Roman" w:hAnsi="Times New Roman"/>
                <w:b/>
                <w:color w:val="auto"/>
                <w:sz w:val="21"/>
                <w:szCs w:val="21"/>
              </w:rPr>
              <w:t xml:space="preserve"> 本项目无组织废气产生与排放一览表</w:t>
            </w:r>
          </w:p>
          <w:tbl>
            <w:tblPr>
              <w:tblStyle w:val="24"/>
              <w:tblW w:w="12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170"/>
              <w:gridCol w:w="975"/>
              <w:gridCol w:w="4445"/>
              <w:gridCol w:w="1514"/>
              <w:gridCol w:w="1103"/>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882" w:type="dxa"/>
                  <w:vAlign w:val="center"/>
                </w:tcPr>
                <w:p>
                  <w:pPr>
                    <w:jc w:val="center"/>
                    <w:rPr>
                      <w:rFonts w:hint="eastAsia"/>
                      <w:color w:val="auto"/>
                      <w:sz w:val="21"/>
                      <w:szCs w:val="21"/>
                    </w:rPr>
                  </w:pPr>
                  <w:r>
                    <w:rPr>
                      <w:rFonts w:hint="eastAsia"/>
                      <w:color w:val="auto"/>
                      <w:sz w:val="21"/>
                      <w:szCs w:val="21"/>
                    </w:rPr>
                    <w:t>工序</w:t>
                  </w:r>
                </w:p>
              </w:tc>
              <w:tc>
                <w:tcPr>
                  <w:tcW w:w="1170" w:type="dxa"/>
                  <w:vAlign w:val="center"/>
                </w:tcPr>
                <w:p>
                  <w:pPr>
                    <w:jc w:val="center"/>
                    <w:rPr>
                      <w:color w:val="auto"/>
                      <w:sz w:val="21"/>
                      <w:szCs w:val="21"/>
                    </w:rPr>
                  </w:pPr>
                  <w:r>
                    <w:rPr>
                      <w:color w:val="auto"/>
                      <w:sz w:val="21"/>
                      <w:szCs w:val="21"/>
                    </w:rPr>
                    <w:t>污染物</w:t>
                  </w:r>
                </w:p>
              </w:tc>
              <w:tc>
                <w:tcPr>
                  <w:tcW w:w="975" w:type="dxa"/>
                  <w:vAlign w:val="center"/>
                </w:tcPr>
                <w:p>
                  <w:pPr>
                    <w:jc w:val="center"/>
                    <w:rPr>
                      <w:rFonts w:hint="eastAsia"/>
                      <w:color w:val="auto"/>
                      <w:sz w:val="21"/>
                      <w:szCs w:val="21"/>
                    </w:rPr>
                  </w:pPr>
                  <w:r>
                    <w:rPr>
                      <w:rFonts w:hint="eastAsia"/>
                      <w:color w:val="auto"/>
                      <w:sz w:val="21"/>
                      <w:szCs w:val="21"/>
                    </w:rPr>
                    <w:t>产生量</w:t>
                  </w:r>
                </w:p>
              </w:tc>
              <w:tc>
                <w:tcPr>
                  <w:tcW w:w="4445" w:type="dxa"/>
                  <w:vAlign w:val="center"/>
                </w:tcPr>
                <w:p>
                  <w:pPr>
                    <w:jc w:val="center"/>
                    <w:rPr>
                      <w:color w:val="auto"/>
                      <w:sz w:val="21"/>
                      <w:szCs w:val="21"/>
                    </w:rPr>
                  </w:pPr>
                  <w:r>
                    <w:rPr>
                      <w:rFonts w:hint="eastAsia"/>
                      <w:color w:val="auto"/>
                      <w:sz w:val="21"/>
                      <w:szCs w:val="21"/>
                    </w:rPr>
                    <w:t>治理措施</w:t>
                  </w:r>
                </w:p>
              </w:tc>
              <w:tc>
                <w:tcPr>
                  <w:tcW w:w="1514" w:type="dxa"/>
                  <w:vAlign w:val="center"/>
                </w:tcPr>
                <w:p>
                  <w:pPr>
                    <w:jc w:val="center"/>
                    <w:rPr>
                      <w:color w:val="auto"/>
                      <w:sz w:val="21"/>
                      <w:szCs w:val="21"/>
                    </w:rPr>
                  </w:pPr>
                  <w:r>
                    <w:rPr>
                      <w:rFonts w:hint="eastAsia"/>
                      <w:color w:val="auto"/>
                      <w:sz w:val="21"/>
                      <w:szCs w:val="21"/>
                    </w:rPr>
                    <w:t>去除效率</w:t>
                  </w:r>
                </w:p>
              </w:tc>
              <w:tc>
                <w:tcPr>
                  <w:tcW w:w="1103" w:type="dxa"/>
                  <w:vAlign w:val="center"/>
                </w:tcPr>
                <w:p>
                  <w:pPr>
                    <w:jc w:val="center"/>
                    <w:rPr>
                      <w:color w:val="auto"/>
                      <w:sz w:val="21"/>
                      <w:szCs w:val="21"/>
                    </w:rPr>
                  </w:pPr>
                  <w:r>
                    <w:rPr>
                      <w:color w:val="auto"/>
                      <w:sz w:val="21"/>
                      <w:szCs w:val="21"/>
                    </w:rPr>
                    <w:t>排放量t/a</w:t>
                  </w:r>
                </w:p>
              </w:tc>
              <w:tc>
                <w:tcPr>
                  <w:tcW w:w="1211" w:type="dxa"/>
                  <w:vAlign w:val="center"/>
                </w:tcPr>
                <w:p>
                  <w:pPr>
                    <w:jc w:val="center"/>
                    <w:rPr>
                      <w:rFonts w:hint="eastAsia"/>
                      <w:color w:val="auto"/>
                      <w:sz w:val="21"/>
                      <w:szCs w:val="21"/>
                    </w:rPr>
                  </w:pPr>
                  <w:r>
                    <w:rPr>
                      <w:rFonts w:hint="eastAsia"/>
                      <w:color w:val="auto"/>
                      <w:sz w:val="21"/>
                      <w:szCs w:val="21"/>
                    </w:rPr>
                    <w:t>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882" w:type="dxa"/>
                  <w:vAlign w:val="center"/>
                </w:tcPr>
                <w:p>
                  <w:pPr>
                    <w:jc w:val="center"/>
                    <w:rPr>
                      <w:rFonts w:hint="eastAsia"/>
                      <w:b w:val="0"/>
                      <w:bCs/>
                      <w:color w:val="auto"/>
                      <w:sz w:val="21"/>
                      <w:szCs w:val="21"/>
                      <w:highlight w:val="none"/>
                    </w:rPr>
                  </w:pPr>
                  <w:r>
                    <w:rPr>
                      <w:rFonts w:hint="eastAsia" w:ascii="宋体" w:hAnsi="宋体" w:cs="宋体"/>
                      <w:b w:val="0"/>
                      <w:bCs/>
                      <w:color w:val="auto"/>
                      <w:sz w:val="21"/>
                      <w:szCs w:val="21"/>
                      <w:lang w:eastAsia="zh-CN"/>
                    </w:rPr>
                    <w:t>原料堆场装卸粉尘、投料粉尘</w:t>
                  </w:r>
                </w:p>
              </w:tc>
              <w:tc>
                <w:tcPr>
                  <w:tcW w:w="1170" w:type="dxa"/>
                  <w:vAlign w:val="center"/>
                </w:tcPr>
                <w:p>
                  <w:pPr>
                    <w:jc w:val="center"/>
                    <w:rPr>
                      <w:rFonts w:hint="eastAsia"/>
                      <w:color w:val="auto"/>
                      <w:sz w:val="21"/>
                      <w:szCs w:val="21"/>
                    </w:rPr>
                  </w:pPr>
                  <w:r>
                    <w:rPr>
                      <w:rFonts w:hint="eastAsia"/>
                      <w:color w:val="auto"/>
                      <w:sz w:val="21"/>
                      <w:szCs w:val="21"/>
                    </w:rPr>
                    <w:t>颗粒物</w:t>
                  </w:r>
                </w:p>
              </w:tc>
              <w:tc>
                <w:tcPr>
                  <w:tcW w:w="975"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0.105</w:t>
                  </w:r>
                </w:p>
              </w:tc>
              <w:tc>
                <w:tcPr>
                  <w:tcW w:w="4445" w:type="dxa"/>
                  <w:vAlign w:val="center"/>
                </w:tcPr>
                <w:p>
                  <w:pPr>
                    <w:jc w:val="center"/>
                    <w:rPr>
                      <w:rFonts w:hint="eastAsia"/>
                      <w:color w:val="auto"/>
                      <w:sz w:val="21"/>
                      <w:szCs w:val="21"/>
                    </w:rPr>
                  </w:pPr>
                  <w:r>
                    <w:rPr>
                      <w:rFonts w:hint="eastAsia"/>
                      <w:color w:val="auto"/>
                      <w:sz w:val="21"/>
                      <w:szCs w:val="21"/>
                    </w:rPr>
                    <w:t>项目生产厂房均为封闭式结构，仅保留必要车辆进出口，进出口设置柔性聚酯纤维防尘帘幕，尺寸为宽4m×高5m，共2处。厂房顶部及侧墙设置固定式防尘网，采用200目不锈钢丝网，总覆盖面积约300m²（主要位于卸料口、上料口、传送带进出口）。</w:t>
                  </w:r>
                  <w:r>
                    <w:rPr>
                      <w:rFonts w:hint="default" w:ascii="Times New Roman" w:hAnsi="Times New Roman" w:cs="Times New Roman"/>
                      <w:color w:val="auto"/>
                      <w:lang w:eastAsia="zh-CN"/>
                    </w:rPr>
                    <w:t>场内配置自动喷雾降尘系统，</w:t>
                  </w:r>
                  <w:r>
                    <w:rPr>
                      <w:rFonts w:hint="eastAsia" w:ascii="Times New Roman" w:hAnsi="Times New Roman" w:cs="Times New Roman"/>
                      <w:color w:val="auto"/>
                      <w:lang w:eastAsia="zh-CN"/>
                    </w:rPr>
                    <w:t>原料区设置</w:t>
                  </w:r>
                  <w:r>
                    <w:rPr>
                      <w:rFonts w:hint="eastAsia" w:ascii="Times New Roman" w:hAnsi="Times New Roman" w:cs="Times New Roman"/>
                      <w:color w:val="auto"/>
                      <w:lang w:val="en-US" w:eastAsia="zh-CN"/>
                    </w:rPr>
                    <w:t>20个</w:t>
                  </w:r>
                  <w:r>
                    <w:rPr>
                      <w:rFonts w:hint="default" w:ascii="Times New Roman" w:hAnsi="Times New Roman" w:cs="Times New Roman"/>
                      <w:color w:val="auto"/>
                      <w:lang w:eastAsia="zh-CN"/>
                    </w:rPr>
                    <w:t>高压雾化喷头</w:t>
                  </w:r>
                  <w:r>
                    <w:rPr>
                      <w:rFonts w:hint="eastAsia" w:ascii="Times New Roman" w:hAnsi="Times New Roman" w:cs="Times New Roman"/>
                      <w:color w:val="auto"/>
                      <w:lang w:eastAsia="zh-CN"/>
                    </w:rPr>
                    <w:t>、投料口设置</w:t>
                  </w:r>
                  <w:r>
                    <w:rPr>
                      <w:rFonts w:hint="eastAsia" w:ascii="Times New Roman" w:hAnsi="Times New Roman" w:cs="Times New Roman"/>
                      <w:color w:val="auto"/>
                      <w:lang w:val="en-US" w:eastAsia="zh-CN"/>
                    </w:rPr>
                    <w:t>5个</w:t>
                  </w:r>
                  <w:r>
                    <w:rPr>
                      <w:rFonts w:hint="default" w:ascii="Times New Roman" w:hAnsi="Times New Roman" w:cs="Times New Roman"/>
                      <w:color w:val="auto"/>
                      <w:lang w:eastAsia="zh-CN"/>
                    </w:rPr>
                    <w:t>高压雾化喷头</w:t>
                  </w:r>
                  <w:r>
                    <w:rPr>
                      <w:rFonts w:hint="eastAsia" w:ascii="Times New Roman" w:hAnsi="Times New Roman" w:cs="Times New Roman"/>
                      <w:color w:val="auto"/>
                      <w:lang w:eastAsia="zh-CN"/>
                    </w:rPr>
                    <w:t>，单个喷头喷洒水量 0.</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L/min 。</w:t>
                  </w:r>
                </w:p>
              </w:tc>
              <w:tc>
                <w:tcPr>
                  <w:tcW w:w="1514" w:type="dxa"/>
                  <w:vAlign w:val="center"/>
                </w:tcPr>
                <w:p>
                  <w:pPr>
                    <w:jc w:val="center"/>
                    <w:rPr>
                      <w:rFonts w:hint="eastAsia"/>
                      <w:color w:val="auto"/>
                      <w:sz w:val="21"/>
                      <w:szCs w:val="21"/>
                    </w:rPr>
                  </w:pPr>
                  <w:r>
                    <w:rPr>
                      <w:rFonts w:hint="eastAsia"/>
                      <w:color w:val="auto"/>
                      <w:sz w:val="21"/>
                      <w:szCs w:val="21"/>
                    </w:rPr>
                    <w:t>90%</w:t>
                  </w:r>
                </w:p>
              </w:tc>
              <w:tc>
                <w:tcPr>
                  <w:tcW w:w="1103" w:type="dxa"/>
                  <w:vAlign w:val="center"/>
                </w:tcPr>
                <w:p>
                  <w:pPr>
                    <w:widowControl/>
                    <w:jc w:val="center"/>
                    <w:textAlignment w:val="center"/>
                    <w:rPr>
                      <w:rFonts w:hint="default" w:eastAsia="宋体"/>
                      <w:color w:val="auto"/>
                      <w:sz w:val="21"/>
                      <w:szCs w:val="21"/>
                      <w:lang w:val="en-US" w:eastAsia="zh-CN"/>
                    </w:rPr>
                  </w:pPr>
                  <w:r>
                    <w:rPr>
                      <w:rFonts w:hint="eastAsia"/>
                      <w:color w:val="auto"/>
                      <w:sz w:val="21"/>
                      <w:szCs w:val="21"/>
                      <w:lang w:val="en-US" w:eastAsia="zh-CN"/>
                    </w:rPr>
                    <w:t>0.01</w:t>
                  </w:r>
                </w:p>
              </w:tc>
              <w:tc>
                <w:tcPr>
                  <w:tcW w:w="1211" w:type="dxa"/>
                  <w:vAlign w:val="center"/>
                </w:tcPr>
                <w:p>
                  <w:pPr>
                    <w:widowControl/>
                    <w:jc w:val="center"/>
                    <w:textAlignment w:val="center"/>
                    <w:rPr>
                      <w:rFonts w:hint="eastAsia" w:eastAsia="宋体"/>
                      <w:color w:val="auto"/>
                      <w:sz w:val="21"/>
                      <w:szCs w:val="21"/>
                      <w:lang w:eastAsia="zh-CN"/>
                    </w:rPr>
                  </w:pPr>
                  <w:r>
                    <w:rPr>
                      <w:rFonts w:hint="eastAsia"/>
                      <w:color w:val="auto"/>
                      <w:sz w:val="21"/>
                      <w:szCs w:val="21"/>
                      <w:lang w:eastAsia="zh-CN"/>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882" w:type="dxa"/>
                  <w:vAlign w:val="center"/>
                </w:tcPr>
                <w:p>
                  <w:pPr>
                    <w:jc w:val="center"/>
                    <w:rPr>
                      <w:rFonts w:hint="eastAsia" w:ascii="宋体" w:hAnsi="宋体" w:cs="宋体"/>
                      <w:b w:val="0"/>
                      <w:bCs/>
                      <w:color w:val="auto"/>
                      <w:sz w:val="21"/>
                      <w:szCs w:val="21"/>
                      <w:lang w:eastAsia="zh-CN"/>
                    </w:rPr>
                  </w:pPr>
                  <w:r>
                    <w:rPr>
                      <w:rFonts w:hint="eastAsia" w:ascii="宋体" w:hAnsi="宋体" w:cs="宋体"/>
                      <w:b w:val="0"/>
                      <w:bCs/>
                      <w:color w:val="auto"/>
                      <w:sz w:val="21"/>
                      <w:szCs w:val="21"/>
                      <w:lang w:eastAsia="zh-CN"/>
                    </w:rPr>
                    <w:t>水泥罐粉尘</w:t>
                  </w:r>
                </w:p>
              </w:tc>
              <w:tc>
                <w:tcPr>
                  <w:tcW w:w="1170" w:type="dxa"/>
                  <w:vAlign w:val="center"/>
                </w:tcPr>
                <w:p>
                  <w:pPr>
                    <w:jc w:val="center"/>
                    <w:rPr>
                      <w:rFonts w:hint="eastAsia" w:eastAsia="宋体"/>
                      <w:color w:val="auto"/>
                      <w:sz w:val="21"/>
                      <w:szCs w:val="21"/>
                      <w:lang w:eastAsia="zh-CN"/>
                    </w:rPr>
                  </w:pPr>
                  <w:r>
                    <w:rPr>
                      <w:rFonts w:hint="eastAsia"/>
                      <w:color w:val="auto"/>
                      <w:sz w:val="21"/>
                      <w:szCs w:val="21"/>
                      <w:lang w:eastAsia="zh-CN"/>
                    </w:rPr>
                    <w:t>颗粒物</w:t>
                  </w:r>
                </w:p>
              </w:tc>
              <w:tc>
                <w:tcPr>
                  <w:tcW w:w="975" w:type="dxa"/>
                  <w:vAlign w:val="center"/>
                </w:tcPr>
                <w:p>
                  <w:pPr>
                    <w:jc w:val="center"/>
                    <w:rPr>
                      <w:rFonts w:hint="default"/>
                      <w:color w:val="auto"/>
                      <w:sz w:val="21"/>
                      <w:szCs w:val="21"/>
                      <w:lang w:val="en-US" w:eastAsia="zh-CN"/>
                    </w:rPr>
                  </w:pPr>
                  <w:r>
                    <w:rPr>
                      <w:rFonts w:hint="eastAsia"/>
                      <w:color w:val="auto"/>
                      <w:sz w:val="21"/>
                      <w:szCs w:val="21"/>
                      <w:lang w:val="en-US" w:eastAsia="zh-CN"/>
                    </w:rPr>
                    <w:t>3.432</w:t>
                  </w:r>
                </w:p>
              </w:tc>
              <w:tc>
                <w:tcPr>
                  <w:tcW w:w="4445" w:type="dxa"/>
                  <w:vAlign w:val="center"/>
                </w:tcPr>
                <w:p>
                  <w:pPr>
                    <w:jc w:val="center"/>
                    <w:rPr>
                      <w:rFonts w:hint="eastAsia" w:eastAsia="宋体"/>
                      <w:color w:val="auto"/>
                      <w:sz w:val="21"/>
                      <w:szCs w:val="21"/>
                      <w:lang w:eastAsia="zh-CN"/>
                    </w:rPr>
                  </w:pPr>
                  <w:r>
                    <w:rPr>
                      <w:rFonts w:hint="eastAsia"/>
                      <w:color w:val="auto"/>
                      <w:sz w:val="21"/>
                      <w:szCs w:val="21"/>
                      <w:lang w:eastAsia="zh-CN"/>
                    </w:rPr>
                    <w:t>仓顶除尘器、密闭厂房</w:t>
                  </w:r>
                </w:p>
              </w:tc>
              <w:tc>
                <w:tcPr>
                  <w:tcW w:w="1514"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99.7%（仓顶除尘器）、密闭厂房50%</w:t>
                  </w:r>
                </w:p>
              </w:tc>
              <w:tc>
                <w:tcPr>
                  <w:tcW w:w="1103" w:type="dxa"/>
                  <w:vAlign w:val="center"/>
                </w:tcPr>
                <w:p>
                  <w:pPr>
                    <w:widowControl/>
                    <w:jc w:val="center"/>
                    <w:textAlignment w:val="center"/>
                    <w:rPr>
                      <w:rFonts w:hint="default"/>
                      <w:color w:val="auto"/>
                      <w:sz w:val="21"/>
                      <w:szCs w:val="21"/>
                      <w:lang w:val="en-US" w:eastAsia="zh-CN"/>
                    </w:rPr>
                  </w:pPr>
                  <w:r>
                    <w:rPr>
                      <w:rFonts w:hint="eastAsia"/>
                      <w:color w:val="auto"/>
                      <w:sz w:val="21"/>
                      <w:szCs w:val="21"/>
                      <w:lang w:val="en-US" w:eastAsia="zh-CN"/>
                    </w:rPr>
                    <w:t>0.005</w:t>
                  </w:r>
                </w:p>
              </w:tc>
              <w:tc>
                <w:tcPr>
                  <w:tcW w:w="1211" w:type="dxa"/>
                  <w:vAlign w:val="center"/>
                </w:tcPr>
                <w:p>
                  <w:pPr>
                    <w:widowControl/>
                    <w:jc w:val="center"/>
                    <w:textAlignment w:val="center"/>
                    <w:rPr>
                      <w:rFonts w:hint="eastAsia"/>
                      <w:color w:val="auto"/>
                      <w:sz w:val="21"/>
                      <w:szCs w:val="21"/>
                      <w:lang w:eastAsia="zh-CN"/>
                    </w:rPr>
                  </w:pPr>
                  <w:r>
                    <w:rPr>
                      <w:rFonts w:hint="eastAsia"/>
                      <w:color w:val="auto"/>
                      <w:sz w:val="21"/>
                      <w:szCs w:val="21"/>
                      <w:lang w:eastAsia="zh-CN"/>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882" w:type="dxa"/>
                  <w:vAlign w:val="center"/>
                </w:tcPr>
                <w:p>
                  <w:pPr>
                    <w:jc w:val="center"/>
                    <w:rPr>
                      <w:rFonts w:hint="eastAsia"/>
                      <w:b w:val="0"/>
                      <w:bCs/>
                      <w:color w:val="auto"/>
                      <w:sz w:val="21"/>
                      <w:szCs w:val="21"/>
                      <w:highlight w:val="none"/>
                      <w:lang w:eastAsia="zh-CN"/>
                    </w:rPr>
                  </w:pPr>
                  <w:r>
                    <w:rPr>
                      <w:rFonts w:hint="eastAsia" w:cs="Times New Roman"/>
                      <w:b w:val="0"/>
                      <w:bCs/>
                      <w:color w:val="auto"/>
                      <w:sz w:val="21"/>
                      <w:szCs w:val="21"/>
                      <w:highlight w:val="none"/>
                      <w:lang w:eastAsia="zh-CN"/>
                    </w:rPr>
                    <w:t>碎石、砂输送、计量粉尘</w:t>
                  </w:r>
                </w:p>
              </w:tc>
              <w:tc>
                <w:tcPr>
                  <w:tcW w:w="1170" w:type="dxa"/>
                  <w:vAlign w:val="center"/>
                </w:tcPr>
                <w:p>
                  <w:pPr>
                    <w:jc w:val="center"/>
                    <w:rPr>
                      <w:rFonts w:hint="eastAsia" w:eastAsia="宋体"/>
                      <w:color w:val="auto"/>
                      <w:sz w:val="21"/>
                      <w:szCs w:val="21"/>
                      <w:lang w:eastAsia="zh-CN"/>
                    </w:rPr>
                  </w:pPr>
                  <w:r>
                    <w:rPr>
                      <w:rFonts w:hint="eastAsia"/>
                      <w:color w:val="auto"/>
                      <w:sz w:val="21"/>
                      <w:szCs w:val="21"/>
                      <w:lang w:eastAsia="zh-CN"/>
                    </w:rPr>
                    <w:t>颗粒物</w:t>
                  </w:r>
                </w:p>
              </w:tc>
              <w:tc>
                <w:tcPr>
                  <w:tcW w:w="975" w:type="dxa"/>
                  <w:vAlign w:val="center"/>
                </w:tcPr>
                <w:p>
                  <w:pPr>
                    <w:jc w:val="center"/>
                    <w:rPr>
                      <w:rFonts w:hint="default"/>
                      <w:color w:val="auto"/>
                      <w:sz w:val="21"/>
                      <w:szCs w:val="21"/>
                      <w:lang w:val="en-US" w:eastAsia="zh-CN"/>
                    </w:rPr>
                  </w:pPr>
                  <w:r>
                    <w:rPr>
                      <w:rFonts w:hint="eastAsia"/>
                      <w:color w:val="auto"/>
                      <w:sz w:val="21"/>
                      <w:szCs w:val="21"/>
                      <w:lang w:val="en-US" w:eastAsia="zh-CN"/>
                    </w:rPr>
                    <w:t>3.105</w:t>
                  </w:r>
                </w:p>
              </w:tc>
              <w:tc>
                <w:tcPr>
                  <w:tcW w:w="4445" w:type="dxa"/>
                  <w:vAlign w:val="center"/>
                </w:tcPr>
                <w:p>
                  <w:pPr>
                    <w:jc w:val="center"/>
                    <w:rPr>
                      <w:rFonts w:hint="eastAsia"/>
                      <w:color w:val="auto"/>
                      <w:sz w:val="21"/>
                      <w:szCs w:val="21"/>
                      <w:lang w:eastAsia="zh-CN"/>
                    </w:rPr>
                  </w:pPr>
                  <w:r>
                    <w:rPr>
                      <w:rFonts w:hint="eastAsia"/>
                      <w:color w:val="auto"/>
                      <w:sz w:val="21"/>
                      <w:szCs w:val="21"/>
                      <w:lang w:eastAsia="zh-CN"/>
                    </w:rPr>
                    <w:t>对原料输送、计量工序采取密闭围挡+喷雾抑尘措施：输送皮带采用全封闭彩钢板廊道（高度2m、长度120m），计量斗上方设置三面彩钢板围挡（高度3m、长度6m），仅保留一个侧面物料输送口；在输送廊道内设置20个高压雾化喷头，计量斗区域设置6个喷头，单个喷洒水量0.5L/min（水压0.3MPa）</w:t>
                  </w:r>
                </w:p>
              </w:tc>
              <w:tc>
                <w:tcPr>
                  <w:tcW w:w="1514" w:type="dxa"/>
                  <w:vAlign w:val="center"/>
                </w:tcPr>
                <w:p>
                  <w:pPr>
                    <w:jc w:val="center"/>
                    <w:rPr>
                      <w:rFonts w:hint="eastAsia"/>
                      <w:color w:val="auto"/>
                      <w:sz w:val="21"/>
                      <w:szCs w:val="21"/>
                    </w:rPr>
                  </w:pPr>
                  <w:r>
                    <w:rPr>
                      <w:rFonts w:hint="eastAsia"/>
                      <w:color w:val="auto"/>
                      <w:sz w:val="21"/>
                      <w:szCs w:val="21"/>
                    </w:rPr>
                    <w:t>90%</w:t>
                  </w:r>
                </w:p>
              </w:tc>
              <w:tc>
                <w:tcPr>
                  <w:tcW w:w="1103" w:type="dxa"/>
                  <w:vAlign w:val="center"/>
                </w:tcPr>
                <w:p>
                  <w:pPr>
                    <w:widowControl/>
                    <w:jc w:val="center"/>
                    <w:textAlignment w:val="center"/>
                    <w:rPr>
                      <w:rFonts w:hint="default"/>
                      <w:color w:val="auto"/>
                      <w:sz w:val="21"/>
                      <w:szCs w:val="21"/>
                      <w:lang w:val="en-US" w:eastAsia="zh-CN"/>
                    </w:rPr>
                  </w:pPr>
                  <w:r>
                    <w:rPr>
                      <w:rFonts w:hint="eastAsia"/>
                      <w:color w:val="auto"/>
                      <w:sz w:val="21"/>
                      <w:szCs w:val="21"/>
                      <w:lang w:val="en-US" w:eastAsia="zh-CN"/>
                    </w:rPr>
                    <w:t>0.311</w:t>
                  </w:r>
                </w:p>
              </w:tc>
              <w:tc>
                <w:tcPr>
                  <w:tcW w:w="1211" w:type="dxa"/>
                  <w:vAlign w:val="center"/>
                </w:tcPr>
                <w:p>
                  <w:pPr>
                    <w:widowControl/>
                    <w:jc w:val="center"/>
                    <w:textAlignment w:val="center"/>
                    <w:rPr>
                      <w:rFonts w:hint="eastAsia"/>
                      <w:color w:val="auto"/>
                      <w:sz w:val="21"/>
                      <w:szCs w:val="21"/>
                    </w:rPr>
                  </w:pPr>
                  <w:r>
                    <w:rPr>
                      <w:rFonts w:hint="eastAsia"/>
                      <w:color w:val="auto"/>
                      <w:sz w:val="21"/>
                      <w:szCs w:val="21"/>
                      <w:lang w:eastAsia="zh-CN"/>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1882" w:type="dxa"/>
                  <w:vAlign w:val="center"/>
                </w:tcPr>
                <w:p>
                  <w:pPr>
                    <w:jc w:val="center"/>
                    <w:rPr>
                      <w:rFonts w:hint="eastAsia" w:eastAsia="宋体"/>
                      <w:b w:val="0"/>
                      <w:bCs/>
                      <w:color w:val="auto"/>
                      <w:sz w:val="21"/>
                      <w:szCs w:val="21"/>
                      <w:highlight w:val="none"/>
                      <w:lang w:eastAsia="zh-CN"/>
                    </w:rPr>
                  </w:pPr>
                  <w:r>
                    <w:rPr>
                      <w:rFonts w:hint="eastAsia"/>
                      <w:b w:val="0"/>
                      <w:bCs/>
                      <w:color w:val="auto"/>
                      <w:sz w:val="21"/>
                      <w:szCs w:val="21"/>
                      <w:highlight w:val="none"/>
                      <w:lang w:eastAsia="zh-CN"/>
                    </w:rPr>
                    <w:t>搅拌</w:t>
                  </w:r>
                </w:p>
              </w:tc>
              <w:tc>
                <w:tcPr>
                  <w:tcW w:w="1170" w:type="dxa"/>
                  <w:vAlign w:val="center"/>
                </w:tcPr>
                <w:p>
                  <w:pPr>
                    <w:jc w:val="center"/>
                    <w:rPr>
                      <w:rFonts w:hint="eastAsia" w:eastAsia="宋体"/>
                      <w:color w:val="auto"/>
                      <w:sz w:val="21"/>
                      <w:szCs w:val="21"/>
                      <w:lang w:eastAsia="zh-CN"/>
                    </w:rPr>
                  </w:pPr>
                  <w:r>
                    <w:rPr>
                      <w:rFonts w:hint="eastAsia"/>
                      <w:color w:val="auto"/>
                      <w:sz w:val="21"/>
                      <w:szCs w:val="21"/>
                      <w:lang w:eastAsia="zh-CN"/>
                    </w:rPr>
                    <w:t>颗粒物</w:t>
                  </w:r>
                </w:p>
              </w:tc>
              <w:tc>
                <w:tcPr>
                  <w:tcW w:w="975" w:type="dxa"/>
                  <w:vAlign w:val="center"/>
                </w:tcPr>
                <w:p>
                  <w:pPr>
                    <w:jc w:val="center"/>
                    <w:rPr>
                      <w:rFonts w:hint="default"/>
                      <w:color w:val="auto"/>
                      <w:sz w:val="21"/>
                      <w:szCs w:val="21"/>
                      <w:lang w:val="en-US" w:eastAsia="zh-CN"/>
                    </w:rPr>
                  </w:pPr>
                  <w:r>
                    <w:rPr>
                      <w:rFonts w:hint="eastAsia"/>
                      <w:color w:val="auto"/>
                      <w:sz w:val="21"/>
                      <w:szCs w:val="21"/>
                      <w:lang w:val="en-US" w:eastAsia="zh-CN"/>
                    </w:rPr>
                    <w:t>2.6</w:t>
                  </w:r>
                </w:p>
              </w:tc>
              <w:tc>
                <w:tcPr>
                  <w:tcW w:w="4445" w:type="dxa"/>
                  <w:vAlign w:val="center"/>
                </w:tcPr>
                <w:p>
                  <w:pPr>
                    <w:jc w:val="center"/>
                    <w:rPr>
                      <w:rFonts w:hint="eastAsia" w:eastAsia="宋体"/>
                      <w:color w:val="auto"/>
                      <w:sz w:val="21"/>
                      <w:szCs w:val="21"/>
                      <w:lang w:eastAsia="zh-CN"/>
                    </w:rPr>
                  </w:pPr>
                  <w:r>
                    <w:rPr>
                      <w:rFonts w:hint="eastAsia"/>
                      <w:color w:val="auto"/>
                      <w:sz w:val="21"/>
                      <w:szCs w:val="21"/>
                      <w:lang w:eastAsia="zh-CN"/>
                    </w:rPr>
                    <w:t>厂房封闭，在搅拌区域上方设置12个高压雾化喷头，单个喷头喷洒水量0.5L/min（水压0.3MPa）</w:t>
                  </w:r>
                </w:p>
              </w:tc>
              <w:tc>
                <w:tcPr>
                  <w:tcW w:w="1514" w:type="dxa"/>
                  <w:vAlign w:val="center"/>
                </w:tcPr>
                <w:p>
                  <w:pPr>
                    <w:jc w:val="center"/>
                    <w:rPr>
                      <w:rFonts w:hint="default" w:eastAsia="宋体"/>
                      <w:color w:val="auto"/>
                      <w:sz w:val="21"/>
                      <w:szCs w:val="21"/>
                      <w:lang w:val="en-US" w:eastAsia="zh-CN"/>
                    </w:rPr>
                  </w:pPr>
                  <w:r>
                    <w:rPr>
                      <w:rFonts w:hint="eastAsia"/>
                      <w:color w:val="auto"/>
                      <w:sz w:val="21"/>
                      <w:szCs w:val="21"/>
                      <w:lang w:val="en-US" w:eastAsia="zh-CN"/>
                    </w:rPr>
                    <w:t>90%</w:t>
                  </w:r>
                </w:p>
              </w:tc>
              <w:tc>
                <w:tcPr>
                  <w:tcW w:w="1103" w:type="dxa"/>
                  <w:vAlign w:val="center"/>
                </w:tcPr>
                <w:p>
                  <w:pPr>
                    <w:widowControl/>
                    <w:jc w:val="center"/>
                    <w:textAlignment w:val="center"/>
                    <w:rPr>
                      <w:rFonts w:hint="default"/>
                      <w:color w:val="auto"/>
                      <w:sz w:val="21"/>
                      <w:szCs w:val="21"/>
                      <w:lang w:val="en-US" w:eastAsia="zh-CN"/>
                    </w:rPr>
                  </w:pPr>
                  <w:r>
                    <w:rPr>
                      <w:rFonts w:hint="eastAsia"/>
                      <w:color w:val="auto"/>
                      <w:sz w:val="21"/>
                      <w:szCs w:val="21"/>
                      <w:lang w:val="en-US" w:eastAsia="zh-CN"/>
                    </w:rPr>
                    <w:t>0.26</w:t>
                  </w:r>
                </w:p>
              </w:tc>
              <w:tc>
                <w:tcPr>
                  <w:tcW w:w="1211" w:type="dxa"/>
                  <w:vAlign w:val="center"/>
                </w:tcPr>
                <w:p>
                  <w:pPr>
                    <w:widowControl/>
                    <w:jc w:val="center"/>
                    <w:textAlignment w:val="center"/>
                    <w:rPr>
                      <w:rFonts w:hint="eastAsia"/>
                      <w:color w:val="auto"/>
                      <w:sz w:val="21"/>
                      <w:szCs w:val="21"/>
                    </w:rPr>
                  </w:pPr>
                  <w:r>
                    <w:rPr>
                      <w:rFonts w:hint="eastAsia"/>
                      <w:color w:val="auto"/>
                      <w:sz w:val="21"/>
                      <w:szCs w:val="21"/>
                      <w:lang w:eastAsia="zh-CN"/>
                    </w:rPr>
                    <w:t>生产厂房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1882" w:type="dxa"/>
                  <w:vAlign w:val="center"/>
                </w:tcPr>
                <w:p>
                  <w:pPr>
                    <w:jc w:val="center"/>
                    <w:rPr>
                      <w:rFonts w:hint="eastAsia"/>
                      <w:color w:val="auto"/>
                      <w:sz w:val="21"/>
                      <w:szCs w:val="21"/>
                      <w:highlight w:val="none"/>
                      <w:lang w:eastAsia="zh-CN"/>
                    </w:rPr>
                  </w:pPr>
                  <w:r>
                    <w:rPr>
                      <w:rFonts w:hint="eastAsia"/>
                      <w:color w:val="auto"/>
                      <w:sz w:val="21"/>
                      <w:szCs w:val="21"/>
                      <w:highlight w:val="none"/>
                      <w:lang w:eastAsia="zh-CN"/>
                    </w:rPr>
                    <w:t>车辆运输</w:t>
                  </w:r>
                </w:p>
              </w:tc>
              <w:tc>
                <w:tcPr>
                  <w:tcW w:w="1170" w:type="dxa"/>
                  <w:vAlign w:val="center"/>
                </w:tcPr>
                <w:p>
                  <w:pPr>
                    <w:jc w:val="center"/>
                    <w:rPr>
                      <w:rFonts w:hint="eastAsia"/>
                      <w:color w:val="auto"/>
                      <w:sz w:val="21"/>
                      <w:szCs w:val="21"/>
                      <w:lang w:eastAsia="zh-CN"/>
                    </w:rPr>
                  </w:pPr>
                  <w:r>
                    <w:rPr>
                      <w:rFonts w:hint="eastAsia"/>
                      <w:color w:val="auto"/>
                      <w:sz w:val="21"/>
                      <w:szCs w:val="21"/>
                      <w:lang w:eastAsia="zh-CN"/>
                    </w:rPr>
                    <w:t>颗粒物</w:t>
                  </w:r>
                </w:p>
              </w:tc>
              <w:tc>
                <w:tcPr>
                  <w:tcW w:w="975" w:type="dxa"/>
                  <w:vAlign w:val="center"/>
                </w:tcPr>
                <w:p>
                  <w:pPr>
                    <w:jc w:val="center"/>
                    <w:rPr>
                      <w:rFonts w:hint="default"/>
                      <w:color w:val="auto"/>
                      <w:sz w:val="21"/>
                      <w:szCs w:val="21"/>
                      <w:lang w:val="en-US" w:eastAsia="zh-CN"/>
                    </w:rPr>
                  </w:pPr>
                  <w:r>
                    <w:rPr>
                      <w:rFonts w:hint="eastAsia"/>
                      <w:color w:val="auto"/>
                      <w:sz w:val="21"/>
                      <w:szCs w:val="21"/>
                      <w:lang w:val="en-US" w:eastAsia="zh-CN"/>
                    </w:rPr>
                    <w:t>0.208</w:t>
                  </w:r>
                </w:p>
              </w:tc>
              <w:tc>
                <w:tcPr>
                  <w:tcW w:w="4445" w:type="dxa"/>
                  <w:vAlign w:val="center"/>
                </w:tcPr>
                <w:p>
                  <w:pPr>
                    <w:jc w:val="center"/>
                    <w:rPr>
                      <w:rFonts w:hint="eastAsia"/>
                      <w:color w:val="auto"/>
                      <w:sz w:val="21"/>
                      <w:szCs w:val="21"/>
                      <w:lang w:eastAsia="zh-CN"/>
                    </w:rPr>
                  </w:pPr>
                  <w:r>
                    <w:rPr>
                      <w:rFonts w:hint="eastAsia"/>
                      <w:color w:val="auto"/>
                      <w:sz w:val="21"/>
                      <w:szCs w:val="21"/>
                      <w:lang w:eastAsia="zh-CN"/>
                    </w:rPr>
                    <w:t>路面洒水，设置车辆冲洗平台</w:t>
                  </w:r>
                </w:p>
              </w:tc>
              <w:tc>
                <w:tcPr>
                  <w:tcW w:w="1514" w:type="dxa"/>
                  <w:vAlign w:val="center"/>
                </w:tcPr>
                <w:p>
                  <w:pPr>
                    <w:jc w:val="center"/>
                    <w:rPr>
                      <w:rFonts w:hint="default"/>
                      <w:color w:val="auto"/>
                      <w:sz w:val="21"/>
                      <w:szCs w:val="21"/>
                      <w:lang w:val="en-US" w:eastAsia="zh-CN"/>
                    </w:rPr>
                  </w:pPr>
                  <w:r>
                    <w:rPr>
                      <w:rFonts w:hint="eastAsia"/>
                      <w:color w:val="auto"/>
                      <w:sz w:val="21"/>
                      <w:szCs w:val="21"/>
                      <w:lang w:val="en-US" w:eastAsia="zh-CN"/>
                    </w:rPr>
                    <w:t>90%</w:t>
                  </w:r>
                </w:p>
              </w:tc>
              <w:tc>
                <w:tcPr>
                  <w:tcW w:w="1103" w:type="dxa"/>
                  <w:vAlign w:val="center"/>
                </w:tcPr>
                <w:p>
                  <w:pPr>
                    <w:widowControl/>
                    <w:jc w:val="center"/>
                    <w:textAlignment w:val="center"/>
                    <w:rPr>
                      <w:rFonts w:hint="default"/>
                      <w:color w:val="auto"/>
                      <w:sz w:val="21"/>
                      <w:szCs w:val="21"/>
                      <w:lang w:val="en-US" w:eastAsia="zh-CN"/>
                    </w:rPr>
                  </w:pPr>
                  <w:r>
                    <w:rPr>
                      <w:rFonts w:hint="eastAsia"/>
                      <w:color w:val="auto"/>
                      <w:sz w:val="21"/>
                      <w:szCs w:val="21"/>
                      <w:lang w:val="en-US" w:eastAsia="zh-CN"/>
                    </w:rPr>
                    <w:t>0.021</w:t>
                  </w:r>
                </w:p>
              </w:tc>
              <w:tc>
                <w:tcPr>
                  <w:tcW w:w="1211" w:type="dxa"/>
                  <w:vAlign w:val="center"/>
                </w:tcPr>
                <w:p>
                  <w:pPr>
                    <w:widowControl/>
                    <w:jc w:val="center"/>
                    <w:textAlignment w:val="center"/>
                    <w:rPr>
                      <w:rFonts w:hint="eastAsia" w:eastAsia="宋体"/>
                      <w:color w:val="auto"/>
                      <w:sz w:val="21"/>
                      <w:szCs w:val="21"/>
                      <w:lang w:eastAsia="zh-CN"/>
                    </w:rPr>
                  </w:pPr>
                  <w:r>
                    <w:rPr>
                      <w:rFonts w:hint="eastAsia"/>
                      <w:color w:val="auto"/>
                      <w:sz w:val="21"/>
                      <w:szCs w:val="21"/>
                      <w:lang w:eastAsia="zh-CN"/>
                    </w:rPr>
                    <w:t>生产厂房</w:t>
                  </w:r>
                </w:p>
              </w:tc>
            </w:tr>
          </w:tbl>
          <w:p>
            <w:pPr>
              <w:spacing w:line="360" w:lineRule="auto"/>
              <w:outlineLvl w:val="0"/>
              <w:rPr>
                <w:rFonts w:hint="eastAsia" w:ascii="黑体" w:hAnsi="黑体" w:eastAsia="黑体"/>
                <w:snapToGrid w:val="0"/>
                <w:color w:val="auto"/>
                <w:sz w:val="30"/>
                <w:szCs w:val="30"/>
              </w:rPr>
            </w:pPr>
          </w:p>
        </w:tc>
      </w:tr>
    </w:tbl>
    <w:p>
      <w:pPr>
        <w:pStyle w:val="32"/>
        <w:rPr>
          <w:bCs/>
          <w:color w:val="auto"/>
          <w:szCs w:val="21"/>
        </w:rPr>
        <w:sectPr>
          <w:pgSz w:w="16838" w:h="11905" w:orient="landscape"/>
          <w:pgMar w:top="1531" w:right="1701" w:bottom="1531" w:left="2126" w:header="851" w:footer="850" w:gutter="0"/>
          <w:cols w:space="720" w:num="1"/>
          <w:docGrid w:linePitch="312" w:charSpace="0"/>
        </w:sectPr>
      </w:pPr>
    </w:p>
    <w:tbl>
      <w:tblPr>
        <w:tblStyle w:val="24"/>
        <w:tblW w:w="948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2"/>
        <w:gridCol w:w="89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83" w:hRule="atLeast"/>
          <w:jc w:val="center"/>
        </w:trPr>
        <w:tc>
          <w:tcPr>
            <w:tcW w:w="572"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910" w:type="dxa"/>
            <w:vAlign w:val="top"/>
          </w:tcPr>
          <w:p>
            <w:pPr>
              <w:pStyle w:val="26"/>
              <w:numPr>
                <w:ilvl w:val="1"/>
                <w:numId w:val="0"/>
              </w:numPr>
              <w:spacing w:line="360" w:lineRule="auto"/>
              <w:ind w:firstLine="480" w:firstLineChars="200"/>
              <w:rPr>
                <w:rFonts w:hint="eastAsia" w:ascii="Times New Roman" w:hAnsi="Times New Roman"/>
                <w:color w:val="auto"/>
              </w:rPr>
            </w:pPr>
            <w:r>
              <w:rPr>
                <w:rFonts w:hint="eastAsia" w:ascii="Times New Roman" w:hAnsi="Times New Roman"/>
                <w:color w:val="auto"/>
              </w:rPr>
              <w:t>1.2源强核算</w:t>
            </w:r>
          </w:p>
          <w:p>
            <w:pPr>
              <w:pStyle w:val="26"/>
              <w:numPr>
                <w:ilvl w:val="1"/>
                <w:numId w:val="0"/>
              </w:numPr>
              <w:spacing w:line="360" w:lineRule="auto"/>
              <w:ind w:firstLine="482" w:firstLineChars="200"/>
              <w:rPr>
                <w:rFonts w:ascii="宋体" w:hAnsi="宋体" w:cs="宋体"/>
                <w:b/>
                <w:bCs w:val="0"/>
                <w:color w:val="auto"/>
              </w:rPr>
            </w:pPr>
            <w:r>
              <w:rPr>
                <w:rFonts w:hint="eastAsia" w:ascii="宋体" w:hAnsi="宋体" w:cs="宋体"/>
                <w:b/>
                <w:bCs w:val="0"/>
                <w:color w:val="auto"/>
                <w:lang w:eastAsia="zh-CN"/>
              </w:rPr>
              <w:t>（</w:t>
            </w:r>
            <w:r>
              <w:rPr>
                <w:rFonts w:hint="eastAsia" w:ascii="宋体" w:hAnsi="宋体" w:cs="宋体"/>
                <w:b/>
                <w:bCs w:val="0"/>
                <w:color w:val="auto"/>
                <w:lang w:val="en-US" w:eastAsia="zh-CN"/>
              </w:rPr>
              <w:t>1</w:t>
            </w:r>
            <w:r>
              <w:rPr>
                <w:rFonts w:hint="eastAsia" w:ascii="宋体" w:hAnsi="宋体" w:cs="宋体"/>
                <w:b/>
                <w:bCs w:val="0"/>
                <w:color w:val="auto"/>
                <w:lang w:eastAsia="zh-CN"/>
              </w:rPr>
              <w:t>）原料堆场装卸粉尘、投料粉尘</w:t>
            </w:r>
          </w:p>
          <w:p>
            <w:pPr>
              <w:pStyle w:val="26"/>
              <w:numPr>
                <w:ilvl w:val="1"/>
                <w:numId w:val="0"/>
              </w:numPr>
              <w:spacing w:line="360" w:lineRule="auto"/>
              <w:ind w:firstLine="480" w:firstLineChars="200"/>
              <w:rPr>
                <w:rFonts w:hint="eastAsia" w:ascii="Times New Roman" w:hAnsi="Times New Roman" w:eastAsia="宋体"/>
                <w:b w:val="0"/>
                <w:bCs/>
                <w:color w:val="auto"/>
                <w:highlight w:val="none"/>
                <w:lang w:eastAsia="zh-CN"/>
              </w:rPr>
            </w:pPr>
            <w:r>
              <w:rPr>
                <w:rFonts w:ascii="Times New Roman" w:hAnsi="Times New Roman"/>
                <w:b w:val="0"/>
                <w:bCs/>
                <w:color w:val="auto"/>
                <w:highlight w:val="none"/>
              </w:rPr>
              <w:t>本项目</w:t>
            </w:r>
            <w:r>
              <w:rPr>
                <w:rFonts w:hint="eastAsia" w:ascii="Times New Roman" w:hAnsi="Times New Roman"/>
                <w:b w:val="0"/>
                <w:bCs/>
                <w:color w:val="auto"/>
                <w:highlight w:val="none"/>
                <w:lang w:eastAsia="zh-CN"/>
              </w:rPr>
              <w:t>碎石、砂</w:t>
            </w:r>
            <w:r>
              <w:rPr>
                <w:rFonts w:ascii="Times New Roman" w:hAnsi="Times New Roman"/>
                <w:b w:val="0"/>
                <w:bCs/>
                <w:color w:val="auto"/>
                <w:highlight w:val="none"/>
              </w:rPr>
              <w:t>堆场起尘主要包括两部分，原料堆放时随风扬尘和原料装卸时产生的扬尘，本项目</w:t>
            </w:r>
            <w:r>
              <w:rPr>
                <w:rFonts w:hint="eastAsia" w:ascii="宋体" w:hAnsi="宋体" w:cs="宋体"/>
                <w:bCs/>
                <w:color w:val="auto"/>
                <w:highlight w:val="none"/>
                <w:lang w:eastAsia="zh-CN"/>
              </w:rPr>
              <w:t>原料仓库为</w:t>
            </w:r>
            <w:r>
              <w:rPr>
                <w:rFonts w:ascii="Times New Roman" w:hAnsi="Times New Roman"/>
                <w:b w:val="0"/>
                <w:bCs/>
                <w:color w:val="auto"/>
                <w:highlight w:val="none"/>
              </w:rPr>
              <w:t>封闭式的，场内为静风，因此不会造成堆场风力扬尘，主要为装卸粉尘</w:t>
            </w:r>
            <w:r>
              <w:rPr>
                <w:rFonts w:hint="eastAsia" w:ascii="Times New Roman" w:hAnsi="Times New Roman"/>
                <w:b w:val="0"/>
                <w:bCs/>
                <w:color w:val="auto"/>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4"/>
                <w:szCs w:val="24"/>
                <w:highlight w:val="none"/>
                <w:lang w:eastAsia="zh-CN"/>
              </w:rPr>
            </w:pPr>
            <w:r>
              <w:rPr>
                <w:rFonts w:hint="default"/>
                <w:color w:val="auto"/>
              </w:rPr>
              <w:drawing>
                <wp:anchor distT="0" distB="0" distL="114300" distR="114300" simplePos="0" relativeHeight="251666432" behindDoc="0" locked="0" layoutInCell="1" allowOverlap="1">
                  <wp:simplePos x="0" y="0"/>
                  <wp:positionH relativeFrom="column">
                    <wp:posOffset>1893570</wp:posOffset>
                  </wp:positionH>
                  <wp:positionV relativeFrom="paragraph">
                    <wp:posOffset>931545</wp:posOffset>
                  </wp:positionV>
                  <wp:extent cx="1737360" cy="335280"/>
                  <wp:effectExtent l="0" t="0" r="15240" b="7620"/>
                  <wp:wrapTopAndBottom/>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9"/>
                          <a:stretch>
                            <a:fillRect/>
                          </a:stretch>
                        </pic:blipFill>
                        <pic:spPr>
                          <a:xfrm>
                            <a:off x="0" y="0"/>
                            <a:ext cx="1737360" cy="335280"/>
                          </a:xfrm>
                          <a:prstGeom prst="rect">
                            <a:avLst/>
                          </a:prstGeom>
                          <a:noFill/>
                          <a:ln>
                            <a:noFill/>
                          </a:ln>
                        </pic:spPr>
                      </pic:pic>
                    </a:graphicData>
                  </a:graphic>
                </wp:anchor>
              </w:drawing>
            </w:r>
            <w:r>
              <w:rPr>
                <w:rFonts w:hint="default" w:ascii="Times New Roman" w:hAnsi="Times New Roman" w:cs="Times New Roman"/>
                <w:color w:val="auto"/>
                <w:sz w:val="24"/>
                <w:szCs w:val="24"/>
                <w:highlight w:val="none"/>
                <w:lang w:eastAsia="zh-CN"/>
              </w:rPr>
              <w:t>本项目年使用</w:t>
            </w:r>
            <w:r>
              <w:rPr>
                <w:rFonts w:hint="eastAsia" w:cs="Times New Roman"/>
                <w:color w:val="auto"/>
                <w:sz w:val="24"/>
                <w:szCs w:val="24"/>
                <w:highlight w:val="none"/>
                <w:lang w:eastAsia="zh-CN"/>
              </w:rPr>
              <w:t>碎石、</w:t>
            </w:r>
            <w:r>
              <w:rPr>
                <w:rFonts w:hint="default" w:ascii="Times New Roman" w:hAnsi="Times New Roman" w:cs="Times New Roman"/>
                <w:color w:val="auto"/>
                <w:sz w:val="24"/>
                <w:szCs w:val="24"/>
                <w:highlight w:val="none"/>
                <w:lang w:eastAsia="zh-CN"/>
              </w:rPr>
              <w:t>砂总量</w:t>
            </w:r>
            <w:r>
              <w:rPr>
                <w:rFonts w:hint="eastAsia" w:cs="Times New Roman"/>
                <w:color w:val="auto"/>
                <w:sz w:val="24"/>
                <w:szCs w:val="24"/>
                <w:highlight w:val="none"/>
                <w:lang w:eastAsia="zh-CN"/>
              </w:rPr>
              <w:t>约为</w:t>
            </w:r>
            <w:r>
              <w:rPr>
                <w:rFonts w:hint="eastAsia" w:cs="Times New Roman"/>
                <w:color w:val="auto"/>
                <w:sz w:val="24"/>
                <w:szCs w:val="24"/>
                <w:highlight w:val="none"/>
                <w:lang w:val="en-US" w:eastAsia="zh-CN"/>
              </w:rPr>
              <w:t>15.52万</w:t>
            </w:r>
            <w:r>
              <w:rPr>
                <w:rFonts w:hint="default" w:ascii="Times New Roman" w:hAnsi="Times New Roman" w:cs="Times New Roman"/>
                <w:color w:val="auto"/>
                <w:sz w:val="24"/>
                <w:szCs w:val="24"/>
                <w:highlight w:val="none"/>
                <w:lang w:eastAsia="zh-CN"/>
              </w:rPr>
              <w:t>吨，均用汽车运至</w:t>
            </w:r>
            <w:r>
              <w:rPr>
                <w:rFonts w:hint="eastAsia" w:cs="Times New Roman"/>
                <w:color w:val="auto"/>
                <w:sz w:val="24"/>
                <w:szCs w:val="24"/>
                <w:highlight w:val="none"/>
                <w:lang w:val="en-US" w:eastAsia="zh-CN"/>
              </w:rPr>
              <w:t>厂区内的原料仓库</w:t>
            </w:r>
            <w:r>
              <w:rPr>
                <w:rFonts w:hint="default" w:ascii="Times New Roman" w:hAnsi="Times New Roman" w:cs="Times New Roman"/>
                <w:color w:val="auto"/>
                <w:sz w:val="24"/>
                <w:szCs w:val="24"/>
                <w:highlight w:val="none"/>
                <w:lang w:eastAsia="zh-CN"/>
              </w:rPr>
              <w:t>。在车辆卸料过程中有粉尘产生，其产生量参考山西环保科研所、武汉水运工程学院提出的经验公式进行估算，经验公式为：</w:t>
            </w:r>
          </w:p>
          <w:p>
            <w:pPr>
              <w:pStyle w:val="26"/>
              <w:keepNext w:val="0"/>
              <w:keepLines w:val="0"/>
              <w:numPr>
                <w:ilvl w:val="1"/>
                <w:numId w:val="0"/>
              </w:numPr>
              <w:suppressLineNumbers w:val="0"/>
              <w:spacing w:before="0" w:beforeAutospacing="0" w:after="0" w:afterAutospacing="0"/>
              <w:ind w:leftChars="0" w:right="0" w:rightChars="0"/>
              <w:jc w:val="center"/>
              <w:rPr>
                <w:rFonts w:hint="default"/>
                <w:color w:val="auto"/>
                <w:lang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式中：Q—自卸汽车卸料起尘量，g/次；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U—平均风速，m/s，</w:t>
            </w:r>
            <w:r>
              <w:rPr>
                <w:rFonts w:hint="eastAsia" w:cs="Times New Roman"/>
                <w:color w:val="auto"/>
                <w:sz w:val="24"/>
                <w:szCs w:val="24"/>
                <w:highlight w:val="none"/>
                <w:lang w:val="en-US" w:eastAsia="zh-CN"/>
              </w:rPr>
              <w:t>密闭空间</w:t>
            </w:r>
            <w:r>
              <w:rPr>
                <w:rFonts w:hint="default" w:ascii="Times New Roman" w:hAnsi="Times New Roman" w:cs="Times New Roman"/>
                <w:color w:val="auto"/>
                <w:sz w:val="24"/>
                <w:szCs w:val="24"/>
                <w:highlight w:val="none"/>
                <w:lang w:eastAsia="zh-CN"/>
              </w:rPr>
              <w:t>内风速取0m/s；</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M—汽车卸料量，t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项目年使用碎石89830.22t，砂65400t，经计算年起尘量为</w:t>
            </w:r>
            <w:r>
              <w:rPr>
                <w:rFonts w:hint="eastAsia" w:cs="Times New Roman"/>
                <w:color w:val="auto"/>
                <w:sz w:val="24"/>
                <w:szCs w:val="24"/>
                <w:highlight w:val="none"/>
                <w:lang w:val="en-US" w:eastAsia="zh-CN"/>
              </w:rPr>
              <w:t>0.011</w:t>
            </w:r>
            <w:r>
              <w:rPr>
                <w:rFonts w:hint="default" w:ascii="Times New Roman" w:hAnsi="Times New Roman" w:cs="Times New Roman"/>
                <w:color w:val="auto"/>
                <w:sz w:val="24"/>
                <w:szCs w:val="24"/>
                <w:highlight w:val="none"/>
                <w:lang w:eastAsia="zh-CN"/>
              </w:rPr>
              <w:t>t/</w:t>
            </w:r>
            <w:r>
              <w:rPr>
                <w:rFonts w:hint="eastAsia" w:cs="Times New Roman"/>
                <w:color w:val="auto"/>
                <w:sz w:val="24"/>
                <w:szCs w:val="24"/>
                <w:highlight w:val="none"/>
                <w:lang w:val="en-US" w:eastAsia="zh-CN"/>
              </w:rPr>
              <w:t>a</w:t>
            </w:r>
            <w:r>
              <w:rPr>
                <w:rFonts w:hint="eastAsia" w:cs="Times New Roman"/>
                <w:color w:val="auto"/>
                <w:kern w:val="0"/>
                <w:sz w:val="24"/>
                <w:szCs w:val="24"/>
                <w:highlight w:val="none"/>
                <w:lang w:val="en-US" w:eastAsia="zh-CN"/>
              </w:rPr>
              <w:t>。</w:t>
            </w:r>
          </w:p>
          <w:p>
            <w:pPr>
              <w:pStyle w:val="26"/>
              <w:numPr>
                <w:ilvl w:val="1"/>
                <w:numId w:val="0"/>
              </w:numPr>
              <w:spacing w:line="360" w:lineRule="auto"/>
              <w:ind w:firstLine="480" w:firstLineChars="200"/>
              <w:rPr>
                <w:rFonts w:hint="eastAsia" w:ascii="Times New Roman" w:hAnsi="Times New Roman"/>
                <w:b w:val="0"/>
                <w:bCs/>
                <w:color w:val="auto"/>
              </w:rPr>
            </w:pPr>
            <w:r>
              <w:rPr>
                <w:rFonts w:hint="eastAsia" w:ascii="Times New Roman" w:hAnsi="Times New Roman"/>
                <w:b w:val="0"/>
                <w:bCs/>
                <w:color w:val="auto"/>
              </w:rPr>
              <w:t>本项目通过铲车将骨料（石）运输传送带进料口，铲车上料过程产生粉尘，粉尘产生系数参考《逸散性工业粉尘控制技术》P275表18-1粒料加工厂逸散尘源的排放因子中“7.贮堆送料上堆砂和砾石排放因子0.0006kg/t（进料）”。项目年使用</w:t>
            </w:r>
            <w:r>
              <w:rPr>
                <w:rFonts w:hint="eastAsia" w:ascii="Times New Roman" w:hAnsi="Times New Roman"/>
                <w:b w:val="0"/>
                <w:bCs/>
                <w:color w:val="auto"/>
                <w:lang w:eastAsia="zh-CN"/>
              </w:rPr>
              <w:t>碎石</w:t>
            </w:r>
            <w:r>
              <w:rPr>
                <w:rFonts w:hint="eastAsia" w:ascii="Times New Roman" w:hAnsi="Times New Roman"/>
                <w:b w:val="0"/>
                <w:bCs/>
                <w:color w:val="auto"/>
                <w:lang w:val="en-US" w:eastAsia="zh-CN"/>
              </w:rPr>
              <w:t>89830.22t，砂65400</w:t>
            </w:r>
            <w:r>
              <w:rPr>
                <w:rFonts w:hint="eastAsia" w:ascii="Times New Roman" w:hAnsi="Times New Roman"/>
                <w:b w:val="0"/>
                <w:bCs/>
                <w:color w:val="auto"/>
              </w:rPr>
              <w:t>t，则本项目上料粉尘产生量为</w:t>
            </w:r>
            <w:r>
              <w:rPr>
                <w:rFonts w:hint="eastAsia" w:ascii="Times New Roman" w:hAnsi="Times New Roman"/>
                <w:b w:val="0"/>
                <w:bCs/>
                <w:color w:val="auto"/>
                <w:lang w:val="en-US" w:eastAsia="zh-CN"/>
              </w:rPr>
              <w:t>0.093</w:t>
            </w:r>
            <w:r>
              <w:rPr>
                <w:rFonts w:hint="eastAsia" w:ascii="Times New Roman" w:hAnsi="Times New Roman"/>
                <w:b w:val="0"/>
                <w:bCs/>
                <w:color w:val="auto"/>
              </w:rPr>
              <w:t>t/a。</w:t>
            </w:r>
          </w:p>
          <w:p>
            <w:pPr>
              <w:pStyle w:val="26"/>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项目原料堆场、生产厂房均为封闭式结构，仅保留必要车辆进出口，进出口设置柔性聚酯纤维防尘帘幕，尺寸为宽4m×高5m，共2处。厂房顶部及侧墙设置固定式防尘网，采用200目不锈钢丝网，总覆盖面积约300m²</w:t>
            </w:r>
            <w:r>
              <w:rPr>
                <w:rFonts w:hint="eastAsia" w:ascii="Times New Roman" w:hAnsi="Times New Roman" w:cs="Times New Roman"/>
                <w:color w:val="auto"/>
                <w:lang w:eastAsia="zh-CN"/>
              </w:rPr>
              <w:t>（主要位于卸料口、上料口、传送带进出口）</w:t>
            </w:r>
            <w:r>
              <w:rPr>
                <w:rFonts w:hint="default" w:ascii="Times New Roman" w:hAnsi="Times New Roman" w:cs="Times New Roman"/>
                <w:color w:val="auto"/>
                <w:lang w:eastAsia="zh-CN"/>
              </w:rPr>
              <w:t>。</w:t>
            </w:r>
          </w:p>
          <w:p>
            <w:pPr>
              <w:pStyle w:val="26"/>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场内配置自动喷雾降尘系统，</w:t>
            </w:r>
            <w:r>
              <w:rPr>
                <w:rFonts w:hint="eastAsia" w:ascii="Times New Roman" w:hAnsi="Times New Roman" w:cs="Times New Roman"/>
                <w:color w:val="auto"/>
                <w:lang w:eastAsia="zh-CN"/>
              </w:rPr>
              <w:t>原料区设置</w:t>
            </w:r>
            <w:r>
              <w:rPr>
                <w:rFonts w:hint="eastAsia" w:ascii="Times New Roman" w:hAnsi="Times New Roman" w:cs="Times New Roman"/>
                <w:color w:val="auto"/>
                <w:lang w:val="en-US" w:eastAsia="zh-CN"/>
              </w:rPr>
              <w:t>20个</w:t>
            </w:r>
            <w:r>
              <w:rPr>
                <w:rFonts w:hint="default" w:ascii="Times New Roman" w:hAnsi="Times New Roman" w:cs="Times New Roman"/>
                <w:color w:val="auto"/>
                <w:lang w:eastAsia="zh-CN"/>
              </w:rPr>
              <w:t>高压雾化喷头</w:t>
            </w:r>
            <w:r>
              <w:rPr>
                <w:rFonts w:hint="eastAsia" w:ascii="Times New Roman" w:hAnsi="Times New Roman" w:cs="Times New Roman"/>
                <w:color w:val="auto"/>
                <w:lang w:eastAsia="zh-CN"/>
              </w:rPr>
              <w:t>、投料口设置</w:t>
            </w:r>
            <w:r>
              <w:rPr>
                <w:rFonts w:hint="eastAsia" w:ascii="Times New Roman" w:hAnsi="Times New Roman" w:cs="Times New Roman"/>
                <w:color w:val="auto"/>
                <w:lang w:val="en-US" w:eastAsia="zh-CN"/>
              </w:rPr>
              <w:t>5个</w:t>
            </w:r>
            <w:r>
              <w:rPr>
                <w:rFonts w:hint="default" w:ascii="Times New Roman" w:hAnsi="Times New Roman" w:cs="Times New Roman"/>
                <w:color w:val="auto"/>
                <w:lang w:eastAsia="zh-CN"/>
              </w:rPr>
              <w:t>高压雾化喷头</w:t>
            </w:r>
            <w:r>
              <w:rPr>
                <w:rFonts w:hint="eastAsia" w:ascii="Times New Roman" w:hAnsi="Times New Roman" w:cs="Times New Roman"/>
                <w:color w:val="auto"/>
                <w:lang w:eastAsia="zh-CN"/>
              </w:rPr>
              <w:t>，单个喷头喷洒水量 0.</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L/min 。</w:t>
            </w:r>
          </w:p>
          <w:p>
            <w:pPr>
              <w:pStyle w:val="26"/>
              <w:spacing w:line="360" w:lineRule="auto"/>
              <w:ind w:firstLine="48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lang w:eastAsia="zh-CN"/>
              </w:rPr>
              <w:t>在密闭空间、防尘帘幕及喷雾增湿的综合作用</w:t>
            </w:r>
            <w:r>
              <w:rPr>
                <w:rFonts w:hint="default" w:ascii="Times New Roman" w:hAnsi="Times New Roman" w:cs="Times New Roman"/>
                <w:color w:val="auto"/>
                <w:highlight w:val="none"/>
                <w:lang w:eastAsia="zh-CN"/>
              </w:rPr>
              <w:t>下，室内沉降效率可达90%以上，卸料及上料粉尘经抑尘后无组织排放，无组织排放量为0.01t/a。</w:t>
            </w:r>
          </w:p>
          <w:p>
            <w:pPr>
              <w:widowControl/>
              <w:autoSpaceDE/>
              <w:autoSpaceDN/>
              <w:adjustRightInd/>
              <w:spacing w:line="360" w:lineRule="auto"/>
              <w:ind w:firstLine="422" w:firstLineChars="200"/>
              <w:rPr>
                <w:rFonts w:ascii="宋体" w:hAnsi="宋体" w:cs="宋体"/>
                <w:b/>
                <w:bCs w:val="0"/>
                <w:color w:val="auto"/>
              </w:rPr>
            </w:pPr>
            <w:r>
              <w:rPr>
                <w:rFonts w:hint="eastAsia" w:ascii="Times New Roman" w:hAnsi="Times New Roman"/>
                <w:b/>
                <w:bCs w:val="0"/>
                <w:color w:val="auto"/>
                <w:lang w:eastAsia="zh-CN"/>
              </w:rPr>
              <w:t>（</w:t>
            </w:r>
            <w:r>
              <w:rPr>
                <w:rFonts w:hint="eastAsia"/>
                <w:b/>
                <w:bCs w:val="0"/>
                <w:color w:val="auto"/>
                <w:lang w:val="en-US" w:eastAsia="zh-CN"/>
              </w:rPr>
              <w:t>2</w:t>
            </w:r>
            <w:r>
              <w:rPr>
                <w:rFonts w:hint="eastAsia" w:ascii="Times New Roman" w:hAnsi="Times New Roman"/>
                <w:b/>
                <w:bCs w:val="0"/>
                <w:color w:val="auto"/>
                <w:lang w:eastAsia="zh-CN"/>
              </w:rPr>
              <w:t>）</w:t>
            </w:r>
            <w:r>
              <w:rPr>
                <w:rFonts w:hint="eastAsia" w:cs="Times New Roman"/>
                <w:b/>
                <w:bCs w:val="0"/>
                <w:color w:val="auto"/>
                <w:sz w:val="24"/>
                <w:szCs w:val="24"/>
                <w:highlight w:val="none"/>
                <w:lang w:eastAsia="zh-CN"/>
              </w:rPr>
              <w:t>碎石、砂输送、计量粉尘</w:t>
            </w:r>
          </w:p>
          <w:p>
            <w:pPr>
              <w:pStyle w:val="6"/>
              <w:spacing w:before="0" w:after="0" w:line="360" w:lineRule="auto"/>
              <w:ind w:right="0" w:firstLine="480" w:firstLineChars="200"/>
              <w:rPr>
                <w:rFonts w:hint="eastAsia"/>
                <w:color w:val="auto"/>
                <w:sz w:val="24"/>
              </w:rPr>
            </w:pPr>
            <w:r>
              <w:rPr>
                <w:rFonts w:hint="eastAsia" w:cs="Times New Roman"/>
                <w:color w:val="auto"/>
                <w:sz w:val="24"/>
                <w:szCs w:val="24"/>
                <w:highlight w:val="none"/>
                <w:lang w:eastAsia="zh-CN"/>
              </w:rPr>
              <w:t>碎石、砂</w:t>
            </w:r>
            <w:r>
              <w:rPr>
                <w:rFonts w:hint="eastAsia" w:ascii="Times New Roman" w:hAnsi="Times New Roman" w:cs="Times New Roman"/>
                <w:color w:val="auto"/>
                <w:spacing w:val="-1"/>
                <w:kern w:val="0"/>
                <w:sz w:val="24"/>
                <w:lang w:val="en-US" w:eastAsia="zh-CN"/>
              </w:rPr>
              <w:t>由螺旋输送机输送至各自的计量斗中进行计量，其在输送过程</w:t>
            </w:r>
            <w:r>
              <w:rPr>
                <w:rFonts w:hint="eastAsia" w:cs="Times New Roman"/>
                <w:color w:val="auto"/>
                <w:spacing w:val="-1"/>
                <w:kern w:val="0"/>
                <w:sz w:val="24"/>
                <w:lang w:val="en-US" w:eastAsia="zh-CN"/>
              </w:rPr>
              <w:t>、计量过程</w:t>
            </w:r>
            <w:r>
              <w:rPr>
                <w:rFonts w:hint="eastAsia" w:ascii="Times New Roman" w:hAnsi="Times New Roman" w:cs="Times New Roman"/>
                <w:color w:val="auto"/>
                <w:spacing w:val="-1"/>
                <w:kern w:val="0"/>
                <w:sz w:val="24"/>
                <w:lang w:val="en-US" w:eastAsia="zh-CN"/>
              </w:rPr>
              <w:t>会产生少量粉尘。上料时铲车铲斗尽可能靠近计量斗且轻投，以减少上料粉尘产生量</w:t>
            </w:r>
            <w:r>
              <w:rPr>
                <w:rFonts w:hint="eastAsia" w:cs="Times New Roman"/>
                <w:color w:val="auto"/>
                <w:spacing w:val="-1"/>
                <w:kern w:val="0"/>
                <w:sz w:val="24"/>
                <w:lang w:val="en-US" w:eastAsia="zh-CN"/>
              </w:rPr>
              <w:t>，</w:t>
            </w:r>
            <w:r>
              <w:rPr>
                <w:rFonts w:hint="eastAsia" w:ascii="Times New Roman" w:hAnsi="Times New Roman" w:cs="Times New Roman"/>
                <w:color w:val="auto"/>
                <w:spacing w:val="-1"/>
                <w:kern w:val="0"/>
                <w:sz w:val="24"/>
                <w:lang w:val="en-US" w:eastAsia="zh-CN"/>
              </w:rPr>
              <w:t>参考《逸散性工业粉尘控制技术》中粒料加工厂逸散尘的排放因子，输送过程</w:t>
            </w:r>
            <w:r>
              <w:rPr>
                <w:rFonts w:hint="eastAsia" w:cs="Times New Roman"/>
                <w:color w:val="auto"/>
                <w:spacing w:val="-1"/>
                <w:kern w:val="0"/>
                <w:sz w:val="24"/>
                <w:lang w:val="en-US" w:eastAsia="zh-CN"/>
              </w:rPr>
              <w:t>、计量过程</w:t>
            </w:r>
            <w:r>
              <w:rPr>
                <w:rFonts w:hint="eastAsia" w:ascii="Times New Roman" w:hAnsi="Times New Roman" w:cs="Times New Roman"/>
                <w:color w:val="auto"/>
                <w:spacing w:val="-1"/>
                <w:kern w:val="0"/>
                <w:sz w:val="24"/>
                <w:lang w:val="en-US" w:eastAsia="zh-CN"/>
              </w:rPr>
              <w:t>粉尘产生系数取值0.02kg/t原料，</w:t>
            </w:r>
            <w:r>
              <w:rPr>
                <w:rFonts w:hint="eastAsia"/>
                <w:color w:val="auto"/>
                <w:sz w:val="24"/>
                <w:lang w:eastAsia="zh-CN"/>
              </w:rPr>
              <w:t>项目</w:t>
            </w:r>
            <w:r>
              <w:rPr>
                <w:rFonts w:hint="eastAsia" w:cs="Times New Roman"/>
                <w:color w:val="auto"/>
                <w:sz w:val="24"/>
                <w:szCs w:val="24"/>
                <w:highlight w:val="none"/>
                <w:lang w:eastAsia="zh-CN"/>
              </w:rPr>
              <w:t>碎石、砂</w:t>
            </w:r>
            <w:r>
              <w:rPr>
                <w:rFonts w:hint="eastAsia"/>
                <w:color w:val="auto"/>
                <w:sz w:val="24"/>
                <w:lang w:eastAsia="zh-CN"/>
              </w:rPr>
              <w:t>用量</w:t>
            </w:r>
            <w:r>
              <w:rPr>
                <w:rFonts w:hint="eastAsia"/>
                <w:color w:val="auto"/>
                <w:sz w:val="24"/>
              </w:rPr>
              <w:t>为</w:t>
            </w:r>
            <w:r>
              <w:rPr>
                <w:rFonts w:hint="eastAsia"/>
                <w:color w:val="auto"/>
                <w:sz w:val="24"/>
                <w:lang w:val="en-US" w:eastAsia="zh-CN"/>
              </w:rPr>
              <w:t>155230.22</w:t>
            </w:r>
            <w:r>
              <w:rPr>
                <w:rFonts w:hint="eastAsia"/>
                <w:color w:val="auto"/>
                <w:sz w:val="24"/>
              </w:rPr>
              <w:t>t/a，则</w:t>
            </w:r>
            <w:r>
              <w:rPr>
                <w:rFonts w:hint="eastAsia"/>
                <w:color w:val="auto"/>
                <w:sz w:val="24"/>
                <w:lang w:eastAsia="zh-CN"/>
              </w:rPr>
              <w:t>输送计量</w:t>
            </w:r>
            <w:r>
              <w:rPr>
                <w:rFonts w:hint="eastAsia"/>
                <w:color w:val="auto"/>
                <w:sz w:val="24"/>
              </w:rPr>
              <w:t>粉尘产生量约为</w:t>
            </w:r>
            <w:r>
              <w:rPr>
                <w:rFonts w:hint="eastAsia"/>
                <w:color w:val="auto"/>
                <w:sz w:val="24"/>
                <w:lang w:val="en-US" w:eastAsia="zh-CN"/>
              </w:rPr>
              <w:t>3.105</w:t>
            </w:r>
            <w:r>
              <w:rPr>
                <w:rFonts w:hint="eastAsia"/>
                <w:color w:val="auto"/>
                <w:sz w:val="24"/>
              </w:rPr>
              <w:t>t/a。</w:t>
            </w:r>
          </w:p>
          <w:p>
            <w:pPr>
              <w:spacing w:line="360" w:lineRule="auto"/>
              <w:ind w:firstLine="480" w:firstLineChars="200"/>
              <w:rPr>
                <w:rFonts w:hint="default" w:ascii="Times New Roman" w:hAnsi="Times New Roman" w:cs="Times New Roman"/>
                <w:color w:val="auto"/>
              </w:rPr>
            </w:pPr>
            <w:r>
              <w:rPr>
                <w:rFonts w:hint="default" w:ascii="Times New Roman" w:hAnsi="Times New Roman" w:eastAsia="Segoe UI" w:cs="Times New Roman"/>
                <w:i w:val="0"/>
                <w:iCs w:val="0"/>
                <w:caps w:val="0"/>
                <w:color w:val="auto"/>
                <w:spacing w:val="0"/>
                <w:sz w:val="24"/>
                <w:szCs w:val="24"/>
                <w:shd w:val="clear" w:fill="FFFFFF"/>
              </w:rPr>
              <w:t>建设单位拟对原料输送、计量工序采取密闭围挡+喷雾抑尘措施：输送皮带采用全封闭彩钢板廊道（高度2m、长度120m），计量斗上方设置三面彩钢板围挡（高度3m、长度6m），仅保留一个侧面物料输送口；在输送廊道内设置20个高压雾化喷头，计量斗区域设置6个喷头，单个喷洒水量0.5L/min（水压0.3MPa）</w:t>
            </w:r>
            <w:r>
              <w:rPr>
                <w:rFonts w:hint="eastAsia"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Segoe UI" w:cs="Times New Roman"/>
                <w:i w:val="0"/>
                <w:iCs w:val="0"/>
                <w:caps w:val="0"/>
                <w:color w:val="auto"/>
                <w:spacing w:val="0"/>
                <w:sz w:val="24"/>
                <w:szCs w:val="24"/>
                <w:shd w:val="clear" w:fill="FFFFFF"/>
              </w:rPr>
              <w:t>经上述措施后预计可削减90%的无组织粉尘，排放量约为0.311t/a（无组织排放），按年工作300天、每天4小时计，排放速率为0.259kg/h。</w:t>
            </w:r>
          </w:p>
          <w:p>
            <w:pPr>
              <w:pStyle w:val="26"/>
              <w:numPr>
                <w:ilvl w:val="1"/>
                <w:numId w:val="0"/>
              </w:numPr>
              <w:spacing w:line="360" w:lineRule="auto"/>
              <w:ind w:firstLine="482" w:firstLineChars="200"/>
              <w:rPr>
                <w:rFonts w:hint="eastAsia" w:ascii="宋体" w:hAnsi="宋体" w:eastAsia="宋体" w:cs="宋体"/>
                <w:b/>
                <w:bCs w:val="0"/>
                <w:color w:val="auto"/>
                <w:lang w:eastAsia="zh-CN"/>
              </w:rPr>
            </w:pPr>
            <w:r>
              <w:rPr>
                <w:rFonts w:hint="eastAsia" w:ascii="宋体" w:hAnsi="宋体" w:eastAsia="宋体" w:cs="宋体"/>
                <w:b/>
                <w:bCs w:val="0"/>
                <w:color w:val="auto"/>
                <w:lang w:eastAsia="zh-CN"/>
              </w:rPr>
              <w:t>（</w:t>
            </w:r>
            <w:r>
              <w:rPr>
                <w:rFonts w:hint="eastAsia" w:ascii="宋体" w:hAnsi="宋体" w:cs="宋体"/>
                <w:b/>
                <w:bCs w:val="0"/>
                <w:color w:val="auto"/>
                <w:lang w:val="en-US" w:eastAsia="zh-CN"/>
              </w:rPr>
              <w:t>3</w:t>
            </w:r>
            <w:r>
              <w:rPr>
                <w:rFonts w:hint="eastAsia" w:ascii="宋体" w:hAnsi="宋体" w:eastAsia="宋体" w:cs="宋体"/>
                <w:b/>
                <w:bCs w:val="0"/>
                <w:color w:val="auto"/>
                <w:lang w:eastAsia="zh-CN"/>
              </w:rPr>
              <w:t>）</w:t>
            </w:r>
            <w:r>
              <w:rPr>
                <w:rFonts w:hint="eastAsia" w:ascii="宋体" w:hAnsi="宋体" w:cs="宋体"/>
                <w:b/>
                <w:bCs w:val="0"/>
                <w:color w:val="auto"/>
                <w:lang w:eastAsia="zh-CN"/>
              </w:rPr>
              <w:t>水泥罐粉尘</w:t>
            </w:r>
          </w:p>
          <w:p>
            <w:pPr>
              <w:pStyle w:val="26"/>
              <w:numPr>
                <w:ilvl w:val="1"/>
                <w:numId w:val="0"/>
              </w:numPr>
              <w:spacing w:line="360" w:lineRule="auto"/>
              <w:ind w:firstLine="480" w:firstLineChars="200"/>
              <w:rPr>
                <w:rFonts w:hint="default" w:ascii="Times New Roman" w:hAnsi="Times New Roman" w:eastAsia="宋体"/>
                <w:b w:val="0"/>
                <w:bCs/>
                <w:color w:val="auto"/>
                <w:lang w:val="en-US" w:eastAsia="zh-CN"/>
              </w:rPr>
            </w:pPr>
            <w:r>
              <w:rPr>
                <w:rFonts w:ascii="Times New Roman" w:hAnsi="Times New Roman"/>
                <w:b w:val="0"/>
                <w:bCs/>
                <w:color w:val="auto"/>
              </w:rPr>
              <w:t>水泥用气泵打入</w:t>
            </w:r>
            <w:r>
              <w:rPr>
                <w:rFonts w:hint="eastAsia" w:ascii="Times New Roman" w:hAnsi="Times New Roman"/>
                <w:b w:val="0"/>
                <w:bCs/>
                <w:color w:val="auto"/>
                <w:lang w:eastAsia="zh-CN"/>
              </w:rPr>
              <w:t>水泥罐</w:t>
            </w:r>
            <w:r>
              <w:rPr>
                <w:rFonts w:ascii="Times New Roman" w:hAnsi="Times New Roman"/>
                <w:b w:val="0"/>
                <w:bCs/>
                <w:color w:val="auto"/>
              </w:rPr>
              <w:t>，由于受气流冲击，</w:t>
            </w:r>
            <w:r>
              <w:rPr>
                <w:rFonts w:hint="eastAsia" w:ascii="Times New Roman" w:hAnsi="Times New Roman"/>
                <w:b w:val="0"/>
                <w:bCs/>
                <w:color w:val="auto"/>
                <w:lang w:eastAsia="zh-CN"/>
              </w:rPr>
              <w:t>罐</w:t>
            </w:r>
            <w:r>
              <w:rPr>
                <w:rFonts w:ascii="Times New Roman" w:hAnsi="Times New Roman"/>
                <w:b w:val="0"/>
                <w:bCs/>
                <w:color w:val="auto"/>
              </w:rPr>
              <w:t>中的粉状原料可从罐顶气孔排至大气中。</w:t>
            </w:r>
            <w:r>
              <w:rPr>
                <w:rFonts w:hint="eastAsia" w:ascii="Times New Roman" w:hAnsi="Times New Roman"/>
                <w:b w:val="0"/>
                <w:bCs/>
                <w:color w:val="auto"/>
              </w:rPr>
              <w:t>根据</w:t>
            </w:r>
            <w:r>
              <w:rPr>
                <w:rFonts w:ascii="Times New Roman" w:hAnsi="Times New Roman"/>
                <w:b w:val="0"/>
                <w:bCs/>
                <w:color w:val="auto"/>
              </w:rPr>
              <w:t>《逸散性工业粉尘控</w:t>
            </w:r>
            <w:r>
              <w:rPr>
                <w:rFonts w:ascii="Times New Roman" w:hAnsi="Times New Roman"/>
                <w:b w:val="0"/>
                <w:bCs/>
                <w:color w:val="auto"/>
                <w:highlight w:val="none"/>
              </w:rPr>
              <w:t>制技术</w:t>
            </w:r>
            <w:r>
              <w:rPr>
                <w:rFonts w:ascii="Times New Roman" w:hAnsi="Times New Roman"/>
                <w:b w:val="0"/>
                <w:bCs/>
                <w:color w:val="auto"/>
              </w:rPr>
              <w:t>》中第二十二章中</w:t>
            </w:r>
            <w:r>
              <w:rPr>
                <w:rFonts w:hint="eastAsia" w:ascii="Times New Roman" w:hAnsi="Times New Roman"/>
                <w:b w:val="0"/>
                <w:bCs/>
                <w:color w:val="auto"/>
                <w:lang w:eastAsia="zh-CN"/>
              </w:rPr>
              <w:t>“</w:t>
            </w:r>
            <w:r>
              <w:rPr>
                <w:rFonts w:ascii="Times New Roman" w:hAnsi="Times New Roman"/>
                <w:b w:val="0"/>
                <w:bCs/>
                <w:color w:val="auto"/>
              </w:rPr>
              <w:t>混凝土分批搅拌厂</w:t>
            </w:r>
            <w:r>
              <w:rPr>
                <w:rFonts w:hint="eastAsia" w:ascii="Times New Roman" w:hAnsi="Times New Roman"/>
                <w:b w:val="0"/>
                <w:bCs/>
                <w:color w:val="auto"/>
                <w:lang w:eastAsia="zh-CN"/>
              </w:rPr>
              <w:t>”</w:t>
            </w:r>
            <w:r>
              <w:rPr>
                <w:rFonts w:ascii="Times New Roman" w:hAnsi="Times New Roman"/>
                <w:b w:val="0"/>
                <w:bCs/>
                <w:color w:val="auto"/>
              </w:rPr>
              <w:t>中的相关标准中储罐排气排放因子为0.12kg/t（卸料）</w:t>
            </w:r>
            <w:r>
              <w:rPr>
                <w:rFonts w:hint="eastAsia" w:ascii="Times New Roman" w:hAnsi="Times New Roman"/>
                <w:b w:val="0"/>
                <w:bCs/>
                <w:color w:val="auto"/>
              </w:rPr>
              <w:t>，</w:t>
            </w:r>
            <w:r>
              <w:rPr>
                <w:rFonts w:ascii="Times New Roman" w:hAnsi="Times New Roman"/>
                <w:b w:val="0"/>
                <w:bCs/>
                <w:color w:val="auto"/>
              </w:rPr>
              <w:t>本项目水泥使用量为</w:t>
            </w:r>
            <w:r>
              <w:rPr>
                <w:rFonts w:hint="eastAsia" w:ascii="Times New Roman" w:hAnsi="Times New Roman"/>
                <w:b w:val="0"/>
                <w:bCs/>
                <w:color w:val="auto"/>
                <w:lang w:val="en-US" w:eastAsia="zh-CN"/>
              </w:rPr>
              <w:t>28602.421</w:t>
            </w:r>
            <w:r>
              <w:rPr>
                <w:rFonts w:ascii="Times New Roman" w:hAnsi="Times New Roman"/>
                <w:b w:val="0"/>
                <w:bCs/>
                <w:color w:val="auto"/>
              </w:rPr>
              <w:t>吨/年，</w:t>
            </w:r>
            <w:r>
              <w:rPr>
                <w:rFonts w:hint="eastAsia" w:ascii="Times New Roman" w:hAnsi="Times New Roman"/>
                <w:b w:val="0"/>
                <w:bCs/>
                <w:color w:val="auto"/>
                <w:lang w:eastAsia="zh-CN"/>
              </w:rPr>
              <w:t>水泥罐</w:t>
            </w:r>
            <w:r>
              <w:rPr>
                <w:rFonts w:hint="eastAsia" w:ascii="Times New Roman" w:hAnsi="Times New Roman"/>
                <w:b w:val="0"/>
                <w:bCs/>
                <w:color w:val="auto"/>
              </w:rPr>
              <w:t>进料和出料</w:t>
            </w:r>
            <w:r>
              <w:rPr>
                <w:rFonts w:ascii="Times New Roman" w:hAnsi="Times New Roman"/>
                <w:b w:val="0"/>
                <w:bCs/>
                <w:color w:val="auto"/>
              </w:rPr>
              <w:t>时间为</w:t>
            </w:r>
            <w:r>
              <w:rPr>
                <w:rFonts w:hint="eastAsia" w:ascii="Times New Roman" w:hAnsi="Times New Roman"/>
                <w:b w:val="0"/>
                <w:bCs/>
                <w:color w:val="auto"/>
                <w:lang w:val="en-US" w:eastAsia="zh-CN"/>
              </w:rPr>
              <w:t>10</w:t>
            </w:r>
            <w:r>
              <w:rPr>
                <w:rFonts w:ascii="Times New Roman" w:hAnsi="Times New Roman"/>
                <w:b w:val="0"/>
                <w:bCs/>
                <w:color w:val="auto"/>
              </w:rPr>
              <w:t>h</w:t>
            </w:r>
            <w:r>
              <w:rPr>
                <w:rFonts w:hint="eastAsia" w:ascii="Times New Roman" w:hAnsi="Times New Roman"/>
                <w:b w:val="0"/>
                <w:bCs/>
                <w:color w:val="auto"/>
              </w:rPr>
              <w:t>/d</w:t>
            </w:r>
            <w:r>
              <w:rPr>
                <w:rFonts w:ascii="Times New Roman" w:hAnsi="Times New Roman"/>
                <w:b w:val="0"/>
                <w:bCs/>
                <w:color w:val="auto"/>
              </w:rPr>
              <w:t>、</w:t>
            </w:r>
            <w:r>
              <w:rPr>
                <w:rFonts w:hint="eastAsia" w:ascii="Times New Roman" w:hAnsi="Times New Roman"/>
                <w:b w:val="0"/>
                <w:bCs/>
                <w:color w:val="auto"/>
                <w:lang w:val="en-US" w:eastAsia="zh-CN"/>
              </w:rPr>
              <w:t>3000</w:t>
            </w:r>
            <w:r>
              <w:rPr>
                <w:rFonts w:ascii="Times New Roman" w:hAnsi="Times New Roman"/>
                <w:b w:val="0"/>
                <w:bCs/>
                <w:color w:val="auto"/>
              </w:rPr>
              <w:t>h/a</w:t>
            </w:r>
            <w:r>
              <w:rPr>
                <w:rFonts w:hint="eastAsia" w:ascii="Times New Roman" w:hAnsi="Times New Roman"/>
                <w:b w:val="0"/>
                <w:bCs/>
                <w:color w:val="auto"/>
              </w:rPr>
              <w:t>，</w:t>
            </w:r>
            <w:r>
              <w:rPr>
                <w:rFonts w:ascii="Times New Roman" w:hAnsi="Times New Roman"/>
                <w:b w:val="0"/>
                <w:bCs/>
                <w:color w:val="auto"/>
              </w:rPr>
              <w:t>因此</w:t>
            </w:r>
            <w:r>
              <w:rPr>
                <w:rFonts w:hint="eastAsia" w:ascii="Times New Roman" w:hAnsi="Times New Roman"/>
                <w:b w:val="0"/>
                <w:bCs/>
                <w:color w:val="auto"/>
                <w:lang w:eastAsia="zh-CN"/>
              </w:rPr>
              <w:t>水泥</w:t>
            </w:r>
            <w:r>
              <w:rPr>
                <w:rFonts w:ascii="Times New Roman" w:hAnsi="Times New Roman"/>
                <w:b w:val="0"/>
                <w:bCs/>
                <w:color w:val="auto"/>
              </w:rPr>
              <w:t>入筒仓工序产生的粉尘量为</w:t>
            </w:r>
            <w:r>
              <w:rPr>
                <w:rFonts w:hint="eastAsia" w:ascii="Times New Roman" w:hAnsi="Times New Roman"/>
                <w:b w:val="0"/>
                <w:bCs/>
                <w:color w:val="auto"/>
                <w:lang w:val="en-US" w:eastAsia="zh-CN"/>
              </w:rPr>
              <w:t>3.432</w:t>
            </w:r>
            <w:r>
              <w:rPr>
                <w:rFonts w:ascii="Times New Roman" w:hAnsi="Times New Roman"/>
                <w:b w:val="0"/>
                <w:bCs/>
                <w:color w:val="auto"/>
              </w:rPr>
              <w:t>t/a，</w:t>
            </w:r>
            <w:r>
              <w:rPr>
                <w:rFonts w:hint="eastAsia" w:ascii="Times New Roman" w:hAnsi="Times New Roman"/>
                <w:b w:val="0"/>
                <w:bCs/>
                <w:color w:val="auto"/>
              </w:rPr>
              <w:t>项目设置</w:t>
            </w:r>
            <w:r>
              <w:rPr>
                <w:rFonts w:hint="eastAsia" w:ascii="Times New Roman" w:hAnsi="Times New Roman"/>
                <w:b w:val="0"/>
                <w:bCs/>
                <w:color w:val="auto"/>
                <w:lang w:val="en-US" w:eastAsia="zh-CN"/>
              </w:rPr>
              <w:t>1</w:t>
            </w:r>
            <w:r>
              <w:rPr>
                <w:rFonts w:hint="eastAsia" w:ascii="Times New Roman" w:hAnsi="Times New Roman"/>
                <w:b w:val="0"/>
                <w:bCs/>
                <w:color w:val="auto"/>
              </w:rPr>
              <w:t>个</w:t>
            </w:r>
            <w:r>
              <w:rPr>
                <w:rFonts w:hint="eastAsia" w:ascii="Times New Roman" w:hAnsi="Times New Roman"/>
                <w:b w:val="0"/>
                <w:bCs/>
                <w:color w:val="auto"/>
                <w:lang w:val="en-US" w:eastAsia="zh-CN"/>
              </w:rPr>
              <w:t>10</w:t>
            </w:r>
            <w:r>
              <w:rPr>
                <w:rFonts w:hint="eastAsia" w:ascii="Times New Roman" w:hAnsi="Times New Roman"/>
                <w:b w:val="0"/>
                <w:bCs/>
                <w:color w:val="auto"/>
              </w:rPr>
              <w:t>0t的水泥</w:t>
            </w:r>
            <w:r>
              <w:rPr>
                <w:rFonts w:hint="eastAsia" w:ascii="Times New Roman" w:hAnsi="Times New Roman"/>
                <w:b w:val="0"/>
                <w:bCs/>
                <w:color w:val="auto"/>
                <w:lang w:eastAsia="zh-CN"/>
              </w:rPr>
              <w:t>罐</w:t>
            </w:r>
            <w:r>
              <w:rPr>
                <w:rFonts w:hint="eastAsia" w:ascii="Times New Roman" w:hAnsi="Times New Roman"/>
                <w:b w:val="0"/>
                <w:bCs/>
                <w:color w:val="auto"/>
              </w:rPr>
              <w:t>，</w:t>
            </w:r>
            <w:r>
              <w:rPr>
                <w:rFonts w:hint="eastAsia" w:ascii="Times New Roman" w:hAnsi="Times New Roman"/>
                <w:b w:val="0"/>
                <w:bCs/>
                <w:color w:val="auto"/>
                <w:lang w:eastAsia="zh-CN"/>
              </w:rPr>
              <w:t>水泥罐</w:t>
            </w:r>
            <w:r>
              <w:rPr>
                <w:rFonts w:hint="eastAsia" w:ascii="Times New Roman" w:hAnsi="Times New Roman"/>
                <w:b w:val="0"/>
                <w:bCs/>
                <w:color w:val="auto"/>
              </w:rPr>
              <w:t>自带仓顶除尘器（风量2000m</w:t>
            </w:r>
            <w:r>
              <w:rPr>
                <w:rFonts w:hint="eastAsia" w:ascii="Times New Roman" w:hAnsi="Times New Roman"/>
                <w:b w:val="0"/>
                <w:bCs/>
                <w:color w:val="auto"/>
                <w:vertAlign w:val="superscript"/>
              </w:rPr>
              <w:t>3</w:t>
            </w:r>
            <w:r>
              <w:rPr>
                <w:rFonts w:hint="eastAsia" w:ascii="Times New Roman" w:hAnsi="Times New Roman"/>
                <w:b w:val="0"/>
                <w:bCs/>
                <w:color w:val="auto"/>
              </w:rPr>
              <w:t>/h）</w:t>
            </w:r>
            <w:r>
              <w:rPr>
                <w:rFonts w:ascii="Times New Roman" w:hAnsi="Times New Roman"/>
                <w:b w:val="0"/>
                <w:bCs/>
                <w:color w:val="auto"/>
              </w:rPr>
              <w:t>进行处理，</w:t>
            </w:r>
            <w:r>
              <w:rPr>
                <w:rFonts w:hint="eastAsia" w:ascii="Times New Roman" w:hAnsi="Times New Roman"/>
                <w:b w:val="0"/>
                <w:bCs/>
                <w:color w:val="auto"/>
              </w:rPr>
              <w:t>参照《排放源统计调查产排污核算方法和系数手册》（2021年）中3021水泥制品制造行业系数列表，袋式除尘器除尘效率为99.7%</w:t>
            </w:r>
            <w:r>
              <w:rPr>
                <w:rFonts w:ascii="Times New Roman" w:hAnsi="Times New Roman"/>
                <w:b w:val="0"/>
                <w:bCs/>
                <w:color w:val="auto"/>
              </w:rPr>
              <w:t>，</w:t>
            </w:r>
            <w:r>
              <w:rPr>
                <w:rFonts w:hint="eastAsia" w:ascii="Times New Roman" w:hAnsi="Times New Roman"/>
                <w:b w:val="0"/>
                <w:bCs/>
                <w:color w:val="auto"/>
              </w:rPr>
              <w:t>则粉料仓粉尘排放总量</w:t>
            </w:r>
            <w:r>
              <w:rPr>
                <w:rFonts w:hint="eastAsia" w:ascii="Times New Roman" w:hAnsi="Times New Roman"/>
                <w:b w:val="0"/>
                <w:bCs/>
                <w:color w:val="auto"/>
                <w:lang w:val="en-US" w:eastAsia="zh-CN"/>
              </w:rPr>
              <w:t>0.01</w:t>
            </w:r>
            <w:r>
              <w:rPr>
                <w:rFonts w:hint="eastAsia" w:ascii="Times New Roman" w:hAnsi="Times New Roman"/>
                <w:b w:val="0"/>
                <w:bCs/>
                <w:color w:val="auto"/>
              </w:rPr>
              <w:t>t/a。</w:t>
            </w:r>
            <w:r>
              <w:rPr>
                <w:rFonts w:hint="eastAsia" w:ascii="Times New Roman" w:hAnsi="Times New Roman"/>
                <w:b w:val="0"/>
                <w:bCs/>
                <w:color w:val="auto"/>
                <w:lang w:eastAsia="zh-CN"/>
              </w:rPr>
              <w:t>该部分粉尘在密闭车间内沉降，沉降效率按照</w:t>
            </w:r>
            <w:r>
              <w:rPr>
                <w:rFonts w:hint="eastAsia" w:ascii="Times New Roman" w:hAnsi="Times New Roman"/>
                <w:b w:val="0"/>
                <w:bCs/>
                <w:color w:val="auto"/>
                <w:lang w:val="en-US" w:eastAsia="zh-CN"/>
              </w:rPr>
              <w:t>50%计，则无组织排放量为0.005t/a。</w:t>
            </w:r>
          </w:p>
          <w:p>
            <w:pPr>
              <w:pStyle w:val="32"/>
              <w:spacing w:line="360" w:lineRule="auto"/>
              <w:rPr>
                <w:rFonts w:ascii="Times New Roman"/>
                <w:b/>
                <w:bCs/>
                <w:color w:val="auto"/>
                <w:sz w:val="24"/>
                <w:szCs w:val="24"/>
              </w:rPr>
            </w:pPr>
            <w:r>
              <w:rPr>
                <w:rFonts w:hint="eastAsia" w:ascii="Times New Roman"/>
                <w:b/>
                <w:bCs/>
                <w:color w:val="auto"/>
                <w:sz w:val="24"/>
                <w:szCs w:val="24"/>
                <w:lang w:eastAsia="zh-CN"/>
              </w:rPr>
              <w:t>（</w:t>
            </w:r>
            <w:r>
              <w:rPr>
                <w:rFonts w:hint="eastAsia" w:ascii="Times New Roman"/>
                <w:b/>
                <w:bCs/>
                <w:color w:val="auto"/>
                <w:sz w:val="24"/>
                <w:szCs w:val="24"/>
                <w:lang w:val="en-US" w:eastAsia="zh-CN"/>
              </w:rPr>
              <w:t>4</w:t>
            </w:r>
            <w:r>
              <w:rPr>
                <w:rFonts w:hint="eastAsia" w:ascii="Times New Roman"/>
                <w:b/>
                <w:bCs/>
                <w:color w:val="auto"/>
                <w:sz w:val="24"/>
                <w:szCs w:val="24"/>
                <w:lang w:eastAsia="zh-CN"/>
              </w:rPr>
              <w:t>）</w:t>
            </w:r>
            <w:r>
              <w:rPr>
                <w:rFonts w:ascii="Times New Roman"/>
                <w:b/>
                <w:bCs/>
                <w:color w:val="auto"/>
                <w:sz w:val="24"/>
                <w:szCs w:val="24"/>
              </w:rPr>
              <w:t>搅拌粉尘</w:t>
            </w:r>
          </w:p>
          <w:p>
            <w:pPr>
              <w:tabs>
                <w:tab w:val="left" w:pos="975"/>
              </w:tabs>
              <w:spacing w:line="360" w:lineRule="auto"/>
              <w:ind w:firstLine="480"/>
              <w:rPr>
                <w:rFonts w:hint="eastAsia" w:eastAsia="宋体"/>
                <w:color w:val="auto"/>
                <w:sz w:val="24"/>
                <w:lang w:eastAsia="zh-CN"/>
              </w:rPr>
            </w:pPr>
            <w:r>
              <w:rPr>
                <w:rFonts w:hint="eastAsia"/>
                <w:color w:val="auto"/>
                <w:sz w:val="24"/>
              </w:rPr>
              <w:t>本项目搅拌机为密闭式结构，采用湿法搅拌工艺，搅拌机粉尘主要产生在粉状原料下料至搅拌机的过程中。</w:t>
            </w:r>
            <w:r>
              <w:rPr>
                <w:color w:val="auto"/>
                <w:sz w:val="24"/>
              </w:rPr>
              <w:t>为了控制粉尘的排放，节约物料，</w:t>
            </w:r>
            <w:r>
              <w:rPr>
                <w:rFonts w:hint="eastAsia"/>
                <w:color w:val="auto"/>
                <w:sz w:val="24"/>
              </w:rPr>
              <w:t>搅拌机配备脉冲袋式除尘器收集粉尘，</w:t>
            </w:r>
            <w:r>
              <w:rPr>
                <w:rFonts w:hint="eastAsia"/>
                <w:color w:val="auto"/>
                <w:sz w:val="24"/>
                <w:szCs w:val="24"/>
                <w:lang w:val="en-US" w:eastAsia="zh-CN"/>
              </w:rPr>
              <w:t>搅拌机的投料口设置三面软帘收集装置</w:t>
            </w:r>
            <w:r>
              <w:rPr>
                <w:rFonts w:hint="eastAsia"/>
                <w:color w:val="auto"/>
                <w:sz w:val="24"/>
              </w:rPr>
              <w:t>，在生产过程中通过厂房顶部雾化喷淋+进料口设置集气罩等装置，产生的搅拌粉尘经集气罩收集后通过1套脉冲布袋除尘器处理后由1根</w:t>
            </w:r>
            <w:r>
              <w:rPr>
                <w:rFonts w:hint="eastAsia"/>
                <w:color w:val="auto"/>
                <w:sz w:val="24"/>
                <w:lang w:val="en-US" w:eastAsia="zh-CN"/>
              </w:rPr>
              <w:t>15m高</w:t>
            </w:r>
            <w:r>
              <w:rPr>
                <w:rFonts w:hint="eastAsia"/>
                <w:color w:val="auto"/>
                <w:sz w:val="24"/>
              </w:rPr>
              <w:t>排气筒</w:t>
            </w:r>
            <w:r>
              <w:rPr>
                <w:color w:val="auto"/>
                <w:sz w:val="24"/>
              </w:rPr>
              <w:t>排放（排气口编号为DA00</w:t>
            </w:r>
            <w:r>
              <w:rPr>
                <w:rFonts w:hint="eastAsia"/>
                <w:color w:val="auto"/>
                <w:sz w:val="24"/>
                <w:lang w:val="en-US" w:eastAsia="zh-CN"/>
              </w:rPr>
              <w:t>1</w:t>
            </w:r>
            <w:r>
              <w:rPr>
                <w:color w:val="auto"/>
                <w:sz w:val="24"/>
              </w:rPr>
              <w:t>，高度为</w:t>
            </w:r>
            <w:r>
              <w:rPr>
                <w:rFonts w:hint="eastAsia"/>
                <w:color w:val="auto"/>
                <w:sz w:val="24"/>
              </w:rPr>
              <w:t>15</w:t>
            </w:r>
            <w:r>
              <w:rPr>
                <w:color w:val="auto"/>
                <w:sz w:val="24"/>
              </w:rPr>
              <w:t>m，内径为0.</w:t>
            </w:r>
            <w:r>
              <w:rPr>
                <w:rFonts w:hint="eastAsia"/>
                <w:color w:val="auto"/>
                <w:sz w:val="24"/>
              </w:rPr>
              <w:t>5</w:t>
            </w:r>
            <w:r>
              <w:rPr>
                <w:color w:val="auto"/>
                <w:sz w:val="24"/>
              </w:rPr>
              <w:t>m</w:t>
            </w:r>
            <w:r>
              <w:rPr>
                <w:rFonts w:hint="eastAsia"/>
                <w:color w:val="auto"/>
                <w:sz w:val="24"/>
              </w:rPr>
              <w:t>，除尘器配套风机风量为20000</w:t>
            </w:r>
            <w:r>
              <w:rPr>
                <w:color w:val="auto"/>
                <w:sz w:val="24"/>
              </w:rPr>
              <w:t>m</w:t>
            </w:r>
            <w:r>
              <w:rPr>
                <w:color w:val="auto"/>
                <w:sz w:val="24"/>
                <w:vertAlign w:val="superscript"/>
              </w:rPr>
              <w:t>3</w:t>
            </w:r>
            <w:r>
              <w:rPr>
                <w:color w:val="auto"/>
                <w:sz w:val="24"/>
              </w:rPr>
              <w:t>/h</w:t>
            </w:r>
            <w:r>
              <w:rPr>
                <w:rFonts w:hint="eastAsia"/>
                <w:color w:val="auto"/>
                <w:sz w:val="24"/>
              </w:rPr>
              <w:t>，收集效率按9</w:t>
            </w:r>
            <w:r>
              <w:rPr>
                <w:rFonts w:hint="eastAsia"/>
                <w:color w:val="auto"/>
                <w:sz w:val="24"/>
                <w:lang w:val="en-US" w:eastAsia="zh-CN"/>
              </w:rPr>
              <w:t>0</w:t>
            </w:r>
            <w:r>
              <w:rPr>
                <w:rFonts w:hint="eastAsia"/>
                <w:color w:val="auto"/>
                <w:sz w:val="24"/>
              </w:rPr>
              <w:t>%计</w:t>
            </w:r>
            <w:r>
              <w:rPr>
                <w:color w:val="auto"/>
                <w:sz w:val="24"/>
              </w:rPr>
              <w:t>）。</w:t>
            </w:r>
          </w:p>
          <w:p>
            <w:pPr>
              <w:pStyle w:val="26"/>
              <w:numPr>
                <w:ilvl w:val="1"/>
                <w:numId w:val="0"/>
              </w:numPr>
              <w:spacing w:line="360" w:lineRule="auto"/>
              <w:ind w:firstLine="480" w:firstLineChars="200"/>
              <w:rPr>
                <w:rFonts w:ascii="Times New Roman"/>
                <w:b w:val="0"/>
                <w:bCs/>
                <w:color w:val="auto"/>
              </w:rPr>
            </w:pPr>
            <w:r>
              <w:rPr>
                <w:rFonts w:ascii="Times New Roman"/>
                <w:b w:val="0"/>
                <w:bCs/>
                <w:color w:val="auto"/>
              </w:rPr>
              <w:t>根据《排放源统计调查产排污核算方法和系数手册》（2021 年）中3021水泥制品制造业（含3022 砼结构构件、3029 其他水泥类似制品制造）产排污系数表可知，物料混合搅拌工序粉尘工艺产污系数为0.13kg/t-产品，</w:t>
            </w:r>
            <w:r>
              <w:rPr>
                <w:rFonts w:hint="eastAsia" w:ascii="Times New Roman"/>
                <w:b w:val="0"/>
                <w:bCs/>
                <w:color w:val="auto"/>
                <w:lang w:eastAsia="zh-CN"/>
              </w:rPr>
              <w:t>袋式除尘处理效率为</w:t>
            </w:r>
            <w:r>
              <w:rPr>
                <w:rFonts w:hint="eastAsia" w:ascii="Times New Roman"/>
                <w:b w:val="0"/>
                <w:bCs/>
                <w:color w:val="auto"/>
                <w:lang w:val="en-US" w:eastAsia="zh-CN"/>
              </w:rPr>
              <w:t>99.7%，</w:t>
            </w:r>
            <w:r>
              <w:rPr>
                <w:rFonts w:ascii="Times New Roman"/>
                <w:b w:val="0"/>
                <w:bCs/>
                <w:color w:val="auto"/>
              </w:rPr>
              <w:t>年产</w:t>
            </w:r>
            <w:r>
              <w:rPr>
                <w:rFonts w:hint="eastAsia" w:ascii="Times New Roman"/>
                <w:b w:val="0"/>
                <w:bCs/>
                <w:color w:val="auto"/>
                <w:lang w:val="en-US" w:eastAsia="zh-CN"/>
              </w:rPr>
              <w:t>20</w:t>
            </w:r>
            <w:r>
              <w:rPr>
                <w:rFonts w:ascii="Times New Roman"/>
                <w:b w:val="0"/>
                <w:bCs/>
                <w:color w:val="auto"/>
              </w:rPr>
              <w:t>万t</w:t>
            </w:r>
            <w:r>
              <w:rPr>
                <w:rFonts w:hint="eastAsia" w:ascii="Times New Roman"/>
                <w:b w:val="0"/>
                <w:bCs/>
                <w:color w:val="auto"/>
                <w:lang w:eastAsia="zh-CN"/>
              </w:rPr>
              <w:t>水泥制品</w:t>
            </w:r>
            <w:r>
              <w:rPr>
                <w:rFonts w:ascii="Times New Roman"/>
                <w:b w:val="0"/>
                <w:bCs/>
                <w:color w:val="auto"/>
              </w:rPr>
              <w:t>。粉尘产生量为</w:t>
            </w:r>
            <w:r>
              <w:rPr>
                <w:rFonts w:hint="eastAsia" w:ascii="Times New Roman"/>
                <w:b w:val="0"/>
                <w:bCs/>
                <w:color w:val="auto"/>
                <w:lang w:val="en-US" w:eastAsia="zh-CN"/>
              </w:rPr>
              <w:t>26</w:t>
            </w:r>
            <w:r>
              <w:rPr>
                <w:rFonts w:ascii="Times New Roman"/>
                <w:b w:val="0"/>
                <w:bCs/>
                <w:color w:val="auto"/>
              </w:rPr>
              <w:t>t/a。</w:t>
            </w:r>
          </w:p>
          <w:p>
            <w:pPr>
              <w:widowControl/>
              <w:spacing w:line="360" w:lineRule="auto"/>
              <w:ind w:firstLine="480" w:firstLineChars="200"/>
              <w:jc w:val="left"/>
              <w:rPr>
                <w:rFonts w:hint="eastAsia" w:eastAsia="宋体"/>
                <w:bCs/>
                <w:color w:val="auto"/>
                <w:sz w:val="24"/>
                <w:highlight w:val="none"/>
                <w:lang w:eastAsia="zh-CN"/>
              </w:rPr>
            </w:pPr>
            <w:r>
              <w:rPr>
                <w:rFonts w:hint="eastAsia"/>
                <w:bCs/>
                <w:color w:val="auto"/>
                <w:sz w:val="24"/>
                <w:highlight w:val="none"/>
              </w:rPr>
              <w:t>搅拌</w:t>
            </w:r>
            <w:r>
              <w:rPr>
                <w:bCs/>
                <w:color w:val="auto"/>
                <w:sz w:val="24"/>
                <w:highlight w:val="none"/>
              </w:rPr>
              <w:t>工序年工作时间为</w:t>
            </w:r>
            <w:r>
              <w:rPr>
                <w:rFonts w:hint="eastAsia"/>
                <w:bCs/>
                <w:color w:val="auto"/>
                <w:sz w:val="24"/>
                <w:highlight w:val="none"/>
                <w:lang w:val="en-US" w:eastAsia="zh-CN"/>
              </w:rPr>
              <w:t>3000</w:t>
            </w:r>
            <w:r>
              <w:rPr>
                <w:bCs/>
                <w:color w:val="auto"/>
                <w:sz w:val="24"/>
                <w:highlight w:val="none"/>
              </w:rPr>
              <w:t>h，故</w:t>
            </w:r>
            <w:r>
              <w:rPr>
                <w:rFonts w:hint="eastAsia"/>
                <w:bCs/>
                <w:color w:val="auto"/>
                <w:sz w:val="24"/>
                <w:highlight w:val="none"/>
              </w:rPr>
              <w:t>搅拌</w:t>
            </w:r>
            <w:r>
              <w:rPr>
                <w:bCs/>
                <w:color w:val="auto"/>
                <w:sz w:val="24"/>
                <w:highlight w:val="none"/>
              </w:rPr>
              <w:t>粉尘有组织排放量为</w:t>
            </w:r>
            <w:r>
              <w:rPr>
                <w:rFonts w:hint="eastAsia"/>
                <w:bCs/>
                <w:color w:val="auto"/>
                <w:sz w:val="24"/>
                <w:highlight w:val="none"/>
                <w:lang w:val="en-US" w:eastAsia="zh-CN"/>
              </w:rPr>
              <w:t>0.07</w:t>
            </w:r>
            <w:r>
              <w:rPr>
                <w:bCs/>
                <w:color w:val="auto"/>
                <w:sz w:val="24"/>
                <w:highlight w:val="none"/>
              </w:rPr>
              <w:t>t/a</w:t>
            </w:r>
            <w:r>
              <w:rPr>
                <w:rFonts w:hint="eastAsia"/>
                <w:bCs/>
                <w:color w:val="auto"/>
                <w:sz w:val="24"/>
                <w:highlight w:val="none"/>
                <w:lang w:eastAsia="zh-CN"/>
              </w:rPr>
              <w:t>。</w:t>
            </w:r>
          </w:p>
          <w:p>
            <w:pPr>
              <w:tabs>
                <w:tab w:val="left" w:pos="975"/>
              </w:tabs>
              <w:spacing w:line="360" w:lineRule="auto"/>
              <w:ind w:firstLine="480"/>
              <w:rPr>
                <w:rFonts w:hint="eastAsia"/>
                <w:color w:val="auto"/>
                <w:sz w:val="24"/>
              </w:rPr>
            </w:pPr>
            <w:r>
              <w:rPr>
                <w:rFonts w:hint="eastAsia" w:hAnsi="宋体" w:cs="宋体"/>
                <w:color w:val="auto"/>
                <w:sz w:val="24"/>
              </w:rPr>
              <w:t>未收集的粉尘量</w:t>
            </w:r>
            <w:r>
              <w:rPr>
                <w:color w:val="auto"/>
                <w:sz w:val="24"/>
              </w:rPr>
              <w:t>为</w:t>
            </w:r>
            <w:r>
              <w:rPr>
                <w:rFonts w:hint="eastAsia"/>
                <w:color w:val="auto"/>
                <w:sz w:val="24"/>
                <w:lang w:val="en-US" w:eastAsia="zh-CN"/>
              </w:rPr>
              <w:t>2.6</w:t>
            </w:r>
            <w:r>
              <w:rPr>
                <w:color w:val="auto"/>
                <w:sz w:val="24"/>
                <w:szCs w:val="24"/>
              </w:rPr>
              <w:t>t/a</w:t>
            </w:r>
            <w:r>
              <w:rPr>
                <w:rFonts w:hint="eastAsia"/>
                <w:color w:val="auto"/>
                <w:sz w:val="24"/>
                <w:szCs w:val="24"/>
              </w:rPr>
              <w:t>，针对未被收集处理的粉尘，建设单位采取防尘措施为：</w:t>
            </w:r>
            <w:r>
              <w:rPr>
                <w:rFonts w:hint="eastAsia"/>
                <w:color w:val="auto"/>
                <w:sz w:val="24"/>
                <w:szCs w:val="24"/>
                <w:lang w:eastAsia="zh-CN"/>
              </w:rPr>
              <w:t>厂房封闭，在搅拌区域上方设置</w:t>
            </w:r>
            <w:r>
              <w:rPr>
                <w:rFonts w:hint="eastAsia"/>
                <w:color w:val="auto"/>
                <w:sz w:val="24"/>
                <w:szCs w:val="24"/>
                <w:lang w:val="en-US" w:eastAsia="zh-CN"/>
              </w:rPr>
              <w:t>12个</w:t>
            </w:r>
            <w:r>
              <w:rPr>
                <w:rFonts w:hint="eastAsia" w:ascii="Times New Roman" w:hAnsi="Times New Roman" w:cs="Times New Roman"/>
                <w:color w:val="auto"/>
                <w:sz w:val="24"/>
                <w:szCs w:val="24"/>
              </w:rPr>
              <w:t>高压雾化喷头</w:t>
            </w:r>
            <w:r>
              <w:rPr>
                <w:rFonts w:hint="eastAsia" w:cs="Times New Roman"/>
                <w:color w:val="auto"/>
                <w:sz w:val="24"/>
                <w:szCs w:val="24"/>
                <w:lang w:eastAsia="zh-CN"/>
              </w:rPr>
              <w:t>，</w:t>
            </w:r>
            <w:r>
              <w:rPr>
                <w:rFonts w:hint="eastAsia" w:ascii="Times New Roman" w:hAnsi="Times New Roman" w:cs="Times New Roman"/>
                <w:color w:val="auto"/>
                <w:sz w:val="24"/>
                <w:szCs w:val="24"/>
              </w:rPr>
              <w:t>单个喷头喷洒水量0.5L/min</w:t>
            </w:r>
            <w:r>
              <w:rPr>
                <w:rFonts w:hint="default" w:ascii="Times New Roman" w:hAnsi="Times New Roman" w:eastAsia="Segoe UI" w:cs="Times New Roman"/>
                <w:i w:val="0"/>
                <w:iCs w:val="0"/>
                <w:caps w:val="0"/>
                <w:color w:val="auto"/>
                <w:spacing w:val="0"/>
                <w:sz w:val="24"/>
                <w:szCs w:val="24"/>
                <w:shd w:val="clear" w:fill="FFFFFF"/>
              </w:rPr>
              <w:t>（水压0.3MPa）</w:t>
            </w:r>
            <w:r>
              <w:rPr>
                <w:rFonts w:hint="eastAsia" w:eastAsia="宋体" w:cs="Times New Roman"/>
                <w:i w:val="0"/>
                <w:iCs w:val="0"/>
                <w:caps w:val="0"/>
                <w:color w:val="auto"/>
                <w:spacing w:val="0"/>
                <w:sz w:val="24"/>
                <w:szCs w:val="24"/>
                <w:shd w:val="clear" w:fill="FFFFFF"/>
                <w:lang w:eastAsia="zh-CN"/>
              </w:rPr>
              <w:t>，</w:t>
            </w:r>
            <w:r>
              <w:rPr>
                <w:rFonts w:hint="eastAsia"/>
                <w:color w:val="auto"/>
                <w:sz w:val="24"/>
                <w:szCs w:val="24"/>
              </w:rPr>
              <w:t>经高压喷雾洒水抑尘，封闭</w:t>
            </w:r>
            <w:r>
              <w:rPr>
                <w:rFonts w:hint="eastAsia"/>
                <w:color w:val="auto"/>
                <w:sz w:val="24"/>
                <w:szCs w:val="24"/>
                <w:lang w:eastAsia="zh-CN"/>
              </w:rPr>
              <w:t>厂房</w:t>
            </w:r>
            <w:r>
              <w:rPr>
                <w:rFonts w:hint="eastAsia"/>
                <w:color w:val="auto"/>
                <w:sz w:val="24"/>
                <w:szCs w:val="24"/>
              </w:rPr>
              <w:t>内</w:t>
            </w:r>
            <w:r>
              <w:rPr>
                <w:rFonts w:hint="eastAsia"/>
                <w:color w:val="auto"/>
                <w:sz w:val="24"/>
              </w:rPr>
              <w:t>自然沉降。通过采取以上措施后，预计可削减90%的未被收集的粉尘排放，则无组织排放的粉尘量为</w:t>
            </w:r>
            <w:r>
              <w:rPr>
                <w:rFonts w:hint="eastAsia"/>
                <w:color w:val="auto"/>
                <w:sz w:val="24"/>
                <w:lang w:val="en-US" w:eastAsia="zh-CN"/>
              </w:rPr>
              <w:t>0.26</w:t>
            </w:r>
            <w:r>
              <w:rPr>
                <w:color w:val="auto"/>
                <w:sz w:val="24"/>
              </w:rPr>
              <w:t>t/a</w:t>
            </w:r>
            <w:r>
              <w:rPr>
                <w:rFonts w:hint="eastAsia"/>
                <w:color w:val="auto"/>
                <w:sz w:val="24"/>
              </w:rPr>
              <w:t>。</w:t>
            </w:r>
          </w:p>
          <w:p>
            <w:pPr>
              <w:pStyle w:val="26"/>
              <w:numPr>
                <w:ilvl w:val="1"/>
                <w:numId w:val="0"/>
              </w:numPr>
              <w:spacing w:line="360" w:lineRule="auto"/>
              <w:ind w:leftChars="200"/>
              <w:rPr>
                <w:rFonts w:ascii="宋体" w:hAnsi="宋体" w:cs="宋体"/>
                <w:b/>
                <w:bCs/>
                <w:color w:val="auto"/>
              </w:rPr>
            </w:pPr>
            <w:r>
              <w:rPr>
                <w:rFonts w:hint="eastAsia" w:ascii="宋体" w:hAnsi="宋体" w:eastAsia="宋体" w:cs="宋体"/>
                <w:b/>
                <w:bCs/>
                <w:color w:val="auto"/>
                <w:sz w:val="24"/>
                <w:szCs w:val="24"/>
                <w:shd w:val="clear" w:color="auto" w:fill="FFFFFF"/>
                <w:lang w:eastAsia="zh-CN"/>
              </w:rPr>
              <w:t>（</w:t>
            </w:r>
            <w:r>
              <w:rPr>
                <w:rFonts w:hint="eastAsia" w:ascii="宋体" w:hAnsi="宋体" w:cs="宋体"/>
                <w:b/>
                <w:bCs/>
                <w:color w:val="auto"/>
                <w:sz w:val="24"/>
                <w:szCs w:val="24"/>
                <w:shd w:val="clear" w:color="auto" w:fill="FFFFFF"/>
                <w:lang w:val="en-US" w:eastAsia="zh-CN"/>
              </w:rPr>
              <w:t>5</w:t>
            </w:r>
            <w:r>
              <w:rPr>
                <w:rFonts w:hint="eastAsia" w:ascii="宋体" w:hAnsi="宋体" w:eastAsia="宋体" w:cs="宋体"/>
                <w:b/>
                <w:bCs/>
                <w:color w:val="auto"/>
                <w:sz w:val="24"/>
                <w:szCs w:val="24"/>
                <w:shd w:val="clear" w:color="auto" w:fill="FFFFFF"/>
                <w:lang w:eastAsia="zh-CN"/>
              </w:rPr>
              <w:t>）</w:t>
            </w:r>
            <w:r>
              <w:rPr>
                <w:rFonts w:hint="eastAsia" w:ascii="宋体" w:hAnsi="宋体" w:cs="宋体"/>
                <w:b/>
                <w:bCs/>
                <w:color w:val="auto"/>
              </w:rPr>
              <w:t>交通运输扬尘</w:t>
            </w:r>
          </w:p>
          <w:p>
            <w:pPr>
              <w:pStyle w:val="26"/>
              <w:numPr>
                <w:ilvl w:val="1"/>
                <w:numId w:val="0"/>
              </w:numPr>
              <w:spacing w:line="360" w:lineRule="auto"/>
              <w:ind w:firstLine="480" w:firstLineChars="200"/>
              <w:rPr>
                <w:rFonts w:hint="eastAsia" w:ascii="Times New Roman" w:hAnsi="Times New Roman"/>
                <w:b w:val="0"/>
                <w:bCs w:val="0"/>
                <w:color w:val="auto"/>
              </w:rPr>
            </w:pPr>
            <w:r>
              <w:rPr>
                <w:rFonts w:hint="eastAsia" w:ascii="Times New Roman" w:hAnsi="Times New Roman"/>
                <w:b w:val="0"/>
                <w:bCs w:val="0"/>
                <w:color w:val="auto"/>
              </w:rPr>
              <w:t>项目每天有运载车运输原料及成品，在进出运输时会产生的扬尘，在道路完全干燥的情况下，可按下列经验公式计算：</w:t>
            </w:r>
          </w:p>
          <w:p>
            <w:pPr>
              <w:pStyle w:val="26"/>
              <w:numPr>
                <w:ilvl w:val="1"/>
                <w:numId w:val="0"/>
              </w:numPr>
              <w:ind w:leftChars="200"/>
              <w:jc w:val="both"/>
              <w:rPr>
                <w:color w:val="auto"/>
              </w:rPr>
            </w:pPr>
          </w:p>
          <w:p>
            <w:pPr>
              <w:pStyle w:val="26"/>
              <w:numPr>
                <w:ilvl w:val="1"/>
                <w:numId w:val="0"/>
              </w:numPr>
              <w:ind w:leftChars="200"/>
              <w:jc w:val="center"/>
              <w:rPr>
                <w:color w:val="auto"/>
              </w:rPr>
            </w:pPr>
            <w:r>
              <w:rPr>
                <w:color w:val="auto"/>
              </w:rPr>
              <w:object>
                <v:shape id="_x0000_i1026" o:spt="75" type="#_x0000_t75" style="height:31.5pt;width:152.3pt;" o:ole="t" filled="f" o:preferrelative="t" stroked="f" coordsize="21600,21600">
                  <v:path/>
                  <v:fill on="f" focussize="0,0"/>
                  <v:stroke on="f"/>
                  <v:imagedata r:id="rId21" o:title=""/>
                  <o:lock v:ext="edit" aspectratio="t"/>
                  <w10:wrap type="none"/>
                  <w10:anchorlock/>
                </v:shape>
                <o:OLEObject Type="Embed" ProgID="Equation.3" ShapeID="_x0000_i1026" DrawAspect="Content" ObjectID="_1468075726" r:id="rId20">
                  <o:LockedField>false</o:LockedField>
                </o:OLEObject>
              </w:object>
            </w:r>
          </w:p>
          <w:p>
            <w:pPr>
              <w:spacing w:line="360" w:lineRule="auto"/>
              <w:ind w:firstLine="480" w:firstLineChars="200"/>
              <w:rPr>
                <w:color w:val="auto"/>
                <w:sz w:val="24"/>
              </w:rPr>
            </w:pPr>
            <w:r>
              <w:rPr>
                <w:color w:val="auto"/>
                <w:sz w:val="24"/>
              </w:rPr>
              <w:t>式中：Q—汽车行驶扬尘量，kg/km·辆；</w:t>
            </w:r>
          </w:p>
          <w:p>
            <w:pPr>
              <w:spacing w:line="360" w:lineRule="auto"/>
              <w:ind w:firstLine="1200" w:firstLineChars="500"/>
              <w:rPr>
                <w:color w:val="auto"/>
                <w:sz w:val="24"/>
              </w:rPr>
            </w:pPr>
            <w:r>
              <w:rPr>
                <w:color w:val="auto"/>
                <w:sz w:val="24"/>
              </w:rPr>
              <w:t>V—汽车速度，km/h，本项目取10km/h；</w:t>
            </w:r>
          </w:p>
          <w:p>
            <w:pPr>
              <w:spacing w:line="360" w:lineRule="auto"/>
              <w:ind w:firstLine="1200" w:firstLineChars="500"/>
              <w:rPr>
                <w:color w:val="auto"/>
                <w:sz w:val="24"/>
              </w:rPr>
            </w:pPr>
            <w:r>
              <w:rPr>
                <w:color w:val="auto"/>
                <w:sz w:val="24"/>
              </w:rPr>
              <w:t>W—汽车质量，t，本项目空车重量取10t，载重40t；</w:t>
            </w:r>
          </w:p>
          <w:p>
            <w:pPr>
              <w:spacing w:line="360" w:lineRule="auto"/>
              <w:ind w:firstLine="1200" w:firstLineChars="500"/>
              <w:rPr>
                <w:color w:val="auto"/>
                <w:sz w:val="24"/>
              </w:rPr>
            </w:pPr>
            <w:r>
              <w:rPr>
                <w:color w:val="auto"/>
                <w:sz w:val="24"/>
              </w:rPr>
              <w:t>P—道路表面粉尘量，km/m</w:t>
            </w:r>
            <w:r>
              <w:rPr>
                <w:color w:val="auto"/>
                <w:sz w:val="24"/>
                <w:vertAlign w:val="superscript"/>
              </w:rPr>
              <w:t>2</w:t>
            </w:r>
            <w:r>
              <w:rPr>
                <w:color w:val="auto"/>
                <w:sz w:val="24"/>
              </w:rPr>
              <w:t>。</w:t>
            </w:r>
          </w:p>
          <w:p>
            <w:pPr>
              <w:pStyle w:val="26"/>
              <w:jc w:val="center"/>
              <w:rPr>
                <w:rFonts w:ascii="Times New Roman" w:hAnsi="Times New Roman"/>
                <w:b/>
                <w:color w:val="auto"/>
                <w:sz w:val="21"/>
                <w:szCs w:val="21"/>
              </w:rPr>
            </w:pPr>
            <w:r>
              <w:rPr>
                <w:rFonts w:ascii="Times New Roman" w:hAnsi="Times New Roman"/>
                <w:b/>
                <w:color w:val="auto"/>
                <w:sz w:val="21"/>
                <w:szCs w:val="21"/>
              </w:rPr>
              <w:t>表</w:t>
            </w:r>
            <w:r>
              <w:rPr>
                <w:rFonts w:hint="eastAsia" w:ascii="Times New Roman" w:hAnsi="Times New Roman"/>
                <w:b/>
                <w:color w:val="auto"/>
                <w:sz w:val="21"/>
                <w:szCs w:val="21"/>
              </w:rPr>
              <w:t>4-</w:t>
            </w:r>
            <w:r>
              <w:rPr>
                <w:rFonts w:hint="eastAsia" w:ascii="Times New Roman" w:hAnsi="Times New Roman"/>
                <w:b/>
                <w:color w:val="auto"/>
                <w:sz w:val="21"/>
                <w:szCs w:val="21"/>
                <w:lang w:val="en-US" w:eastAsia="zh-CN"/>
              </w:rPr>
              <w:t>5</w:t>
            </w:r>
            <w:r>
              <w:rPr>
                <w:rFonts w:ascii="Times New Roman" w:hAnsi="Times New Roman"/>
                <w:b/>
                <w:color w:val="auto"/>
                <w:sz w:val="21"/>
                <w:szCs w:val="21"/>
              </w:rPr>
              <w:t xml:space="preserve"> 汽车道路扬尘计算参数和结果</w:t>
            </w:r>
          </w:p>
          <w:tbl>
            <w:tblPr>
              <w:tblStyle w:val="24"/>
              <w:tblW w:w="8669"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77"/>
              <w:gridCol w:w="1182"/>
              <w:gridCol w:w="1182"/>
              <w:gridCol w:w="1182"/>
              <w:gridCol w:w="1182"/>
              <w:gridCol w:w="1182"/>
              <w:gridCol w:w="11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577" w:type="dxa"/>
                  <w:vAlign w:val="center"/>
                </w:tcPr>
                <w:p>
                  <w:pPr>
                    <w:ind w:firstLine="527" w:firstLineChars="250"/>
                    <w:jc w:val="center"/>
                    <w:rPr>
                      <w:b/>
                      <w:bCs/>
                      <w:color w:val="auto"/>
                    </w:rPr>
                  </w:pPr>
                  <w:r>
                    <w:rPr>
                      <w:b/>
                      <w:bCs/>
                      <w:color w:val="auto"/>
                    </w:rPr>
                    <w:t xml:space="preserve">   路况</w:t>
                  </w:r>
                </w:p>
                <w:p>
                  <w:pPr>
                    <w:rPr>
                      <w:b/>
                      <w:bCs/>
                      <w:color w:val="auto"/>
                    </w:rPr>
                  </w:pPr>
                  <w:r>
                    <w:rPr>
                      <w:b/>
                      <w:bCs/>
                      <w:color w:val="auto"/>
                    </w:rPr>
                    <w:t>扬尘</w:t>
                  </w:r>
                </w:p>
              </w:tc>
              <w:tc>
                <w:tcPr>
                  <w:tcW w:w="1182" w:type="dxa"/>
                  <w:vAlign w:val="center"/>
                </w:tcPr>
                <w:p>
                  <w:pPr>
                    <w:jc w:val="center"/>
                    <w:rPr>
                      <w:b/>
                      <w:bCs/>
                      <w:color w:val="auto"/>
                    </w:rPr>
                  </w:pPr>
                  <w:r>
                    <w:rPr>
                      <w:b/>
                      <w:bCs/>
                      <w:color w:val="auto"/>
                    </w:rPr>
                    <w:t>0.1</w:t>
                  </w:r>
                </w:p>
                <w:p>
                  <w:pPr>
                    <w:jc w:val="center"/>
                    <w:rPr>
                      <w:b/>
                      <w:bCs/>
                      <w:color w:val="auto"/>
                    </w:rPr>
                  </w:pPr>
                  <w:r>
                    <w:rPr>
                      <w:b/>
                      <w:bCs/>
                      <w:color w:val="auto"/>
                    </w:rPr>
                    <w:t>(kg/m</w:t>
                  </w:r>
                  <w:r>
                    <w:rPr>
                      <w:b/>
                      <w:bCs/>
                      <w:color w:val="auto"/>
                      <w:vertAlign w:val="superscript"/>
                    </w:rPr>
                    <w:t>2</w:t>
                  </w:r>
                  <w:r>
                    <w:rPr>
                      <w:b/>
                      <w:bCs/>
                      <w:color w:val="auto"/>
                    </w:rPr>
                    <w:t>)</w:t>
                  </w:r>
                </w:p>
              </w:tc>
              <w:tc>
                <w:tcPr>
                  <w:tcW w:w="1182" w:type="dxa"/>
                  <w:vAlign w:val="center"/>
                </w:tcPr>
                <w:p>
                  <w:pPr>
                    <w:jc w:val="center"/>
                    <w:rPr>
                      <w:b/>
                      <w:bCs/>
                      <w:color w:val="auto"/>
                    </w:rPr>
                  </w:pPr>
                  <w:r>
                    <w:rPr>
                      <w:b/>
                      <w:bCs/>
                      <w:color w:val="auto"/>
                    </w:rPr>
                    <w:t>0.2</w:t>
                  </w:r>
                </w:p>
                <w:p>
                  <w:pPr>
                    <w:jc w:val="center"/>
                    <w:rPr>
                      <w:b/>
                      <w:bCs/>
                      <w:color w:val="auto"/>
                    </w:rPr>
                  </w:pPr>
                  <w:r>
                    <w:rPr>
                      <w:b/>
                      <w:bCs/>
                      <w:color w:val="auto"/>
                    </w:rPr>
                    <w:t>(kg/m</w:t>
                  </w:r>
                  <w:r>
                    <w:rPr>
                      <w:b/>
                      <w:bCs/>
                      <w:color w:val="auto"/>
                      <w:vertAlign w:val="superscript"/>
                    </w:rPr>
                    <w:t>2</w:t>
                  </w:r>
                  <w:r>
                    <w:rPr>
                      <w:b/>
                      <w:bCs/>
                      <w:color w:val="auto"/>
                    </w:rPr>
                    <w:t>)</w:t>
                  </w:r>
                </w:p>
              </w:tc>
              <w:tc>
                <w:tcPr>
                  <w:tcW w:w="1182" w:type="dxa"/>
                  <w:vAlign w:val="center"/>
                </w:tcPr>
                <w:p>
                  <w:pPr>
                    <w:jc w:val="center"/>
                    <w:rPr>
                      <w:b/>
                      <w:bCs/>
                      <w:color w:val="auto"/>
                    </w:rPr>
                  </w:pPr>
                  <w:r>
                    <w:rPr>
                      <w:b/>
                      <w:bCs/>
                      <w:color w:val="auto"/>
                    </w:rPr>
                    <w:t>0.3</w:t>
                  </w:r>
                </w:p>
                <w:p>
                  <w:pPr>
                    <w:jc w:val="center"/>
                    <w:rPr>
                      <w:b/>
                      <w:bCs/>
                      <w:color w:val="auto"/>
                    </w:rPr>
                  </w:pPr>
                  <w:r>
                    <w:rPr>
                      <w:b/>
                      <w:bCs/>
                      <w:color w:val="auto"/>
                    </w:rPr>
                    <w:t>(kg/m</w:t>
                  </w:r>
                  <w:r>
                    <w:rPr>
                      <w:b/>
                      <w:bCs/>
                      <w:color w:val="auto"/>
                      <w:vertAlign w:val="superscript"/>
                    </w:rPr>
                    <w:t>2</w:t>
                  </w:r>
                  <w:r>
                    <w:rPr>
                      <w:b/>
                      <w:bCs/>
                      <w:color w:val="auto"/>
                    </w:rPr>
                    <w:t>)</w:t>
                  </w:r>
                </w:p>
              </w:tc>
              <w:tc>
                <w:tcPr>
                  <w:tcW w:w="1182" w:type="dxa"/>
                  <w:vAlign w:val="center"/>
                </w:tcPr>
                <w:p>
                  <w:pPr>
                    <w:jc w:val="center"/>
                    <w:rPr>
                      <w:b/>
                      <w:bCs/>
                      <w:color w:val="auto"/>
                    </w:rPr>
                  </w:pPr>
                  <w:r>
                    <w:rPr>
                      <w:b/>
                      <w:bCs/>
                      <w:color w:val="auto"/>
                    </w:rPr>
                    <w:t>0.4</w:t>
                  </w:r>
                </w:p>
                <w:p>
                  <w:pPr>
                    <w:jc w:val="center"/>
                    <w:rPr>
                      <w:b/>
                      <w:bCs/>
                      <w:color w:val="auto"/>
                    </w:rPr>
                  </w:pPr>
                  <w:r>
                    <w:rPr>
                      <w:b/>
                      <w:bCs/>
                      <w:color w:val="auto"/>
                    </w:rPr>
                    <w:t>(kg/m</w:t>
                  </w:r>
                  <w:r>
                    <w:rPr>
                      <w:b/>
                      <w:bCs/>
                      <w:color w:val="auto"/>
                      <w:vertAlign w:val="superscript"/>
                    </w:rPr>
                    <w:t>2</w:t>
                  </w:r>
                  <w:r>
                    <w:rPr>
                      <w:b/>
                      <w:bCs/>
                      <w:color w:val="auto"/>
                    </w:rPr>
                    <w:t>)</w:t>
                  </w:r>
                </w:p>
              </w:tc>
              <w:tc>
                <w:tcPr>
                  <w:tcW w:w="1182" w:type="dxa"/>
                  <w:vAlign w:val="center"/>
                </w:tcPr>
                <w:p>
                  <w:pPr>
                    <w:jc w:val="center"/>
                    <w:rPr>
                      <w:b/>
                      <w:bCs/>
                      <w:color w:val="auto"/>
                    </w:rPr>
                  </w:pPr>
                  <w:r>
                    <w:rPr>
                      <w:b/>
                      <w:bCs/>
                      <w:color w:val="auto"/>
                    </w:rPr>
                    <w:t>0.5</w:t>
                  </w:r>
                </w:p>
                <w:p>
                  <w:pPr>
                    <w:jc w:val="center"/>
                    <w:rPr>
                      <w:b/>
                      <w:bCs/>
                      <w:color w:val="auto"/>
                    </w:rPr>
                  </w:pPr>
                  <w:r>
                    <w:rPr>
                      <w:b/>
                      <w:bCs/>
                      <w:color w:val="auto"/>
                    </w:rPr>
                    <w:t>(kg/m</w:t>
                  </w:r>
                  <w:r>
                    <w:rPr>
                      <w:b/>
                      <w:bCs/>
                      <w:color w:val="auto"/>
                      <w:vertAlign w:val="superscript"/>
                    </w:rPr>
                    <w:t>2</w:t>
                  </w:r>
                  <w:r>
                    <w:rPr>
                      <w:b/>
                      <w:bCs/>
                      <w:color w:val="auto"/>
                    </w:rPr>
                    <w:t>)</w:t>
                  </w:r>
                </w:p>
              </w:tc>
              <w:tc>
                <w:tcPr>
                  <w:tcW w:w="1182" w:type="dxa"/>
                  <w:vAlign w:val="center"/>
                </w:tcPr>
                <w:p>
                  <w:pPr>
                    <w:jc w:val="center"/>
                    <w:rPr>
                      <w:b/>
                      <w:bCs/>
                      <w:color w:val="auto"/>
                    </w:rPr>
                  </w:pPr>
                  <w:r>
                    <w:rPr>
                      <w:b/>
                      <w:bCs/>
                      <w:color w:val="auto"/>
                    </w:rPr>
                    <w:t>0.6</w:t>
                  </w:r>
                </w:p>
                <w:p>
                  <w:pPr>
                    <w:jc w:val="center"/>
                    <w:rPr>
                      <w:b/>
                      <w:bCs/>
                      <w:color w:val="auto"/>
                    </w:rPr>
                  </w:pPr>
                  <w:r>
                    <w:rPr>
                      <w:b/>
                      <w:bCs/>
                      <w:color w:val="auto"/>
                    </w:rPr>
                    <w:t>(kg/m</w:t>
                  </w:r>
                  <w:r>
                    <w:rPr>
                      <w:b/>
                      <w:bCs/>
                      <w:color w:val="auto"/>
                      <w:vertAlign w:val="superscript"/>
                    </w:rPr>
                    <w:t>2</w:t>
                  </w:r>
                  <w:r>
                    <w:rPr>
                      <w:b/>
                      <w:bCs/>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577" w:type="dxa"/>
                  <w:vAlign w:val="center"/>
                </w:tcPr>
                <w:p>
                  <w:pPr>
                    <w:jc w:val="center"/>
                    <w:rPr>
                      <w:color w:val="auto"/>
                    </w:rPr>
                  </w:pPr>
                  <w:r>
                    <w:rPr>
                      <w:color w:val="auto"/>
                    </w:rPr>
                    <w:t>空车</w:t>
                  </w:r>
                  <w:r>
                    <w:rPr>
                      <w:rFonts w:hint="eastAsia"/>
                      <w:color w:val="auto"/>
                      <w:lang w:eastAsia="zh-CN"/>
                    </w:rPr>
                    <w:t>（</w:t>
                  </w:r>
                  <w:r>
                    <w:rPr>
                      <w:color w:val="auto"/>
                    </w:rPr>
                    <w:t>kg/km·辆</w:t>
                  </w:r>
                  <w:r>
                    <w:rPr>
                      <w:rFonts w:hint="eastAsia"/>
                      <w:color w:val="auto"/>
                      <w:lang w:eastAsia="zh-CN"/>
                    </w:rPr>
                    <w:t>）</w:t>
                  </w:r>
                </w:p>
              </w:tc>
              <w:tc>
                <w:tcPr>
                  <w:tcW w:w="1182" w:type="dxa"/>
                  <w:vAlign w:val="center"/>
                </w:tcPr>
                <w:p>
                  <w:pPr>
                    <w:jc w:val="center"/>
                    <w:rPr>
                      <w:color w:val="auto"/>
                    </w:rPr>
                  </w:pPr>
                  <w:r>
                    <w:rPr>
                      <w:color w:val="auto"/>
                    </w:rPr>
                    <w:t>0.102</w:t>
                  </w:r>
                </w:p>
              </w:tc>
              <w:tc>
                <w:tcPr>
                  <w:tcW w:w="1182" w:type="dxa"/>
                  <w:vAlign w:val="center"/>
                </w:tcPr>
                <w:p>
                  <w:pPr>
                    <w:jc w:val="center"/>
                    <w:rPr>
                      <w:color w:val="auto"/>
                    </w:rPr>
                  </w:pPr>
                  <w:r>
                    <w:rPr>
                      <w:color w:val="auto"/>
                    </w:rPr>
                    <w:t>0.172</w:t>
                  </w:r>
                </w:p>
              </w:tc>
              <w:tc>
                <w:tcPr>
                  <w:tcW w:w="1182" w:type="dxa"/>
                  <w:vAlign w:val="center"/>
                </w:tcPr>
                <w:p>
                  <w:pPr>
                    <w:jc w:val="center"/>
                    <w:rPr>
                      <w:color w:val="auto"/>
                    </w:rPr>
                  </w:pPr>
                  <w:r>
                    <w:rPr>
                      <w:color w:val="auto"/>
                    </w:rPr>
                    <w:t>0.233</w:t>
                  </w:r>
                </w:p>
              </w:tc>
              <w:tc>
                <w:tcPr>
                  <w:tcW w:w="1182" w:type="dxa"/>
                  <w:vAlign w:val="center"/>
                </w:tcPr>
                <w:p>
                  <w:pPr>
                    <w:jc w:val="center"/>
                    <w:rPr>
                      <w:color w:val="auto"/>
                    </w:rPr>
                  </w:pPr>
                  <w:r>
                    <w:rPr>
                      <w:color w:val="auto"/>
                    </w:rPr>
                    <w:t>0.289</w:t>
                  </w:r>
                </w:p>
              </w:tc>
              <w:tc>
                <w:tcPr>
                  <w:tcW w:w="1182" w:type="dxa"/>
                  <w:vAlign w:val="center"/>
                </w:tcPr>
                <w:p>
                  <w:pPr>
                    <w:jc w:val="center"/>
                    <w:rPr>
                      <w:color w:val="auto"/>
                    </w:rPr>
                  </w:pPr>
                  <w:r>
                    <w:rPr>
                      <w:color w:val="auto"/>
                    </w:rPr>
                    <w:t>0.341</w:t>
                  </w:r>
                </w:p>
              </w:tc>
              <w:tc>
                <w:tcPr>
                  <w:tcW w:w="1182" w:type="dxa"/>
                  <w:vAlign w:val="center"/>
                </w:tcPr>
                <w:p>
                  <w:pPr>
                    <w:jc w:val="center"/>
                    <w:rPr>
                      <w:color w:val="auto"/>
                    </w:rPr>
                  </w:pPr>
                  <w:r>
                    <w:rPr>
                      <w:color w:val="auto"/>
                    </w:rPr>
                    <w:t>0.391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577" w:type="dxa"/>
                  <w:vAlign w:val="center"/>
                </w:tcPr>
                <w:p>
                  <w:pPr>
                    <w:jc w:val="center"/>
                    <w:rPr>
                      <w:color w:val="auto"/>
                    </w:rPr>
                  </w:pPr>
                  <w:r>
                    <w:rPr>
                      <w:color w:val="auto"/>
                    </w:rPr>
                    <w:t>重车</w:t>
                  </w:r>
                  <w:r>
                    <w:rPr>
                      <w:rFonts w:hint="eastAsia"/>
                      <w:color w:val="auto"/>
                      <w:lang w:eastAsia="zh-CN"/>
                    </w:rPr>
                    <w:t>（</w:t>
                  </w:r>
                  <w:r>
                    <w:rPr>
                      <w:color w:val="auto"/>
                    </w:rPr>
                    <w:t>kg/km·辆</w:t>
                  </w:r>
                  <w:r>
                    <w:rPr>
                      <w:rFonts w:hint="eastAsia"/>
                      <w:color w:val="auto"/>
                      <w:lang w:eastAsia="zh-CN"/>
                    </w:rPr>
                    <w:t>）</w:t>
                  </w:r>
                </w:p>
              </w:tc>
              <w:tc>
                <w:tcPr>
                  <w:tcW w:w="1182" w:type="dxa"/>
                  <w:vAlign w:val="center"/>
                </w:tcPr>
                <w:p>
                  <w:pPr>
                    <w:jc w:val="center"/>
                    <w:rPr>
                      <w:color w:val="auto"/>
                    </w:rPr>
                  </w:pPr>
                  <w:r>
                    <w:rPr>
                      <w:color w:val="auto"/>
                    </w:rPr>
                    <w:t>0.</w:t>
                  </w:r>
                  <w:r>
                    <w:rPr>
                      <w:rFonts w:hint="eastAsia"/>
                      <w:color w:val="auto"/>
                    </w:rPr>
                    <w:t>332</w:t>
                  </w:r>
                </w:p>
              </w:tc>
              <w:tc>
                <w:tcPr>
                  <w:tcW w:w="1182" w:type="dxa"/>
                  <w:vAlign w:val="center"/>
                </w:tcPr>
                <w:p>
                  <w:pPr>
                    <w:jc w:val="center"/>
                    <w:rPr>
                      <w:color w:val="auto"/>
                    </w:rPr>
                  </w:pPr>
                  <w:r>
                    <w:rPr>
                      <w:rFonts w:hint="eastAsia"/>
                      <w:color w:val="auto"/>
                    </w:rPr>
                    <w:t>0.558</w:t>
                  </w:r>
                </w:p>
              </w:tc>
              <w:tc>
                <w:tcPr>
                  <w:tcW w:w="1182" w:type="dxa"/>
                  <w:vAlign w:val="center"/>
                </w:tcPr>
                <w:p>
                  <w:pPr>
                    <w:jc w:val="center"/>
                    <w:rPr>
                      <w:color w:val="auto"/>
                    </w:rPr>
                  </w:pPr>
                  <w:r>
                    <w:rPr>
                      <w:rFonts w:hint="eastAsia"/>
                      <w:color w:val="auto"/>
                    </w:rPr>
                    <w:t>0.756</w:t>
                  </w:r>
                </w:p>
              </w:tc>
              <w:tc>
                <w:tcPr>
                  <w:tcW w:w="1182" w:type="dxa"/>
                  <w:vAlign w:val="center"/>
                </w:tcPr>
                <w:p>
                  <w:pPr>
                    <w:jc w:val="center"/>
                    <w:rPr>
                      <w:color w:val="auto"/>
                    </w:rPr>
                  </w:pPr>
                  <w:r>
                    <w:rPr>
                      <w:rFonts w:hint="eastAsia"/>
                      <w:color w:val="auto"/>
                    </w:rPr>
                    <w:t>0.938</w:t>
                  </w:r>
                </w:p>
              </w:tc>
              <w:tc>
                <w:tcPr>
                  <w:tcW w:w="1182" w:type="dxa"/>
                  <w:vAlign w:val="center"/>
                </w:tcPr>
                <w:p>
                  <w:pPr>
                    <w:jc w:val="center"/>
                    <w:rPr>
                      <w:color w:val="auto"/>
                    </w:rPr>
                  </w:pPr>
                  <w:r>
                    <w:rPr>
                      <w:rFonts w:hint="eastAsia"/>
                      <w:color w:val="auto"/>
                    </w:rPr>
                    <w:t>1.11</w:t>
                  </w:r>
                </w:p>
              </w:tc>
              <w:tc>
                <w:tcPr>
                  <w:tcW w:w="1182" w:type="dxa"/>
                  <w:vAlign w:val="center"/>
                </w:tcPr>
                <w:p>
                  <w:pPr>
                    <w:jc w:val="center"/>
                    <w:rPr>
                      <w:color w:val="auto"/>
                    </w:rPr>
                  </w:pPr>
                  <w:r>
                    <w:rPr>
                      <w:rFonts w:hint="eastAsia"/>
                      <w:color w:val="auto"/>
                    </w:rPr>
                    <w:t>1.272</w:t>
                  </w:r>
                </w:p>
              </w:tc>
            </w:tr>
          </w:tbl>
          <w:p>
            <w:pPr>
              <w:spacing w:line="360" w:lineRule="auto"/>
              <w:ind w:firstLine="480" w:firstLineChars="200"/>
              <w:rPr>
                <w:rFonts w:hint="eastAsia"/>
                <w:color w:val="auto"/>
              </w:rPr>
            </w:pPr>
            <w:r>
              <w:rPr>
                <w:color w:val="auto"/>
                <w:sz w:val="24"/>
              </w:rPr>
              <w:t>每年运输车辆</w:t>
            </w:r>
            <w:r>
              <w:rPr>
                <w:rFonts w:hint="eastAsia"/>
                <w:color w:val="auto"/>
                <w:sz w:val="24"/>
                <w:lang w:eastAsia="zh-CN"/>
              </w:rPr>
              <w:t>往返</w:t>
            </w:r>
            <w:r>
              <w:rPr>
                <w:rFonts w:hint="eastAsia"/>
                <w:color w:val="auto"/>
                <w:sz w:val="24"/>
              </w:rPr>
              <w:t>约</w:t>
            </w:r>
            <w:r>
              <w:rPr>
                <w:rFonts w:hint="eastAsia"/>
                <w:color w:val="auto"/>
                <w:sz w:val="24"/>
                <w:lang w:val="en-US" w:eastAsia="zh-CN"/>
              </w:rPr>
              <w:t>0.48</w:t>
            </w:r>
            <w:r>
              <w:rPr>
                <w:rFonts w:hint="eastAsia"/>
                <w:color w:val="auto"/>
                <w:sz w:val="24"/>
              </w:rPr>
              <w:t>万</w:t>
            </w:r>
            <w:r>
              <w:rPr>
                <w:color w:val="auto"/>
                <w:sz w:val="24"/>
              </w:rPr>
              <w:t>车次；道路表面粉尘量以0.</w:t>
            </w:r>
            <w:r>
              <w:rPr>
                <w:rFonts w:hint="eastAsia"/>
                <w:color w:val="auto"/>
                <w:sz w:val="24"/>
              </w:rPr>
              <w:t>1</w:t>
            </w:r>
            <w:r>
              <w:rPr>
                <w:color w:val="auto"/>
                <w:sz w:val="24"/>
              </w:rPr>
              <w:t>kg/m</w:t>
            </w:r>
            <w:r>
              <w:rPr>
                <w:color w:val="auto"/>
                <w:sz w:val="24"/>
                <w:vertAlign w:val="superscript"/>
              </w:rPr>
              <w:t>2</w:t>
            </w:r>
            <w:r>
              <w:rPr>
                <w:color w:val="auto"/>
                <w:sz w:val="24"/>
              </w:rPr>
              <w:t>计，在厂区内行驶距离以</w:t>
            </w:r>
            <w:r>
              <w:rPr>
                <w:rFonts w:hint="eastAsia"/>
                <w:color w:val="auto"/>
                <w:sz w:val="24"/>
                <w:lang w:val="en-US" w:eastAsia="zh-CN"/>
              </w:rPr>
              <w:t>100</w:t>
            </w:r>
            <w:r>
              <w:rPr>
                <w:color w:val="auto"/>
                <w:sz w:val="24"/>
              </w:rPr>
              <w:t>m计，则汽车在厂区内行驶过程的扬尘量为</w:t>
            </w:r>
            <w:r>
              <w:rPr>
                <w:rFonts w:hint="eastAsia"/>
                <w:color w:val="auto"/>
                <w:sz w:val="24"/>
                <w:lang w:val="en-US" w:eastAsia="zh-CN"/>
              </w:rPr>
              <w:t>0.208</w:t>
            </w:r>
            <w:r>
              <w:rPr>
                <w:color w:val="auto"/>
                <w:sz w:val="24"/>
              </w:rPr>
              <w:t>t/a。</w:t>
            </w:r>
          </w:p>
          <w:p>
            <w:pPr>
              <w:pStyle w:val="32"/>
              <w:spacing w:line="360" w:lineRule="auto"/>
              <w:rPr>
                <w:rFonts w:hint="eastAsia" w:ascii="Times New Roman"/>
                <w:bCs/>
                <w:color w:val="auto"/>
              </w:rPr>
            </w:pPr>
            <w:r>
              <w:rPr>
                <w:rFonts w:hint="eastAsia" w:ascii="Times New Roman"/>
                <w:bCs/>
                <w:color w:val="auto"/>
                <w:sz w:val="24"/>
                <w:szCs w:val="24"/>
              </w:rPr>
              <w:t>厂区路面已硬化处理，建设单位采取路面洒水、及时清扫厂区道路，设置冲洗平台对车辆进行冲洗等措施，可将道路扬尘减少90%，则道路扬尘产生量为</w:t>
            </w:r>
            <w:r>
              <w:rPr>
                <w:rFonts w:hint="eastAsia" w:ascii="Times New Roman"/>
                <w:bCs/>
                <w:color w:val="auto"/>
                <w:sz w:val="24"/>
                <w:szCs w:val="24"/>
                <w:lang w:val="en-US" w:eastAsia="zh-CN"/>
              </w:rPr>
              <w:t>0.021</w:t>
            </w:r>
            <w:r>
              <w:rPr>
                <w:rFonts w:hint="eastAsia" w:ascii="Times New Roman"/>
                <w:bCs/>
                <w:color w:val="auto"/>
                <w:sz w:val="24"/>
                <w:szCs w:val="24"/>
              </w:rPr>
              <w:t>t/a。该部分废气以无组织形式排放</w:t>
            </w:r>
            <w:r>
              <w:rPr>
                <w:rFonts w:hint="eastAsia" w:ascii="Times New Roman"/>
                <w:bCs/>
                <w:color w:val="auto"/>
              </w:rPr>
              <w:t>。</w:t>
            </w:r>
          </w:p>
          <w:p>
            <w:pPr>
              <w:pStyle w:val="32"/>
              <w:rPr>
                <w:rFonts w:hint="eastAsia"/>
                <w:b/>
                <w:bCs/>
                <w:color w:val="auto"/>
                <w:sz w:val="24"/>
                <w:szCs w:val="24"/>
              </w:rPr>
            </w:pPr>
            <w:r>
              <w:rPr>
                <w:rFonts w:hint="eastAsia" w:ascii="Times New Roman"/>
                <w:b/>
                <w:bCs/>
                <w:color w:val="auto"/>
                <w:sz w:val="24"/>
                <w:szCs w:val="24"/>
              </w:rPr>
              <w:t>1.3</w:t>
            </w:r>
            <w:r>
              <w:rPr>
                <w:rFonts w:hint="eastAsia"/>
                <w:b/>
                <w:bCs/>
                <w:color w:val="auto"/>
                <w:sz w:val="24"/>
                <w:szCs w:val="24"/>
              </w:rPr>
              <w:t>废气处理措施可行性分析</w:t>
            </w:r>
          </w:p>
          <w:p>
            <w:pPr>
              <w:spacing w:line="360" w:lineRule="auto"/>
              <w:ind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本项目废气治理措施如下图</w:t>
            </w:r>
          </w:p>
          <w:p>
            <w:pPr>
              <w:pStyle w:val="26"/>
              <w:numPr>
                <w:ilvl w:val="1"/>
                <w:numId w:val="0"/>
              </w:numPr>
              <w:spacing w:line="360" w:lineRule="auto"/>
              <w:jc w:val="center"/>
              <w:rPr>
                <w:color w:val="auto"/>
              </w:rPr>
            </w:pPr>
            <w:r>
              <w:drawing>
                <wp:inline distT="0" distB="0" distL="114300" distR="114300">
                  <wp:extent cx="4834255" cy="2790825"/>
                  <wp:effectExtent l="0" t="0" r="4445"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2"/>
                          <a:stretch>
                            <a:fillRect/>
                          </a:stretch>
                        </pic:blipFill>
                        <pic:spPr>
                          <a:xfrm>
                            <a:off x="0" y="0"/>
                            <a:ext cx="4834255" cy="2790825"/>
                          </a:xfrm>
                          <a:prstGeom prst="rect">
                            <a:avLst/>
                          </a:prstGeom>
                          <a:noFill/>
                          <a:ln>
                            <a:noFill/>
                          </a:ln>
                        </pic:spPr>
                      </pic:pic>
                    </a:graphicData>
                  </a:graphic>
                </wp:inline>
              </w:drawing>
            </w:r>
          </w:p>
          <w:p>
            <w:pPr>
              <w:spacing w:line="360" w:lineRule="auto"/>
              <w:ind w:firstLine="480" w:firstLineChars="200"/>
              <w:rPr>
                <w:color w:val="auto"/>
                <w:kern w:val="0"/>
                <w:sz w:val="24"/>
                <w:szCs w:val="20"/>
              </w:rPr>
            </w:pPr>
            <w:r>
              <w:rPr>
                <w:rFonts w:hint="eastAsia" w:ascii="宋体" w:hAnsi="宋体" w:cs="宋体"/>
                <w:color w:val="auto"/>
                <w:sz w:val="24"/>
              </w:rPr>
              <w:t>根据</w:t>
            </w:r>
            <w:r>
              <w:rPr>
                <w:color w:val="auto"/>
                <w:sz w:val="24"/>
              </w:rPr>
              <w:t>《排污许可证申请与核发技术规范</w:t>
            </w:r>
            <w:r>
              <w:rPr>
                <w:rFonts w:hint="eastAsia"/>
                <w:color w:val="auto"/>
                <w:sz w:val="24"/>
              </w:rPr>
              <w:t xml:space="preserve"> 陶瓷砖瓦工业</w:t>
            </w:r>
            <w:r>
              <w:rPr>
                <w:color w:val="auto"/>
                <w:sz w:val="24"/>
              </w:rPr>
              <w:t>》（HJ</w:t>
            </w:r>
            <w:r>
              <w:rPr>
                <w:rFonts w:hint="eastAsia"/>
                <w:color w:val="auto"/>
                <w:sz w:val="24"/>
              </w:rPr>
              <w:t>954-2018</w:t>
            </w:r>
            <w:r>
              <w:rPr>
                <w:color w:val="auto"/>
                <w:sz w:val="24"/>
              </w:rPr>
              <w:t>）</w:t>
            </w:r>
            <w:r>
              <w:rPr>
                <w:rFonts w:hint="eastAsia"/>
                <w:color w:val="auto"/>
                <w:sz w:val="24"/>
              </w:rPr>
              <w:t>，</w:t>
            </w:r>
            <w:r>
              <w:rPr>
                <w:color w:val="auto"/>
                <w:kern w:val="0"/>
                <w:sz w:val="24"/>
                <w:szCs w:val="20"/>
              </w:rPr>
              <w:t>项目各粉尘产生工序配置的</w:t>
            </w:r>
            <w:r>
              <w:rPr>
                <w:rFonts w:hint="eastAsia"/>
                <w:color w:val="auto"/>
                <w:kern w:val="0"/>
                <w:sz w:val="24"/>
                <w:szCs w:val="20"/>
              </w:rPr>
              <w:t>脉冲</w:t>
            </w:r>
            <w:r>
              <w:rPr>
                <w:color w:val="auto"/>
                <w:kern w:val="0"/>
                <w:sz w:val="24"/>
                <w:szCs w:val="20"/>
              </w:rPr>
              <w:t>袋式除尘器</w:t>
            </w:r>
            <w:r>
              <w:rPr>
                <w:rFonts w:hint="eastAsia"/>
                <w:color w:val="auto"/>
                <w:kern w:val="0"/>
                <w:sz w:val="24"/>
                <w:szCs w:val="20"/>
              </w:rPr>
              <w:t>/仓顶除尘器</w:t>
            </w:r>
            <w:r>
              <w:rPr>
                <w:color w:val="auto"/>
                <w:kern w:val="0"/>
                <w:sz w:val="24"/>
                <w:szCs w:val="20"/>
              </w:rPr>
              <w:t>为可行技术。</w:t>
            </w:r>
          </w:p>
          <w:p>
            <w:pPr>
              <w:pStyle w:val="26"/>
              <w:numPr>
                <w:ilvl w:val="1"/>
                <w:numId w:val="0"/>
              </w:numPr>
              <w:ind w:leftChars="200"/>
              <w:rPr>
                <w:rFonts w:hint="eastAsia"/>
                <w:color w:val="auto"/>
              </w:rPr>
            </w:pPr>
            <w:r>
              <w:rPr>
                <w:rFonts w:hint="eastAsia" w:ascii="Times New Roman" w:hAnsi="Times New Roman"/>
                <w:color w:val="auto"/>
              </w:rPr>
              <w:t xml:space="preserve">1.4 </w:t>
            </w:r>
            <w:r>
              <w:rPr>
                <w:rFonts w:hint="eastAsia"/>
                <w:color w:val="auto"/>
              </w:rPr>
              <w:t>达标排放分析</w:t>
            </w:r>
          </w:p>
          <w:p>
            <w:pPr>
              <w:jc w:val="center"/>
              <w:rPr>
                <w:rFonts w:hint="eastAsia"/>
                <w:b/>
                <w:bCs/>
                <w:color w:val="auto"/>
                <w:szCs w:val="21"/>
              </w:rPr>
            </w:pPr>
          </w:p>
          <w:p>
            <w:pPr>
              <w:jc w:val="center"/>
              <w:rPr>
                <w:rFonts w:hint="eastAsia"/>
                <w:b/>
                <w:bCs/>
                <w:color w:val="auto"/>
                <w:szCs w:val="21"/>
              </w:rPr>
            </w:pPr>
            <w:r>
              <w:rPr>
                <w:rFonts w:hint="eastAsia"/>
                <w:b/>
                <w:bCs/>
                <w:color w:val="auto"/>
                <w:szCs w:val="21"/>
              </w:rPr>
              <w:t>表4-</w:t>
            </w:r>
            <w:r>
              <w:rPr>
                <w:rFonts w:hint="eastAsia"/>
                <w:b/>
                <w:bCs/>
                <w:color w:val="auto"/>
                <w:szCs w:val="21"/>
                <w:lang w:val="en-US" w:eastAsia="zh-CN"/>
              </w:rPr>
              <w:t>6</w:t>
            </w:r>
            <w:r>
              <w:rPr>
                <w:rFonts w:hint="eastAsia"/>
                <w:b/>
                <w:bCs/>
                <w:color w:val="auto"/>
                <w:szCs w:val="21"/>
              </w:rPr>
              <w:t>达标排放分析</w:t>
            </w:r>
          </w:p>
          <w:tbl>
            <w:tblPr>
              <w:tblStyle w:val="24"/>
              <w:tblW w:w="8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065"/>
              <w:gridCol w:w="1400"/>
              <w:gridCol w:w="1123"/>
              <w:gridCol w:w="1309"/>
              <w:gridCol w:w="1066"/>
              <w:gridCol w:w="94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7" w:type="dxa"/>
                  <w:vMerge w:val="restart"/>
                  <w:vAlign w:val="center"/>
                </w:tcPr>
                <w:p>
                  <w:pPr>
                    <w:pStyle w:val="18"/>
                    <w:spacing w:line="240" w:lineRule="auto"/>
                    <w:jc w:val="center"/>
                    <w:rPr>
                      <w:color w:val="auto"/>
                      <w:sz w:val="21"/>
                      <w:szCs w:val="21"/>
                    </w:rPr>
                  </w:pPr>
                  <w:r>
                    <w:rPr>
                      <w:rFonts w:hint="eastAsia"/>
                      <w:color w:val="auto"/>
                      <w:sz w:val="21"/>
                      <w:szCs w:val="21"/>
                    </w:rPr>
                    <w:t>编号</w:t>
                  </w:r>
                </w:p>
              </w:tc>
              <w:tc>
                <w:tcPr>
                  <w:tcW w:w="1065" w:type="dxa"/>
                  <w:vMerge w:val="restart"/>
                  <w:vAlign w:val="center"/>
                </w:tcPr>
                <w:p>
                  <w:pPr>
                    <w:pStyle w:val="18"/>
                    <w:spacing w:line="240" w:lineRule="auto"/>
                    <w:jc w:val="center"/>
                    <w:rPr>
                      <w:color w:val="auto"/>
                      <w:sz w:val="21"/>
                      <w:szCs w:val="21"/>
                    </w:rPr>
                  </w:pPr>
                  <w:r>
                    <w:rPr>
                      <w:rFonts w:hint="eastAsia"/>
                      <w:color w:val="auto"/>
                      <w:sz w:val="21"/>
                      <w:szCs w:val="21"/>
                    </w:rPr>
                    <w:t>污染物名称</w:t>
                  </w:r>
                </w:p>
              </w:tc>
              <w:tc>
                <w:tcPr>
                  <w:tcW w:w="1400" w:type="dxa"/>
                  <w:vMerge w:val="restart"/>
                  <w:vAlign w:val="center"/>
                </w:tcPr>
                <w:p>
                  <w:pPr>
                    <w:pStyle w:val="18"/>
                    <w:spacing w:line="240" w:lineRule="auto"/>
                    <w:jc w:val="center"/>
                    <w:rPr>
                      <w:color w:val="auto"/>
                      <w:sz w:val="21"/>
                      <w:szCs w:val="21"/>
                    </w:rPr>
                  </w:pPr>
                  <w:r>
                    <w:rPr>
                      <w:rFonts w:hint="eastAsia"/>
                      <w:color w:val="auto"/>
                      <w:sz w:val="21"/>
                      <w:szCs w:val="21"/>
                    </w:rPr>
                    <w:t>排放浓度mg/m</w:t>
                  </w:r>
                  <w:r>
                    <w:rPr>
                      <w:rFonts w:hint="eastAsia"/>
                      <w:color w:val="auto"/>
                      <w:sz w:val="21"/>
                      <w:szCs w:val="21"/>
                      <w:vertAlign w:val="superscript"/>
                    </w:rPr>
                    <w:t>3</w:t>
                  </w:r>
                </w:p>
              </w:tc>
              <w:tc>
                <w:tcPr>
                  <w:tcW w:w="1123" w:type="dxa"/>
                  <w:vMerge w:val="restart"/>
                  <w:vAlign w:val="center"/>
                </w:tcPr>
                <w:p>
                  <w:pPr>
                    <w:pStyle w:val="18"/>
                    <w:spacing w:line="240" w:lineRule="auto"/>
                    <w:jc w:val="center"/>
                    <w:rPr>
                      <w:rFonts w:hint="default" w:eastAsia="宋体"/>
                      <w:color w:val="auto"/>
                      <w:sz w:val="21"/>
                      <w:szCs w:val="21"/>
                      <w:lang w:val="en-US" w:eastAsia="zh-CN"/>
                    </w:rPr>
                  </w:pPr>
                  <w:r>
                    <w:rPr>
                      <w:rFonts w:hint="eastAsia"/>
                      <w:color w:val="auto"/>
                      <w:sz w:val="21"/>
                      <w:szCs w:val="21"/>
                    </w:rPr>
                    <w:t>排放</w:t>
                  </w:r>
                  <w:r>
                    <w:rPr>
                      <w:rFonts w:hint="eastAsia"/>
                      <w:color w:val="auto"/>
                      <w:sz w:val="21"/>
                      <w:szCs w:val="21"/>
                      <w:lang w:eastAsia="zh-CN"/>
                    </w:rPr>
                    <w:t>速率</w:t>
                  </w:r>
                  <w:r>
                    <w:rPr>
                      <w:rFonts w:hint="eastAsia"/>
                      <w:color w:val="auto"/>
                      <w:sz w:val="21"/>
                      <w:szCs w:val="21"/>
                      <w:lang w:val="en-US" w:eastAsia="zh-CN"/>
                    </w:rPr>
                    <w:t>kg/h</w:t>
                  </w:r>
                </w:p>
              </w:tc>
              <w:tc>
                <w:tcPr>
                  <w:tcW w:w="3317" w:type="dxa"/>
                  <w:gridSpan w:val="3"/>
                  <w:vAlign w:val="center"/>
                </w:tcPr>
                <w:p>
                  <w:pPr>
                    <w:pStyle w:val="18"/>
                    <w:spacing w:line="240" w:lineRule="auto"/>
                    <w:jc w:val="center"/>
                    <w:rPr>
                      <w:color w:val="auto"/>
                      <w:sz w:val="21"/>
                      <w:szCs w:val="21"/>
                    </w:rPr>
                  </w:pPr>
                  <w:r>
                    <w:rPr>
                      <w:rFonts w:hint="eastAsia"/>
                      <w:color w:val="auto"/>
                      <w:sz w:val="21"/>
                      <w:szCs w:val="21"/>
                    </w:rPr>
                    <w:t>排放标准</w:t>
                  </w:r>
                </w:p>
              </w:tc>
              <w:tc>
                <w:tcPr>
                  <w:tcW w:w="762" w:type="dxa"/>
                  <w:vMerge w:val="restart"/>
                  <w:vAlign w:val="center"/>
                </w:tcPr>
                <w:p>
                  <w:pPr>
                    <w:pStyle w:val="18"/>
                    <w:spacing w:line="240" w:lineRule="auto"/>
                    <w:jc w:val="center"/>
                    <w:rPr>
                      <w:color w:val="auto"/>
                      <w:sz w:val="21"/>
                      <w:szCs w:val="21"/>
                    </w:rPr>
                  </w:pPr>
                  <w:r>
                    <w:rPr>
                      <w:rFonts w:hint="eastAsia"/>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7" w:type="dxa"/>
                  <w:vMerge w:val="continue"/>
                  <w:vAlign w:val="center"/>
                </w:tcPr>
                <w:p>
                  <w:pPr>
                    <w:pStyle w:val="18"/>
                    <w:spacing w:line="240" w:lineRule="auto"/>
                    <w:jc w:val="center"/>
                    <w:rPr>
                      <w:color w:val="auto"/>
                      <w:sz w:val="21"/>
                      <w:szCs w:val="21"/>
                    </w:rPr>
                  </w:pPr>
                </w:p>
              </w:tc>
              <w:tc>
                <w:tcPr>
                  <w:tcW w:w="1065" w:type="dxa"/>
                  <w:vMerge w:val="continue"/>
                  <w:vAlign w:val="center"/>
                </w:tcPr>
                <w:p>
                  <w:pPr>
                    <w:pStyle w:val="18"/>
                    <w:spacing w:line="240" w:lineRule="auto"/>
                    <w:jc w:val="center"/>
                    <w:rPr>
                      <w:color w:val="auto"/>
                      <w:sz w:val="21"/>
                      <w:szCs w:val="21"/>
                    </w:rPr>
                  </w:pPr>
                </w:p>
              </w:tc>
              <w:tc>
                <w:tcPr>
                  <w:tcW w:w="1400" w:type="dxa"/>
                  <w:vMerge w:val="continue"/>
                  <w:vAlign w:val="center"/>
                </w:tcPr>
                <w:p>
                  <w:pPr>
                    <w:pStyle w:val="18"/>
                    <w:spacing w:line="240" w:lineRule="auto"/>
                    <w:jc w:val="center"/>
                    <w:rPr>
                      <w:color w:val="auto"/>
                      <w:sz w:val="21"/>
                      <w:szCs w:val="21"/>
                    </w:rPr>
                  </w:pPr>
                </w:p>
              </w:tc>
              <w:tc>
                <w:tcPr>
                  <w:tcW w:w="1123" w:type="dxa"/>
                  <w:vMerge w:val="continue"/>
                  <w:vAlign w:val="center"/>
                </w:tcPr>
                <w:p>
                  <w:pPr>
                    <w:pStyle w:val="18"/>
                    <w:spacing w:line="240" w:lineRule="auto"/>
                    <w:jc w:val="center"/>
                    <w:rPr>
                      <w:color w:val="auto"/>
                      <w:sz w:val="21"/>
                      <w:szCs w:val="21"/>
                    </w:rPr>
                  </w:pPr>
                </w:p>
              </w:tc>
              <w:tc>
                <w:tcPr>
                  <w:tcW w:w="1309" w:type="dxa"/>
                  <w:vAlign w:val="center"/>
                </w:tcPr>
                <w:p>
                  <w:pPr>
                    <w:pStyle w:val="18"/>
                    <w:spacing w:line="240" w:lineRule="auto"/>
                    <w:jc w:val="center"/>
                    <w:rPr>
                      <w:color w:val="auto"/>
                      <w:sz w:val="21"/>
                      <w:szCs w:val="21"/>
                    </w:rPr>
                  </w:pPr>
                  <w:r>
                    <w:rPr>
                      <w:rFonts w:hint="eastAsia"/>
                      <w:color w:val="auto"/>
                      <w:sz w:val="21"/>
                      <w:szCs w:val="21"/>
                    </w:rPr>
                    <w:t>标准名称</w:t>
                  </w:r>
                </w:p>
              </w:tc>
              <w:tc>
                <w:tcPr>
                  <w:tcW w:w="1066" w:type="dxa"/>
                  <w:vAlign w:val="center"/>
                </w:tcPr>
                <w:p>
                  <w:pPr>
                    <w:pStyle w:val="18"/>
                    <w:spacing w:line="240" w:lineRule="auto"/>
                    <w:jc w:val="center"/>
                    <w:rPr>
                      <w:color w:val="auto"/>
                      <w:sz w:val="21"/>
                      <w:szCs w:val="21"/>
                    </w:rPr>
                  </w:pPr>
                  <w:r>
                    <w:rPr>
                      <w:rFonts w:hint="eastAsia"/>
                      <w:color w:val="auto"/>
                      <w:sz w:val="21"/>
                      <w:szCs w:val="21"/>
                    </w:rPr>
                    <w:t>浓度限值mg/m</w:t>
                  </w:r>
                  <w:r>
                    <w:rPr>
                      <w:rFonts w:hint="eastAsia"/>
                      <w:color w:val="auto"/>
                      <w:sz w:val="21"/>
                      <w:szCs w:val="21"/>
                      <w:vertAlign w:val="superscript"/>
                    </w:rPr>
                    <w:t>3</w:t>
                  </w:r>
                </w:p>
              </w:tc>
              <w:tc>
                <w:tcPr>
                  <w:tcW w:w="942" w:type="dxa"/>
                  <w:vAlign w:val="center"/>
                </w:tcPr>
                <w:p>
                  <w:pPr>
                    <w:pStyle w:val="18"/>
                    <w:spacing w:line="240" w:lineRule="auto"/>
                    <w:jc w:val="center"/>
                    <w:rPr>
                      <w:color w:val="auto"/>
                      <w:sz w:val="21"/>
                      <w:szCs w:val="21"/>
                    </w:rPr>
                  </w:pPr>
                  <w:r>
                    <w:rPr>
                      <w:rFonts w:hint="eastAsia"/>
                      <w:color w:val="auto"/>
                      <w:sz w:val="21"/>
                      <w:szCs w:val="21"/>
                    </w:rPr>
                    <w:t>排放速率kg/h</w:t>
                  </w:r>
                </w:p>
              </w:tc>
              <w:tc>
                <w:tcPr>
                  <w:tcW w:w="762" w:type="dxa"/>
                  <w:vMerge w:val="continue"/>
                  <w:vAlign w:val="center"/>
                </w:tcPr>
                <w:p>
                  <w:pPr>
                    <w:pStyle w:val="18"/>
                    <w:spacing w:line="240" w:lineRule="auto"/>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jc w:val="center"/>
              </w:trPr>
              <w:tc>
                <w:tcPr>
                  <w:tcW w:w="1007" w:type="dxa"/>
                  <w:vAlign w:val="center"/>
                </w:tcPr>
                <w:p>
                  <w:pPr>
                    <w:pStyle w:val="18"/>
                    <w:spacing w:line="240" w:lineRule="auto"/>
                    <w:jc w:val="center"/>
                    <w:rPr>
                      <w:rFonts w:hint="default"/>
                      <w:color w:val="auto"/>
                      <w:sz w:val="21"/>
                      <w:szCs w:val="21"/>
                      <w:lang w:val="en-US" w:eastAsia="zh-CN"/>
                    </w:rPr>
                  </w:pPr>
                  <w:r>
                    <w:rPr>
                      <w:rFonts w:hint="eastAsia"/>
                      <w:color w:val="auto"/>
                      <w:sz w:val="21"/>
                      <w:szCs w:val="21"/>
                      <w:lang w:val="en-US" w:eastAsia="zh-CN"/>
                    </w:rPr>
                    <w:t>DA001</w:t>
                  </w:r>
                </w:p>
              </w:tc>
              <w:tc>
                <w:tcPr>
                  <w:tcW w:w="1065" w:type="dxa"/>
                  <w:vAlign w:val="center"/>
                </w:tcPr>
                <w:p>
                  <w:pPr>
                    <w:pStyle w:val="18"/>
                    <w:spacing w:line="240" w:lineRule="auto"/>
                    <w:jc w:val="center"/>
                    <w:rPr>
                      <w:rFonts w:hint="eastAsia"/>
                      <w:color w:val="auto"/>
                      <w:sz w:val="21"/>
                      <w:szCs w:val="21"/>
                      <w:lang w:eastAsia="zh-CN"/>
                    </w:rPr>
                  </w:pPr>
                  <w:r>
                    <w:rPr>
                      <w:rFonts w:hint="eastAsia"/>
                      <w:color w:val="auto"/>
                      <w:sz w:val="21"/>
                      <w:szCs w:val="21"/>
                    </w:rPr>
                    <w:t>颗粒物</w:t>
                  </w:r>
                </w:p>
              </w:tc>
              <w:tc>
                <w:tcPr>
                  <w:tcW w:w="1400" w:type="dxa"/>
                  <w:vAlign w:val="center"/>
                </w:tcPr>
                <w:p>
                  <w:pPr>
                    <w:jc w:val="center"/>
                    <w:rPr>
                      <w:rFonts w:hint="default"/>
                      <w:color w:val="auto"/>
                      <w:sz w:val="21"/>
                      <w:szCs w:val="21"/>
                      <w:lang w:val="en-US" w:eastAsia="zh-CN"/>
                    </w:rPr>
                  </w:pPr>
                  <w:r>
                    <w:rPr>
                      <w:rFonts w:hint="eastAsia"/>
                      <w:color w:val="auto"/>
                      <w:sz w:val="21"/>
                      <w:szCs w:val="21"/>
                      <w:lang w:val="en-US" w:eastAsia="zh-CN"/>
                    </w:rPr>
                    <w:t>1.17</w:t>
                  </w:r>
                </w:p>
              </w:tc>
              <w:tc>
                <w:tcPr>
                  <w:tcW w:w="1123" w:type="dxa"/>
                  <w:vAlign w:val="center"/>
                </w:tcPr>
                <w:p>
                  <w:pPr>
                    <w:jc w:val="center"/>
                    <w:rPr>
                      <w:rFonts w:hint="default"/>
                      <w:color w:val="auto"/>
                      <w:szCs w:val="21"/>
                      <w:lang w:val="en-US" w:eastAsia="zh-CN"/>
                    </w:rPr>
                  </w:pPr>
                  <w:r>
                    <w:rPr>
                      <w:rFonts w:hint="eastAsia"/>
                      <w:color w:val="auto"/>
                      <w:szCs w:val="21"/>
                      <w:lang w:val="en-US" w:eastAsia="zh-CN"/>
                    </w:rPr>
                    <w:t>0.023</w:t>
                  </w:r>
                </w:p>
              </w:tc>
              <w:tc>
                <w:tcPr>
                  <w:tcW w:w="1309" w:type="dxa"/>
                  <w:vAlign w:val="center"/>
                </w:tcPr>
                <w:p>
                  <w:pPr>
                    <w:pStyle w:val="18"/>
                    <w:spacing w:line="240" w:lineRule="auto"/>
                    <w:jc w:val="center"/>
                    <w:rPr>
                      <w:rFonts w:hint="eastAsia"/>
                      <w:color w:val="auto"/>
                      <w:sz w:val="21"/>
                      <w:szCs w:val="21"/>
                    </w:rPr>
                  </w:pPr>
                  <w:r>
                    <w:rPr>
                      <w:rFonts w:hint="eastAsia"/>
                      <w:color w:val="auto"/>
                      <w:sz w:val="21"/>
                      <w:szCs w:val="21"/>
                    </w:rPr>
                    <w:t>《水泥工业大气污染物排放标准》（DB34/3576-2020）</w:t>
                  </w:r>
                </w:p>
              </w:tc>
              <w:tc>
                <w:tcPr>
                  <w:tcW w:w="1066" w:type="dxa"/>
                  <w:vAlign w:val="center"/>
                </w:tcPr>
                <w:p>
                  <w:pPr>
                    <w:pStyle w:val="18"/>
                    <w:spacing w:line="240" w:lineRule="auto"/>
                    <w:jc w:val="center"/>
                    <w:rPr>
                      <w:rFonts w:hint="default"/>
                      <w:color w:val="auto"/>
                      <w:sz w:val="21"/>
                      <w:szCs w:val="21"/>
                      <w:lang w:val="en-US" w:eastAsia="zh-CN"/>
                    </w:rPr>
                  </w:pPr>
                  <w:r>
                    <w:rPr>
                      <w:rFonts w:hint="eastAsia"/>
                      <w:color w:val="auto"/>
                      <w:sz w:val="21"/>
                      <w:szCs w:val="21"/>
                      <w:lang w:val="en-US" w:eastAsia="zh-CN"/>
                    </w:rPr>
                    <w:t>10</w:t>
                  </w:r>
                </w:p>
              </w:tc>
              <w:tc>
                <w:tcPr>
                  <w:tcW w:w="942" w:type="dxa"/>
                  <w:vAlign w:val="center"/>
                </w:tcPr>
                <w:p>
                  <w:pPr>
                    <w:pStyle w:val="18"/>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762" w:type="dxa"/>
                  <w:vAlign w:val="center"/>
                </w:tcPr>
                <w:p>
                  <w:pPr>
                    <w:pStyle w:val="18"/>
                    <w:spacing w:line="240" w:lineRule="auto"/>
                    <w:jc w:val="center"/>
                    <w:rPr>
                      <w:rFonts w:hint="eastAsia"/>
                      <w:color w:val="auto"/>
                      <w:sz w:val="21"/>
                      <w:szCs w:val="21"/>
                    </w:rPr>
                  </w:pPr>
                  <w:r>
                    <w:rPr>
                      <w:rFonts w:hint="eastAsia"/>
                      <w:color w:val="auto"/>
                      <w:sz w:val="21"/>
                      <w:szCs w:val="21"/>
                    </w:rPr>
                    <w:t>达标</w:t>
                  </w:r>
                </w:p>
              </w:tc>
            </w:tr>
          </w:tbl>
          <w:p>
            <w:pPr>
              <w:spacing w:line="360" w:lineRule="auto"/>
              <w:ind w:firstLine="482" w:firstLineChars="200"/>
              <w:rPr>
                <w:b/>
                <w:bCs/>
                <w:color w:val="auto"/>
                <w:sz w:val="24"/>
              </w:rPr>
            </w:pPr>
            <w:r>
              <w:rPr>
                <w:rFonts w:hint="eastAsia"/>
                <w:b/>
                <w:bCs/>
                <w:color w:val="auto"/>
                <w:sz w:val="24"/>
              </w:rPr>
              <w:t>1.5无组织控制措施</w:t>
            </w:r>
          </w:p>
          <w:p>
            <w:pPr>
              <w:pStyle w:val="32"/>
              <w:spacing w:line="360" w:lineRule="auto"/>
              <w:ind w:firstLine="480" w:firstLineChars="200"/>
              <w:rPr>
                <w:rFonts w:hAnsi="宋体" w:cs="宋体"/>
                <w:color w:val="auto"/>
                <w:sz w:val="24"/>
                <w:szCs w:val="24"/>
              </w:rPr>
            </w:pPr>
            <w:r>
              <w:rPr>
                <w:rFonts w:hAnsi="宋体" w:cs="宋体"/>
                <w:color w:val="auto"/>
                <w:sz w:val="24"/>
                <w:szCs w:val="24"/>
              </w:rPr>
              <w:t>①</w:t>
            </w:r>
            <w:r>
              <w:rPr>
                <w:rFonts w:hint="eastAsia" w:hAnsi="宋体" w:cs="宋体"/>
                <w:color w:val="auto"/>
                <w:sz w:val="24"/>
                <w:szCs w:val="24"/>
              </w:rPr>
              <w:t>原料</w:t>
            </w:r>
            <w:r>
              <w:rPr>
                <w:rFonts w:hAnsi="宋体" w:cs="宋体"/>
                <w:color w:val="auto"/>
                <w:sz w:val="24"/>
                <w:szCs w:val="24"/>
              </w:rPr>
              <w:t>堆场位于防风防雨防泄漏的封闭厂房内，并在物料堆场定期喷雾洒水，增加物料表面湿度；</w:t>
            </w:r>
          </w:p>
          <w:p>
            <w:pPr>
              <w:pStyle w:val="32"/>
              <w:spacing w:line="360" w:lineRule="auto"/>
              <w:rPr>
                <w:rFonts w:hAnsi="宋体" w:cs="宋体"/>
                <w:color w:val="auto"/>
                <w:sz w:val="24"/>
                <w:szCs w:val="24"/>
              </w:rPr>
            </w:pPr>
            <w:r>
              <w:rPr>
                <w:rFonts w:hAnsi="宋体" w:cs="宋体"/>
                <w:color w:val="auto"/>
                <w:sz w:val="24"/>
                <w:szCs w:val="24"/>
              </w:rPr>
              <w:t xml:space="preserve">②物料上料口设有喷淋洒水装置，减少无组织排放； </w:t>
            </w:r>
          </w:p>
          <w:p>
            <w:pPr>
              <w:pStyle w:val="32"/>
              <w:spacing w:line="360" w:lineRule="auto"/>
              <w:rPr>
                <w:rFonts w:hAnsi="宋体" w:cs="宋体"/>
                <w:color w:val="auto"/>
                <w:sz w:val="24"/>
                <w:szCs w:val="24"/>
              </w:rPr>
            </w:pPr>
            <w:r>
              <w:rPr>
                <w:rFonts w:hAnsi="宋体" w:cs="宋体"/>
                <w:color w:val="auto"/>
                <w:sz w:val="24"/>
                <w:szCs w:val="24"/>
              </w:rPr>
              <w:t xml:space="preserve">③加强厂区道路洒水降尘，做好日常道路清洁； </w:t>
            </w:r>
          </w:p>
          <w:p>
            <w:pPr>
              <w:pStyle w:val="32"/>
              <w:spacing w:line="360" w:lineRule="auto"/>
              <w:rPr>
                <w:rFonts w:hAnsi="宋体" w:cs="宋体"/>
                <w:color w:val="auto"/>
                <w:sz w:val="24"/>
                <w:szCs w:val="24"/>
              </w:rPr>
            </w:pPr>
            <w:r>
              <w:rPr>
                <w:rFonts w:hAnsi="宋体" w:cs="宋体"/>
                <w:color w:val="auto"/>
                <w:sz w:val="24"/>
                <w:szCs w:val="24"/>
              </w:rPr>
              <w:t>④输送带上方安装防尘罩，封闭设置；</w:t>
            </w:r>
          </w:p>
          <w:p>
            <w:pPr>
              <w:pStyle w:val="32"/>
              <w:spacing w:line="360" w:lineRule="auto"/>
              <w:ind w:firstLine="480" w:firstLineChars="200"/>
              <w:rPr>
                <w:rFonts w:ascii="Times New Roman"/>
                <w:color w:val="auto"/>
                <w:sz w:val="24"/>
                <w:szCs w:val="24"/>
              </w:rPr>
            </w:pPr>
            <w:r>
              <w:rPr>
                <w:rFonts w:hAnsi="宋体" w:cs="宋体"/>
                <w:color w:val="auto"/>
                <w:sz w:val="24"/>
                <w:szCs w:val="24"/>
              </w:rPr>
              <w:t xml:space="preserve"> ⑤</w:t>
            </w:r>
            <w:r>
              <w:rPr>
                <w:rFonts w:hint="eastAsia" w:hAnsi="宋体" w:cs="宋体"/>
                <w:color w:val="auto"/>
                <w:sz w:val="24"/>
                <w:szCs w:val="24"/>
                <w:lang w:eastAsia="zh-CN"/>
              </w:rPr>
              <w:t>水泥罐</w:t>
            </w:r>
            <w:r>
              <w:rPr>
                <w:rFonts w:hAnsi="宋体" w:cs="宋体"/>
                <w:color w:val="auto"/>
                <w:sz w:val="24"/>
                <w:szCs w:val="24"/>
              </w:rPr>
              <w:t>配有</w:t>
            </w:r>
            <w:r>
              <w:rPr>
                <w:rFonts w:hint="eastAsia" w:hAnsi="宋体" w:cs="宋体"/>
                <w:color w:val="auto"/>
                <w:sz w:val="24"/>
                <w:szCs w:val="24"/>
                <w:lang w:eastAsia="zh-CN"/>
              </w:rPr>
              <w:t>仓顶除尘器</w:t>
            </w:r>
            <w:r>
              <w:rPr>
                <w:rFonts w:hAnsi="宋体" w:cs="宋体"/>
                <w:color w:val="auto"/>
                <w:sz w:val="24"/>
                <w:szCs w:val="24"/>
              </w:rPr>
              <w:t>，废气处理后</w:t>
            </w:r>
            <w:r>
              <w:rPr>
                <w:rFonts w:hint="eastAsia" w:hAnsi="宋体" w:cs="宋体"/>
                <w:color w:val="auto"/>
                <w:sz w:val="24"/>
                <w:szCs w:val="24"/>
                <w:lang w:eastAsia="zh-CN"/>
              </w:rPr>
              <w:t>在密闭厂房内沉降</w:t>
            </w:r>
            <w:r>
              <w:rPr>
                <w:rFonts w:hAnsi="宋体" w:cs="宋体"/>
                <w:color w:val="auto"/>
                <w:sz w:val="24"/>
                <w:szCs w:val="24"/>
              </w:rPr>
              <w:t>。</w:t>
            </w:r>
          </w:p>
          <w:p>
            <w:pPr>
              <w:pStyle w:val="32"/>
              <w:spacing w:line="360" w:lineRule="auto"/>
              <w:ind w:firstLine="480" w:firstLineChars="200"/>
              <w:rPr>
                <w:color w:val="auto"/>
                <w:sz w:val="24"/>
                <w:szCs w:val="24"/>
              </w:rPr>
            </w:pPr>
            <w:r>
              <w:rPr>
                <w:color w:val="auto"/>
                <w:sz w:val="24"/>
                <w:szCs w:val="24"/>
              </w:rPr>
              <w:t>综上，本项目采取各项环保措施可行，对周围环境空气及敏感目标影响较小。</w:t>
            </w:r>
          </w:p>
          <w:p>
            <w:pPr>
              <w:pStyle w:val="32"/>
              <w:spacing w:line="360" w:lineRule="auto"/>
              <w:ind w:left="567" w:firstLine="0"/>
              <w:rPr>
                <w:rFonts w:hint="eastAsia" w:ascii="Times New Roman"/>
                <w:b/>
                <w:bCs/>
                <w:color w:val="auto"/>
                <w:sz w:val="24"/>
                <w:szCs w:val="24"/>
              </w:rPr>
            </w:pPr>
            <w:r>
              <w:rPr>
                <w:rFonts w:hint="eastAsia" w:ascii="Times New Roman"/>
                <w:b/>
                <w:bCs/>
                <w:color w:val="auto"/>
                <w:sz w:val="24"/>
                <w:szCs w:val="24"/>
              </w:rPr>
              <w:t>1.6废气非正常工况分析</w:t>
            </w:r>
          </w:p>
          <w:p>
            <w:pPr>
              <w:pStyle w:val="32"/>
              <w:spacing w:line="360" w:lineRule="auto"/>
              <w:ind w:firstLine="480" w:firstLineChars="200"/>
              <w:rPr>
                <w:rFonts w:ascii="Times New Roman"/>
                <w:color w:val="auto"/>
                <w:sz w:val="24"/>
                <w:szCs w:val="24"/>
              </w:rPr>
            </w:pPr>
            <w:r>
              <w:rPr>
                <w:rFonts w:ascii="Times New Roman"/>
                <w:color w:val="auto"/>
                <w:sz w:val="24"/>
                <w:szCs w:val="24"/>
              </w:rPr>
              <w:t>废气非正常工况排放是指生产车间废气治理措施运行出现事故，达不到设计要求时的处理效率。拟建项目可能发生废气事故排放的环节主要考虑为废气处理设施失效。本次评价对在事故状态下排放的</w:t>
            </w:r>
            <w:r>
              <w:rPr>
                <w:rFonts w:hint="eastAsia" w:ascii="Times New Roman"/>
                <w:color w:val="auto"/>
                <w:sz w:val="24"/>
                <w:szCs w:val="24"/>
              </w:rPr>
              <w:t>废气</w:t>
            </w:r>
            <w:r>
              <w:rPr>
                <w:rFonts w:ascii="Times New Roman"/>
                <w:color w:val="auto"/>
                <w:sz w:val="24"/>
                <w:szCs w:val="24"/>
              </w:rPr>
              <w:t>浓度进行情景假设。本项目非正常工况排放考虑最不利情况，</w:t>
            </w:r>
            <w:r>
              <w:rPr>
                <w:rFonts w:hint="eastAsia" w:ascii="Times New Roman"/>
                <w:color w:val="auto"/>
                <w:sz w:val="24"/>
                <w:szCs w:val="24"/>
              </w:rPr>
              <w:t>即</w:t>
            </w:r>
            <w:r>
              <w:rPr>
                <w:rFonts w:ascii="Times New Roman"/>
                <w:color w:val="auto"/>
                <w:sz w:val="24"/>
                <w:szCs w:val="24"/>
              </w:rPr>
              <w:t>项目所有废气处理净化效率为0%。项目非正常工况下污染物排放量见下表。</w:t>
            </w:r>
          </w:p>
          <w:p>
            <w:pPr>
              <w:pStyle w:val="32"/>
              <w:spacing w:line="240" w:lineRule="auto"/>
              <w:ind w:firstLine="0"/>
              <w:jc w:val="center"/>
              <w:rPr>
                <w:rFonts w:hint="eastAsia" w:ascii="Times New Roman"/>
                <w:b/>
                <w:bCs/>
                <w:color w:val="auto"/>
                <w:sz w:val="21"/>
                <w:szCs w:val="21"/>
              </w:rPr>
            </w:pPr>
            <w:r>
              <w:rPr>
                <w:rFonts w:hint="eastAsia" w:ascii="Times New Roman"/>
                <w:b/>
                <w:bCs/>
                <w:color w:val="auto"/>
                <w:sz w:val="21"/>
                <w:szCs w:val="21"/>
              </w:rPr>
              <w:t>表4-</w:t>
            </w:r>
            <w:r>
              <w:rPr>
                <w:rFonts w:hint="eastAsia" w:ascii="Times New Roman"/>
                <w:b/>
                <w:bCs/>
                <w:color w:val="auto"/>
                <w:sz w:val="21"/>
                <w:szCs w:val="21"/>
                <w:lang w:val="en-US" w:eastAsia="zh-CN"/>
              </w:rPr>
              <w:t>7</w:t>
            </w:r>
            <w:r>
              <w:rPr>
                <w:rFonts w:hint="eastAsia" w:ascii="Times New Roman"/>
                <w:b/>
                <w:bCs/>
                <w:color w:val="auto"/>
                <w:sz w:val="21"/>
                <w:szCs w:val="21"/>
              </w:rPr>
              <w:t xml:space="preserve">  非正常排放情况各排气筒排放情况</w:t>
            </w:r>
          </w:p>
          <w:tbl>
            <w:tblPr>
              <w:tblStyle w:val="24"/>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437"/>
              <w:gridCol w:w="1273"/>
              <w:gridCol w:w="1235"/>
              <w:gridCol w:w="1235"/>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7"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排放口编号</w:t>
                  </w:r>
                </w:p>
              </w:tc>
              <w:tc>
                <w:tcPr>
                  <w:tcW w:w="1437"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污染物</w:t>
                  </w:r>
                </w:p>
              </w:tc>
              <w:tc>
                <w:tcPr>
                  <w:tcW w:w="1273"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排放浓度（mg/m</w:t>
                  </w:r>
                  <w:r>
                    <w:rPr>
                      <w:rFonts w:hint="eastAsia" w:ascii="Times New Roman"/>
                      <w:color w:val="auto"/>
                      <w:sz w:val="21"/>
                      <w:szCs w:val="21"/>
                      <w:vertAlign w:val="superscript"/>
                    </w:rPr>
                    <w:t>3</w:t>
                  </w:r>
                  <w:r>
                    <w:rPr>
                      <w:rFonts w:hint="eastAsia" w:ascii="Times New Roman"/>
                      <w:color w:val="auto"/>
                      <w:sz w:val="21"/>
                      <w:szCs w:val="21"/>
                    </w:rPr>
                    <w:t>）</w:t>
                  </w:r>
                </w:p>
              </w:tc>
              <w:tc>
                <w:tcPr>
                  <w:tcW w:w="1235"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排放速率（kg/h）</w:t>
                  </w:r>
                </w:p>
              </w:tc>
              <w:tc>
                <w:tcPr>
                  <w:tcW w:w="1235"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持续时间</w:t>
                  </w:r>
                </w:p>
              </w:tc>
              <w:tc>
                <w:tcPr>
                  <w:tcW w:w="1235"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频次</w:t>
                  </w:r>
                </w:p>
              </w:tc>
              <w:tc>
                <w:tcPr>
                  <w:tcW w:w="1235"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排放量（kg）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7" w:type="dxa"/>
                  <w:vAlign w:val="center"/>
                </w:tcPr>
                <w:p>
                  <w:pPr>
                    <w:pStyle w:val="18"/>
                    <w:spacing w:line="240" w:lineRule="auto"/>
                    <w:jc w:val="center"/>
                    <w:rPr>
                      <w:rFonts w:hint="default" w:ascii="Times New Roman"/>
                      <w:color w:val="auto"/>
                      <w:sz w:val="21"/>
                      <w:szCs w:val="21"/>
                      <w:lang w:val="en-US"/>
                    </w:rPr>
                  </w:pPr>
                  <w:r>
                    <w:rPr>
                      <w:rFonts w:hint="eastAsia"/>
                      <w:color w:val="auto"/>
                      <w:sz w:val="21"/>
                      <w:szCs w:val="21"/>
                      <w:lang w:val="en-US" w:eastAsia="zh-CN"/>
                    </w:rPr>
                    <w:t>DA001</w:t>
                  </w:r>
                </w:p>
              </w:tc>
              <w:tc>
                <w:tcPr>
                  <w:tcW w:w="1437"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颗粒物</w:t>
                  </w:r>
                </w:p>
              </w:tc>
              <w:tc>
                <w:tcPr>
                  <w:tcW w:w="1273" w:type="dxa"/>
                  <w:vAlign w:val="center"/>
                </w:tcPr>
                <w:p>
                  <w:pPr>
                    <w:jc w:val="center"/>
                    <w:rPr>
                      <w:rFonts w:hint="default" w:ascii="Times New Roman" w:eastAsia="宋体"/>
                      <w:color w:val="auto"/>
                      <w:sz w:val="21"/>
                      <w:szCs w:val="21"/>
                      <w:lang w:val="en-US" w:eastAsia="zh-CN"/>
                    </w:rPr>
                  </w:pPr>
                  <w:r>
                    <w:rPr>
                      <w:rFonts w:hint="eastAsia"/>
                      <w:color w:val="auto"/>
                      <w:szCs w:val="21"/>
                      <w:lang w:val="en-US" w:eastAsia="zh-CN"/>
                    </w:rPr>
                    <w:t>390</w:t>
                  </w:r>
                </w:p>
              </w:tc>
              <w:tc>
                <w:tcPr>
                  <w:tcW w:w="1235" w:type="dxa"/>
                  <w:vAlign w:val="center"/>
                </w:tcPr>
                <w:p>
                  <w:pPr>
                    <w:jc w:val="center"/>
                    <w:rPr>
                      <w:rFonts w:hint="default" w:ascii="Times New Roman" w:eastAsia="宋体"/>
                      <w:color w:val="auto"/>
                      <w:sz w:val="21"/>
                      <w:szCs w:val="21"/>
                      <w:lang w:val="en-US" w:eastAsia="zh-CN"/>
                    </w:rPr>
                  </w:pPr>
                  <w:r>
                    <w:rPr>
                      <w:rFonts w:hint="eastAsia"/>
                      <w:color w:val="auto"/>
                      <w:szCs w:val="21"/>
                      <w:lang w:val="en-US" w:eastAsia="zh-CN"/>
                    </w:rPr>
                    <w:t>7.8</w:t>
                  </w:r>
                </w:p>
              </w:tc>
              <w:tc>
                <w:tcPr>
                  <w:tcW w:w="1235"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1h</w:t>
                  </w:r>
                </w:p>
              </w:tc>
              <w:tc>
                <w:tcPr>
                  <w:tcW w:w="1235"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1次/年</w:t>
                  </w:r>
                </w:p>
              </w:tc>
              <w:tc>
                <w:tcPr>
                  <w:tcW w:w="1235" w:type="dxa"/>
                  <w:vAlign w:val="center"/>
                </w:tcPr>
                <w:p>
                  <w:pPr>
                    <w:jc w:val="center"/>
                    <w:rPr>
                      <w:rFonts w:hint="default" w:ascii="Times New Roman" w:eastAsia="宋体"/>
                      <w:color w:val="auto"/>
                      <w:sz w:val="21"/>
                      <w:szCs w:val="21"/>
                      <w:lang w:val="en-US" w:eastAsia="zh-CN"/>
                    </w:rPr>
                  </w:pPr>
                  <w:r>
                    <w:rPr>
                      <w:rFonts w:hint="eastAsia"/>
                      <w:color w:val="auto"/>
                      <w:szCs w:val="21"/>
                      <w:lang w:val="en-US" w:eastAsia="zh-CN"/>
                    </w:rPr>
                    <w:t>7.8</w:t>
                  </w:r>
                </w:p>
              </w:tc>
            </w:tr>
          </w:tbl>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由上表可以看出，非正常情况下主要污染物排放浓度增加，而且随着非正常情况持续时间增加污染物排放量随之增加，对环境的危害和影响增大，因此应采取措施减少非正常工况发生次数。加强管理，采用先进成熟的工艺技术和设备，严格生产控制规程，加强环保设施的维修管理确保有效持续运行，发生环保设施故障时应及时停车、停产，确保生产设施与环保设施同步运行。</w:t>
            </w:r>
          </w:p>
          <w:p>
            <w:pPr>
              <w:pStyle w:val="32"/>
              <w:spacing w:line="360" w:lineRule="auto"/>
              <w:ind w:firstLine="482" w:firstLineChars="200"/>
              <w:rPr>
                <w:rFonts w:ascii="Times New Roman"/>
                <w:b/>
                <w:bCs/>
                <w:color w:val="auto"/>
                <w:sz w:val="24"/>
                <w:szCs w:val="24"/>
              </w:rPr>
            </w:pPr>
            <w:r>
              <w:rPr>
                <w:rFonts w:hint="eastAsia" w:ascii="Times New Roman"/>
                <w:b/>
                <w:bCs/>
                <w:color w:val="auto"/>
                <w:sz w:val="24"/>
                <w:szCs w:val="24"/>
              </w:rPr>
              <w:t>1.5监测要求</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根据</w:t>
            </w:r>
            <w:r>
              <w:rPr>
                <w:rFonts w:hint="default" w:ascii="Times New Roman" w:hAnsi="Times New Roman" w:cs="Times New Roman"/>
                <w:color w:val="auto"/>
                <w:sz w:val="24"/>
                <w:szCs w:val="24"/>
                <w:lang w:val="en-US" w:eastAsia="zh-CN"/>
              </w:rPr>
              <w:t>《排污单位自行监测技术指南 水泥工业》（HJ848-2017）</w:t>
            </w:r>
            <w:r>
              <w:rPr>
                <w:rFonts w:hint="eastAsia" w:ascii="Times New Roman"/>
                <w:color w:val="auto"/>
                <w:sz w:val="24"/>
                <w:szCs w:val="24"/>
              </w:rPr>
              <w:t>文件中的相关要求具体监测项目、点位、频率见下表。</w:t>
            </w:r>
          </w:p>
          <w:p>
            <w:pPr>
              <w:pStyle w:val="32"/>
              <w:spacing w:line="360" w:lineRule="auto"/>
              <w:ind w:firstLine="422" w:firstLineChars="200"/>
              <w:jc w:val="center"/>
              <w:rPr>
                <w:rFonts w:hint="eastAsia" w:ascii="Times New Roman"/>
                <w:b/>
                <w:bCs/>
                <w:color w:val="auto"/>
                <w:sz w:val="21"/>
                <w:szCs w:val="21"/>
              </w:rPr>
            </w:pPr>
            <w:r>
              <w:rPr>
                <w:rFonts w:hint="eastAsia" w:ascii="Times New Roman"/>
                <w:b/>
                <w:bCs/>
                <w:color w:val="auto"/>
                <w:sz w:val="21"/>
                <w:szCs w:val="21"/>
              </w:rPr>
              <w:t>表 4-</w:t>
            </w:r>
            <w:r>
              <w:rPr>
                <w:rFonts w:hint="eastAsia" w:ascii="Times New Roman"/>
                <w:b/>
                <w:bCs/>
                <w:color w:val="auto"/>
                <w:sz w:val="21"/>
                <w:szCs w:val="21"/>
                <w:lang w:val="en-US" w:eastAsia="zh-CN"/>
              </w:rPr>
              <w:t>8</w:t>
            </w:r>
            <w:r>
              <w:rPr>
                <w:rFonts w:hint="eastAsia" w:ascii="Times New Roman"/>
                <w:b/>
                <w:bCs/>
                <w:color w:val="auto"/>
                <w:sz w:val="21"/>
                <w:szCs w:val="21"/>
              </w:rPr>
              <w:t xml:space="preserve"> 本项目废气污染物监测一览表</w:t>
            </w:r>
          </w:p>
          <w:tbl>
            <w:tblPr>
              <w:tblStyle w:val="24"/>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2304"/>
              <w:gridCol w:w="3246"/>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1"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项目</w:t>
                  </w:r>
                </w:p>
              </w:tc>
              <w:tc>
                <w:tcPr>
                  <w:tcW w:w="2304"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监测点位</w:t>
                  </w:r>
                </w:p>
              </w:tc>
              <w:tc>
                <w:tcPr>
                  <w:tcW w:w="3246"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监测内容</w:t>
                  </w:r>
                </w:p>
              </w:tc>
              <w:tc>
                <w:tcPr>
                  <w:tcW w:w="1567"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1561" w:type="dxa"/>
                  <w:vMerge w:val="restart"/>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废气</w:t>
                  </w:r>
                </w:p>
              </w:tc>
              <w:tc>
                <w:tcPr>
                  <w:tcW w:w="2304" w:type="dxa"/>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DA001</w:t>
                  </w:r>
                </w:p>
              </w:tc>
              <w:tc>
                <w:tcPr>
                  <w:tcW w:w="3246" w:type="dxa"/>
                  <w:vAlign w:val="center"/>
                </w:tcPr>
                <w:p>
                  <w:pPr>
                    <w:pStyle w:val="32"/>
                    <w:spacing w:line="240" w:lineRule="auto"/>
                    <w:ind w:firstLine="0"/>
                    <w:jc w:val="center"/>
                    <w:rPr>
                      <w:rFonts w:hint="eastAsia" w:ascii="Times New Roman"/>
                      <w:color w:val="auto"/>
                      <w:sz w:val="21"/>
                      <w:szCs w:val="21"/>
                      <w:lang w:eastAsia="zh-CN"/>
                    </w:rPr>
                  </w:pPr>
                  <w:r>
                    <w:rPr>
                      <w:rFonts w:hint="eastAsia" w:ascii="Times New Roman"/>
                      <w:color w:val="auto"/>
                      <w:sz w:val="21"/>
                      <w:szCs w:val="21"/>
                      <w:lang w:eastAsia="zh-CN"/>
                    </w:rPr>
                    <w:t>颗粒物</w:t>
                  </w:r>
                </w:p>
              </w:tc>
              <w:tc>
                <w:tcPr>
                  <w:tcW w:w="1567"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1次/</w:t>
                  </w:r>
                  <w:r>
                    <w:rPr>
                      <w:rFonts w:hint="eastAsia" w:ascii="Times New Roman"/>
                      <w:color w:val="auto"/>
                      <w:sz w:val="21"/>
                      <w:szCs w:val="21"/>
                      <w:lang w:val="en-US" w:eastAsia="zh-CN"/>
                    </w:rPr>
                    <w:t>2</w:t>
                  </w:r>
                  <w:r>
                    <w:rPr>
                      <w:rFonts w:hint="eastAsia" w:ascii="Times New Roman"/>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1561" w:type="dxa"/>
                  <w:vMerge w:val="continue"/>
                  <w:vAlign w:val="center"/>
                </w:tcPr>
                <w:p>
                  <w:pPr>
                    <w:pStyle w:val="32"/>
                    <w:spacing w:line="240" w:lineRule="auto"/>
                    <w:jc w:val="center"/>
                    <w:rPr>
                      <w:rFonts w:hint="eastAsia" w:ascii="Times New Roman"/>
                      <w:color w:val="auto"/>
                      <w:sz w:val="21"/>
                      <w:szCs w:val="21"/>
                    </w:rPr>
                  </w:pPr>
                </w:p>
              </w:tc>
              <w:tc>
                <w:tcPr>
                  <w:tcW w:w="2304"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rPr>
                    <w:t>厂</w:t>
                  </w:r>
                  <w:r>
                    <w:rPr>
                      <w:rFonts w:hint="eastAsia" w:ascii="Times New Roman"/>
                      <w:color w:val="auto"/>
                      <w:sz w:val="21"/>
                      <w:szCs w:val="21"/>
                      <w:lang w:eastAsia="zh-CN"/>
                    </w:rPr>
                    <w:t>界</w:t>
                  </w:r>
                </w:p>
              </w:tc>
              <w:tc>
                <w:tcPr>
                  <w:tcW w:w="3246"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lang w:eastAsia="zh-CN"/>
                    </w:rPr>
                    <w:t>颗粒物</w:t>
                  </w:r>
                </w:p>
              </w:tc>
              <w:tc>
                <w:tcPr>
                  <w:tcW w:w="1567"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1次/</w:t>
                  </w:r>
                  <w:r>
                    <w:rPr>
                      <w:rFonts w:hint="eastAsia" w:ascii="Times New Roman"/>
                      <w:color w:val="auto"/>
                      <w:sz w:val="21"/>
                      <w:szCs w:val="21"/>
                      <w:lang w:eastAsia="zh-CN"/>
                    </w:rPr>
                    <w:t>季</w:t>
                  </w:r>
                </w:p>
              </w:tc>
            </w:tr>
          </w:tbl>
          <w:p>
            <w:pPr>
              <w:pStyle w:val="6"/>
              <w:keepNext w:val="0"/>
              <w:keepLines w:val="0"/>
              <w:pageBreakBefore w:val="0"/>
              <w:widowControl/>
              <w:kinsoku/>
              <w:wordWrap/>
              <w:overflowPunct/>
              <w:topLinePunct/>
              <w:autoSpaceDE/>
              <w:autoSpaceDN/>
              <w:bidi w:val="0"/>
              <w:adjustRightInd w:val="0"/>
              <w:snapToGrid w:val="0"/>
              <w:spacing w:before="0" w:after="0" w:line="360" w:lineRule="auto"/>
              <w:ind w:left="0" w:leftChars="0" w:right="0" w:firstLine="241" w:firstLineChars="100"/>
              <w:jc w:val="both"/>
              <w:textAlignment w:val="baseline"/>
              <w:rPr>
                <w:rFonts w:hint="eastAsia"/>
                <w:b/>
                <w:bCs/>
                <w:color w:val="auto"/>
                <w:sz w:val="24"/>
                <w:szCs w:val="24"/>
                <w:lang w:val="en-US" w:eastAsia="zh-CN"/>
              </w:rPr>
            </w:pPr>
            <w:r>
              <w:rPr>
                <w:rFonts w:hint="eastAsia" w:ascii="Times New Roman"/>
                <w:b/>
                <w:bCs/>
                <w:color w:val="auto"/>
                <w:sz w:val="24"/>
                <w:szCs w:val="24"/>
                <w:lang w:val="en-US" w:eastAsia="zh-CN"/>
              </w:rPr>
              <w:t>1.6</w:t>
            </w:r>
            <w:r>
              <w:rPr>
                <w:rFonts w:hint="eastAsia"/>
                <w:b/>
                <w:bCs/>
                <w:color w:val="auto"/>
                <w:sz w:val="24"/>
                <w:szCs w:val="24"/>
                <w:lang w:val="en-US" w:eastAsia="zh-CN"/>
              </w:rPr>
              <w:t>卫生防护距离</w:t>
            </w:r>
          </w:p>
          <w:p>
            <w:pPr>
              <w:pStyle w:val="6"/>
              <w:keepNext w:val="0"/>
              <w:keepLines w:val="0"/>
              <w:pageBreakBefore w:val="0"/>
              <w:widowControl/>
              <w:kinsoku/>
              <w:wordWrap/>
              <w:overflowPunct/>
              <w:topLinePunct/>
              <w:autoSpaceDE/>
              <w:autoSpaceDN/>
              <w:bidi w:val="0"/>
              <w:adjustRightInd w:val="0"/>
              <w:snapToGrid w:val="0"/>
              <w:spacing w:before="0" w:after="0" w:line="360" w:lineRule="auto"/>
              <w:ind w:right="0" w:firstLine="460" w:firstLineChars="200"/>
              <w:jc w:val="both"/>
              <w:textAlignment w:val="baseline"/>
              <w:rPr>
                <w:rFonts w:hint="eastAsia" w:ascii="宋体" w:hAnsi="宋体" w:eastAsia="宋体" w:cs="宋体"/>
                <w:snapToGrid w:val="0"/>
                <w:color w:val="auto"/>
                <w:kern w:val="0"/>
                <w:sz w:val="24"/>
                <w:szCs w:val="24"/>
                <w:highlight w:val="none"/>
                <w:lang w:val="en-US" w:eastAsia="zh-CN" w:bidi="ar"/>
              </w:rPr>
            </w:pPr>
            <w:r>
              <w:rPr>
                <w:rFonts w:hint="eastAsia" w:ascii="Times New Roman" w:hAnsi="Times New Roman" w:eastAsia="宋体" w:cs="Times New Roman"/>
                <w:color w:val="auto"/>
                <w:spacing w:val="-5"/>
                <w:sz w:val="24"/>
                <w:szCs w:val="24"/>
                <w:highlight w:val="none"/>
                <w:lang w:val="en-US" w:eastAsia="zh-CN"/>
              </w:rPr>
              <w:t>本项目</w:t>
            </w:r>
            <w:r>
              <w:rPr>
                <w:rFonts w:hint="eastAsia" w:ascii="Times New Roman" w:hAnsi="Times New Roman" w:eastAsia="宋体" w:cs="Times New Roman"/>
                <w:color w:val="auto"/>
                <w:kern w:val="2"/>
                <w:sz w:val="24"/>
                <w:szCs w:val="24"/>
                <w:lang w:val="en-US" w:eastAsia="zh-CN" w:bidi="ar-SA"/>
              </w:rPr>
              <w:t>废气污染物主要为粉尘，</w:t>
            </w:r>
            <w:r>
              <w:rPr>
                <w:rFonts w:hint="eastAsia" w:ascii="Times New Roman" w:hAnsi="Times New Roman" w:eastAsia="宋体" w:cs="Times New Roman"/>
                <w:color w:val="auto"/>
                <w:spacing w:val="-5"/>
                <w:sz w:val="24"/>
                <w:szCs w:val="24"/>
                <w:highlight w:val="none"/>
                <w:lang w:val="en-US" w:eastAsia="zh-CN"/>
              </w:rPr>
              <w:t>参照《大气有害物质无组织排放卫生防护距离推导技术导则》（</w:t>
            </w:r>
            <w:r>
              <w:rPr>
                <w:rFonts w:hint="default" w:ascii="Times New Roman" w:hAnsi="Times New Roman" w:eastAsia="宋体" w:cs="Times New Roman"/>
                <w:color w:val="auto"/>
                <w:spacing w:val="-5"/>
                <w:sz w:val="24"/>
                <w:szCs w:val="24"/>
                <w:highlight w:val="none"/>
                <w:lang w:val="en-US" w:eastAsia="zh-CN"/>
              </w:rPr>
              <w:t>GB/T 39499—2020</w:t>
            </w:r>
            <w:r>
              <w:rPr>
                <w:rFonts w:hint="eastAsia" w:ascii="Times New Roman" w:hAnsi="Times New Roman" w:eastAsia="宋体" w:cs="Times New Roman"/>
                <w:color w:val="auto"/>
                <w:spacing w:val="-5"/>
                <w:sz w:val="24"/>
                <w:szCs w:val="24"/>
                <w:highlight w:val="none"/>
                <w:lang w:val="en-US" w:eastAsia="zh-CN"/>
              </w:rPr>
              <w:t>），各类工业企业卫生防护距离按下式计算</w:t>
            </w:r>
            <w:r>
              <w:rPr>
                <w:rFonts w:hint="eastAsia" w:ascii="宋体" w:hAnsi="宋体" w:eastAsia="宋体" w:cs="宋体"/>
                <w:snapToGrid w:val="0"/>
                <w:color w:val="auto"/>
                <w:kern w:val="0"/>
                <w:sz w:val="24"/>
                <w:szCs w:val="24"/>
                <w:highlight w:val="none"/>
                <w:lang w:val="en-US" w:eastAsia="zh-CN" w:bidi="ar"/>
              </w:rPr>
              <w:t>：</w:t>
            </w:r>
          </w:p>
          <w:p>
            <w:pPr>
              <w:pStyle w:val="26"/>
              <w:keepNext/>
              <w:keepLines/>
              <w:pageBreakBefore w:val="0"/>
              <w:widowControl/>
              <w:numPr>
                <w:ilvl w:val="0"/>
                <w:numId w:val="0"/>
              </w:numPr>
              <w:kinsoku w:val="0"/>
              <w:wordWrap/>
              <w:overflowPunct/>
              <w:topLinePunct w:val="0"/>
              <w:autoSpaceDE w:val="0"/>
              <w:autoSpaceDN w:val="0"/>
              <w:bidi w:val="0"/>
              <w:adjustRightInd w:val="0"/>
              <w:snapToGrid w:val="0"/>
              <w:spacing w:before="0" w:after="0" w:line="360" w:lineRule="auto"/>
              <w:ind w:left="0" w:leftChars="0" w:right="0"/>
              <w:jc w:val="center"/>
              <w:textAlignment w:val="baseline"/>
              <w:rPr>
                <w:rFonts w:hint="eastAsia" w:ascii="宋体" w:hAnsi="宋体" w:eastAsia="宋体" w:cs="宋体"/>
                <w:snapToGrid w:val="0"/>
                <w:color w:val="auto"/>
                <w:kern w:val="0"/>
                <w:sz w:val="24"/>
                <w:szCs w:val="24"/>
                <w:highlight w:val="none"/>
                <w:lang w:val="en-US" w:eastAsia="zh-CN" w:bidi="ar"/>
              </w:rPr>
            </w:pPr>
            <w:r>
              <w:rPr>
                <w:color w:val="auto"/>
                <w:highlight w:val="none"/>
              </w:rPr>
              <w:drawing>
                <wp:inline distT="0" distB="0" distL="114300" distR="114300">
                  <wp:extent cx="3238500" cy="686435"/>
                  <wp:effectExtent l="0" t="0" r="0" b="1841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3"/>
                          <a:stretch>
                            <a:fillRect/>
                          </a:stretch>
                        </pic:blipFill>
                        <pic:spPr>
                          <a:xfrm>
                            <a:off x="0" y="0"/>
                            <a:ext cx="3238500" cy="686435"/>
                          </a:xfrm>
                          <a:prstGeom prst="rect">
                            <a:avLst/>
                          </a:prstGeom>
                          <a:noFill/>
                          <a:ln>
                            <a:noFill/>
                          </a:ln>
                        </pic:spPr>
                      </pic:pic>
                    </a:graphicData>
                  </a:graphic>
                </wp:inline>
              </w:drawing>
            </w:r>
          </w:p>
          <w:p>
            <w:pPr>
              <w:pStyle w:val="6"/>
              <w:keepNext w:val="0"/>
              <w:keepLines w:val="0"/>
              <w:pageBreakBefore w:val="0"/>
              <w:widowControl/>
              <w:kinsoku/>
              <w:wordWrap/>
              <w:overflowPunct/>
              <w:topLinePunct/>
              <w:autoSpaceDE/>
              <w:autoSpaceDN/>
              <w:bidi w:val="0"/>
              <w:adjustRightInd w:val="0"/>
              <w:snapToGrid w:val="0"/>
              <w:spacing w:before="0" w:after="0" w:line="360" w:lineRule="auto"/>
              <w:ind w:right="0" w:firstLine="460" w:firstLineChars="200"/>
              <w:jc w:val="both"/>
              <w:textAlignment w:val="baseline"/>
              <w:rPr>
                <w:rFonts w:hint="default" w:ascii="Times New Roman" w:hAnsi="Times New Roman" w:eastAsia="宋体" w:cs="Times New Roman"/>
                <w:color w:val="auto"/>
                <w:spacing w:val="-5"/>
                <w:sz w:val="24"/>
                <w:szCs w:val="24"/>
                <w:highlight w:val="none"/>
              </w:rPr>
            </w:pPr>
            <w:r>
              <w:rPr>
                <w:rFonts w:hint="eastAsia" w:ascii="Times New Roman" w:hAnsi="Times New Roman" w:eastAsia="宋体" w:cs="Times New Roman"/>
                <w:color w:val="auto"/>
                <w:spacing w:val="-5"/>
                <w:sz w:val="24"/>
                <w:szCs w:val="24"/>
                <w:highlight w:val="none"/>
                <w:lang w:val="en-US" w:eastAsia="zh-CN"/>
              </w:rPr>
              <w:t>式中：</w:t>
            </w:r>
            <w:r>
              <w:rPr>
                <w:rFonts w:hint="default" w:ascii="Times New Roman" w:hAnsi="Times New Roman" w:eastAsia="宋体" w:cs="Times New Roman"/>
                <w:color w:val="auto"/>
                <w:spacing w:val="-5"/>
                <w:sz w:val="24"/>
                <w:szCs w:val="24"/>
                <w:highlight w:val="none"/>
                <w:lang w:val="en-US" w:eastAsia="zh-CN"/>
              </w:rPr>
              <w:t>C</w:t>
            </w:r>
            <w:r>
              <w:rPr>
                <w:rFonts w:hint="default" w:ascii="Times New Roman" w:hAnsi="Times New Roman" w:eastAsia="宋体" w:cs="Times New Roman"/>
                <w:color w:val="auto"/>
                <w:spacing w:val="-5"/>
                <w:sz w:val="24"/>
                <w:szCs w:val="24"/>
                <w:highlight w:val="none"/>
                <w:vertAlign w:val="subscript"/>
                <w:lang w:val="en-US" w:eastAsia="zh-CN"/>
              </w:rPr>
              <w:t>m</w:t>
            </w:r>
            <w:r>
              <w:rPr>
                <w:rFonts w:hint="default" w:ascii="Times New Roman" w:hAnsi="Times New Roman" w:eastAsia="宋体" w:cs="Times New Roman"/>
                <w:color w:val="auto"/>
                <w:spacing w:val="-5"/>
                <w:sz w:val="24"/>
                <w:szCs w:val="24"/>
                <w:highlight w:val="none"/>
                <w:lang w:val="en-US" w:eastAsia="zh-CN"/>
              </w:rPr>
              <w:t>—</w:t>
            </w:r>
            <w:r>
              <w:rPr>
                <w:rFonts w:hint="eastAsia" w:ascii="Times New Roman" w:hAnsi="Times New Roman" w:eastAsia="宋体" w:cs="Times New Roman"/>
                <w:color w:val="auto"/>
                <w:spacing w:val="-5"/>
                <w:sz w:val="24"/>
                <w:szCs w:val="24"/>
                <w:highlight w:val="none"/>
                <w:lang w:val="en-US" w:eastAsia="zh-CN"/>
              </w:rPr>
              <w:t xml:space="preserve">标准浓度限值； </w:t>
            </w:r>
          </w:p>
          <w:p>
            <w:pPr>
              <w:pStyle w:val="6"/>
              <w:keepNext w:val="0"/>
              <w:keepLines w:val="0"/>
              <w:pageBreakBefore w:val="0"/>
              <w:widowControl/>
              <w:kinsoku/>
              <w:wordWrap/>
              <w:overflowPunct/>
              <w:topLinePunct/>
              <w:autoSpaceDE/>
              <w:autoSpaceDN/>
              <w:bidi w:val="0"/>
              <w:adjustRightInd w:val="0"/>
              <w:snapToGrid w:val="0"/>
              <w:spacing w:before="0" w:after="0" w:line="360" w:lineRule="auto"/>
              <w:ind w:right="0" w:firstLine="1150" w:firstLineChars="500"/>
              <w:jc w:val="both"/>
              <w:textAlignment w:val="baseline"/>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5"/>
                <w:sz w:val="24"/>
                <w:szCs w:val="24"/>
                <w:highlight w:val="none"/>
                <w:lang w:val="en-US" w:eastAsia="zh-CN"/>
              </w:rPr>
              <w:t>L—</w:t>
            </w:r>
            <w:r>
              <w:rPr>
                <w:rFonts w:hint="eastAsia" w:ascii="Times New Roman" w:hAnsi="Times New Roman" w:eastAsia="宋体" w:cs="Times New Roman"/>
                <w:color w:val="auto"/>
                <w:spacing w:val="-5"/>
                <w:sz w:val="24"/>
                <w:szCs w:val="24"/>
                <w:highlight w:val="none"/>
                <w:lang w:val="en-US" w:eastAsia="zh-CN"/>
              </w:rPr>
              <w:t>工业企业所需卫生防护距离初值，</w:t>
            </w:r>
            <w:r>
              <w:rPr>
                <w:rFonts w:hint="default" w:ascii="Times New Roman" w:hAnsi="Times New Roman" w:eastAsia="宋体" w:cs="Times New Roman"/>
                <w:color w:val="auto"/>
                <w:spacing w:val="-5"/>
                <w:sz w:val="24"/>
                <w:szCs w:val="24"/>
                <w:highlight w:val="none"/>
                <w:lang w:val="en-US" w:eastAsia="zh-CN"/>
              </w:rPr>
              <w:t>m</w:t>
            </w:r>
            <w:r>
              <w:rPr>
                <w:rFonts w:hint="eastAsia" w:ascii="Times New Roman" w:hAnsi="Times New Roman" w:eastAsia="宋体" w:cs="Times New Roman"/>
                <w:color w:val="auto"/>
                <w:spacing w:val="-5"/>
                <w:sz w:val="24"/>
                <w:szCs w:val="24"/>
                <w:highlight w:val="none"/>
                <w:lang w:val="en-US" w:eastAsia="zh-CN"/>
              </w:rPr>
              <w:t xml:space="preserve">； </w:t>
            </w:r>
          </w:p>
          <w:p>
            <w:pPr>
              <w:pStyle w:val="6"/>
              <w:keepNext w:val="0"/>
              <w:keepLines w:val="0"/>
              <w:pageBreakBefore w:val="0"/>
              <w:widowControl/>
              <w:kinsoku/>
              <w:wordWrap/>
              <w:overflowPunct/>
              <w:topLinePunct/>
              <w:autoSpaceDE/>
              <w:autoSpaceDN/>
              <w:bidi w:val="0"/>
              <w:adjustRightInd w:val="0"/>
              <w:snapToGrid w:val="0"/>
              <w:spacing w:before="0" w:after="0" w:line="360" w:lineRule="auto"/>
              <w:ind w:right="0" w:firstLine="1150" w:firstLineChars="500"/>
              <w:jc w:val="both"/>
              <w:textAlignment w:val="baseline"/>
              <w:rPr>
                <w:rFonts w:hint="default" w:ascii="Times New Roman" w:hAnsi="Times New Roman" w:eastAsia="宋体" w:cs="Times New Roman"/>
                <w:color w:val="auto"/>
                <w:spacing w:val="-5"/>
                <w:sz w:val="24"/>
                <w:szCs w:val="24"/>
                <w:highlight w:val="none"/>
              </w:rPr>
            </w:pPr>
            <w:r>
              <w:rPr>
                <w:rFonts w:hint="eastAsia" w:ascii="Times New Roman" w:hAnsi="Times New Roman" w:eastAsia="宋体" w:cs="Times New Roman"/>
                <w:color w:val="auto"/>
                <w:spacing w:val="-5"/>
                <w:sz w:val="24"/>
                <w:szCs w:val="24"/>
                <w:highlight w:val="none"/>
                <w:lang w:val="en-US" w:eastAsia="zh-CN"/>
              </w:rPr>
              <w:t>r</w:t>
            </w:r>
            <w:r>
              <w:rPr>
                <w:rFonts w:hint="default" w:ascii="Times New Roman" w:hAnsi="Times New Roman" w:eastAsia="宋体" w:cs="Times New Roman"/>
                <w:color w:val="auto"/>
                <w:spacing w:val="-5"/>
                <w:sz w:val="24"/>
                <w:szCs w:val="24"/>
                <w:highlight w:val="none"/>
                <w:lang w:val="en-US" w:eastAsia="zh-CN"/>
              </w:rPr>
              <w:t>—</w:t>
            </w:r>
            <w:r>
              <w:rPr>
                <w:rFonts w:hint="eastAsia" w:ascii="Times New Roman" w:hAnsi="Times New Roman" w:eastAsia="宋体" w:cs="Times New Roman"/>
                <w:color w:val="auto"/>
                <w:spacing w:val="-5"/>
                <w:sz w:val="24"/>
                <w:szCs w:val="24"/>
                <w:highlight w:val="none"/>
                <w:lang w:val="en-US" w:eastAsia="zh-CN"/>
              </w:rPr>
              <w:t>有害气体无组织排放源所在生产单元的等效半径，</w:t>
            </w:r>
            <w:r>
              <w:rPr>
                <w:rFonts w:hint="default" w:ascii="Times New Roman" w:hAnsi="Times New Roman" w:eastAsia="宋体" w:cs="Times New Roman"/>
                <w:color w:val="auto"/>
                <w:spacing w:val="-5"/>
                <w:sz w:val="24"/>
                <w:szCs w:val="24"/>
                <w:highlight w:val="none"/>
                <w:lang w:val="en-US" w:eastAsia="zh-CN"/>
              </w:rPr>
              <w:t>m</w:t>
            </w:r>
            <w:r>
              <w:rPr>
                <w:rFonts w:hint="eastAsia" w:ascii="Times New Roman" w:hAnsi="Times New Roman" w:eastAsia="宋体" w:cs="Times New Roman"/>
                <w:color w:val="auto"/>
                <w:spacing w:val="-5"/>
                <w:sz w:val="24"/>
                <w:szCs w:val="24"/>
                <w:highlight w:val="none"/>
                <w:lang w:val="en-US" w:eastAsia="zh-CN"/>
              </w:rPr>
              <w:t>，根据该生产单元（生产车间：2#厂房）面积</w:t>
            </w:r>
            <w:r>
              <w:rPr>
                <w:rFonts w:hint="default" w:ascii="Times New Roman" w:hAnsi="Times New Roman" w:eastAsia="宋体" w:cs="Times New Roman"/>
                <w:color w:val="auto"/>
                <w:spacing w:val="-5"/>
                <w:sz w:val="24"/>
                <w:szCs w:val="24"/>
                <w:highlight w:val="none"/>
                <w:lang w:val="en-US" w:eastAsia="zh-CN"/>
              </w:rPr>
              <w:t>S</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lang w:val="en-US" w:eastAsia="zh-CN"/>
              </w:rPr>
              <w:t>m</w:t>
            </w:r>
            <w:r>
              <w:rPr>
                <w:rFonts w:hint="default" w:ascii="Times New Roman" w:hAnsi="Times New Roman" w:eastAsia="宋体" w:cs="Times New Roman"/>
                <w:color w:val="auto"/>
                <w:spacing w:val="-5"/>
                <w:sz w:val="24"/>
                <w:szCs w:val="24"/>
                <w:highlight w:val="none"/>
                <w:vertAlign w:val="superscript"/>
                <w:lang w:val="en-US" w:eastAsia="zh-CN"/>
              </w:rPr>
              <w:t>2</w:t>
            </w:r>
            <w:r>
              <w:rPr>
                <w:rFonts w:hint="eastAsia" w:ascii="Times New Roman" w:hAnsi="Times New Roman" w:eastAsia="宋体" w:cs="Times New Roman"/>
                <w:color w:val="auto"/>
                <w:spacing w:val="-5"/>
                <w:sz w:val="24"/>
                <w:szCs w:val="24"/>
                <w:highlight w:val="none"/>
                <w:lang w:val="en-US" w:eastAsia="zh-CN"/>
              </w:rPr>
              <w:t>）计算，</w:t>
            </w:r>
            <w:r>
              <w:rPr>
                <w:rFonts w:hint="default" w:ascii="Times New Roman" w:hAnsi="Times New Roman" w:eastAsia="宋体" w:cs="Times New Roman"/>
                <w:color w:val="auto"/>
                <w:spacing w:val="-5"/>
                <w:sz w:val="24"/>
                <w:szCs w:val="24"/>
                <w:highlight w:val="none"/>
                <w:lang w:val="en-US" w:eastAsia="zh-CN"/>
              </w:rPr>
              <w:t>r=</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lang w:val="en-US" w:eastAsia="zh-CN"/>
              </w:rPr>
              <w:t>S/π</w:t>
            </w:r>
            <w:r>
              <w:rPr>
                <w:rFonts w:hint="eastAsia" w:ascii="Times New Roman" w:hAnsi="Times New Roman" w:eastAsia="宋体" w:cs="Times New Roman"/>
                <w:color w:val="auto"/>
                <w:spacing w:val="-5"/>
                <w:sz w:val="24"/>
                <w:szCs w:val="24"/>
                <w:highlight w:val="none"/>
                <w:lang w:val="en-US" w:eastAsia="zh-CN"/>
              </w:rPr>
              <w:t>）</w:t>
            </w:r>
            <w:r>
              <w:rPr>
                <w:rFonts w:hint="eastAsia" w:ascii="Times New Roman" w:hAnsi="Times New Roman" w:eastAsia="宋体" w:cs="Times New Roman"/>
                <w:color w:val="auto"/>
                <w:spacing w:val="-5"/>
                <w:sz w:val="24"/>
                <w:szCs w:val="24"/>
                <w:highlight w:val="none"/>
                <w:vertAlign w:val="superscript"/>
                <w:lang w:val="en-US" w:eastAsia="zh-CN"/>
              </w:rPr>
              <w:t>0.5</w:t>
            </w:r>
            <w:r>
              <w:rPr>
                <w:rFonts w:hint="eastAsia" w:ascii="Times New Roman" w:hAnsi="Times New Roman" w:eastAsia="宋体" w:cs="Times New Roman"/>
                <w:color w:val="auto"/>
                <w:spacing w:val="-5"/>
                <w:sz w:val="24"/>
                <w:szCs w:val="24"/>
                <w:highlight w:val="none"/>
                <w:lang w:val="en-US" w:eastAsia="zh-CN"/>
              </w:rPr>
              <w:t xml:space="preserve">； </w:t>
            </w:r>
          </w:p>
          <w:p>
            <w:pPr>
              <w:pStyle w:val="6"/>
              <w:keepNext w:val="0"/>
              <w:keepLines w:val="0"/>
              <w:pageBreakBefore w:val="0"/>
              <w:widowControl/>
              <w:kinsoku/>
              <w:wordWrap/>
              <w:overflowPunct/>
              <w:topLinePunct/>
              <w:autoSpaceDE/>
              <w:autoSpaceDN/>
              <w:bidi w:val="0"/>
              <w:adjustRightInd w:val="0"/>
              <w:snapToGrid w:val="0"/>
              <w:spacing w:before="0" w:after="0" w:line="360" w:lineRule="auto"/>
              <w:ind w:right="0" w:firstLine="1150" w:firstLineChars="500"/>
              <w:jc w:val="both"/>
              <w:textAlignment w:val="baseline"/>
              <w:rPr>
                <w:rFonts w:hint="default" w:ascii="Times New Roman" w:hAnsi="Times New Roman" w:eastAsia="宋体" w:cs="Times New Roman"/>
                <w:color w:val="auto"/>
                <w:spacing w:val="-5"/>
                <w:sz w:val="24"/>
                <w:szCs w:val="24"/>
                <w:highlight w:val="none"/>
                <w:lang w:val="en-US"/>
              </w:rPr>
            </w:pPr>
            <w:r>
              <w:rPr>
                <w:rFonts w:hint="default" w:ascii="Times New Roman" w:hAnsi="Times New Roman" w:eastAsia="宋体" w:cs="Times New Roman"/>
                <w:color w:val="auto"/>
                <w:spacing w:val="-5"/>
                <w:sz w:val="24"/>
                <w:szCs w:val="24"/>
                <w:highlight w:val="none"/>
                <w:lang w:val="en-US" w:eastAsia="zh-CN"/>
              </w:rPr>
              <w:t>A</w:t>
            </w:r>
            <w:r>
              <w:rPr>
                <w:rFonts w:hint="eastAsia"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lang w:val="en-US" w:eastAsia="zh-CN"/>
              </w:rPr>
              <w:t>B</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lang w:val="en-US" w:eastAsia="zh-CN"/>
              </w:rPr>
              <w:t>C</w:t>
            </w:r>
            <w:r>
              <w:rPr>
                <w:rFonts w:hint="eastAsia" w:ascii="Times New Roman" w:hAnsi="Times New Roman" w:eastAsia="宋体" w:cs="Times New Roman"/>
                <w:color w:val="auto"/>
                <w:spacing w:val="-5"/>
                <w:sz w:val="24"/>
                <w:szCs w:val="24"/>
                <w:highlight w:val="none"/>
                <w:lang w:val="en-US" w:eastAsia="zh-CN"/>
              </w:rPr>
              <w:t>、</w:t>
            </w:r>
            <w:r>
              <w:rPr>
                <w:rFonts w:hint="default" w:ascii="Times New Roman" w:hAnsi="Times New Roman" w:eastAsia="宋体" w:cs="Times New Roman"/>
                <w:color w:val="auto"/>
                <w:spacing w:val="-5"/>
                <w:sz w:val="24"/>
                <w:szCs w:val="24"/>
                <w:highlight w:val="none"/>
                <w:lang w:val="en-US" w:eastAsia="zh-CN"/>
              </w:rPr>
              <w:t>D—</w:t>
            </w:r>
            <w:r>
              <w:rPr>
                <w:rFonts w:hint="eastAsia" w:ascii="Times New Roman" w:hAnsi="Times New Roman" w:eastAsia="宋体" w:cs="Times New Roman"/>
                <w:color w:val="auto"/>
                <w:spacing w:val="-5"/>
                <w:sz w:val="24"/>
                <w:szCs w:val="24"/>
                <w:highlight w:val="none"/>
                <w:lang w:val="en-US" w:eastAsia="zh-CN"/>
              </w:rPr>
              <w:t>卫生防护距离计算系数； 风速取3.7m/s。</w:t>
            </w:r>
          </w:p>
          <w:p>
            <w:pPr>
              <w:pStyle w:val="6"/>
              <w:keepNext w:val="0"/>
              <w:keepLines w:val="0"/>
              <w:pageBreakBefore w:val="0"/>
              <w:widowControl/>
              <w:kinsoku/>
              <w:wordWrap/>
              <w:overflowPunct/>
              <w:topLinePunct/>
              <w:autoSpaceDE/>
              <w:autoSpaceDN/>
              <w:bidi w:val="0"/>
              <w:adjustRightInd w:val="0"/>
              <w:snapToGrid w:val="0"/>
              <w:spacing w:before="0" w:after="0" w:line="360" w:lineRule="auto"/>
              <w:ind w:right="0" w:firstLine="1150" w:firstLineChars="500"/>
              <w:jc w:val="both"/>
              <w:textAlignment w:val="baseline"/>
              <w:rPr>
                <w:rFonts w:hint="eastAsia" w:ascii="Times New Roman" w:hAnsi="Times New Roman" w:eastAsia="宋体" w:cs="Times New Roman"/>
                <w:color w:val="auto"/>
                <w:spacing w:val="-5"/>
                <w:sz w:val="24"/>
                <w:szCs w:val="24"/>
                <w:highlight w:val="none"/>
                <w:lang w:val="en-US" w:eastAsia="zh-CN"/>
              </w:rPr>
            </w:pPr>
            <w:r>
              <w:rPr>
                <w:rFonts w:hint="default" w:ascii="Times New Roman" w:hAnsi="Times New Roman" w:eastAsia="宋体" w:cs="Times New Roman"/>
                <w:color w:val="auto"/>
                <w:spacing w:val="-5"/>
                <w:sz w:val="24"/>
                <w:szCs w:val="24"/>
                <w:highlight w:val="none"/>
                <w:lang w:val="en-US" w:eastAsia="zh-CN"/>
              </w:rPr>
              <w:t>Qc—</w:t>
            </w:r>
            <w:r>
              <w:rPr>
                <w:rFonts w:hint="eastAsia" w:ascii="Times New Roman" w:hAnsi="Times New Roman" w:eastAsia="宋体" w:cs="Times New Roman"/>
                <w:color w:val="auto"/>
                <w:spacing w:val="-5"/>
                <w:sz w:val="24"/>
                <w:szCs w:val="24"/>
                <w:highlight w:val="none"/>
                <w:lang w:val="en-US" w:eastAsia="zh-CN"/>
              </w:rPr>
              <w:t xml:space="preserve">粉尘的无组织排放量，单位为千克每小时（kg/h）。 </w:t>
            </w:r>
          </w:p>
          <w:p>
            <w:pPr>
              <w:pStyle w:val="6"/>
              <w:keepNext w:val="0"/>
              <w:keepLines w:val="0"/>
              <w:pageBreakBefore w:val="0"/>
              <w:widowControl/>
              <w:kinsoku/>
              <w:wordWrap/>
              <w:overflowPunct/>
              <w:topLinePunct/>
              <w:autoSpaceDE/>
              <w:autoSpaceDN/>
              <w:bidi w:val="0"/>
              <w:adjustRightInd w:val="0"/>
              <w:snapToGrid w:val="0"/>
              <w:spacing w:before="0" w:after="0" w:line="360" w:lineRule="auto"/>
              <w:ind w:right="0" w:firstLine="460" w:firstLineChars="200"/>
              <w:jc w:val="both"/>
              <w:textAlignment w:val="baseline"/>
              <w:rPr>
                <w:rFonts w:hint="eastAsia" w:ascii="宋体" w:hAnsi="宋体" w:eastAsia="宋体" w:cs="宋体"/>
                <w:b/>
                <w:bCs/>
                <w:snapToGrid w:val="0"/>
                <w:color w:val="auto"/>
                <w:kern w:val="0"/>
                <w:sz w:val="24"/>
                <w:szCs w:val="24"/>
                <w:highlight w:val="none"/>
                <w:lang w:val="en-US" w:eastAsia="zh-CN" w:bidi="ar"/>
              </w:rPr>
            </w:pPr>
            <w:r>
              <w:rPr>
                <w:rFonts w:hint="eastAsia" w:ascii="Times New Roman" w:hAnsi="Times New Roman" w:eastAsia="宋体" w:cs="Times New Roman"/>
                <w:color w:val="auto"/>
                <w:spacing w:val="-5"/>
                <w:sz w:val="24"/>
                <w:szCs w:val="24"/>
                <w:highlight w:val="none"/>
                <w:lang w:val="en-US" w:eastAsia="zh-CN"/>
              </w:rPr>
              <w:t>卫生防护距离计算系数见表</w:t>
            </w:r>
            <w:r>
              <w:rPr>
                <w:rFonts w:hint="default" w:ascii="Times New Roman" w:hAnsi="Times New Roman" w:eastAsia="宋体" w:cs="Times New Roman"/>
                <w:color w:val="auto"/>
                <w:spacing w:val="-5"/>
                <w:sz w:val="24"/>
                <w:szCs w:val="24"/>
                <w:highlight w:val="none"/>
                <w:lang w:val="en-US" w:eastAsia="zh-CN"/>
              </w:rPr>
              <w:t>4-</w:t>
            </w:r>
            <w:r>
              <w:rPr>
                <w:rFonts w:hint="eastAsia" w:ascii="Times New Roman" w:hAnsi="Times New Roman" w:eastAsia="宋体" w:cs="Times New Roman"/>
                <w:color w:val="auto"/>
                <w:spacing w:val="-5"/>
                <w:sz w:val="24"/>
                <w:szCs w:val="24"/>
                <w:highlight w:val="none"/>
                <w:lang w:val="en-US" w:eastAsia="zh-CN"/>
              </w:rPr>
              <w:t xml:space="preserve">4，卫生防护距离计算结果见表 </w:t>
            </w:r>
            <w:r>
              <w:rPr>
                <w:rFonts w:hint="default" w:ascii="Times New Roman" w:hAnsi="Times New Roman" w:eastAsia="宋体" w:cs="Times New Roman"/>
                <w:color w:val="auto"/>
                <w:spacing w:val="-5"/>
                <w:sz w:val="24"/>
                <w:szCs w:val="24"/>
                <w:highlight w:val="none"/>
                <w:lang w:val="en-US" w:eastAsia="zh-CN"/>
              </w:rPr>
              <w:t>4-</w:t>
            </w:r>
            <w:r>
              <w:rPr>
                <w:rFonts w:hint="eastAsia" w:ascii="Times New Roman" w:hAnsi="Times New Roman" w:eastAsia="宋体" w:cs="Times New Roman"/>
                <w:color w:val="auto"/>
                <w:spacing w:val="-5"/>
                <w:sz w:val="24"/>
                <w:szCs w:val="24"/>
                <w:highlight w:val="none"/>
                <w:lang w:val="en-US" w:eastAsia="zh-CN"/>
              </w:rPr>
              <w:t>5</w:t>
            </w:r>
            <w:r>
              <w:rPr>
                <w:rFonts w:hint="eastAsia" w:ascii="宋体" w:hAnsi="宋体" w:eastAsia="宋体" w:cs="宋体"/>
                <w:snapToGrid w:val="0"/>
                <w:color w:val="auto"/>
                <w:kern w:val="0"/>
                <w:sz w:val="24"/>
                <w:szCs w:val="24"/>
                <w:highlight w:val="none"/>
                <w:lang w:val="en-US" w:eastAsia="zh-CN" w:bidi="ar"/>
              </w:rPr>
              <w:t>。</w:t>
            </w:r>
          </w:p>
          <w:p>
            <w:pPr>
              <w:keepNext w:val="0"/>
              <w:keepLines w:val="0"/>
              <w:widowControl/>
              <w:suppressLineNumbers w:val="0"/>
              <w:jc w:val="center"/>
              <w:rPr>
                <w:color w:val="auto"/>
                <w:highlight w:val="none"/>
              </w:rPr>
            </w:pPr>
            <w:r>
              <w:rPr>
                <w:rFonts w:hint="eastAsia" w:ascii="宋体" w:hAnsi="宋体" w:eastAsia="宋体" w:cs="宋体"/>
                <w:b/>
                <w:bCs/>
                <w:snapToGrid w:val="0"/>
                <w:color w:val="auto"/>
                <w:kern w:val="0"/>
                <w:sz w:val="21"/>
                <w:szCs w:val="21"/>
                <w:highlight w:val="none"/>
                <w:lang w:val="en-US" w:eastAsia="zh-CN" w:bidi="ar"/>
              </w:rPr>
              <w:t xml:space="preserve">表 </w:t>
            </w:r>
            <w:r>
              <w:rPr>
                <w:rFonts w:hint="default" w:ascii="Times New Roman" w:hAnsi="Times New Roman" w:eastAsia="宋体" w:cs="Times New Roman"/>
                <w:b/>
                <w:bCs/>
                <w:snapToGrid w:val="0"/>
                <w:color w:val="auto"/>
                <w:kern w:val="0"/>
                <w:sz w:val="21"/>
                <w:szCs w:val="21"/>
                <w:highlight w:val="none"/>
                <w:lang w:val="en-US" w:eastAsia="zh-CN" w:bidi="ar"/>
              </w:rPr>
              <w:t>4-</w:t>
            </w:r>
            <w:r>
              <w:rPr>
                <w:rFonts w:hint="eastAsia" w:cs="Times New Roman"/>
                <w:b/>
                <w:bCs/>
                <w:snapToGrid w:val="0"/>
                <w:color w:val="auto"/>
                <w:kern w:val="0"/>
                <w:sz w:val="21"/>
                <w:szCs w:val="21"/>
                <w:highlight w:val="none"/>
                <w:lang w:val="en-US" w:eastAsia="zh-CN" w:bidi="ar"/>
              </w:rPr>
              <w:t>9</w:t>
            </w:r>
            <w:r>
              <w:rPr>
                <w:rFonts w:hint="default" w:ascii="Times New Roman" w:hAnsi="Times New Roman" w:eastAsia="宋体" w:cs="Times New Roman"/>
                <w:b/>
                <w:bCs/>
                <w:snapToGrid w:val="0"/>
                <w:color w:val="auto"/>
                <w:kern w:val="0"/>
                <w:sz w:val="21"/>
                <w:szCs w:val="21"/>
                <w:highlight w:val="none"/>
                <w:lang w:val="en-US" w:eastAsia="zh-CN" w:bidi="ar"/>
              </w:rPr>
              <w:t xml:space="preserve"> </w:t>
            </w:r>
            <w:r>
              <w:rPr>
                <w:rFonts w:hint="eastAsia" w:ascii="Times New Roman" w:hAnsi="Times New Roman" w:eastAsia="宋体" w:cs="Times New Roman"/>
                <w:b/>
                <w:bCs/>
                <w:snapToGrid w:val="0"/>
                <w:color w:val="auto"/>
                <w:kern w:val="0"/>
                <w:sz w:val="21"/>
                <w:szCs w:val="21"/>
                <w:highlight w:val="none"/>
                <w:lang w:val="en-US" w:eastAsia="zh-CN" w:bidi="ar"/>
              </w:rPr>
              <w:t xml:space="preserve"> </w:t>
            </w:r>
            <w:r>
              <w:rPr>
                <w:rFonts w:hint="eastAsia" w:ascii="宋体" w:hAnsi="宋体" w:eastAsia="宋体" w:cs="宋体"/>
                <w:b/>
                <w:bCs/>
                <w:snapToGrid w:val="0"/>
                <w:color w:val="auto"/>
                <w:kern w:val="0"/>
                <w:sz w:val="21"/>
                <w:szCs w:val="21"/>
                <w:highlight w:val="none"/>
                <w:lang w:val="en-US" w:eastAsia="zh-CN" w:bidi="ar"/>
              </w:rPr>
              <w:t>卫生防护距离的计算系数</w:t>
            </w:r>
            <w:r>
              <w:rPr>
                <w:color w:val="auto"/>
                <w:highlight w:val="none"/>
              </w:rPr>
              <w:drawing>
                <wp:inline distT="0" distB="0" distL="114300" distR="114300">
                  <wp:extent cx="3759835" cy="2021205"/>
                  <wp:effectExtent l="0" t="0" r="12065" b="1714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4"/>
                          <a:stretch>
                            <a:fillRect/>
                          </a:stretch>
                        </pic:blipFill>
                        <pic:spPr>
                          <a:xfrm>
                            <a:off x="0" y="0"/>
                            <a:ext cx="3759835" cy="2021205"/>
                          </a:xfrm>
                          <a:prstGeom prst="rect">
                            <a:avLst/>
                          </a:prstGeom>
                          <a:noFill/>
                          <a:ln>
                            <a:noFill/>
                          </a:ln>
                        </pic:spPr>
                      </pic:pic>
                    </a:graphicData>
                  </a:graphic>
                </wp:inline>
              </w:drawing>
            </w:r>
          </w:p>
          <w:p>
            <w:pPr>
              <w:keepNext w:val="0"/>
              <w:keepLines w:val="0"/>
              <w:pageBreakBefore w:val="0"/>
              <w:widowControl/>
              <w:suppressLineNumbers w:val="0"/>
              <w:kinsoku w:val="0"/>
              <w:wordWrap/>
              <w:overflowPunct/>
              <w:topLinePunct w:val="0"/>
              <w:autoSpaceDE w:val="0"/>
              <w:autoSpaceDN w:val="0"/>
              <w:bidi w:val="0"/>
              <w:adjustRightInd w:val="0"/>
              <w:snapToGrid w:val="0"/>
              <w:spacing w:line="460" w:lineRule="exact"/>
              <w:jc w:val="center"/>
              <w:textAlignment w:val="baseline"/>
              <w:rPr>
                <w:color w:val="auto"/>
                <w:sz w:val="21"/>
                <w:szCs w:val="21"/>
                <w:highlight w:val="none"/>
              </w:rPr>
            </w:pPr>
            <w:r>
              <w:rPr>
                <w:rFonts w:hint="eastAsia" w:ascii="宋体" w:hAnsi="宋体" w:eastAsia="宋体" w:cs="宋体"/>
                <w:b/>
                <w:bCs/>
                <w:snapToGrid w:val="0"/>
                <w:color w:val="auto"/>
                <w:kern w:val="0"/>
                <w:sz w:val="21"/>
                <w:szCs w:val="21"/>
                <w:highlight w:val="none"/>
                <w:lang w:val="en-US" w:eastAsia="zh-CN" w:bidi="ar"/>
              </w:rPr>
              <w:t xml:space="preserve">表 </w:t>
            </w:r>
            <w:r>
              <w:rPr>
                <w:rFonts w:hint="default" w:ascii="Times New Roman" w:hAnsi="Times New Roman" w:eastAsia="宋体" w:cs="Times New Roman"/>
                <w:b/>
                <w:bCs/>
                <w:snapToGrid w:val="0"/>
                <w:color w:val="auto"/>
                <w:kern w:val="0"/>
                <w:sz w:val="21"/>
                <w:szCs w:val="21"/>
                <w:highlight w:val="none"/>
                <w:lang w:val="en-US" w:eastAsia="zh-CN" w:bidi="ar"/>
              </w:rPr>
              <w:t>4-</w:t>
            </w:r>
            <w:r>
              <w:rPr>
                <w:rFonts w:hint="eastAsia" w:cs="Times New Roman"/>
                <w:b/>
                <w:bCs/>
                <w:snapToGrid w:val="0"/>
                <w:color w:val="auto"/>
                <w:kern w:val="0"/>
                <w:sz w:val="21"/>
                <w:szCs w:val="21"/>
                <w:highlight w:val="none"/>
                <w:lang w:val="en-US" w:eastAsia="zh-CN" w:bidi="ar"/>
              </w:rPr>
              <w:t>10</w:t>
            </w:r>
            <w:r>
              <w:rPr>
                <w:rFonts w:hint="default" w:ascii="Times New Roman" w:hAnsi="Times New Roman" w:eastAsia="宋体" w:cs="Times New Roman"/>
                <w:b/>
                <w:bCs/>
                <w:snapToGrid w:val="0"/>
                <w:color w:val="auto"/>
                <w:kern w:val="0"/>
                <w:sz w:val="21"/>
                <w:szCs w:val="21"/>
                <w:highlight w:val="none"/>
                <w:lang w:val="en-US" w:eastAsia="zh-CN" w:bidi="ar"/>
              </w:rPr>
              <w:t xml:space="preserve"> </w:t>
            </w:r>
            <w:r>
              <w:rPr>
                <w:rFonts w:hint="eastAsia" w:ascii="宋体" w:hAnsi="宋体" w:eastAsia="宋体" w:cs="宋体"/>
                <w:b/>
                <w:bCs/>
                <w:snapToGrid w:val="0"/>
                <w:color w:val="auto"/>
                <w:kern w:val="0"/>
                <w:sz w:val="21"/>
                <w:szCs w:val="21"/>
                <w:highlight w:val="none"/>
                <w:lang w:val="en-US" w:eastAsia="zh-CN" w:bidi="ar"/>
              </w:rPr>
              <w:t>卫生防护距离计算结果</w:t>
            </w:r>
          </w:p>
          <w:tbl>
            <w:tblPr>
              <w:tblStyle w:val="25"/>
              <w:tblW w:w="8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066"/>
              <w:gridCol w:w="726"/>
              <w:gridCol w:w="835"/>
              <w:gridCol w:w="773"/>
              <w:gridCol w:w="838"/>
              <w:gridCol w:w="854"/>
              <w:gridCol w:w="1596"/>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493"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序号</w:t>
                  </w:r>
                </w:p>
              </w:tc>
              <w:tc>
                <w:tcPr>
                  <w:tcW w:w="1066"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污染源</w:t>
                  </w:r>
                </w:p>
              </w:tc>
              <w:tc>
                <w:tcPr>
                  <w:tcW w:w="726"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污染物</w:t>
                  </w:r>
                </w:p>
              </w:tc>
              <w:tc>
                <w:tcPr>
                  <w:tcW w:w="83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参数A</w:t>
                  </w:r>
                </w:p>
              </w:tc>
              <w:tc>
                <w:tcPr>
                  <w:tcW w:w="773"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参数B</w:t>
                  </w:r>
                </w:p>
              </w:tc>
              <w:tc>
                <w:tcPr>
                  <w:tcW w:w="838"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参数C</w:t>
                  </w:r>
                </w:p>
              </w:tc>
              <w:tc>
                <w:tcPr>
                  <w:tcW w:w="854"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参数D</w:t>
                  </w:r>
                </w:p>
              </w:tc>
              <w:tc>
                <w:tcPr>
                  <w:tcW w:w="1596"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卫生防护距离</w:t>
                  </w:r>
                  <w:r>
                    <w:rPr>
                      <w:rFonts w:hint="eastAsia" w:ascii="Times New Roman" w:hAnsi="Times New Roman" w:eastAsia="宋体" w:cs="Times New Roman"/>
                      <w:snapToGrid w:val="0"/>
                      <w:color w:val="auto"/>
                      <w:kern w:val="0"/>
                      <w:sz w:val="21"/>
                      <w:szCs w:val="21"/>
                      <w:highlight w:val="none"/>
                      <w:vertAlign w:val="baseline"/>
                      <w:lang w:val="en-US" w:eastAsia="zh-CN" w:bidi="ar"/>
                    </w:rPr>
                    <w:t>初</w:t>
                  </w:r>
                  <w:r>
                    <w:rPr>
                      <w:rFonts w:hint="default" w:ascii="Times New Roman" w:hAnsi="Times New Roman" w:eastAsia="宋体" w:cs="Times New Roman"/>
                      <w:snapToGrid w:val="0"/>
                      <w:color w:val="auto"/>
                      <w:kern w:val="0"/>
                      <w:sz w:val="21"/>
                      <w:szCs w:val="21"/>
                      <w:highlight w:val="none"/>
                      <w:vertAlign w:val="baseline"/>
                      <w:lang w:val="en-US" w:eastAsia="zh-CN" w:bidi="ar"/>
                    </w:rPr>
                    <w:t>值（m）</w:t>
                  </w:r>
                </w:p>
              </w:tc>
              <w:tc>
                <w:tcPr>
                  <w:tcW w:w="137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493"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ascii="Times New Roman" w:hAnsi="Times New Roman" w:eastAsia="宋体" w:cs="Times New Roman"/>
                      <w:snapToGrid w:val="0"/>
                      <w:color w:val="auto"/>
                      <w:kern w:val="0"/>
                      <w:sz w:val="21"/>
                      <w:szCs w:val="21"/>
                      <w:highlight w:val="none"/>
                      <w:vertAlign w:val="baseline"/>
                      <w:lang w:val="en-US" w:eastAsia="zh-CN" w:bidi="ar"/>
                    </w:rPr>
                    <w:t>1</w:t>
                  </w:r>
                </w:p>
              </w:tc>
              <w:tc>
                <w:tcPr>
                  <w:tcW w:w="1066"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ascii="Times New Roman" w:hAnsi="Times New Roman" w:eastAsia="宋体" w:cs="Times New Roman"/>
                      <w:snapToGrid w:val="0"/>
                      <w:color w:val="auto"/>
                      <w:kern w:val="0"/>
                      <w:sz w:val="21"/>
                      <w:szCs w:val="21"/>
                      <w:highlight w:val="none"/>
                      <w:vertAlign w:val="baseline"/>
                      <w:lang w:val="en-US" w:eastAsia="zh-CN" w:bidi="ar"/>
                    </w:rPr>
                    <w:t>生产厂房</w:t>
                  </w:r>
                </w:p>
              </w:tc>
              <w:tc>
                <w:tcPr>
                  <w:tcW w:w="726"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ascii="Times New Roman" w:hAnsi="Times New Roman" w:eastAsia="宋体" w:cs="Times New Roman"/>
                      <w:snapToGrid w:val="0"/>
                      <w:color w:val="auto"/>
                      <w:kern w:val="0"/>
                      <w:sz w:val="21"/>
                      <w:szCs w:val="21"/>
                      <w:highlight w:val="none"/>
                      <w:vertAlign w:val="baseline"/>
                      <w:lang w:val="en-US" w:eastAsia="zh-CN" w:bidi="ar"/>
                    </w:rPr>
                    <w:t>粉尘</w:t>
                  </w:r>
                </w:p>
              </w:tc>
              <w:tc>
                <w:tcPr>
                  <w:tcW w:w="83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470</w:t>
                  </w:r>
                </w:p>
              </w:tc>
              <w:tc>
                <w:tcPr>
                  <w:tcW w:w="773"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0.0</w:t>
                  </w:r>
                  <w:r>
                    <w:rPr>
                      <w:rFonts w:hint="eastAsia" w:ascii="Times New Roman" w:hAnsi="Times New Roman" w:eastAsia="宋体" w:cs="Times New Roman"/>
                      <w:snapToGrid w:val="0"/>
                      <w:color w:val="auto"/>
                      <w:kern w:val="0"/>
                      <w:sz w:val="21"/>
                      <w:szCs w:val="21"/>
                      <w:highlight w:val="none"/>
                      <w:vertAlign w:val="baseline"/>
                      <w:lang w:val="en-US" w:eastAsia="zh-CN" w:bidi="ar"/>
                    </w:rPr>
                    <w:t>21</w:t>
                  </w:r>
                </w:p>
              </w:tc>
              <w:tc>
                <w:tcPr>
                  <w:tcW w:w="838"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1.</w:t>
                  </w:r>
                  <w:r>
                    <w:rPr>
                      <w:rFonts w:hint="eastAsia" w:ascii="Times New Roman" w:hAnsi="Times New Roman" w:eastAsia="宋体" w:cs="Times New Roman"/>
                      <w:snapToGrid w:val="0"/>
                      <w:color w:val="auto"/>
                      <w:kern w:val="0"/>
                      <w:sz w:val="21"/>
                      <w:szCs w:val="21"/>
                      <w:highlight w:val="none"/>
                      <w:vertAlign w:val="baseline"/>
                      <w:lang w:val="en-US" w:eastAsia="zh-CN" w:bidi="ar"/>
                    </w:rPr>
                    <w:t>85</w:t>
                  </w:r>
                </w:p>
              </w:tc>
              <w:tc>
                <w:tcPr>
                  <w:tcW w:w="854"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0.84</w:t>
                  </w:r>
                </w:p>
              </w:tc>
              <w:tc>
                <w:tcPr>
                  <w:tcW w:w="1596"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eastAsia" w:cs="Times New Roman"/>
                      <w:snapToGrid w:val="0"/>
                      <w:color w:val="auto"/>
                      <w:kern w:val="0"/>
                      <w:sz w:val="21"/>
                      <w:szCs w:val="21"/>
                      <w:highlight w:val="none"/>
                      <w:vertAlign w:val="baseline"/>
                      <w:lang w:val="en-US" w:eastAsia="zh-CN" w:bidi="ar"/>
                    </w:rPr>
                    <w:t>37.5</w:t>
                  </w:r>
                </w:p>
              </w:tc>
              <w:tc>
                <w:tcPr>
                  <w:tcW w:w="1375" w:type="dxa"/>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napToGrid w:val="0"/>
                      <w:color w:val="auto"/>
                      <w:kern w:val="0"/>
                      <w:sz w:val="21"/>
                      <w:szCs w:val="21"/>
                      <w:highlight w:val="none"/>
                      <w:vertAlign w:val="baseline"/>
                      <w:lang w:val="en-US" w:eastAsia="zh-CN" w:bidi="ar"/>
                    </w:rPr>
                  </w:pPr>
                  <w:r>
                    <w:rPr>
                      <w:rFonts w:hint="default" w:ascii="Times New Roman" w:hAnsi="Times New Roman" w:eastAsia="宋体" w:cs="Times New Roman"/>
                      <w:snapToGrid w:val="0"/>
                      <w:color w:val="auto"/>
                      <w:kern w:val="0"/>
                      <w:sz w:val="21"/>
                      <w:szCs w:val="21"/>
                      <w:highlight w:val="none"/>
                      <w:vertAlign w:val="baseline"/>
                      <w:lang w:val="en-US" w:eastAsia="zh-CN" w:bidi="ar"/>
                    </w:rPr>
                    <w:t>50</w:t>
                  </w:r>
                </w:p>
              </w:tc>
            </w:tr>
          </w:tbl>
          <w:p>
            <w:pPr>
              <w:pStyle w:val="6"/>
              <w:keepNext w:val="0"/>
              <w:keepLines w:val="0"/>
              <w:pageBreakBefore w:val="0"/>
              <w:widowControl/>
              <w:kinsoku/>
              <w:wordWrap/>
              <w:overflowPunct/>
              <w:topLinePunct/>
              <w:autoSpaceDE/>
              <w:autoSpaceDN/>
              <w:bidi w:val="0"/>
              <w:adjustRightInd w:val="0"/>
              <w:snapToGrid w:val="0"/>
              <w:spacing w:before="0" w:after="0" w:line="360" w:lineRule="auto"/>
              <w:ind w:right="0" w:firstLine="460" w:firstLineChars="200"/>
              <w:jc w:val="both"/>
              <w:textAlignment w:val="baseline"/>
              <w:rPr>
                <w:rFonts w:hint="eastAsia" w:ascii="Times New Roman" w:hAnsi="Times New Roman" w:eastAsia="宋体" w:cs="Times New Roman"/>
                <w:color w:val="auto"/>
                <w:spacing w:val="-5"/>
                <w:sz w:val="24"/>
                <w:szCs w:val="24"/>
                <w:highlight w:val="none"/>
              </w:rPr>
            </w:pPr>
            <w:r>
              <w:rPr>
                <w:rFonts w:hint="eastAsia" w:ascii="Times New Roman" w:hAnsi="Times New Roman" w:eastAsia="宋体" w:cs="Times New Roman"/>
                <w:color w:val="auto"/>
                <w:spacing w:val="-5"/>
                <w:sz w:val="24"/>
                <w:szCs w:val="24"/>
                <w:highlight w:val="none"/>
              </w:rPr>
              <w:t>根据上表计算结果，本项目卫生防护距离为50m，因此卫生防护距离设置为</w:t>
            </w:r>
            <w:r>
              <w:rPr>
                <w:rFonts w:hint="eastAsia" w:ascii="Times New Roman" w:hAnsi="Times New Roman" w:eastAsia="宋体" w:cs="Times New Roman"/>
                <w:color w:val="auto"/>
                <w:spacing w:val="-5"/>
                <w:sz w:val="24"/>
                <w:szCs w:val="24"/>
                <w:highlight w:val="none"/>
                <w:lang w:eastAsia="zh-CN"/>
              </w:rPr>
              <w:t>无组织排放源所在的生产单元（</w:t>
            </w:r>
            <w:r>
              <w:rPr>
                <w:rFonts w:hint="eastAsia" w:ascii="Times New Roman" w:hAnsi="Times New Roman" w:eastAsia="宋体" w:cs="Times New Roman"/>
                <w:color w:val="auto"/>
                <w:spacing w:val="-5"/>
                <w:sz w:val="24"/>
                <w:szCs w:val="24"/>
                <w:highlight w:val="none"/>
                <w:lang w:val="en-US" w:eastAsia="zh-CN"/>
              </w:rPr>
              <w:t>生产厂房</w:t>
            </w:r>
            <w:r>
              <w:rPr>
                <w:rFonts w:hint="eastAsia" w:ascii="Times New Roman" w:hAnsi="Times New Roman" w:eastAsia="宋体" w:cs="Times New Roman"/>
                <w:color w:val="auto"/>
                <w:spacing w:val="-5"/>
                <w:sz w:val="24"/>
                <w:szCs w:val="24"/>
                <w:highlight w:val="none"/>
                <w:lang w:eastAsia="zh-CN"/>
              </w:rPr>
              <w:t>）</w:t>
            </w:r>
            <w:r>
              <w:rPr>
                <w:rFonts w:hint="eastAsia" w:ascii="Times New Roman" w:hAnsi="Times New Roman" w:eastAsia="宋体" w:cs="Times New Roman"/>
                <w:color w:val="auto"/>
                <w:spacing w:val="-5"/>
                <w:sz w:val="24"/>
                <w:szCs w:val="24"/>
                <w:highlight w:val="none"/>
              </w:rPr>
              <w:t>外</w:t>
            </w:r>
            <w:r>
              <w:rPr>
                <w:rFonts w:hint="eastAsia" w:ascii="Times New Roman" w:hAnsi="Times New Roman" w:eastAsia="宋体" w:cs="Times New Roman"/>
                <w:color w:val="auto"/>
                <w:spacing w:val="-5"/>
                <w:sz w:val="24"/>
                <w:szCs w:val="24"/>
                <w:highlight w:val="none"/>
                <w:lang w:val="en-US" w:eastAsia="zh-CN"/>
              </w:rPr>
              <w:t>5</w:t>
            </w:r>
            <w:r>
              <w:rPr>
                <w:rFonts w:hint="eastAsia" w:ascii="Times New Roman" w:hAnsi="Times New Roman" w:eastAsia="宋体" w:cs="Times New Roman"/>
                <w:color w:val="auto"/>
                <w:spacing w:val="-5"/>
                <w:sz w:val="24"/>
                <w:szCs w:val="24"/>
                <w:highlight w:val="none"/>
              </w:rPr>
              <w:t>0m，卫生防护距离范围内不得有学校、医院、住宅等环境敏感建筑。</w:t>
            </w:r>
          </w:p>
          <w:p>
            <w:pPr>
              <w:pStyle w:val="6"/>
              <w:topLinePunct/>
              <w:adjustRightInd w:val="0"/>
              <w:spacing w:before="0" w:after="0" w:line="360" w:lineRule="auto"/>
              <w:ind w:right="0" w:firstLine="462" w:firstLineChars="200"/>
              <w:textAlignment w:val="baseline"/>
              <w:rPr>
                <w:rFonts w:hint="eastAsia"/>
                <w:b/>
                <w:bCs/>
                <w:color w:val="auto"/>
                <w:spacing w:val="-5"/>
                <w:sz w:val="24"/>
                <w:szCs w:val="24"/>
                <w:highlight w:val="none"/>
              </w:rPr>
            </w:pPr>
            <w:r>
              <w:rPr>
                <w:rFonts w:hint="eastAsia"/>
                <w:b/>
                <w:bCs/>
                <w:color w:val="auto"/>
                <w:spacing w:val="-5"/>
                <w:sz w:val="24"/>
                <w:szCs w:val="24"/>
                <w:highlight w:val="none"/>
                <w:lang w:val="en-US" w:eastAsia="zh-CN"/>
              </w:rPr>
              <w:t>1.7</w:t>
            </w:r>
            <w:r>
              <w:rPr>
                <w:rFonts w:hint="eastAsia"/>
                <w:b/>
                <w:bCs/>
                <w:color w:val="auto"/>
                <w:spacing w:val="-5"/>
                <w:sz w:val="24"/>
                <w:szCs w:val="24"/>
                <w:highlight w:val="none"/>
              </w:rPr>
              <w:t>环境防护距离</w:t>
            </w:r>
          </w:p>
          <w:p>
            <w:pPr>
              <w:pStyle w:val="6"/>
              <w:topLinePunct/>
              <w:adjustRightInd w:val="0"/>
              <w:spacing w:before="0" w:after="0" w:line="360" w:lineRule="auto"/>
              <w:ind w:right="0" w:firstLine="460" w:firstLineChars="200"/>
              <w:textAlignment w:val="baseline"/>
              <w:rPr>
                <w:rFonts w:hint="eastAsia"/>
                <w:color w:val="auto"/>
                <w:spacing w:val="-5"/>
                <w:sz w:val="24"/>
                <w:szCs w:val="24"/>
                <w:highlight w:val="none"/>
              </w:rPr>
            </w:pPr>
            <w:r>
              <w:rPr>
                <w:rFonts w:hint="eastAsia"/>
                <w:color w:val="auto"/>
                <w:spacing w:val="-5"/>
                <w:sz w:val="24"/>
                <w:szCs w:val="24"/>
                <w:highlight w:val="none"/>
                <w:lang w:val="en-US" w:eastAsia="zh-CN"/>
              </w:rPr>
              <w:t>根据厂区布局图，</w:t>
            </w:r>
            <w:r>
              <w:rPr>
                <w:rFonts w:hint="eastAsia" w:ascii="Times New Roman" w:hAnsi="Times New Roman" w:eastAsia="宋体" w:cs="Times New Roman"/>
                <w:color w:val="auto"/>
                <w:spacing w:val="-5"/>
                <w:sz w:val="24"/>
                <w:szCs w:val="24"/>
                <w:highlight w:val="none"/>
                <w:lang w:val="en-US" w:eastAsia="zh-CN"/>
              </w:rPr>
              <w:t>生产厂房</w:t>
            </w:r>
            <w:r>
              <w:rPr>
                <w:rFonts w:hint="eastAsia"/>
                <w:color w:val="auto"/>
                <w:spacing w:val="-5"/>
                <w:sz w:val="24"/>
                <w:szCs w:val="24"/>
                <w:highlight w:val="none"/>
                <w:lang w:val="en-US" w:eastAsia="zh-CN"/>
              </w:rPr>
              <w:t>距离北侧厂界最近约7m、距离南侧最近厂界约37m、距离西侧厂界最近距离为2.5m、距离东侧最近厂界约43m，依据</w:t>
            </w:r>
            <w:r>
              <w:rPr>
                <w:rFonts w:hint="eastAsia"/>
                <w:color w:val="auto"/>
                <w:spacing w:val="-5"/>
                <w:sz w:val="24"/>
                <w:szCs w:val="24"/>
                <w:highlight w:val="none"/>
              </w:rPr>
              <w:t>卫生防护距离，本项目</w:t>
            </w:r>
            <w:r>
              <w:rPr>
                <w:rFonts w:hint="eastAsia"/>
                <w:color w:val="auto"/>
                <w:spacing w:val="-5"/>
                <w:sz w:val="24"/>
                <w:szCs w:val="24"/>
                <w:highlight w:val="none"/>
                <w:lang w:val="en-US" w:eastAsia="zh-CN"/>
              </w:rPr>
              <w:t>将</w:t>
            </w:r>
            <w:r>
              <w:rPr>
                <w:rFonts w:hint="eastAsia"/>
                <w:color w:val="auto"/>
                <w:spacing w:val="-5"/>
                <w:sz w:val="24"/>
                <w:szCs w:val="24"/>
                <w:highlight w:val="none"/>
              </w:rPr>
              <w:t>卫生防护距离</w:t>
            </w:r>
            <w:r>
              <w:rPr>
                <w:rFonts w:hint="eastAsia"/>
                <w:color w:val="auto"/>
                <w:spacing w:val="-5"/>
                <w:sz w:val="24"/>
                <w:szCs w:val="24"/>
                <w:highlight w:val="none"/>
                <w:lang w:val="en-US" w:eastAsia="zh-CN"/>
              </w:rPr>
              <w:t>超出厂界部分设置为</w:t>
            </w:r>
            <w:r>
              <w:rPr>
                <w:rFonts w:hint="eastAsia"/>
                <w:color w:val="auto"/>
                <w:spacing w:val="-5"/>
                <w:sz w:val="24"/>
                <w:szCs w:val="24"/>
                <w:highlight w:val="none"/>
              </w:rPr>
              <w:t>环境防护距离</w:t>
            </w:r>
            <w:r>
              <w:rPr>
                <w:rFonts w:hint="eastAsia"/>
                <w:color w:val="auto"/>
                <w:spacing w:val="-5"/>
                <w:sz w:val="24"/>
                <w:szCs w:val="24"/>
                <w:highlight w:val="none"/>
                <w:lang w:eastAsia="zh-CN"/>
              </w:rPr>
              <w:t>（</w:t>
            </w:r>
            <w:r>
              <w:rPr>
                <w:rFonts w:hint="eastAsia"/>
                <w:color w:val="auto"/>
                <w:spacing w:val="-5"/>
                <w:sz w:val="24"/>
                <w:szCs w:val="24"/>
                <w:highlight w:val="none"/>
                <w:lang w:val="en-US" w:eastAsia="zh-CN"/>
              </w:rPr>
              <w:t>详见附图10</w:t>
            </w:r>
            <w:r>
              <w:rPr>
                <w:rFonts w:hint="eastAsia"/>
                <w:color w:val="auto"/>
                <w:spacing w:val="-5"/>
                <w:sz w:val="24"/>
                <w:szCs w:val="24"/>
                <w:highlight w:val="none"/>
                <w:lang w:eastAsia="zh-CN"/>
              </w:rPr>
              <w:t>），</w:t>
            </w:r>
            <w:r>
              <w:rPr>
                <w:rFonts w:hint="eastAsia"/>
                <w:color w:val="auto"/>
                <w:spacing w:val="-5"/>
                <w:sz w:val="24"/>
                <w:szCs w:val="24"/>
                <w:highlight w:val="none"/>
                <w:lang w:val="en-US" w:eastAsia="zh-CN"/>
              </w:rPr>
              <w:t>即东侧厂界外7m、南侧厂界外47m、西侧厂界外47.5m和北侧厂界外43m</w:t>
            </w:r>
            <w:r>
              <w:rPr>
                <w:rFonts w:hint="eastAsia"/>
                <w:color w:val="auto"/>
                <w:spacing w:val="-5"/>
                <w:sz w:val="24"/>
                <w:szCs w:val="24"/>
                <w:highlight w:val="none"/>
              </w:rPr>
              <w:t>设置为环境防护距离，根据现场踏勘，项目厂界外环境防护距离范围内无居民、住宅、学校、医院等敏感目标</w:t>
            </w:r>
            <w:r>
              <w:rPr>
                <w:rFonts w:hint="eastAsia"/>
                <w:color w:val="auto"/>
                <w:spacing w:val="-5"/>
                <w:sz w:val="24"/>
                <w:szCs w:val="24"/>
                <w:highlight w:val="none"/>
                <w:lang w:eastAsia="zh-CN"/>
              </w:rPr>
              <w:t>。</w:t>
            </w:r>
            <w:r>
              <w:rPr>
                <w:rFonts w:hint="eastAsia" w:ascii="Times New Roman" w:hAnsi="Times New Roman" w:eastAsia="宋体" w:cs="Times New Roman"/>
                <w:color w:val="auto"/>
                <w:spacing w:val="-5"/>
                <w:sz w:val="24"/>
                <w:szCs w:val="24"/>
                <w:highlight w:val="none"/>
                <w:lang w:val="en-US" w:eastAsia="zh-CN"/>
              </w:rPr>
              <w:t>南侧最近1户居民距离南侧厂界约</w:t>
            </w:r>
            <w:r>
              <w:rPr>
                <w:rFonts w:hint="eastAsia" w:cs="Times New Roman"/>
                <w:color w:val="auto"/>
                <w:spacing w:val="-5"/>
                <w:sz w:val="24"/>
                <w:szCs w:val="24"/>
                <w:highlight w:val="none"/>
                <w:lang w:val="en-US" w:eastAsia="zh-CN"/>
              </w:rPr>
              <w:t>78</w:t>
            </w:r>
            <w:r>
              <w:rPr>
                <w:rFonts w:hint="eastAsia" w:ascii="Times New Roman" w:hAnsi="Times New Roman" w:eastAsia="宋体" w:cs="Times New Roman"/>
                <w:color w:val="auto"/>
                <w:spacing w:val="-5"/>
                <w:sz w:val="24"/>
                <w:szCs w:val="24"/>
                <w:highlight w:val="none"/>
                <w:lang w:val="en-US" w:eastAsia="zh-CN"/>
              </w:rPr>
              <w:t>m，距离南侧环境防护距离边界30m，在本项目环境防护距离之外，</w:t>
            </w:r>
            <w:r>
              <w:rPr>
                <w:rFonts w:hint="eastAsia"/>
                <w:color w:val="auto"/>
                <w:spacing w:val="-5"/>
                <w:sz w:val="24"/>
                <w:szCs w:val="24"/>
                <w:highlight w:val="none"/>
              </w:rPr>
              <w:t>满足环境防护距离的设置。项目环境防护距离范围内禁止新建居民、住宅、学校、医院等敏感目标。本项目产生的废气对周边的环境影响较小，并且能满足环境防护距离设置的要求。</w:t>
            </w:r>
          </w:p>
          <w:p>
            <w:pPr>
              <w:pStyle w:val="32"/>
              <w:ind w:firstLine="482" w:firstLineChars="200"/>
              <w:jc w:val="left"/>
              <w:rPr>
                <w:rFonts w:ascii="Times New Roman"/>
                <w:b/>
                <w:bCs/>
                <w:color w:val="auto"/>
                <w:sz w:val="24"/>
                <w:szCs w:val="24"/>
              </w:rPr>
            </w:pPr>
            <w:r>
              <w:rPr>
                <w:rFonts w:hint="eastAsia" w:ascii="Times New Roman"/>
                <w:b/>
                <w:bCs/>
                <w:color w:val="auto"/>
                <w:sz w:val="24"/>
                <w:szCs w:val="24"/>
                <w:lang w:eastAsia="zh-CN"/>
              </w:rPr>
              <w:t>2.</w:t>
            </w:r>
            <w:r>
              <w:rPr>
                <w:rFonts w:hint="eastAsia" w:ascii="Times New Roman"/>
                <w:b/>
                <w:bCs/>
                <w:color w:val="auto"/>
                <w:sz w:val="24"/>
                <w:szCs w:val="24"/>
              </w:rPr>
              <w:t>废水</w:t>
            </w:r>
          </w:p>
          <w:p>
            <w:pPr>
              <w:pStyle w:val="32"/>
              <w:ind w:left="420" w:leftChars="200" w:firstLine="0"/>
              <w:jc w:val="left"/>
              <w:rPr>
                <w:color w:val="auto"/>
              </w:rPr>
            </w:pPr>
            <w:r>
              <w:rPr>
                <w:rFonts w:hint="eastAsia" w:ascii="Times New Roman"/>
                <w:b/>
                <w:bCs/>
                <w:color w:val="auto"/>
                <w:sz w:val="24"/>
                <w:szCs w:val="24"/>
              </w:rPr>
              <w:t>2.1废水产排放及治理措施</w:t>
            </w:r>
          </w:p>
          <w:p>
            <w:pPr>
              <w:pStyle w:val="32"/>
              <w:spacing w:line="360" w:lineRule="auto"/>
              <w:rPr>
                <w:rFonts w:hint="eastAsia" w:ascii="Times New Roman"/>
                <w:b/>
                <w:bCs/>
                <w:color w:val="auto"/>
                <w:sz w:val="24"/>
                <w:szCs w:val="24"/>
              </w:rPr>
            </w:pPr>
            <w:r>
              <w:rPr>
                <w:rFonts w:hint="eastAsia" w:ascii="Times New Roman"/>
                <w:color w:val="auto"/>
                <w:sz w:val="24"/>
                <w:szCs w:val="24"/>
              </w:rPr>
              <w:t>本项目运营期产生的废水主要为员工的生活污水</w:t>
            </w:r>
            <w:r>
              <w:rPr>
                <w:rFonts w:hint="eastAsia" w:ascii="Times New Roman"/>
                <w:color w:val="auto"/>
                <w:sz w:val="24"/>
                <w:szCs w:val="24"/>
                <w:lang w:eastAsia="zh-CN"/>
              </w:rPr>
              <w:t>、养护废水、进出车辆冲洗废水、设备冲洗废水。</w:t>
            </w:r>
          </w:p>
          <w:p>
            <w:pPr>
              <w:pStyle w:val="17"/>
              <w:numPr>
                <w:ilvl w:val="0"/>
                <w:numId w:val="7"/>
              </w:numPr>
              <w:spacing w:line="360" w:lineRule="auto"/>
              <w:ind w:left="0" w:firstLine="480" w:firstLineChars="200"/>
              <w:jc w:val="left"/>
              <w:rPr>
                <w:rFonts w:hint="eastAsia"/>
                <w:color w:val="auto"/>
                <w:sz w:val="24"/>
                <w:szCs w:val="24"/>
              </w:rPr>
            </w:pPr>
            <w:r>
              <w:rPr>
                <w:rFonts w:hint="eastAsia"/>
                <w:color w:val="auto"/>
                <w:sz w:val="24"/>
                <w:szCs w:val="24"/>
              </w:rPr>
              <w:t>生活污水</w:t>
            </w:r>
          </w:p>
          <w:p>
            <w:pPr>
              <w:spacing w:line="360" w:lineRule="auto"/>
              <w:ind w:firstLine="480" w:firstLineChars="200"/>
              <w:rPr>
                <w:rFonts w:hint="default" w:ascii="Times New Roman" w:hAnsi="Times New Roman" w:eastAsia="宋体" w:cs="Times New Roman"/>
                <w:sz w:val="24"/>
                <w:szCs w:val="24"/>
                <w:highlight w:val="none"/>
                <w:lang w:eastAsia="zh-CN"/>
              </w:rPr>
            </w:pPr>
            <w:r>
              <w:rPr>
                <w:rFonts w:hint="eastAsia"/>
                <w:color w:val="auto"/>
                <w:sz w:val="24"/>
                <w:szCs w:val="24"/>
              </w:rPr>
              <w:t>本项目员工为10人，根据《安徽省行业用水定额》，员工用水量按照60L/人·d计，则生活用水量为0.6t/d，180t/a。污水产生量按用水量的80%计算，则生活污水产生量为0.48t/d（144t/a）。</w:t>
            </w:r>
            <w:r>
              <w:rPr>
                <w:rFonts w:hint="eastAsia"/>
                <w:color w:val="auto"/>
                <w:sz w:val="24"/>
                <w:szCs w:val="24"/>
                <w:lang w:eastAsia="zh-CN"/>
              </w:rPr>
              <w:t>生活污水</w:t>
            </w:r>
            <w:r>
              <w:rPr>
                <w:rFonts w:hint="default" w:ascii="Times New Roman" w:hAnsi="Times New Roman" w:cs="Times New Roman"/>
                <w:sz w:val="24"/>
                <w:szCs w:val="24"/>
                <w:highlight w:val="none"/>
              </w:rPr>
              <w:t>经化粪池预处理后定期由吸污车转运至</w:t>
            </w:r>
            <w:r>
              <w:rPr>
                <w:rFonts w:hint="eastAsia" w:ascii="Times New Roman" w:hAnsi="Times New Roman" w:eastAsia="宋体" w:cs="Times New Roman"/>
                <w:sz w:val="24"/>
                <w:szCs w:val="24"/>
                <w:highlight w:val="none"/>
                <w:lang w:eastAsia="zh-CN"/>
              </w:rPr>
              <w:t>丰庄镇新村街污水处理站</w:t>
            </w:r>
            <w:r>
              <w:rPr>
                <w:rFonts w:hint="default" w:ascii="Times New Roman" w:hAnsi="Times New Roman" w:eastAsia="宋体" w:cs="Times New Roman"/>
                <w:sz w:val="24"/>
                <w:szCs w:val="24"/>
                <w:highlight w:val="none"/>
                <w:lang w:eastAsia="zh-CN"/>
              </w:rPr>
              <w:t>处理。</w:t>
            </w:r>
          </w:p>
          <w:p>
            <w:pPr>
              <w:pStyle w:val="17"/>
              <w:numPr>
                <w:ilvl w:val="0"/>
                <w:numId w:val="0"/>
              </w:numPr>
              <w:spacing w:line="360" w:lineRule="auto"/>
              <w:ind w:firstLine="480" w:firstLineChars="200"/>
              <w:jc w:val="left"/>
              <w:rPr>
                <w:rFonts w:hint="eastAsia"/>
                <w:color w:val="auto"/>
                <w:sz w:val="24"/>
                <w:lang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）养护废水</w:t>
            </w:r>
          </w:p>
          <w:p>
            <w:pPr>
              <w:pStyle w:val="11"/>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本项目成型水泥</w:t>
            </w:r>
            <w:r>
              <w:rPr>
                <w:rFonts w:hint="eastAsia" w:ascii="Times New Roman" w:hAnsi="Times New Roman" w:eastAsia="宋体" w:cs="Times New Roman"/>
                <w:color w:val="auto"/>
                <w:lang w:val="en-US" w:eastAsia="zh-CN"/>
              </w:rPr>
              <w:t>制品</w:t>
            </w:r>
            <w:r>
              <w:rPr>
                <w:rFonts w:hint="default" w:ascii="Times New Roman" w:hAnsi="Times New Roman" w:eastAsia="宋体" w:cs="Times New Roman"/>
                <w:color w:val="auto"/>
                <w:lang w:val="en-US" w:eastAsia="zh-CN"/>
              </w:rPr>
              <w:t>年产量</w:t>
            </w:r>
            <w:r>
              <w:rPr>
                <w:rFonts w:hint="eastAsia" w:cs="Times New Roman"/>
                <w:color w:val="auto"/>
                <w:lang w:val="en-US" w:eastAsia="zh-CN"/>
              </w:rPr>
              <w:t>20</w:t>
            </w:r>
            <w:r>
              <w:rPr>
                <w:rFonts w:hint="eastAsia" w:ascii="Times New Roman" w:hAnsi="Times New Roman" w:eastAsia="宋体" w:cs="Times New Roman"/>
                <w:color w:val="auto"/>
                <w:lang w:val="en-US" w:eastAsia="zh-CN"/>
              </w:rPr>
              <w:t>万</w:t>
            </w:r>
            <w:r>
              <w:rPr>
                <w:rFonts w:hint="default" w:ascii="Times New Roman" w:hAnsi="Times New Roman" w:eastAsia="宋体" w:cs="Times New Roman"/>
                <w:color w:val="auto"/>
                <w:lang w:val="en-US" w:eastAsia="zh-CN"/>
              </w:rPr>
              <w:t>t，</w:t>
            </w:r>
            <w:r>
              <w:rPr>
                <w:rFonts w:hint="eastAsia" w:ascii="Times New Roman" w:hAnsi="Times New Roman" w:eastAsia="宋体" w:cs="Times New Roman"/>
                <w:color w:val="auto"/>
                <w:lang w:val="en-US" w:eastAsia="zh-CN"/>
              </w:rPr>
              <w:t>水泥制品密度约为2t/m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，约合</w:t>
            </w:r>
            <w:r>
              <w:rPr>
                <w:rFonts w:hint="eastAsia" w:cs="Times New Roman"/>
                <w:color w:val="auto"/>
                <w:lang w:val="en-US" w:eastAsia="zh-CN"/>
              </w:rPr>
              <w:t>100</w:t>
            </w:r>
            <w:r>
              <w:rPr>
                <w:rFonts w:hint="eastAsia" w:ascii="Times New Roman" w:hAnsi="Times New Roman" w:eastAsia="宋体" w:cs="Times New Roman"/>
                <w:color w:val="auto"/>
                <w:lang w:val="en-US" w:eastAsia="zh-CN"/>
              </w:rPr>
              <w:t>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default" w:ascii="Times New Roman" w:hAnsi="Times New Roman" w:eastAsia="宋体" w:cs="Times New Roman"/>
                <w:color w:val="auto"/>
                <w:lang w:val="en-US" w:eastAsia="zh-CN"/>
              </w:rPr>
              <w:t>养护用水量</w:t>
            </w:r>
            <w:r>
              <w:rPr>
                <w:rFonts w:hint="eastAsia" w:ascii="Times New Roman" w:hAnsi="Times New Roman" w:eastAsia="宋体" w:cs="Times New Roman"/>
                <w:color w:val="auto"/>
                <w:lang w:val="en-US" w:eastAsia="zh-CN"/>
              </w:rPr>
              <w:t>0.1m</w:t>
            </w:r>
            <w:r>
              <w:rPr>
                <w:rFonts w:hint="eastAsia"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，则养护用水量为</w:t>
            </w:r>
            <w:r>
              <w:rPr>
                <w:rFonts w:hint="eastAsia" w:cs="Times New Roman"/>
                <w:color w:val="auto"/>
                <w:lang w:val="en-US" w:eastAsia="zh-CN"/>
              </w:rPr>
              <w:t>33.333t</w:t>
            </w:r>
            <w:r>
              <w:rPr>
                <w:rFonts w:hint="eastAsia" w:ascii="Times New Roman" w:hAnsi="Times New Roman" w:eastAsia="宋体" w:cs="Times New Roman"/>
                <w:color w:val="auto"/>
                <w:lang w:val="en-US" w:eastAsia="zh-CN"/>
              </w:rPr>
              <w:t>/d（</w:t>
            </w:r>
            <w:r>
              <w:rPr>
                <w:rFonts w:hint="eastAsia" w:cs="Times New Roman"/>
                <w:color w:val="auto"/>
                <w:lang w:val="en-US" w:eastAsia="zh-CN"/>
              </w:rPr>
              <w:t>10000t</w:t>
            </w: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lang w:val="en-US" w:eastAsia="zh-CN"/>
              </w:rPr>
              <w:t>损耗量按20%计，则养护废水</w:t>
            </w:r>
            <w:r>
              <w:rPr>
                <w:rFonts w:hint="eastAsia" w:ascii="Times New Roman" w:hAnsi="Times New Roman" w:eastAsia="宋体" w:cs="Times New Roman"/>
                <w:color w:val="auto"/>
                <w:lang w:val="en-US" w:eastAsia="zh-CN"/>
              </w:rPr>
              <w:t>产生量为</w:t>
            </w:r>
            <w:r>
              <w:rPr>
                <w:rFonts w:hint="eastAsia" w:cs="Times New Roman"/>
                <w:color w:val="auto"/>
                <w:lang w:val="en-US" w:eastAsia="zh-CN"/>
              </w:rPr>
              <w:t>26.667t</w:t>
            </w:r>
            <w:r>
              <w:rPr>
                <w:rFonts w:hint="eastAsia" w:ascii="Times New Roman" w:hAnsi="Times New Roman" w:eastAsia="宋体" w:cs="Times New Roman"/>
                <w:color w:val="auto"/>
                <w:lang w:val="en-US" w:eastAsia="zh-CN"/>
              </w:rPr>
              <w:t>/d（</w:t>
            </w:r>
            <w:r>
              <w:rPr>
                <w:rFonts w:hint="eastAsia" w:cs="Times New Roman"/>
                <w:color w:val="auto"/>
                <w:lang w:val="en-US" w:eastAsia="zh-CN"/>
              </w:rPr>
              <w:t>8000t</w:t>
            </w: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lang w:val="en-US" w:eastAsia="zh-CN"/>
              </w:rPr>
              <w:t>进入</w:t>
            </w:r>
            <w:r>
              <w:rPr>
                <w:rFonts w:hint="eastAsia" w:cs="Times New Roman"/>
                <w:color w:val="auto"/>
                <w:lang w:val="en-US" w:eastAsia="zh-CN"/>
              </w:rPr>
              <w:t>三级</w:t>
            </w:r>
            <w:r>
              <w:rPr>
                <w:rFonts w:hint="default" w:ascii="Times New Roman" w:hAnsi="Times New Roman" w:eastAsia="宋体" w:cs="Times New Roman"/>
                <w:color w:val="auto"/>
                <w:lang w:val="en-US" w:eastAsia="zh-CN"/>
              </w:rPr>
              <w:t>沉淀池处理后清水可回用继续作为搅拌用水，不外排。</w:t>
            </w:r>
          </w:p>
          <w:p>
            <w:pPr>
              <w:spacing w:line="360" w:lineRule="auto"/>
              <w:ind w:firstLine="480" w:firstLineChars="200"/>
              <w:rPr>
                <w:rFonts w:hint="eastAsia"/>
                <w:color w:val="auto"/>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）进出车辆冲洗废水</w:t>
            </w:r>
          </w:p>
          <w:p>
            <w:pPr>
              <w:pStyle w:val="38"/>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进出</w:t>
            </w:r>
            <w:r>
              <w:rPr>
                <w:rFonts w:hint="default" w:ascii="Times New Roman" w:hAnsi="Times New Roman" w:eastAsia="宋体" w:cs="Times New Roman"/>
                <w:bCs/>
                <w:color w:val="auto"/>
                <w:kern w:val="0"/>
                <w:sz w:val="24"/>
                <w:szCs w:val="24"/>
                <w:highlight w:val="none"/>
                <w:lang w:val="en-US" w:eastAsia="zh-CN" w:bidi="ar-SA"/>
              </w:rPr>
              <w:t>车辆冲洗</w:t>
            </w:r>
            <w:r>
              <w:rPr>
                <w:rFonts w:hint="eastAsia" w:ascii="Times New Roman" w:hAnsi="Times New Roman" w:eastAsia="宋体" w:cs="Times New Roman"/>
                <w:bCs/>
                <w:color w:val="auto"/>
                <w:kern w:val="0"/>
                <w:sz w:val="24"/>
                <w:szCs w:val="24"/>
                <w:highlight w:val="none"/>
                <w:lang w:val="en-US" w:eastAsia="zh-CN" w:bidi="ar-SA"/>
              </w:rPr>
              <w:t>用水</w:t>
            </w:r>
            <w:r>
              <w:rPr>
                <w:rFonts w:hint="default" w:ascii="Times New Roman" w:hAnsi="Times New Roman" w:eastAsia="宋体" w:cs="Times New Roman"/>
                <w:bCs/>
                <w:color w:val="auto"/>
                <w:kern w:val="0"/>
                <w:sz w:val="24"/>
                <w:szCs w:val="24"/>
                <w:highlight w:val="none"/>
                <w:lang w:val="en-US" w:eastAsia="zh-CN" w:bidi="ar-SA"/>
              </w:rPr>
              <w:t>主要为冲洗</w:t>
            </w:r>
            <w:r>
              <w:rPr>
                <w:rFonts w:hint="eastAsia" w:ascii="Times New Roman" w:cs="Times New Roman"/>
                <w:bCs/>
                <w:color w:val="auto"/>
                <w:kern w:val="0"/>
                <w:sz w:val="24"/>
                <w:szCs w:val="24"/>
                <w:highlight w:val="none"/>
                <w:lang w:val="en-US" w:eastAsia="zh-CN" w:bidi="ar-SA"/>
              </w:rPr>
              <w:t>平</w:t>
            </w:r>
            <w:r>
              <w:rPr>
                <w:rFonts w:hint="default" w:ascii="Times New Roman" w:hAnsi="Times New Roman" w:eastAsia="宋体" w:cs="Times New Roman"/>
                <w:bCs/>
                <w:color w:val="auto"/>
                <w:kern w:val="0"/>
                <w:sz w:val="24"/>
                <w:szCs w:val="24"/>
                <w:highlight w:val="none"/>
                <w:lang w:val="en-US" w:eastAsia="zh-CN" w:bidi="ar-SA"/>
              </w:rPr>
              <w:t>台对进出运输车辆</w:t>
            </w:r>
            <w:r>
              <w:rPr>
                <w:rFonts w:hint="eastAsia" w:ascii="Times New Roman" w:hAnsi="Times New Roman" w:eastAsia="宋体" w:cs="Times New Roman"/>
                <w:bCs/>
                <w:color w:val="auto"/>
                <w:kern w:val="0"/>
                <w:sz w:val="24"/>
                <w:szCs w:val="24"/>
                <w:highlight w:val="none"/>
                <w:lang w:val="en-US" w:eastAsia="zh-CN" w:bidi="ar-SA"/>
              </w:rPr>
              <w:t>进行</w:t>
            </w:r>
            <w:r>
              <w:rPr>
                <w:rFonts w:hint="default" w:ascii="Times New Roman" w:hAnsi="Times New Roman" w:eastAsia="宋体" w:cs="Times New Roman"/>
                <w:bCs/>
                <w:color w:val="auto"/>
                <w:kern w:val="0"/>
                <w:sz w:val="24"/>
                <w:szCs w:val="24"/>
                <w:highlight w:val="none"/>
                <w:lang w:val="en-US" w:eastAsia="zh-CN" w:bidi="ar-SA"/>
              </w:rPr>
              <w:t>冲洗。</w:t>
            </w:r>
            <w:r>
              <w:rPr>
                <w:rFonts w:hint="eastAsia"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highlight w:val="none"/>
                <w:lang w:val="en-US" w:eastAsia="zh-CN"/>
              </w:rPr>
              <w:t>原材料总量约为</w:t>
            </w:r>
            <w:r>
              <w:rPr>
                <w:rFonts w:hint="eastAsia" w:ascii="Times New Roman" w:cs="Times New Roman"/>
                <w:color w:val="auto"/>
                <w:sz w:val="24"/>
                <w:szCs w:val="24"/>
                <w:highlight w:val="none"/>
                <w:lang w:val="en-US" w:eastAsia="zh-CN"/>
              </w:rPr>
              <w:t>19</w:t>
            </w:r>
            <w:r>
              <w:rPr>
                <w:rFonts w:hint="eastAsia" w:ascii="Times New Roman" w:hAnsi="Times New Roman" w:eastAsia="宋体" w:cs="Times New Roman"/>
                <w:color w:val="auto"/>
                <w:sz w:val="24"/>
                <w:szCs w:val="24"/>
                <w:highlight w:val="none"/>
                <w:lang w:val="en-US" w:eastAsia="zh-CN"/>
              </w:rPr>
              <w:t>万吨，取一辆车装载量40吨，需要约</w:t>
            </w:r>
            <w:r>
              <w:rPr>
                <w:rFonts w:hint="eastAsia" w:ascii="Times New Roman" w:cs="Times New Roman"/>
                <w:color w:val="auto"/>
                <w:sz w:val="24"/>
                <w:szCs w:val="24"/>
                <w:highlight w:val="none"/>
                <w:lang w:val="en-US" w:eastAsia="zh-CN"/>
              </w:rPr>
              <w:t>16</w:t>
            </w:r>
            <w:r>
              <w:rPr>
                <w:rFonts w:hint="eastAsia" w:ascii="Times New Roman" w:hAnsi="Times New Roman" w:eastAsia="宋体" w:cs="Times New Roman"/>
                <w:color w:val="auto"/>
                <w:sz w:val="24"/>
                <w:szCs w:val="24"/>
                <w:highlight w:val="none"/>
                <w:lang w:val="en-US" w:eastAsia="zh-CN"/>
              </w:rPr>
              <w:t>辆次/天，</w:t>
            </w:r>
            <w:r>
              <w:rPr>
                <w:rFonts w:hint="default" w:ascii="Times New Roman" w:hAnsi="Times New Roman" w:eastAsia="宋体" w:cs="Times New Roman"/>
                <w:bCs/>
                <w:color w:val="auto"/>
                <w:kern w:val="0"/>
                <w:sz w:val="24"/>
                <w:szCs w:val="24"/>
                <w:highlight w:val="none"/>
                <w:lang w:val="en-US" w:eastAsia="zh-CN" w:bidi="ar-SA"/>
              </w:rPr>
              <w:t>根据《建筑给水排水设计标准》（GB500152019），载重汽车采用循环用水冲洗补水最高日用水定额为40-60L/辆·次，项目路面为水泥，选用下限值40L/辆·次，因此冲洗用水量约</w:t>
            </w:r>
            <w:r>
              <w:rPr>
                <w:rFonts w:hint="eastAsia" w:ascii="Times New Roman" w:cs="Times New Roman"/>
                <w:bCs/>
                <w:color w:val="auto"/>
                <w:kern w:val="0"/>
                <w:sz w:val="24"/>
                <w:szCs w:val="24"/>
                <w:highlight w:val="none"/>
                <w:lang w:val="en-US" w:eastAsia="zh-CN" w:bidi="ar-SA"/>
              </w:rPr>
              <w:t>0.64</w:t>
            </w:r>
            <w:r>
              <w:rPr>
                <w:rFonts w:hint="eastAsia" w:ascii="Times New Roman" w:hAnsi="Times New Roman" w:eastAsia="宋体" w:cs="Times New Roman"/>
                <w:bCs/>
                <w:color w:val="auto"/>
                <w:kern w:val="0"/>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/d（</w:t>
            </w:r>
            <w:r>
              <w:rPr>
                <w:rFonts w:hint="eastAsia" w:ascii="Times New Roman" w:cs="Times New Roman"/>
                <w:bCs/>
                <w:color w:val="auto"/>
                <w:kern w:val="0"/>
                <w:sz w:val="24"/>
                <w:szCs w:val="24"/>
                <w:highlight w:val="none"/>
                <w:lang w:val="en-US" w:eastAsia="zh-CN" w:bidi="ar-SA"/>
              </w:rPr>
              <w:t>192</w:t>
            </w:r>
            <w:r>
              <w:rPr>
                <w:rFonts w:hint="eastAsia" w:ascii="Times New Roman" w:hAnsi="Times New Roman" w:eastAsia="宋体" w:cs="Times New Roman"/>
                <w:bCs/>
                <w:color w:val="auto"/>
                <w:kern w:val="0"/>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/a），清洗废水排放系数按0.8计，则该部分废水量为</w:t>
            </w:r>
            <w:r>
              <w:rPr>
                <w:rFonts w:hint="eastAsia" w:ascii="Times New Roman" w:cs="Times New Roman"/>
                <w:bCs/>
                <w:color w:val="auto"/>
                <w:kern w:val="0"/>
                <w:sz w:val="24"/>
                <w:szCs w:val="24"/>
                <w:highlight w:val="none"/>
                <w:lang w:val="en-US" w:eastAsia="zh-CN" w:bidi="ar-SA"/>
              </w:rPr>
              <w:t>0.512</w:t>
            </w:r>
            <w:r>
              <w:rPr>
                <w:rFonts w:hint="eastAsia" w:ascii="Times New Roman" w:hAnsi="Times New Roman" w:eastAsia="宋体" w:cs="Times New Roman"/>
                <w:bCs/>
                <w:color w:val="auto"/>
                <w:kern w:val="0"/>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/d（</w:t>
            </w:r>
            <w:r>
              <w:rPr>
                <w:rFonts w:hint="eastAsia" w:ascii="Times New Roman" w:cs="Times New Roman"/>
                <w:bCs/>
                <w:color w:val="auto"/>
                <w:kern w:val="0"/>
                <w:sz w:val="24"/>
                <w:szCs w:val="24"/>
                <w:highlight w:val="none"/>
                <w:lang w:val="en-US" w:eastAsia="zh-CN" w:bidi="ar-SA"/>
              </w:rPr>
              <w:t>153.6</w:t>
            </w:r>
            <w:r>
              <w:rPr>
                <w:rFonts w:hint="eastAsia" w:ascii="Times New Roman" w:hAnsi="Times New Roman" w:eastAsia="宋体" w:cs="Times New Roman"/>
                <w:bCs/>
                <w:color w:val="auto"/>
                <w:kern w:val="0"/>
                <w:sz w:val="24"/>
                <w:szCs w:val="24"/>
                <w:highlight w:val="none"/>
                <w:lang w:val="en-US" w:eastAsia="zh-CN" w:bidi="ar-SA"/>
              </w:rPr>
              <w:t>t</w:t>
            </w:r>
            <w:r>
              <w:rPr>
                <w:rFonts w:hint="default" w:ascii="Times New Roman" w:hAnsi="Times New Roman" w:eastAsia="宋体" w:cs="Times New Roman"/>
                <w:bCs/>
                <w:color w:val="auto"/>
                <w:kern w:val="0"/>
                <w:sz w:val="24"/>
                <w:szCs w:val="24"/>
                <w:highlight w:val="none"/>
                <w:lang w:val="en-US" w:eastAsia="zh-CN" w:bidi="ar-SA"/>
              </w:rPr>
              <w:t>/a），经</w:t>
            </w:r>
            <w:r>
              <w:rPr>
                <w:rFonts w:hint="eastAsia"/>
                <w:color w:val="auto"/>
                <w:sz w:val="24"/>
              </w:rPr>
              <w:t>三级沉淀池沉淀后回用于</w:t>
            </w:r>
            <w:r>
              <w:rPr>
                <w:rFonts w:hint="eastAsia"/>
                <w:color w:val="auto"/>
                <w:sz w:val="24"/>
                <w:lang w:eastAsia="zh-CN"/>
              </w:rPr>
              <w:t>搅拌工序</w:t>
            </w:r>
            <w:r>
              <w:rPr>
                <w:rFonts w:hint="default" w:ascii="Times New Roman" w:hAnsi="Times New Roman" w:eastAsia="宋体" w:cs="Times New Roman"/>
                <w:bCs/>
                <w:color w:val="auto"/>
                <w:kern w:val="0"/>
                <w:sz w:val="24"/>
                <w:szCs w:val="24"/>
                <w:highlight w:val="none"/>
                <w:lang w:val="en-US" w:eastAsia="zh-CN" w:bidi="ar-SA"/>
              </w:rPr>
              <w:t>，不外排。</w:t>
            </w:r>
          </w:p>
          <w:p>
            <w:pPr>
              <w:pStyle w:val="38"/>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ar-SA"/>
              </w:rPr>
              <w:t>（</w:t>
            </w:r>
            <w:r>
              <w:rPr>
                <w:rFonts w:hint="eastAsia" w:ascii="Times New Roman" w:cs="Times New Roman"/>
                <w:bCs/>
                <w:color w:val="auto"/>
                <w:kern w:val="0"/>
                <w:sz w:val="24"/>
                <w:szCs w:val="24"/>
                <w:highlight w:val="none"/>
                <w:lang w:val="en-US" w:eastAsia="zh-CN" w:bidi="ar-SA"/>
              </w:rPr>
              <w:t>4</w:t>
            </w:r>
            <w:r>
              <w:rPr>
                <w:rFonts w:hint="eastAsia" w:ascii="Times New Roman" w:hAnsi="Times New Roman" w:eastAsia="宋体" w:cs="Times New Roman"/>
                <w:bCs/>
                <w:color w:val="auto"/>
                <w:kern w:val="0"/>
                <w:sz w:val="24"/>
                <w:szCs w:val="24"/>
                <w:highlight w:val="none"/>
                <w:lang w:val="en-US" w:eastAsia="zh-CN" w:bidi="ar-SA"/>
              </w:rPr>
              <w:t>）</w:t>
            </w:r>
            <w:r>
              <w:rPr>
                <w:rFonts w:hint="eastAsia" w:ascii="Times New Roman" w:cs="Times New Roman"/>
                <w:bCs/>
                <w:color w:val="auto"/>
                <w:kern w:val="0"/>
                <w:sz w:val="24"/>
                <w:szCs w:val="24"/>
                <w:highlight w:val="none"/>
                <w:lang w:val="en-US" w:eastAsia="zh-CN" w:bidi="ar-SA"/>
              </w:rPr>
              <w:t>设备</w:t>
            </w:r>
            <w:r>
              <w:rPr>
                <w:rFonts w:hint="eastAsia" w:ascii="Times New Roman" w:hAnsi="Times New Roman" w:eastAsia="宋体" w:cs="Times New Roman"/>
                <w:bCs/>
                <w:color w:val="auto"/>
                <w:kern w:val="0"/>
                <w:sz w:val="24"/>
                <w:szCs w:val="24"/>
                <w:highlight w:val="none"/>
                <w:lang w:val="en-US" w:eastAsia="zh-CN" w:bidi="ar-SA"/>
              </w:rPr>
              <w:t>冲洗废水</w:t>
            </w:r>
          </w:p>
          <w:p>
            <w:pPr>
              <w:pStyle w:val="38"/>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kern w:val="0"/>
                <w:sz w:val="24"/>
                <w:szCs w:val="24"/>
                <w:highlight w:val="none"/>
                <w:lang w:val="en-US" w:eastAsia="zh-CN" w:bidi="ar-SA"/>
              </w:rPr>
            </w:pPr>
            <w:r>
              <w:rPr>
                <w:rFonts w:hint="eastAsia" w:ascii="Times New Roman" w:cs="Times New Roman"/>
                <w:color w:val="auto"/>
                <w:lang w:eastAsia="zh-CN"/>
              </w:rPr>
              <w:t>模具、</w:t>
            </w:r>
            <w:r>
              <w:rPr>
                <w:rFonts w:hint="default" w:ascii="Times New Roman" w:hAnsi="Times New Roman" w:eastAsia="宋体" w:cs="Times New Roman"/>
                <w:color w:val="auto"/>
              </w:rPr>
              <w:t>搅拌机为本项目的主要生产设备，在停止生产后，必须清洗干净</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每天完成生产后进行一次清洗，</w:t>
            </w:r>
            <w:r>
              <w:rPr>
                <w:rFonts w:hint="eastAsia" w:ascii="Times New Roman" w:cs="Times New Roman"/>
                <w:color w:val="auto"/>
                <w:lang w:val="en-US" w:eastAsia="zh-CN"/>
              </w:rPr>
              <w:t>冲洗</w:t>
            </w:r>
            <w:r>
              <w:rPr>
                <w:rFonts w:hint="default" w:ascii="Times New Roman" w:hAnsi="Times New Roman" w:eastAsia="宋体" w:cs="Times New Roman"/>
                <w:color w:val="auto"/>
                <w:lang w:val="en-US" w:eastAsia="zh-CN"/>
              </w:rPr>
              <w:t>用水量约为</w:t>
            </w:r>
            <w:r>
              <w:rPr>
                <w:rFonts w:hint="eastAsia" w:ascii="Times New Roman" w:hAnsi="Times New Roman" w:eastAsia="宋体" w:cs="Times New Roman"/>
                <w:color w:val="auto"/>
                <w:lang w:val="en-US" w:eastAsia="zh-CN"/>
              </w:rPr>
              <w:t>2.5t</w:t>
            </w:r>
            <w:r>
              <w:rPr>
                <w:rFonts w:hint="default" w:ascii="Times New Roman" w:hAnsi="Times New Roman" w:eastAsia="宋体" w:cs="Times New Roman"/>
                <w:color w:val="auto"/>
              </w:rPr>
              <w:t>/d（</w:t>
            </w:r>
            <w:r>
              <w:rPr>
                <w:rFonts w:hint="eastAsia" w:ascii="Times New Roman" w:hAnsi="Times New Roman" w:eastAsia="宋体" w:cs="Times New Roman"/>
                <w:color w:val="auto"/>
                <w:lang w:val="en-US" w:eastAsia="zh-CN"/>
              </w:rPr>
              <w:t>750t</w:t>
            </w:r>
            <w:r>
              <w:rPr>
                <w:rFonts w:hint="default" w:ascii="Times New Roman" w:hAnsi="Times New Roman" w:eastAsia="宋体" w:cs="Times New Roman"/>
                <w:color w:val="auto"/>
              </w:rPr>
              <w:t>/a）</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废水量</w:t>
            </w:r>
            <w:r>
              <w:rPr>
                <w:rFonts w:hint="default" w:ascii="Times New Roman" w:hAnsi="Times New Roman" w:eastAsia="宋体" w:cs="Times New Roman"/>
                <w:color w:val="auto"/>
              </w:rPr>
              <w:t>按照</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0%计，则</w:t>
            </w:r>
            <w:r>
              <w:rPr>
                <w:rFonts w:hint="eastAsia" w:ascii="Times New Roman" w:cs="Times New Roman"/>
                <w:color w:val="auto"/>
                <w:lang w:eastAsia="zh-CN"/>
              </w:rPr>
              <w:t>冲洗废水</w:t>
            </w:r>
            <w:r>
              <w:rPr>
                <w:rFonts w:hint="default" w:ascii="Times New Roman" w:hAnsi="Times New Roman" w:eastAsia="宋体" w:cs="Times New Roman"/>
                <w:color w:val="auto"/>
              </w:rPr>
              <w:t>产生量为</w:t>
            </w:r>
            <w:r>
              <w:rPr>
                <w:rFonts w:hint="eastAsia" w:ascii="Times New Roman" w:hAnsi="Times New Roman" w:eastAsia="宋体" w:cs="Times New Roman"/>
                <w:color w:val="auto"/>
                <w:lang w:val="en-US" w:eastAsia="zh-CN"/>
              </w:rPr>
              <w:t>2t</w:t>
            </w:r>
            <w:r>
              <w:rPr>
                <w:rFonts w:hint="default" w:ascii="Times New Roman" w:hAnsi="Times New Roman" w:eastAsia="宋体" w:cs="Times New Roman"/>
                <w:color w:val="auto"/>
              </w:rPr>
              <w:t>/d（</w:t>
            </w:r>
            <w:r>
              <w:rPr>
                <w:rFonts w:hint="eastAsia" w:ascii="Times New Roman" w:hAnsi="Times New Roman" w:eastAsia="宋体" w:cs="Times New Roman"/>
                <w:color w:val="auto"/>
                <w:lang w:val="en-US" w:eastAsia="zh-CN"/>
              </w:rPr>
              <w:t>600t</w:t>
            </w:r>
            <w:r>
              <w:rPr>
                <w:rFonts w:hint="default" w:ascii="Times New Roman" w:hAnsi="Times New Roman" w:eastAsia="宋体" w:cs="Times New Roman"/>
                <w:color w:val="auto"/>
              </w:rPr>
              <w:t>/a），</w:t>
            </w:r>
            <w:r>
              <w:rPr>
                <w:rFonts w:hint="default" w:ascii="Times New Roman" w:hAnsi="Times New Roman" w:eastAsia="宋体" w:cs="Times New Roman"/>
                <w:bCs/>
                <w:color w:val="auto"/>
                <w:kern w:val="0"/>
                <w:sz w:val="24"/>
                <w:szCs w:val="24"/>
                <w:highlight w:val="none"/>
                <w:lang w:val="en-US" w:eastAsia="zh-CN" w:bidi="ar-SA"/>
              </w:rPr>
              <w:t>经</w:t>
            </w:r>
            <w:r>
              <w:rPr>
                <w:rFonts w:hint="eastAsia"/>
                <w:color w:val="auto"/>
                <w:sz w:val="24"/>
              </w:rPr>
              <w:t>三级沉淀池沉淀后回用于</w:t>
            </w:r>
            <w:r>
              <w:rPr>
                <w:rFonts w:hint="eastAsia"/>
                <w:color w:val="auto"/>
                <w:sz w:val="24"/>
                <w:lang w:eastAsia="zh-CN"/>
              </w:rPr>
              <w:t>搅拌工序</w:t>
            </w:r>
            <w:r>
              <w:rPr>
                <w:rFonts w:hint="default" w:ascii="Times New Roman" w:hAnsi="Times New Roman" w:eastAsia="宋体" w:cs="Times New Roman"/>
                <w:bCs/>
                <w:color w:val="auto"/>
                <w:kern w:val="0"/>
                <w:sz w:val="24"/>
                <w:szCs w:val="24"/>
                <w:highlight w:val="none"/>
                <w:lang w:val="en-US" w:eastAsia="zh-CN" w:bidi="ar-SA"/>
              </w:rPr>
              <w:t>，不外排。</w:t>
            </w:r>
          </w:p>
          <w:p>
            <w:pPr>
              <w:pStyle w:val="26"/>
              <w:spacing w:line="240" w:lineRule="auto"/>
              <w:ind w:firstLine="420" w:firstLineChars="200"/>
              <w:jc w:val="center"/>
              <w:rPr>
                <w:rFonts w:hint="eastAsia" w:ascii="Times New Roman"/>
                <w:bCs/>
                <w:color w:val="auto"/>
                <w:sz w:val="21"/>
                <w:szCs w:val="21"/>
              </w:rPr>
            </w:pPr>
          </w:p>
          <w:p>
            <w:pPr>
              <w:pStyle w:val="26"/>
              <w:spacing w:line="240" w:lineRule="auto"/>
              <w:ind w:firstLine="420" w:firstLineChars="200"/>
              <w:jc w:val="center"/>
              <w:rPr>
                <w:rFonts w:hint="eastAsia" w:ascii="Times New Roman"/>
                <w:bCs/>
                <w:color w:val="auto"/>
                <w:sz w:val="21"/>
                <w:szCs w:val="21"/>
              </w:rPr>
            </w:pPr>
            <w:r>
              <w:rPr>
                <w:rFonts w:hint="eastAsia" w:ascii="Times New Roman"/>
                <w:bCs/>
                <w:color w:val="auto"/>
                <w:sz w:val="21"/>
                <w:szCs w:val="21"/>
              </w:rPr>
              <w:t>表4-</w:t>
            </w:r>
            <w:r>
              <w:rPr>
                <w:rFonts w:hint="eastAsia" w:ascii="Times New Roman"/>
                <w:bCs/>
                <w:color w:val="auto"/>
                <w:sz w:val="21"/>
                <w:szCs w:val="21"/>
                <w:lang w:val="en-US" w:eastAsia="zh-CN"/>
              </w:rPr>
              <w:t xml:space="preserve">11 </w:t>
            </w:r>
            <w:r>
              <w:rPr>
                <w:rFonts w:hint="eastAsia" w:ascii="Times New Roman"/>
                <w:bCs/>
                <w:color w:val="auto"/>
                <w:sz w:val="21"/>
                <w:szCs w:val="21"/>
              </w:rPr>
              <w:t>废水产排情况一览表</w:t>
            </w:r>
          </w:p>
          <w:tbl>
            <w:tblPr>
              <w:tblStyle w:val="24"/>
              <w:tblW w:w="864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3"/>
              <w:gridCol w:w="1003"/>
              <w:gridCol w:w="981"/>
              <w:gridCol w:w="1051"/>
              <w:gridCol w:w="944"/>
              <w:gridCol w:w="914"/>
              <w:gridCol w:w="983"/>
              <w:gridCol w:w="1039"/>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00" w:hRule="atLeast"/>
                <w:jc w:val="center"/>
              </w:trPr>
              <w:tc>
                <w:tcPr>
                  <w:tcW w:w="81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废污水类别</w:t>
                  </w:r>
                </w:p>
              </w:tc>
              <w:tc>
                <w:tcPr>
                  <w:tcW w:w="1003"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产生废水量（</w:t>
                  </w:r>
                  <w:r>
                    <w:rPr>
                      <w:rFonts w:hint="default" w:ascii="Times New Roman" w:hAnsi="Times New Roman" w:eastAsia="宋体" w:cs="Times New Roman"/>
                      <w:i w:val="0"/>
                      <w:iCs w:val="0"/>
                      <w:color w:val="auto"/>
                      <w:kern w:val="0"/>
                      <w:sz w:val="21"/>
                      <w:szCs w:val="21"/>
                      <w:u w:val="none"/>
                      <w:lang w:val="en-US" w:eastAsia="zh-CN" w:bidi="ar"/>
                    </w:rPr>
                    <w:t>t/a</w:t>
                  </w:r>
                  <w:r>
                    <w:rPr>
                      <w:rFonts w:hint="eastAsia" w:ascii="宋体" w:hAnsi="宋体" w:eastAsia="宋体" w:cs="宋体"/>
                      <w:i w:val="0"/>
                      <w:iCs w:val="0"/>
                      <w:color w:val="auto"/>
                      <w:kern w:val="0"/>
                      <w:sz w:val="21"/>
                      <w:szCs w:val="21"/>
                      <w:u w:val="none"/>
                      <w:lang w:val="en-US" w:eastAsia="zh-CN" w:bidi="ar"/>
                    </w:rPr>
                    <w:t>）</w:t>
                  </w:r>
                </w:p>
              </w:tc>
              <w:tc>
                <w:tcPr>
                  <w:tcW w:w="981"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污染物</w:t>
                  </w:r>
                </w:p>
              </w:tc>
              <w:tc>
                <w:tcPr>
                  <w:tcW w:w="1051"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产生浓度（</w:t>
                  </w:r>
                  <w:r>
                    <w:rPr>
                      <w:rFonts w:hint="default" w:ascii="Times New Roman" w:hAnsi="Times New Roman" w:eastAsia="宋体" w:cs="Times New Roman"/>
                      <w:i w:val="0"/>
                      <w:iCs w:val="0"/>
                      <w:color w:val="auto"/>
                      <w:kern w:val="0"/>
                      <w:sz w:val="21"/>
                      <w:szCs w:val="21"/>
                      <w:u w:val="none"/>
                      <w:lang w:val="en-US" w:eastAsia="zh-CN" w:bidi="ar"/>
                    </w:rPr>
                    <w:t>mg/L</w:t>
                  </w:r>
                  <w:r>
                    <w:rPr>
                      <w:rFonts w:hint="eastAsia" w:ascii="宋体" w:hAnsi="宋体" w:eastAsia="宋体" w:cs="宋体"/>
                      <w:i w:val="0"/>
                      <w:iCs w:val="0"/>
                      <w:color w:val="auto"/>
                      <w:kern w:val="0"/>
                      <w:sz w:val="21"/>
                      <w:szCs w:val="21"/>
                      <w:u w:val="none"/>
                      <w:lang w:val="en-US" w:eastAsia="zh-CN" w:bidi="ar"/>
                    </w:rPr>
                    <w:t>）</w:t>
                  </w:r>
                </w:p>
              </w:tc>
              <w:tc>
                <w:tcPr>
                  <w:tcW w:w="944"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产生量（</w:t>
                  </w:r>
                  <w:r>
                    <w:rPr>
                      <w:rFonts w:hint="default" w:ascii="Times New Roman" w:hAnsi="Times New Roman" w:eastAsia="宋体" w:cs="Times New Roman"/>
                      <w:i w:val="0"/>
                      <w:iCs w:val="0"/>
                      <w:color w:val="auto"/>
                      <w:kern w:val="0"/>
                      <w:sz w:val="21"/>
                      <w:szCs w:val="21"/>
                      <w:u w:val="none"/>
                      <w:lang w:val="en-US" w:eastAsia="zh-CN" w:bidi="ar"/>
                    </w:rPr>
                    <w:t>t/a</w:t>
                  </w:r>
                  <w:r>
                    <w:rPr>
                      <w:rFonts w:hint="eastAsia" w:ascii="宋体" w:hAnsi="宋体" w:eastAsia="宋体" w:cs="宋体"/>
                      <w:i w:val="0"/>
                      <w:iCs w:val="0"/>
                      <w:color w:val="auto"/>
                      <w:kern w:val="0"/>
                      <w:sz w:val="21"/>
                      <w:szCs w:val="21"/>
                      <w:u w:val="none"/>
                      <w:lang w:val="en-US" w:eastAsia="zh-CN" w:bidi="ar"/>
                    </w:rPr>
                    <w:t>）</w:t>
                  </w:r>
                </w:p>
              </w:tc>
              <w:tc>
                <w:tcPr>
                  <w:tcW w:w="914"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处理</w:t>
                  </w:r>
                </w:p>
              </w:tc>
              <w:tc>
                <w:tcPr>
                  <w:tcW w:w="983"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排放浓度</w:t>
                  </w:r>
                  <w:r>
                    <w:rPr>
                      <w:rFonts w:hint="default" w:ascii="Times New Roman" w:hAnsi="Times New Roman" w:eastAsia="宋体" w:cs="Times New Roman"/>
                      <w:i w:val="0"/>
                      <w:iCs w:val="0"/>
                      <w:color w:val="auto"/>
                      <w:kern w:val="0"/>
                      <w:sz w:val="21"/>
                      <w:szCs w:val="21"/>
                      <w:u w:val="none"/>
                      <w:lang w:val="en-US" w:eastAsia="zh-CN" w:bidi="ar"/>
                    </w:rPr>
                    <w:t>mg/L</w:t>
                  </w:r>
                </w:p>
              </w:tc>
              <w:tc>
                <w:tcPr>
                  <w:tcW w:w="1039"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排放量（</w:t>
                  </w:r>
                  <w:r>
                    <w:rPr>
                      <w:rFonts w:hint="default" w:ascii="Times New Roman" w:hAnsi="Times New Roman" w:eastAsia="宋体" w:cs="Times New Roman"/>
                      <w:i w:val="0"/>
                      <w:iCs w:val="0"/>
                      <w:color w:val="auto"/>
                      <w:kern w:val="0"/>
                      <w:sz w:val="21"/>
                      <w:szCs w:val="21"/>
                      <w:u w:val="none"/>
                      <w:lang w:val="en-US" w:eastAsia="zh-CN" w:bidi="ar"/>
                    </w:rPr>
                    <w:t>t/a</w:t>
                  </w:r>
                  <w:r>
                    <w:rPr>
                      <w:rFonts w:hint="eastAsia" w:ascii="宋体" w:hAnsi="宋体" w:eastAsia="宋体" w:cs="宋体"/>
                      <w:i w:val="0"/>
                      <w:iCs w:val="0"/>
                      <w:color w:val="auto"/>
                      <w:kern w:val="0"/>
                      <w:sz w:val="21"/>
                      <w:szCs w:val="21"/>
                      <w:u w:val="none"/>
                      <w:lang w:val="en-US" w:eastAsia="zh-CN" w:bidi="ar"/>
                    </w:rPr>
                    <w:t>）</w:t>
                  </w:r>
                </w:p>
              </w:tc>
              <w:tc>
                <w:tcPr>
                  <w:tcW w:w="915"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排放出向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81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0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1"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51"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44"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1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措施</w:t>
                  </w:r>
                </w:p>
              </w:tc>
              <w:tc>
                <w:tcPr>
                  <w:tcW w:w="98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39"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15"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jc w:val="center"/>
              </w:trPr>
              <w:tc>
                <w:tcPr>
                  <w:tcW w:w="813"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生活污水</w:t>
                  </w:r>
                </w:p>
              </w:tc>
              <w:tc>
                <w:tcPr>
                  <w:tcW w:w="1003"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9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9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0.050</w:t>
                  </w:r>
                </w:p>
              </w:tc>
              <w:tc>
                <w:tcPr>
                  <w:tcW w:w="914"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化粪池预处理</w:t>
                  </w:r>
                </w:p>
              </w:tc>
              <w:tc>
                <w:tcPr>
                  <w:tcW w:w="9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320</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0.046</w:t>
                  </w:r>
                </w:p>
              </w:tc>
              <w:tc>
                <w:tcPr>
                  <w:tcW w:w="915"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rPr>
                    <w:t>定期由吸污车转运至丰庄镇新村街污水处理站处理。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0" w:hRule="atLeast"/>
                <w:jc w:val="center"/>
              </w:trPr>
              <w:tc>
                <w:tcPr>
                  <w:tcW w:w="81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03"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9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Style w:val="53"/>
                      <w:rFonts w:eastAsia="宋体"/>
                      <w:color w:val="auto"/>
                      <w:lang w:val="en-US" w:eastAsia="zh-CN" w:bidi="ar"/>
                    </w:rPr>
                    <w:t>5</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9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0.02</w:t>
                  </w:r>
                  <w:r>
                    <w:rPr>
                      <w:rFonts w:hint="eastAsia" w:ascii="Times New Roman" w:hAnsi="Times New Roman" w:eastAsia="宋体" w:cs="Times New Roman"/>
                      <w:i w:val="0"/>
                      <w:iCs w:val="0"/>
                      <w:color w:val="auto"/>
                      <w:kern w:val="0"/>
                      <w:sz w:val="21"/>
                      <w:szCs w:val="21"/>
                      <w:u w:val="none"/>
                      <w:lang w:val="en-US" w:eastAsia="zh-CN" w:bidi="ar"/>
                    </w:rPr>
                    <w:t>6</w:t>
                  </w:r>
                </w:p>
              </w:tc>
              <w:tc>
                <w:tcPr>
                  <w:tcW w:w="914"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165</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0.02</w:t>
                  </w:r>
                  <w:r>
                    <w:rPr>
                      <w:rFonts w:hint="eastAsia" w:ascii="Times New Roman" w:hAnsi="Times New Roman" w:eastAsia="宋体" w:cs="Times New Roman"/>
                      <w:i w:val="0"/>
                      <w:iCs w:val="0"/>
                      <w:color w:val="auto"/>
                      <w:kern w:val="0"/>
                      <w:sz w:val="22"/>
                      <w:szCs w:val="22"/>
                      <w:u w:val="none"/>
                      <w:lang w:val="en-US" w:eastAsia="zh-CN" w:bidi="ar"/>
                    </w:rPr>
                    <w:t>4</w:t>
                  </w:r>
                </w:p>
              </w:tc>
              <w:tc>
                <w:tcPr>
                  <w:tcW w:w="91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jc w:val="center"/>
              </w:trPr>
              <w:tc>
                <w:tcPr>
                  <w:tcW w:w="81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03" w:type="dxa"/>
                  <w:vMerge w:val="continue"/>
                  <w:tcBorders>
                    <w:top w:val="nil"/>
                    <w:left w:val="nil"/>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9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150</w:t>
                  </w:r>
                </w:p>
              </w:tc>
              <w:tc>
                <w:tcPr>
                  <w:tcW w:w="9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0.022</w:t>
                  </w:r>
                </w:p>
              </w:tc>
              <w:tc>
                <w:tcPr>
                  <w:tcW w:w="914"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120</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0.017</w:t>
                  </w:r>
                </w:p>
              </w:tc>
              <w:tc>
                <w:tcPr>
                  <w:tcW w:w="91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0" w:hRule="atLeast"/>
                <w:jc w:val="center"/>
              </w:trPr>
              <w:tc>
                <w:tcPr>
                  <w:tcW w:w="81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03" w:type="dxa"/>
                  <w:vMerge w:val="continue"/>
                  <w:tcBorders>
                    <w:top w:val="nil"/>
                    <w:left w:val="nil"/>
                    <w:bottom w:val="single" w:color="auto" w:sz="4"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98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Style w:val="53"/>
                      <w:rFonts w:eastAsia="宋体"/>
                      <w:color w:val="auto"/>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9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914"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ascii="Times New Roman" w:hAnsi="Times New Roman" w:eastAsia="宋体" w:cs="Times New Roman"/>
                      <w:i w:val="0"/>
                      <w:iCs w:val="0"/>
                      <w:color w:val="auto"/>
                      <w:kern w:val="0"/>
                      <w:sz w:val="22"/>
                      <w:szCs w:val="22"/>
                      <w:u w:val="none"/>
                      <w:lang w:val="en-US" w:eastAsia="zh-CN" w:bidi="ar"/>
                    </w:rPr>
                    <w:t>5</w:t>
                  </w:r>
                </w:p>
              </w:tc>
              <w:tc>
                <w:tcPr>
                  <w:tcW w:w="915"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jc w:val="center"/>
              </w:trPr>
              <w:tc>
                <w:tcPr>
                  <w:tcW w:w="813" w:type="dxa"/>
                  <w:tcBorders>
                    <w:top w:val="nil"/>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养护废水</w:t>
                  </w:r>
                </w:p>
              </w:tc>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8000</w:t>
                  </w:r>
                </w:p>
              </w:tc>
              <w:tc>
                <w:tcPr>
                  <w:tcW w:w="981" w:type="dxa"/>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9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14"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三级沉淀池</w:t>
                  </w:r>
                </w:p>
              </w:tc>
              <w:tc>
                <w:tcPr>
                  <w:tcW w:w="9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w:t>
                  </w:r>
                </w:p>
              </w:tc>
              <w:tc>
                <w:tcPr>
                  <w:tcW w:w="915" w:type="dxa"/>
                  <w:vMerge w:val="restart"/>
                  <w:tcBorders>
                    <w:top w:val="nil"/>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回用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30" w:hRule="atLeast"/>
                <w:jc w:val="center"/>
              </w:trPr>
              <w:tc>
                <w:tcPr>
                  <w:tcW w:w="813" w:type="dxa"/>
                  <w:vMerge w:val="restart"/>
                  <w:tcBorders>
                    <w:top w:val="nil"/>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进出车辆冲洗废水</w:t>
                  </w:r>
                </w:p>
              </w:tc>
              <w:tc>
                <w:tcPr>
                  <w:tcW w:w="10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153.6</w:t>
                  </w:r>
                </w:p>
              </w:tc>
              <w:tc>
                <w:tcPr>
                  <w:tcW w:w="981" w:type="dxa"/>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9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0.230</w:t>
                  </w:r>
                </w:p>
              </w:tc>
              <w:tc>
                <w:tcPr>
                  <w:tcW w:w="914"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0.023</w:t>
                  </w:r>
                </w:p>
              </w:tc>
              <w:tc>
                <w:tcPr>
                  <w:tcW w:w="915" w:type="dxa"/>
                  <w:vMerge w:val="continue"/>
                  <w:tcBorders>
                    <w:left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jc w:val="center"/>
              </w:trPr>
              <w:tc>
                <w:tcPr>
                  <w:tcW w:w="813" w:type="dxa"/>
                  <w:vMerge w:val="continue"/>
                  <w:tcBorders>
                    <w:top w:val="nil"/>
                    <w:left w:val="single" w:color="000000" w:sz="8" w:space="0"/>
                    <w:bottom w:val="single" w:color="000000" w:sz="8" w:space="0"/>
                    <w:right w:val="single" w:color="auto"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981" w:type="dxa"/>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2</w:t>
                  </w:r>
                </w:p>
              </w:tc>
              <w:tc>
                <w:tcPr>
                  <w:tcW w:w="914"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0.00</w:t>
                  </w:r>
                  <w:r>
                    <w:rPr>
                      <w:rFonts w:hint="eastAsia" w:ascii="Times New Roman" w:hAnsi="Times New Roman" w:eastAsia="宋体" w:cs="Times New Roman"/>
                      <w:i w:val="0"/>
                      <w:iCs w:val="0"/>
                      <w:color w:val="auto"/>
                      <w:kern w:val="0"/>
                      <w:sz w:val="22"/>
                      <w:szCs w:val="22"/>
                      <w:u w:val="none"/>
                      <w:lang w:val="en-US" w:eastAsia="zh-CN" w:bidi="ar"/>
                    </w:rPr>
                    <w:t>2</w:t>
                  </w:r>
                </w:p>
              </w:tc>
              <w:tc>
                <w:tcPr>
                  <w:tcW w:w="915" w:type="dxa"/>
                  <w:vMerge w:val="continue"/>
                  <w:tcBorders>
                    <w:left w:val="nil"/>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25" w:hRule="atLeast"/>
                <w:jc w:val="center"/>
              </w:trPr>
              <w:tc>
                <w:tcPr>
                  <w:tcW w:w="813" w:type="dxa"/>
                  <w:tcBorders>
                    <w:top w:val="nil"/>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设备冲洗废水</w:t>
                  </w:r>
                </w:p>
              </w:tc>
              <w:tc>
                <w:tcPr>
                  <w:tcW w:w="10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981" w:type="dxa"/>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05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9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w:t>
                  </w:r>
                </w:p>
              </w:tc>
              <w:tc>
                <w:tcPr>
                  <w:tcW w:w="914"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8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0.09</w:t>
                  </w:r>
                </w:p>
              </w:tc>
              <w:tc>
                <w:tcPr>
                  <w:tcW w:w="915" w:type="dxa"/>
                  <w:vMerge w:val="continue"/>
                  <w:tcBorders>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1"/>
                      <w:szCs w:val="21"/>
                      <w:u w:val="none"/>
                    </w:rPr>
                  </w:pPr>
                </w:p>
              </w:tc>
            </w:tr>
          </w:tbl>
          <w:p>
            <w:pPr>
              <w:widowControl/>
              <w:spacing w:line="360" w:lineRule="auto"/>
              <w:jc w:val="left"/>
              <w:rPr>
                <w:rFonts w:hint="eastAsia" w:eastAsia="新宋体"/>
                <w:color w:val="auto"/>
                <w:sz w:val="24"/>
                <w:lang w:eastAsia="zh-CN"/>
              </w:rPr>
            </w:pPr>
            <w:r>
              <w:rPr>
                <w:rFonts w:hint="eastAsia" w:eastAsia="新宋体"/>
                <w:b/>
                <w:bCs/>
                <w:color w:val="auto"/>
                <w:sz w:val="24"/>
              </w:rPr>
              <w:t>2.2</w:t>
            </w:r>
            <w:r>
              <w:rPr>
                <w:rFonts w:hint="eastAsia" w:eastAsia="新宋体"/>
                <w:b/>
                <w:bCs/>
                <w:color w:val="auto"/>
                <w:sz w:val="24"/>
                <w:lang w:eastAsia="zh-CN"/>
              </w:rPr>
              <w:t>废水处理可行性分析</w:t>
            </w:r>
          </w:p>
          <w:p>
            <w:pPr>
              <w:pStyle w:val="26"/>
              <w:numPr>
                <w:ilvl w:val="0"/>
                <w:numId w:val="8"/>
              </w:numPr>
              <w:spacing w:line="360" w:lineRule="auto"/>
              <w:ind w:firstLineChars="200"/>
              <w:rPr>
                <w:rFonts w:ascii="Times New Roman" w:hAnsi="Times New Roman"/>
                <w:color w:val="auto"/>
              </w:rPr>
            </w:pPr>
            <w:r>
              <w:rPr>
                <w:rFonts w:ascii="Times New Roman" w:hAnsi="Times New Roman"/>
                <w:color w:val="auto"/>
              </w:rPr>
              <w:t>生产废水回用可行性分析</w:t>
            </w:r>
          </w:p>
          <w:p>
            <w:pPr>
              <w:pStyle w:val="26"/>
              <w:spacing w:line="360" w:lineRule="auto"/>
              <w:ind w:firstLineChars="200"/>
              <w:rPr>
                <w:rFonts w:ascii="Times New Roman" w:hAnsi="Times New Roman"/>
                <w:color w:val="auto"/>
              </w:rPr>
            </w:pPr>
            <w:r>
              <w:rPr>
                <w:rFonts w:ascii="Times New Roman" w:hAnsi="Times New Roman"/>
                <w:color w:val="auto"/>
              </w:rPr>
              <w:t>①水量可行性分析</w:t>
            </w:r>
          </w:p>
          <w:p>
            <w:pPr>
              <w:pStyle w:val="32"/>
              <w:spacing w:line="360" w:lineRule="auto"/>
              <w:rPr>
                <w:rFonts w:ascii="Times New Roman"/>
                <w:color w:val="auto"/>
                <w:sz w:val="24"/>
                <w:szCs w:val="24"/>
              </w:rPr>
            </w:pPr>
            <w:r>
              <w:rPr>
                <w:rFonts w:ascii="Times New Roman"/>
                <w:bCs/>
                <w:color w:val="auto"/>
                <w:sz w:val="24"/>
                <w:szCs w:val="24"/>
              </w:rPr>
              <w:t>根据前文分析可知，</w:t>
            </w:r>
            <w:r>
              <w:rPr>
                <w:rFonts w:hint="eastAsia" w:ascii="Times New Roman"/>
                <w:bCs/>
                <w:color w:val="auto"/>
                <w:sz w:val="24"/>
                <w:szCs w:val="24"/>
              </w:rPr>
              <w:t>生产废水（</w:t>
            </w:r>
            <w:r>
              <w:rPr>
                <w:rFonts w:hint="eastAsia" w:ascii="Times New Roman"/>
                <w:bCs/>
                <w:color w:val="auto"/>
                <w:sz w:val="24"/>
                <w:szCs w:val="24"/>
                <w:lang w:eastAsia="zh-CN"/>
              </w:rPr>
              <w:t>养护废水、</w:t>
            </w:r>
            <w:r>
              <w:rPr>
                <w:rFonts w:hint="eastAsia" w:ascii="Times New Roman"/>
                <w:color w:val="auto"/>
                <w:sz w:val="24"/>
                <w:szCs w:val="24"/>
                <w:lang w:eastAsia="zh-CN"/>
              </w:rPr>
              <w:t>进出车辆冲洗</w:t>
            </w:r>
            <w:r>
              <w:rPr>
                <w:rFonts w:hint="eastAsia" w:ascii="Times New Roman"/>
                <w:color w:val="auto"/>
                <w:sz w:val="24"/>
                <w:szCs w:val="24"/>
              </w:rPr>
              <w:t>废水、</w:t>
            </w:r>
            <w:r>
              <w:rPr>
                <w:rFonts w:hint="eastAsia" w:ascii="Times New Roman"/>
                <w:color w:val="auto"/>
                <w:sz w:val="24"/>
                <w:szCs w:val="24"/>
                <w:lang w:eastAsia="zh-CN"/>
              </w:rPr>
              <w:t>设备冲洗</w:t>
            </w:r>
            <w:r>
              <w:rPr>
                <w:rFonts w:hint="eastAsia" w:ascii="Times New Roman"/>
                <w:color w:val="auto"/>
                <w:sz w:val="24"/>
                <w:szCs w:val="24"/>
              </w:rPr>
              <w:t>废水）产生量为</w:t>
            </w:r>
            <w:r>
              <w:rPr>
                <w:rFonts w:hint="eastAsia" w:ascii="Times New Roman"/>
                <w:color w:val="auto"/>
                <w:sz w:val="24"/>
                <w:szCs w:val="24"/>
                <w:lang w:val="en-US" w:eastAsia="zh-CN"/>
              </w:rPr>
              <w:t>8753.6t</w:t>
            </w:r>
            <w:r>
              <w:rPr>
                <w:rFonts w:hint="eastAsia" w:ascii="Times New Roman"/>
                <w:color w:val="auto"/>
                <w:sz w:val="24"/>
                <w:szCs w:val="24"/>
              </w:rPr>
              <w:t>/a，</w:t>
            </w:r>
            <w:r>
              <w:rPr>
                <w:rFonts w:hAnsi="宋体" w:cs="宋体"/>
                <w:color w:val="auto"/>
                <w:sz w:val="24"/>
                <w:szCs w:val="24"/>
              </w:rPr>
              <w:t>生产废水收集汇总至厂区设置的</w:t>
            </w:r>
            <w:r>
              <w:rPr>
                <w:rFonts w:hint="eastAsia" w:hAnsi="宋体" w:cs="宋体"/>
                <w:color w:val="auto"/>
                <w:sz w:val="24"/>
                <w:szCs w:val="24"/>
              </w:rPr>
              <w:t>三</w:t>
            </w:r>
            <w:r>
              <w:rPr>
                <w:rFonts w:hAnsi="宋体" w:cs="宋体"/>
                <w:color w:val="auto"/>
                <w:sz w:val="24"/>
                <w:szCs w:val="24"/>
              </w:rPr>
              <w:t>级沉淀池处理后回用于</w:t>
            </w:r>
            <w:r>
              <w:rPr>
                <w:rFonts w:hint="eastAsia" w:hAnsi="宋体" w:cs="宋体"/>
                <w:color w:val="auto"/>
                <w:sz w:val="24"/>
                <w:szCs w:val="24"/>
              </w:rPr>
              <w:t>搅拌工序</w:t>
            </w:r>
            <w:r>
              <w:rPr>
                <w:rFonts w:hAnsi="宋体" w:cs="宋体"/>
                <w:color w:val="auto"/>
                <w:sz w:val="24"/>
                <w:szCs w:val="24"/>
              </w:rPr>
              <w:t>。上述废水</w:t>
            </w:r>
            <w:r>
              <w:rPr>
                <w:rFonts w:ascii="Times New Roman"/>
                <w:color w:val="auto"/>
                <w:sz w:val="24"/>
                <w:szCs w:val="24"/>
              </w:rPr>
              <w:t>最大水量</w:t>
            </w:r>
            <w:r>
              <w:rPr>
                <w:rFonts w:hint="eastAsia" w:ascii="Times New Roman"/>
                <w:color w:val="auto"/>
                <w:sz w:val="24"/>
                <w:szCs w:val="24"/>
                <w:lang w:eastAsia="zh-CN"/>
              </w:rPr>
              <w:t>为</w:t>
            </w:r>
            <w:r>
              <w:rPr>
                <w:rFonts w:hint="eastAsia" w:ascii="Times New Roman"/>
                <w:color w:val="auto"/>
                <w:sz w:val="24"/>
                <w:szCs w:val="24"/>
                <w:lang w:val="en-US" w:eastAsia="zh-CN"/>
              </w:rPr>
              <w:t>8753.6t</w:t>
            </w:r>
            <w:r>
              <w:rPr>
                <w:rFonts w:ascii="Times New Roman"/>
                <w:color w:val="auto"/>
                <w:sz w:val="24"/>
                <w:szCs w:val="24"/>
              </w:rPr>
              <w:t>/a（</w:t>
            </w:r>
            <w:r>
              <w:rPr>
                <w:rFonts w:hint="eastAsia" w:ascii="Times New Roman"/>
                <w:color w:val="auto"/>
                <w:sz w:val="24"/>
                <w:szCs w:val="24"/>
                <w:lang w:val="en-US" w:eastAsia="zh-CN"/>
              </w:rPr>
              <w:t>29.179t</w:t>
            </w:r>
            <w:r>
              <w:rPr>
                <w:rFonts w:ascii="Times New Roman"/>
                <w:color w:val="auto"/>
                <w:sz w:val="24"/>
                <w:szCs w:val="24"/>
              </w:rPr>
              <w:t>/</w:t>
            </w:r>
            <w:r>
              <w:rPr>
                <w:rFonts w:hint="eastAsia" w:ascii="Times New Roman"/>
                <w:color w:val="auto"/>
                <w:sz w:val="24"/>
                <w:szCs w:val="24"/>
                <w:lang w:val="en-US" w:eastAsia="zh-CN"/>
              </w:rPr>
              <w:t>d</w:t>
            </w:r>
            <w:r>
              <w:rPr>
                <w:rFonts w:ascii="Times New Roman"/>
                <w:color w:val="auto"/>
                <w:sz w:val="24"/>
                <w:szCs w:val="24"/>
              </w:rPr>
              <w:t>），项目三级沉淀池总容积</w:t>
            </w:r>
            <w:r>
              <w:rPr>
                <w:rFonts w:hint="eastAsia" w:ascii="Times New Roman"/>
                <w:color w:val="auto"/>
                <w:sz w:val="24"/>
                <w:szCs w:val="24"/>
                <w:lang w:eastAsia="zh-CN"/>
              </w:rPr>
              <w:t>为</w:t>
            </w:r>
            <w:r>
              <w:rPr>
                <w:rFonts w:hint="eastAsia" w:ascii="Times New Roman"/>
                <w:color w:val="auto"/>
                <w:sz w:val="24"/>
                <w:szCs w:val="24"/>
                <w:lang w:val="en-US" w:eastAsia="zh-CN"/>
              </w:rPr>
              <w:t>40</w:t>
            </w:r>
            <w:r>
              <w:rPr>
                <w:rFonts w:ascii="Times New Roman"/>
                <w:color w:val="auto"/>
                <w:sz w:val="24"/>
                <w:szCs w:val="24"/>
              </w:rPr>
              <w:t>m</w:t>
            </w:r>
            <w:r>
              <w:rPr>
                <w:rFonts w:ascii="Times New Roman"/>
                <w:color w:val="auto"/>
                <w:sz w:val="24"/>
                <w:szCs w:val="24"/>
                <w:vertAlign w:val="superscript"/>
              </w:rPr>
              <w:t>3</w:t>
            </w:r>
            <w:r>
              <w:rPr>
                <w:rFonts w:ascii="Times New Roman"/>
                <w:color w:val="auto"/>
                <w:sz w:val="24"/>
                <w:szCs w:val="24"/>
              </w:rPr>
              <w:t>，停留时间</w:t>
            </w:r>
            <w:r>
              <w:rPr>
                <w:rFonts w:hint="eastAsia" w:ascii="Times New Roman"/>
                <w:color w:val="auto"/>
                <w:sz w:val="24"/>
                <w:szCs w:val="24"/>
                <w:lang w:val="en-US" w:eastAsia="zh-CN"/>
              </w:rPr>
              <w:t>10</w:t>
            </w:r>
            <w:r>
              <w:rPr>
                <w:rFonts w:ascii="Times New Roman"/>
                <w:color w:val="auto"/>
                <w:sz w:val="24"/>
                <w:szCs w:val="24"/>
              </w:rPr>
              <w:t>h</w:t>
            </w:r>
            <w:r>
              <w:rPr>
                <w:rFonts w:hint="eastAsia" w:ascii="Times New Roman"/>
                <w:color w:val="auto"/>
                <w:sz w:val="24"/>
                <w:szCs w:val="24"/>
              </w:rPr>
              <w:t>，</w:t>
            </w:r>
            <w:r>
              <w:rPr>
                <w:rFonts w:ascii="Times New Roman"/>
                <w:color w:val="auto"/>
                <w:sz w:val="24"/>
                <w:szCs w:val="24"/>
              </w:rPr>
              <w:t>可满足上述废水存储需求。</w:t>
            </w:r>
          </w:p>
          <w:p>
            <w:pPr>
              <w:pStyle w:val="32"/>
              <w:spacing w:line="360" w:lineRule="auto"/>
              <w:rPr>
                <w:rFonts w:hAnsi="宋体" w:cs="宋体"/>
                <w:color w:val="auto"/>
                <w:sz w:val="24"/>
                <w:szCs w:val="24"/>
              </w:rPr>
            </w:pPr>
            <w:r>
              <w:rPr>
                <w:rFonts w:hAnsi="宋体" w:cs="宋体"/>
                <w:color w:val="auto"/>
                <w:sz w:val="24"/>
                <w:szCs w:val="24"/>
              </w:rPr>
              <w:t xml:space="preserve">②水质可行性分析 </w:t>
            </w:r>
          </w:p>
          <w:p>
            <w:pPr>
              <w:pStyle w:val="32"/>
              <w:spacing w:line="360" w:lineRule="auto"/>
              <w:ind w:firstLine="480" w:firstLineChars="200"/>
              <w:rPr>
                <w:rFonts w:ascii="Times New Roman"/>
                <w:color w:val="auto"/>
                <w:sz w:val="24"/>
                <w:szCs w:val="24"/>
              </w:rPr>
            </w:pPr>
            <w:r>
              <w:rPr>
                <w:rFonts w:ascii="Times New Roman"/>
                <w:color w:val="auto"/>
                <w:sz w:val="24"/>
                <w:szCs w:val="24"/>
              </w:rPr>
              <w:t>结合企业生产经验，本项目搅拌用水对水质要求不高（SS≤2000mg/L</w:t>
            </w:r>
            <w:r>
              <w:rPr>
                <w:rFonts w:hint="eastAsia" w:ascii="Times New Roman"/>
                <w:color w:val="auto"/>
                <w:sz w:val="24"/>
                <w:szCs w:val="24"/>
              </w:rPr>
              <w:t>，石油类</w:t>
            </w:r>
            <w:r>
              <w:rPr>
                <w:rFonts w:ascii="Times New Roman"/>
                <w:color w:val="auto"/>
                <w:sz w:val="24"/>
                <w:szCs w:val="24"/>
              </w:rPr>
              <w:t>≤</w:t>
            </w:r>
            <w:r>
              <w:rPr>
                <w:rFonts w:hint="eastAsia" w:ascii="Times New Roman"/>
                <w:color w:val="auto"/>
                <w:sz w:val="24"/>
                <w:szCs w:val="24"/>
              </w:rPr>
              <w:t>5</w:t>
            </w:r>
            <w:r>
              <w:rPr>
                <w:rFonts w:ascii="Times New Roman"/>
                <w:color w:val="auto"/>
                <w:sz w:val="24"/>
                <w:szCs w:val="24"/>
              </w:rPr>
              <w:t>0mg/L即可）。本项目生产废水经沉淀后</w:t>
            </w:r>
            <w:r>
              <w:rPr>
                <w:rFonts w:hint="eastAsia" w:ascii="Times New Roman"/>
                <w:color w:val="auto"/>
                <w:sz w:val="24"/>
                <w:szCs w:val="24"/>
              </w:rPr>
              <w:t>，</w:t>
            </w:r>
            <w:r>
              <w:rPr>
                <w:rFonts w:ascii="Times New Roman"/>
                <w:color w:val="auto"/>
                <w:sz w:val="24"/>
                <w:szCs w:val="24"/>
              </w:rPr>
              <w:t>颗粒物较容易沉降，SS去除率≥</w:t>
            </w:r>
            <w:r>
              <w:rPr>
                <w:rFonts w:hint="eastAsia" w:ascii="Times New Roman"/>
                <w:color w:val="auto"/>
                <w:sz w:val="24"/>
                <w:szCs w:val="24"/>
                <w:lang w:val="en-US" w:eastAsia="zh-CN"/>
              </w:rPr>
              <w:t>9</w:t>
            </w:r>
            <w:r>
              <w:rPr>
                <w:rFonts w:ascii="Times New Roman"/>
                <w:color w:val="auto"/>
                <w:sz w:val="24"/>
                <w:szCs w:val="24"/>
              </w:rPr>
              <w:t>0%，出水浓度≤</w:t>
            </w:r>
            <w:r>
              <w:rPr>
                <w:rFonts w:hint="eastAsia" w:ascii="Times New Roman"/>
                <w:color w:val="auto"/>
                <w:sz w:val="24"/>
                <w:szCs w:val="24"/>
              </w:rPr>
              <w:t>1</w:t>
            </w:r>
            <w:r>
              <w:rPr>
                <w:rFonts w:ascii="Times New Roman"/>
                <w:color w:val="auto"/>
                <w:sz w:val="24"/>
                <w:szCs w:val="24"/>
              </w:rPr>
              <w:t>50mg/L，出水水质满足生产回用水质要求，故生产废水经沉淀后回用于搅拌工序措施可行。</w:t>
            </w:r>
          </w:p>
          <w:p>
            <w:pPr>
              <w:pStyle w:val="32"/>
              <w:numPr>
                <w:ilvl w:val="0"/>
                <w:numId w:val="8"/>
              </w:numPr>
              <w:spacing w:line="360" w:lineRule="auto"/>
              <w:ind w:left="0" w:leftChars="0" w:firstLine="480" w:firstLineChars="200"/>
              <w:rPr>
                <w:rFonts w:hint="eastAsia" w:ascii="Times New Roman" w:cs="Times New Roman"/>
                <w:sz w:val="24"/>
                <w:szCs w:val="24"/>
                <w:highlight w:val="none"/>
                <w:lang w:eastAsia="zh-CN"/>
              </w:rPr>
            </w:pPr>
            <w:r>
              <w:rPr>
                <w:rFonts w:hint="eastAsia" w:ascii="Times New Roman"/>
                <w:color w:val="auto"/>
                <w:sz w:val="24"/>
                <w:szCs w:val="24"/>
                <w:lang w:eastAsia="zh-CN"/>
              </w:rPr>
              <w:t>生活污水送至</w:t>
            </w:r>
            <w:r>
              <w:rPr>
                <w:rFonts w:hint="eastAsia" w:ascii="Times New Roman" w:hAnsi="Times New Roman" w:eastAsia="宋体" w:cs="Times New Roman"/>
                <w:sz w:val="24"/>
                <w:szCs w:val="24"/>
                <w:highlight w:val="none"/>
                <w:lang w:eastAsia="zh-CN"/>
              </w:rPr>
              <w:t>丰庄镇新村街污水处理站</w:t>
            </w:r>
            <w:r>
              <w:rPr>
                <w:rFonts w:hint="eastAsia" w:ascii="Times New Roman" w:cs="Times New Roman"/>
                <w:sz w:val="24"/>
                <w:szCs w:val="24"/>
                <w:highlight w:val="none"/>
                <w:lang w:eastAsia="zh-CN"/>
              </w:rPr>
              <w:t>处理可行性</w:t>
            </w:r>
          </w:p>
          <w:p>
            <w:pPr>
              <w:spacing w:line="360" w:lineRule="auto"/>
              <w:ind w:firstLine="480" w:firstLineChars="200"/>
              <w:rPr>
                <w:rFonts w:hint="eastAsia"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rPr>
              <w:t>厂区内的</w:t>
            </w:r>
            <w:r>
              <w:rPr>
                <w:rFonts w:hint="default" w:ascii="Times New Roman" w:hAnsi="Times New Roman" w:eastAsia="宋体" w:cs="Times New Roman"/>
                <w:sz w:val="24"/>
                <w:szCs w:val="24"/>
                <w:highlight w:val="none"/>
                <w:lang w:eastAsia="zh-CN"/>
              </w:rPr>
              <w:t>生活</w:t>
            </w:r>
            <w:r>
              <w:rPr>
                <w:rFonts w:hint="default" w:ascii="Times New Roman" w:hAnsi="Times New Roman" w:cs="Times New Roman"/>
                <w:sz w:val="24"/>
                <w:szCs w:val="24"/>
                <w:highlight w:val="none"/>
              </w:rPr>
              <w:t>污水</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0.48t/d</w:t>
            </w:r>
            <w:r>
              <w:rPr>
                <w:rFonts w:hint="default" w:ascii="Times New Roman" w:hAnsi="Times New Roman" w:eastAsia="宋体" w:cs="Times New Roman"/>
                <w:sz w:val="24"/>
                <w:szCs w:val="24"/>
                <w:highlight w:val="none"/>
                <w:lang w:eastAsia="zh-CN"/>
              </w:rPr>
              <w:t>）</w:t>
            </w:r>
            <w:r>
              <w:rPr>
                <w:rFonts w:hint="default" w:ascii="Times New Roman" w:hAnsi="Times New Roman" w:cs="Times New Roman"/>
                <w:sz w:val="24"/>
                <w:szCs w:val="24"/>
                <w:highlight w:val="none"/>
              </w:rPr>
              <w:t>经化粪池预处理后定期由吸污车转运至</w:t>
            </w:r>
            <w:r>
              <w:rPr>
                <w:rFonts w:hint="eastAsia" w:ascii="Times New Roman" w:hAnsi="Times New Roman" w:eastAsia="宋体" w:cs="Times New Roman"/>
                <w:sz w:val="24"/>
                <w:szCs w:val="24"/>
                <w:highlight w:val="none"/>
                <w:lang w:eastAsia="zh-CN"/>
              </w:rPr>
              <w:t>丰庄镇新村街污水处理站</w:t>
            </w:r>
            <w:r>
              <w:rPr>
                <w:rFonts w:hint="default" w:ascii="Times New Roman" w:hAnsi="Times New Roman" w:eastAsia="宋体" w:cs="Times New Roman"/>
                <w:sz w:val="24"/>
                <w:szCs w:val="24"/>
                <w:highlight w:val="none"/>
                <w:lang w:eastAsia="zh-CN"/>
              </w:rPr>
              <w:t>处理。</w:t>
            </w:r>
            <w:r>
              <w:rPr>
                <w:rFonts w:hint="eastAsia" w:ascii="Times New Roman" w:hAnsi="Times New Roman" w:cs="Times New Roman"/>
                <w:sz w:val="24"/>
                <w:szCs w:val="24"/>
                <w:highlight w:val="none"/>
                <w:lang w:eastAsia="zh-CN"/>
              </w:rPr>
              <w:t>污水</w:t>
            </w:r>
            <w:r>
              <w:rPr>
                <w:rFonts w:hint="default" w:ascii="Times New Roman" w:hAnsi="Times New Roman" w:cs="Times New Roman"/>
                <w:sz w:val="24"/>
                <w:szCs w:val="24"/>
                <w:highlight w:val="none"/>
              </w:rPr>
              <w:t>排放满足满足</w:t>
            </w:r>
            <w:r>
              <w:rPr>
                <w:rFonts w:hint="eastAsia" w:ascii="Times New Roman" w:hAnsi="Times New Roman" w:eastAsia="宋体" w:cs="Times New Roman"/>
                <w:sz w:val="24"/>
                <w:szCs w:val="24"/>
                <w:highlight w:val="none"/>
                <w:lang w:eastAsia="zh-CN"/>
              </w:rPr>
              <w:t>丰庄镇新村街污水处理站</w:t>
            </w:r>
            <w:r>
              <w:rPr>
                <w:rFonts w:hint="default" w:ascii="Times New Roman" w:hAnsi="Times New Roman" w:cs="Times New Roman"/>
                <w:sz w:val="24"/>
                <w:szCs w:val="24"/>
                <w:highlight w:val="none"/>
              </w:rPr>
              <w:t>污水接管标准</w:t>
            </w:r>
            <w:r>
              <w:rPr>
                <w:rFonts w:hint="eastAsia" w:ascii="Times New Roman" w:hAnsi="Times New Roman" w:eastAsia="宋体" w:cs="Times New Roman"/>
                <w:sz w:val="24"/>
                <w:szCs w:val="24"/>
                <w:highlight w:val="none"/>
                <w:lang w:eastAsia="zh-CN"/>
              </w:rPr>
              <w:t>（</w:t>
            </w:r>
            <w:r>
              <w:rPr>
                <w:rFonts w:hint="default" w:ascii="Times New Roman" w:hAnsi="Times New Roman" w:cs="Times New Roman"/>
                <w:sz w:val="24"/>
                <w:szCs w:val="24"/>
                <w:highlight w:val="none"/>
              </w:rPr>
              <w:t>COD:350mg</w:t>
            </w:r>
            <w:r>
              <w:rPr>
                <w:rFonts w:hint="eastAsia" w:ascii="Times New Roman" w:hAnsi="Times New Roman" w:eastAsia="宋体" w:cs="Times New Roman"/>
                <w:sz w:val="24"/>
                <w:szCs w:val="24"/>
                <w:highlight w:val="none"/>
                <w:lang w:val="en-US" w:eastAsia="zh-CN"/>
              </w:rPr>
              <w:t>/L</w:t>
            </w:r>
            <w:r>
              <w:rPr>
                <w:rFonts w:hint="default" w:ascii="Times New Roman" w:hAnsi="Times New Roman" w:cs="Times New Roman"/>
                <w:sz w:val="24"/>
                <w:szCs w:val="24"/>
                <w:highlight w:val="none"/>
              </w:rPr>
              <w:t>、BODs:200mg</w:t>
            </w:r>
            <w:r>
              <w:rPr>
                <w:rFonts w:hint="eastAsia" w:ascii="Times New Roman" w:hAnsi="Times New Roman" w:eastAsia="宋体" w:cs="Times New Roman"/>
                <w:sz w:val="24"/>
                <w:szCs w:val="24"/>
                <w:highlight w:val="none"/>
                <w:lang w:val="en-US" w:eastAsia="zh-CN"/>
              </w:rPr>
              <w:t>/L、</w:t>
            </w:r>
            <w:r>
              <w:rPr>
                <w:rFonts w:hint="default" w:ascii="Times New Roman" w:hAnsi="Times New Roman" w:cs="Times New Roman"/>
                <w:sz w:val="24"/>
                <w:szCs w:val="24"/>
                <w:highlight w:val="none"/>
              </w:rPr>
              <w:t>SS:150mg</w:t>
            </w:r>
            <w:r>
              <w:rPr>
                <w:rFonts w:hint="eastAsia" w:ascii="Times New Roman" w:hAnsi="Times New Roman" w:eastAsia="宋体" w:cs="Times New Roman"/>
                <w:sz w:val="24"/>
                <w:szCs w:val="24"/>
                <w:highlight w:val="none"/>
                <w:lang w:val="en-US" w:eastAsia="zh-CN"/>
              </w:rPr>
              <w:t>/L</w:t>
            </w:r>
            <w:r>
              <w:rPr>
                <w:rFonts w:hint="default" w:ascii="Times New Roman" w:hAnsi="Times New Roman" w:cs="Times New Roman"/>
                <w:sz w:val="24"/>
                <w:szCs w:val="24"/>
                <w:highlight w:val="none"/>
              </w:rPr>
              <w:t>、氨氮:35mg</w:t>
            </w:r>
            <w:r>
              <w:rPr>
                <w:rFonts w:hint="eastAsia" w:ascii="Times New Roman" w:hAnsi="Times New Roman" w:eastAsia="宋体" w:cs="Times New Roman"/>
                <w:sz w:val="24"/>
                <w:szCs w:val="24"/>
                <w:highlight w:val="none"/>
                <w:lang w:val="en-US" w:eastAsia="zh-CN"/>
              </w:rPr>
              <w:t>/</w:t>
            </w:r>
            <w:r>
              <w:rPr>
                <w:rFonts w:hint="default" w:ascii="Times New Roman" w:hAnsi="Times New Roman" w:cs="Times New Roman"/>
                <w:sz w:val="24"/>
                <w:szCs w:val="24"/>
                <w:highlight w:val="none"/>
              </w:rPr>
              <w:t>L</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eastAsia="zh-CN"/>
              </w:rPr>
              <w:t>丰庄镇新村街污水处理站</w:t>
            </w:r>
            <w:r>
              <w:rPr>
                <w:rFonts w:hint="default" w:ascii="Times New Roman" w:hAnsi="Times New Roman" w:cs="Times New Roman"/>
                <w:sz w:val="24"/>
                <w:szCs w:val="24"/>
                <w:highlight w:val="none"/>
              </w:rPr>
              <w:t>处理规模为</w:t>
            </w:r>
            <w:r>
              <w:rPr>
                <w:rFonts w:hint="default" w:ascii="Times New Roman" w:hAnsi="Times New Roman" w:eastAsia="宋体" w:cs="Times New Roman"/>
                <w:sz w:val="24"/>
                <w:szCs w:val="24"/>
                <w:highlight w:val="none"/>
                <w:lang w:val="en-US" w:eastAsia="zh-CN"/>
              </w:rPr>
              <w:t>4</w:t>
            </w:r>
            <w:r>
              <w:rPr>
                <w:rFonts w:hint="default" w:ascii="Times New Roman" w:hAnsi="Times New Roman" w:cs="Times New Roman"/>
                <w:sz w:val="24"/>
                <w:szCs w:val="24"/>
                <w:highlight w:val="none"/>
              </w:rPr>
              <w:t>00m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/d，现每天处理水量</w:t>
            </w:r>
            <w:r>
              <w:rPr>
                <w:rFonts w:hint="default" w:ascii="Times New Roman" w:hAnsi="Times New Roman" w:cs="Times New Roman"/>
                <w:color w:val="auto"/>
                <w:sz w:val="24"/>
                <w:szCs w:val="24"/>
                <w:highlight w:val="none"/>
              </w:rPr>
              <w:t>约</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cs="Times New Roman"/>
                <w:sz w:val="24"/>
                <w:szCs w:val="24"/>
                <w:highlight w:val="none"/>
              </w:rPr>
              <w:t>余量充足</w:t>
            </w:r>
            <w:r>
              <w:rPr>
                <w:rFonts w:hint="eastAsia" w:ascii="Times New Roman" w:hAnsi="Times New Roman" w:eastAsia="宋体" w:cs="Times New Roman"/>
                <w:sz w:val="24"/>
                <w:szCs w:val="24"/>
                <w:highlight w:val="none"/>
                <w:lang w:eastAsia="zh-CN"/>
              </w:rPr>
              <w:t>。</w:t>
            </w:r>
          </w:p>
          <w:p>
            <w:pPr>
              <w:widowControl/>
              <w:spacing w:before="120" w:beforeLines="50" w:line="360" w:lineRule="auto"/>
              <w:ind w:firstLine="482" w:firstLineChars="200"/>
              <w:rPr>
                <w:b/>
                <w:bCs/>
                <w:color w:val="auto"/>
                <w:sz w:val="24"/>
                <w:highlight w:val="none"/>
              </w:rPr>
            </w:pPr>
            <w:r>
              <w:rPr>
                <w:rFonts w:hint="eastAsia"/>
                <w:b/>
                <w:bCs/>
                <w:color w:val="auto"/>
                <w:sz w:val="24"/>
                <w:highlight w:val="none"/>
              </w:rPr>
              <w:t>2.3废水监测计划</w:t>
            </w:r>
          </w:p>
          <w:p>
            <w:pPr>
              <w:pStyle w:val="4"/>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本项目生产废水不外排，生活污水</w:t>
            </w:r>
            <w:r>
              <w:rPr>
                <w:rFonts w:hint="default" w:ascii="Times New Roman" w:hAnsi="Times New Roman" w:cs="Times New Roman"/>
                <w:sz w:val="24"/>
                <w:szCs w:val="24"/>
                <w:highlight w:val="none"/>
              </w:rPr>
              <w:t>经化粪池预处理后定期由吸污车转运至</w:t>
            </w:r>
            <w:r>
              <w:rPr>
                <w:rFonts w:hint="eastAsia" w:ascii="Times New Roman" w:hAnsi="Times New Roman" w:eastAsia="宋体" w:cs="Times New Roman"/>
                <w:sz w:val="24"/>
                <w:szCs w:val="24"/>
                <w:highlight w:val="none"/>
                <w:lang w:eastAsia="zh-CN"/>
              </w:rPr>
              <w:t>丰庄镇新村街污水处理站</w:t>
            </w:r>
            <w:r>
              <w:rPr>
                <w:rFonts w:hint="default" w:ascii="Times New Roman" w:hAnsi="Times New Roman" w:eastAsia="宋体" w:cs="Times New Roman"/>
                <w:sz w:val="24"/>
                <w:szCs w:val="24"/>
                <w:highlight w:val="none"/>
                <w:lang w:eastAsia="zh-CN"/>
              </w:rPr>
              <w:t>处理</w:t>
            </w:r>
            <w:r>
              <w:rPr>
                <w:rFonts w:hint="eastAsia" w:ascii="宋体" w:hAnsi="宋体"/>
                <w:color w:val="auto"/>
                <w:sz w:val="24"/>
                <w:highlight w:val="none"/>
              </w:rPr>
              <w:t>。</w:t>
            </w:r>
          </w:p>
          <w:p>
            <w:pPr>
              <w:pStyle w:val="4"/>
              <w:jc w:val="center"/>
              <w:rPr>
                <w:rFonts w:hint="eastAsia"/>
                <w:b/>
                <w:bCs/>
                <w:color w:val="auto"/>
                <w:szCs w:val="21"/>
              </w:rPr>
            </w:pPr>
            <w:r>
              <w:rPr>
                <w:rFonts w:hint="eastAsia"/>
                <w:b/>
                <w:bCs/>
                <w:color w:val="auto"/>
                <w:szCs w:val="21"/>
              </w:rPr>
              <w:t>表4-1</w:t>
            </w:r>
            <w:r>
              <w:rPr>
                <w:rFonts w:hint="eastAsia"/>
                <w:b/>
                <w:bCs/>
                <w:color w:val="auto"/>
                <w:szCs w:val="21"/>
                <w:lang w:val="en-US" w:eastAsia="zh-CN"/>
              </w:rPr>
              <w:t xml:space="preserve">2 </w:t>
            </w:r>
            <w:r>
              <w:rPr>
                <w:rFonts w:hint="eastAsia"/>
                <w:b/>
                <w:bCs/>
                <w:color w:val="auto"/>
                <w:szCs w:val="21"/>
              </w:rPr>
              <w:t xml:space="preserve"> 废水监测计划一览表</w:t>
            </w:r>
          </w:p>
          <w:tbl>
            <w:tblPr>
              <w:tblStyle w:val="24"/>
              <w:tblW w:w="8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179"/>
              <w:gridCol w:w="3962"/>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0" w:type="dxa"/>
                  <w:vAlign w:val="center"/>
                </w:tcPr>
                <w:p>
                  <w:pPr>
                    <w:pStyle w:val="32"/>
                    <w:spacing w:line="240" w:lineRule="auto"/>
                    <w:ind w:firstLine="0"/>
                    <w:jc w:val="center"/>
                    <w:rPr>
                      <w:color w:val="auto"/>
                      <w:sz w:val="21"/>
                      <w:szCs w:val="21"/>
                    </w:rPr>
                  </w:pPr>
                  <w:r>
                    <w:rPr>
                      <w:rFonts w:hint="eastAsia"/>
                      <w:color w:val="auto"/>
                      <w:sz w:val="21"/>
                      <w:szCs w:val="21"/>
                    </w:rPr>
                    <w:t>项目</w:t>
                  </w:r>
                </w:p>
              </w:tc>
              <w:tc>
                <w:tcPr>
                  <w:tcW w:w="1179" w:type="dxa"/>
                  <w:vAlign w:val="center"/>
                </w:tcPr>
                <w:p>
                  <w:pPr>
                    <w:pStyle w:val="32"/>
                    <w:spacing w:line="240" w:lineRule="auto"/>
                    <w:ind w:firstLine="0"/>
                    <w:jc w:val="center"/>
                    <w:rPr>
                      <w:rFonts w:hint="eastAsia"/>
                      <w:color w:val="auto"/>
                      <w:sz w:val="21"/>
                      <w:szCs w:val="21"/>
                    </w:rPr>
                  </w:pPr>
                  <w:r>
                    <w:rPr>
                      <w:rFonts w:hint="eastAsia"/>
                      <w:color w:val="auto"/>
                      <w:sz w:val="21"/>
                      <w:szCs w:val="21"/>
                    </w:rPr>
                    <w:t>监测点位</w:t>
                  </w:r>
                </w:p>
              </w:tc>
              <w:tc>
                <w:tcPr>
                  <w:tcW w:w="3962" w:type="dxa"/>
                  <w:vAlign w:val="center"/>
                </w:tcPr>
                <w:p>
                  <w:pPr>
                    <w:pStyle w:val="32"/>
                    <w:spacing w:line="240" w:lineRule="auto"/>
                    <w:ind w:firstLine="0"/>
                    <w:jc w:val="center"/>
                    <w:rPr>
                      <w:rFonts w:hint="eastAsia"/>
                      <w:color w:val="auto"/>
                      <w:sz w:val="21"/>
                      <w:szCs w:val="21"/>
                    </w:rPr>
                  </w:pPr>
                  <w:r>
                    <w:rPr>
                      <w:rFonts w:hint="eastAsia"/>
                      <w:color w:val="auto"/>
                      <w:sz w:val="21"/>
                      <w:szCs w:val="21"/>
                    </w:rPr>
                    <w:t>监测内容</w:t>
                  </w:r>
                </w:p>
              </w:tc>
              <w:tc>
                <w:tcPr>
                  <w:tcW w:w="2601" w:type="dxa"/>
                  <w:vAlign w:val="center"/>
                </w:tcPr>
                <w:p>
                  <w:pPr>
                    <w:pStyle w:val="32"/>
                    <w:spacing w:line="240" w:lineRule="auto"/>
                    <w:ind w:firstLine="0"/>
                    <w:jc w:val="center"/>
                    <w:rPr>
                      <w:rFonts w:hint="eastAsia"/>
                      <w:color w:val="auto"/>
                      <w:sz w:val="21"/>
                      <w:szCs w:val="21"/>
                    </w:rPr>
                  </w:pPr>
                  <w:r>
                    <w:rPr>
                      <w:rFonts w:hint="eastAsia"/>
                      <w:color w:val="auto"/>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0" w:type="dxa"/>
                  <w:vAlign w:val="center"/>
                </w:tcPr>
                <w:p>
                  <w:pPr>
                    <w:pStyle w:val="32"/>
                    <w:spacing w:line="240" w:lineRule="auto"/>
                    <w:ind w:firstLine="0"/>
                    <w:jc w:val="center"/>
                    <w:rPr>
                      <w:rFonts w:hint="eastAsia"/>
                      <w:color w:val="auto"/>
                      <w:sz w:val="21"/>
                      <w:szCs w:val="21"/>
                    </w:rPr>
                  </w:pPr>
                  <w:r>
                    <w:rPr>
                      <w:rFonts w:hint="eastAsia"/>
                      <w:color w:val="auto"/>
                      <w:sz w:val="21"/>
                      <w:szCs w:val="21"/>
                    </w:rPr>
                    <w:t>废水</w:t>
                  </w:r>
                </w:p>
              </w:tc>
              <w:tc>
                <w:tcPr>
                  <w:tcW w:w="1179"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lang w:eastAsia="zh-CN"/>
                    </w:rPr>
                    <w:t>生活污水</w:t>
                  </w:r>
                  <w:r>
                    <w:rPr>
                      <w:rFonts w:ascii="Times New Roman"/>
                      <w:color w:val="auto"/>
                      <w:sz w:val="21"/>
                      <w:szCs w:val="21"/>
                    </w:rPr>
                    <w:t>排口</w:t>
                  </w:r>
                </w:p>
              </w:tc>
              <w:tc>
                <w:tcPr>
                  <w:tcW w:w="3962" w:type="dxa"/>
                  <w:vAlign w:val="center"/>
                </w:tcPr>
                <w:p>
                  <w:pPr>
                    <w:pStyle w:val="32"/>
                    <w:spacing w:line="240" w:lineRule="auto"/>
                    <w:ind w:firstLine="0"/>
                    <w:jc w:val="center"/>
                    <w:rPr>
                      <w:rFonts w:hint="eastAsia" w:ascii="Times New Roman"/>
                      <w:color w:val="auto"/>
                      <w:sz w:val="21"/>
                      <w:szCs w:val="21"/>
                    </w:rPr>
                  </w:pPr>
                  <w:r>
                    <w:rPr>
                      <w:rFonts w:ascii="Times New Roman"/>
                      <w:color w:val="auto"/>
                      <w:sz w:val="21"/>
                      <w:szCs w:val="21"/>
                    </w:rPr>
                    <w:t>pH、COD、悬浮物、氨氮</w:t>
                  </w:r>
                  <w:r>
                    <w:rPr>
                      <w:rFonts w:hint="eastAsia" w:ascii="Times New Roman"/>
                      <w:color w:val="auto"/>
                      <w:sz w:val="21"/>
                      <w:szCs w:val="21"/>
                    </w:rPr>
                    <w:t>、BOD</w:t>
                  </w:r>
                  <w:r>
                    <w:rPr>
                      <w:rFonts w:hint="eastAsia" w:ascii="Times New Roman"/>
                      <w:color w:val="auto"/>
                      <w:sz w:val="21"/>
                      <w:szCs w:val="21"/>
                      <w:vertAlign w:val="subscript"/>
                    </w:rPr>
                    <w:t>5</w:t>
                  </w:r>
                </w:p>
              </w:tc>
              <w:tc>
                <w:tcPr>
                  <w:tcW w:w="2601" w:type="dxa"/>
                  <w:vAlign w:val="center"/>
                </w:tcPr>
                <w:p>
                  <w:pPr>
                    <w:pStyle w:val="32"/>
                    <w:spacing w:line="240" w:lineRule="auto"/>
                    <w:ind w:firstLine="0"/>
                    <w:jc w:val="center"/>
                    <w:rPr>
                      <w:rFonts w:hint="eastAsia"/>
                      <w:color w:val="auto"/>
                      <w:sz w:val="21"/>
                      <w:szCs w:val="21"/>
                    </w:rPr>
                  </w:pPr>
                  <w:r>
                    <w:rPr>
                      <w:rFonts w:ascii="Times New Roman"/>
                      <w:color w:val="auto"/>
                      <w:sz w:val="21"/>
                      <w:szCs w:val="21"/>
                    </w:rPr>
                    <w:t>1次/</w:t>
                  </w:r>
                  <w:r>
                    <w:rPr>
                      <w:rFonts w:hint="eastAsia" w:ascii="Times New Roman"/>
                      <w:color w:val="auto"/>
                      <w:sz w:val="21"/>
                      <w:szCs w:val="21"/>
                    </w:rPr>
                    <w:t>季度</w:t>
                  </w:r>
                </w:p>
              </w:tc>
            </w:tr>
          </w:tbl>
          <w:p>
            <w:pPr>
              <w:spacing w:line="360" w:lineRule="auto"/>
              <w:ind w:firstLine="482" w:firstLineChars="200"/>
              <w:rPr>
                <w:rFonts w:hint="eastAsia"/>
                <w:b/>
                <w:bCs/>
                <w:color w:val="auto"/>
                <w:sz w:val="24"/>
              </w:rPr>
            </w:pPr>
          </w:p>
          <w:p>
            <w:pPr>
              <w:spacing w:line="360" w:lineRule="auto"/>
              <w:ind w:firstLine="482" w:firstLineChars="200"/>
              <w:rPr>
                <w:b/>
                <w:bCs/>
                <w:color w:val="auto"/>
                <w:sz w:val="24"/>
              </w:rPr>
            </w:pPr>
            <w:r>
              <w:rPr>
                <w:rFonts w:hint="eastAsia"/>
                <w:b/>
                <w:bCs/>
                <w:color w:val="auto"/>
                <w:sz w:val="24"/>
              </w:rPr>
              <w:t>3</w:t>
            </w:r>
            <w:r>
              <w:rPr>
                <w:b/>
                <w:bCs/>
                <w:color w:val="auto"/>
                <w:sz w:val="24"/>
              </w:rPr>
              <w:t>运营期声环境影响和保护措施</w:t>
            </w:r>
          </w:p>
          <w:p>
            <w:pPr>
              <w:spacing w:line="360" w:lineRule="auto"/>
              <w:ind w:firstLine="482" w:firstLineChars="200"/>
              <w:rPr>
                <w:rFonts w:hint="eastAsia"/>
                <w:b/>
                <w:bCs/>
                <w:color w:val="auto"/>
                <w:sz w:val="24"/>
              </w:rPr>
            </w:pPr>
            <w:r>
              <w:rPr>
                <w:rFonts w:hint="eastAsia"/>
                <w:b/>
                <w:bCs/>
                <w:color w:val="auto"/>
                <w:sz w:val="24"/>
              </w:rPr>
              <w:t>3.1噪声污染源强</w:t>
            </w:r>
          </w:p>
          <w:p>
            <w:pPr>
              <w:spacing w:line="360" w:lineRule="auto"/>
              <w:ind w:firstLine="480" w:firstLineChars="200"/>
              <w:rPr>
                <w:rFonts w:hint="eastAsia"/>
                <w:color w:val="auto"/>
                <w:sz w:val="24"/>
              </w:rPr>
            </w:pPr>
            <w:r>
              <w:rPr>
                <w:rFonts w:hint="eastAsia"/>
                <w:color w:val="auto"/>
                <w:sz w:val="24"/>
              </w:rPr>
              <w:t>项目运营期噪声源主要为生产车间内各种机械设备的噪声，各类设备运行噪声污染源强如下。</w:t>
            </w:r>
          </w:p>
          <w:p>
            <w:pPr>
              <w:snapToGrid w:val="0"/>
              <w:jc w:val="center"/>
              <w:rPr>
                <w:b/>
                <w:bCs/>
                <w:color w:val="auto"/>
                <w:szCs w:val="21"/>
              </w:rPr>
            </w:pPr>
          </w:p>
          <w:p>
            <w:pPr>
              <w:snapToGrid w:val="0"/>
              <w:jc w:val="center"/>
              <w:rPr>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13</w:t>
            </w:r>
            <w:r>
              <w:rPr>
                <w:b/>
                <w:bCs/>
                <w:color w:val="auto"/>
                <w:szCs w:val="21"/>
              </w:rPr>
              <w:t xml:space="preserve">  主要噪声源强及治理措施一览表</w:t>
            </w:r>
            <w:r>
              <w:rPr>
                <w:rFonts w:hint="eastAsia"/>
                <w:b/>
                <w:bCs/>
                <w:color w:val="auto"/>
                <w:szCs w:val="21"/>
              </w:rPr>
              <w:t>（室内）</w:t>
            </w:r>
          </w:p>
          <w:tbl>
            <w:tblPr>
              <w:tblStyle w:val="24"/>
              <w:tblW w:w="8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20"/>
              <w:gridCol w:w="847"/>
              <w:gridCol w:w="636"/>
              <w:gridCol w:w="532"/>
              <w:gridCol w:w="497"/>
              <w:gridCol w:w="351"/>
              <w:gridCol w:w="749"/>
              <w:gridCol w:w="820"/>
              <w:gridCol w:w="928"/>
              <w:gridCol w:w="820"/>
              <w:gridCol w:w="821"/>
              <w:gridCol w:w="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429" w:type="dxa"/>
                  <w:vMerge w:val="restart"/>
                  <w:vAlign w:val="center"/>
                </w:tcPr>
                <w:p>
                  <w:pPr>
                    <w:jc w:val="center"/>
                    <w:rPr>
                      <w:b/>
                      <w:bCs/>
                      <w:color w:val="auto"/>
                      <w:szCs w:val="21"/>
                    </w:rPr>
                  </w:pPr>
                  <w:r>
                    <w:rPr>
                      <w:rFonts w:hint="eastAsia"/>
                      <w:b/>
                      <w:bCs/>
                      <w:color w:val="auto"/>
                      <w:szCs w:val="21"/>
                    </w:rPr>
                    <w:t>声源名称</w:t>
                  </w:r>
                </w:p>
              </w:tc>
              <w:tc>
                <w:tcPr>
                  <w:tcW w:w="820" w:type="dxa"/>
                  <w:vMerge w:val="restart"/>
                  <w:vAlign w:val="center"/>
                </w:tcPr>
                <w:p>
                  <w:pPr>
                    <w:jc w:val="center"/>
                    <w:rPr>
                      <w:b/>
                      <w:bCs/>
                      <w:color w:val="auto"/>
                      <w:szCs w:val="21"/>
                    </w:rPr>
                  </w:pPr>
                  <w:r>
                    <w:rPr>
                      <w:rFonts w:hint="eastAsia"/>
                      <w:b/>
                      <w:bCs/>
                      <w:color w:val="auto"/>
                      <w:szCs w:val="21"/>
                    </w:rPr>
                    <w:t>声功率级/dB(A)</w:t>
                  </w:r>
                </w:p>
              </w:tc>
              <w:tc>
                <w:tcPr>
                  <w:tcW w:w="847" w:type="dxa"/>
                  <w:vMerge w:val="restart"/>
                  <w:vAlign w:val="center"/>
                </w:tcPr>
                <w:p>
                  <w:pPr>
                    <w:jc w:val="center"/>
                    <w:rPr>
                      <w:rFonts w:hint="eastAsia"/>
                      <w:b/>
                      <w:bCs/>
                      <w:color w:val="auto"/>
                      <w:szCs w:val="21"/>
                    </w:rPr>
                  </w:pPr>
                  <w:r>
                    <w:rPr>
                      <w:rFonts w:hint="eastAsia"/>
                      <w:b/>
                      <w:bCs/>
                      <w:color w:val="auto"/>
                      <w:szCs w:val="21"/>
                    </w:rPr>
                    <w:t>数量（台）</w:t>
                  </w:r>
                </w:p>
              </w:tc>
              <w:tc>
                <w:tcPr>
                  <w:tcW w:w="636" w:type="dxa"/>
                  <w:vMerge w:val="restart"/>
                  <w:vAlign w:val="center"/>
                </w:tcPr>
                <w:p>
                  <w:pPr>
                    <w:jc w:val="center"/>
                    <w:rPr>
                      <w:b/>
                      <w:bCs/>
                      <w:color w:val="auto"/>
                      <w:szCs w:val="21"/>
                    </w:rPr>
                  </w:pPr>
                  <w:r>
                    <w:rPr>
                      <w:rFonts w:hint="eastAsia"/>
                      <w:b/>
                      <w:bCs/>
                      <w:color w:val="auto"/>
                      <w:szCs w:val="21"/>
                    </w:rPr>
                    <w:t>声源控制措施</w:t>
                  </w:r>
                </w:p>
              </w:tc>
              <w:tc>
                <w:tcPr>
                  <w:tcW w:w="1380" w:type="dxa"/>
                  <w:gridSpan w:val="3"/>
                  <w:vAlign w:val="center"/>
                </w:tcPr>
                <w:p>
                  <w:pPr>
                    <w:jc w:val="center"/>
                    <w:rPr>
                      <w:rFonts w:hint="eastAsia"/>
                      <w:b/>
                      <w:bCs/>
                      <w:color w:val="auto"/>
                      <w:szCs w:val="21"/>
                    </w:rPr>
                  </w:pPr>
                  <w:r>
                    <w:rPr>
                      <w:rFonts w:hint="eastAsia"/>
                      <w:b/>
                      <w:bCs/>
                      <w:color w:val="auto"/>
                      <w:szCs w:val="21"/>
                    </w:rPr>
                    <w:t>空间相对位置/m</w:t>
                  </w:r>
                </w:p>
              </w:tc>
              <w:tc>
                <w:tcPr>
                  <w:tcW w:w="749" w:type="dxa"/>
                  <w:vMerge w:val="restart"/>
                  <w:vAlign w:val="center"/>
                </w:tcPr>
                <w:p>
                  <w:pPr>
                    <w:jc w:val="center"/>
                    <w:rPr>
                      <w:b/>
                      <w:bCs/>
                      <w:color w:val="auto"/>
                      <w:szCs w:val="21"/>
                    </w:rPr>
                  </w:pPr>
                  <w:r>
                    <w:rPr>
                      <w:rFonts w:hint="eastAsia"/>
                      <w:b/>
                      <w:bCs/>
                      <w:color w:val="auto"/>
                      <w:szCs w:val="21"/>
                    </w:rPr>
                    <w:t>距室内边界</w:t>
                  </w:r>
                  <w:r>
                    <w:rPr>
                      <w:rFonts w:hint="eastAsia"/>
                      <w:b/>
                      <w:bCs/>
                      <w:color w:val="auto"/>
                      <w:szCs w:val="21"/>
                      <w:lang w:eastAsia="zh-CN"/>
                    </w:rPr>
                    <w:t>最近</w:t>
                  </w:r>
                  <w:r>
                    <w:rPr>
                      <w:rFonts w:hint="eastAsia"/>
                      <w:b/>
                      <w:bCs/>
                      <w:color w:val="auto"/>
                      <w:szCs w:val="21"/>
                    </w:rPr>
                    <w:t>距离/m</w:t>
                  </w:r>
                </w:p>
              </w:tc>
              <w:tc>
                <w:tcPr>
                  <w:tcW w:w="820" w:type="dxa"/>
                  <w:vMerge w:val="restart"/>
                  <w:vAlign w:val="center"/>
                </w:tcPr>
                <w:p>
                  <w:pPr>
                    <w:jc w:val="center"/>
                    <w:rPr>
                      <w:rFonts w:hint="eastAsia"/>
                      <w:color w:val="auto"/>
                      <w:szCs w:val="21"/>
                    </w:rPr>
                  </w:pPr>
                  <w:r>
                    <w:rPr>
                      <w:rFonts w:hint="eastAsia"/>
                      <w:b/>
                      <w:bCs/>
                      <w:color w:val="auto"/>
                      <w:szCs w:val="21"/>
                    </w:rPr>
                    <w:t>室内边界声级/</w:t>
                  </w:r>
                  <w:r>
                    <w:rPr>
                      <w:b/>
                      <w:bCs/>
                      <w:color w:val="auto"/>
                      <w:szCs w:val="21"/>
                    </w:rPr>
                    <w:t>dB(A)</w:t>
                  </w:r>
                </w:p>
              </w:tc>
              <w:tc>
                <w:tcPr>
                  <w:tcW w:w="928" w:type="dxa"/>
                  <w:vMerge w:val="restart"/>
                  <w:vAlign w:val="center"/>
                </w:tcPr>
                <w:p>
                  <w:pPr>
                    <w:jc w:val="center"/>
                    <w:rPr>
                      <w:rFonts w:hint="eastAsia"/>
                      <w:b/>
                      <w:bCs/>
                      <w:color w:val="auto"/>
                    </w:rPr>
                  </w:pPr>
                  <w:r>
                    <w:rPr>
                      <w:rFonts w:hint="eastAsia"/>
                      <w:b/>
                      <w:bCs/>
                      <w:color w:val="auto"/>
                    </w:rPr>
                    <w:t>运行时段（h/d）</w:t>
                  </w:r>
                </w:p>
              </w:tc>
              <w:tc>
                <w:tcPr>
                  <w:tcW w:w="820" w:type="dxa"/>
                  <w:vMerge w:val="restart"/>
                  <w:vAlign w:val="center"/>
                </w:tcPr>
                <w:p>
                  <w:pPr>
                    <w:jc w:val="center"/>
                    <w:rPr>
                      <w:b/>
                      <w:bCs/>
                      <w:color w:val="auto"/>
                    </w:rPr>
                  </w:pPr>
                  <w:r>
                    <w:rPr>
                      <w:rFonts w:hint="eastAsia"/>
                      <w:b/>
                      <w:bCs/>
                      <w:color w:val="auto"/>
                    </w:rPr>
                    <w:t>建筑物插入损失/dB(A)</w:t>
                  </w:r>
                </w:p>
              </w:tc>
              <w:tc>
                <w:tcPr>
                  <w:tcW w:w="1253" w:type="dxa"/>
                  <w:gridSpan w:val="2"/>
                  <w:vAlign w:val="center"/>
                </w:tcPr>
                <w:p>
                  <w:pPr>
                    <w:jc w:val="center"/>
                    <w:rPr>
                      <w:color w:val="auto"/>
                      <w:szCs w:val="21"/>
                    </w:rPr>
                  </w:pPr>
                  <w:r>
                    <w:rPr>
                      <w:rFonts w:hint="eastAsia"/>
                      <w:b/>
                      <w:bCs/>
                      <w:color w:val="auto"/>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8" w:hRule="atLeast"/>
              </w:trPr>
              <w:tc>
                <w:tcPr>
                  <w:tcW w:w="429" w:type="dxa"/>
                  <w:vMerge w:val="continue"/>
                  <w:vAlign w:val="center"/>
                </w:tcPr>
                <w:p>
                  <w:pPr>
                    <w:jc w:val="center"/>
                    <w:rPr>
                      <w:color w:val="auto"/>
                    </w:rPr>
                  </w:pPr>
                </w:p>
              </w:tc>
              <w:tc>
                <w:tcPr>
                  <w:tcW w:w="820" w:type="dxa"/>
                  <w:vMerge w:val="continue"/>
                  <w:vAlign w:val="center"/>
                </w:tcPr>
                <w:p>
                  <w:pPr>
                    <w:jc w:val="center"/>
                    <w:rPr>
                      <w:color w:val="auto"/>
                    </w:rPr>
                  </w:pPr>
                </w:p>
              </w:tc>
              <w:tc>
                <w:tcPr>
                  <w:tcW w:w="847" w:type="dxa"/>
                  <w:vMerge w:val="continue"/>
                  <w:vAlign w:val="center"/>
                </w:tcPr>
                <w:p>
                  <w:pPr>
                    <w:jc w:val="center"/>
                    <w:rPr>
                      <w:color w:val="auto"/>
                    </w:rPr>
                  </w:pPr>
                </w:p>
              </w:tc>
              <w:tc>
                <w:tcPr>
                  <w:tcW w:w="636" w:type="dxa"/>
                  <w:vMerge w:val="continue"/>
                  <w:vAlign w:val="center"/>
                </w:tcPr>
                <w:p>
                  <w:pPr>
                    <w:jc w:val="center"/>
                    <w:rPr>
                      <w:color w:val="auto"/>
                    </w:rPr>
                  </w:pPr>
                </w:p>
              </w:tc>
              <w:tc>
                <w:tcPr>
                  <w:tcW w:w="532" w:type="dxa"/>
                  <w:vAlign w:val="center"/>
                </w:tcPr>
                <w:p>
                  <w:pPr>
                    <w:jc w:val="center"/>
                    <w:rPr>
                      <w:rFonts w:hint="eastAsia"/>
                      <w:color w:val="auto"/>
                    </w:rPr>
                  </w:pPr>
                  <w:r>
                    <w:rPr>
                      <w:rFonts w:hint="eastAsia"/>
                      <w:color w:val="auto"/>
                    </w:rPr>
                    <w:t>X</w:t>
                  </w:r>
                </w:p>
              </w:tc>
              <w:tc>
                <w:tcPr>
                  <w:tcW w:w="497" w:type="dxa"/>
                  <w:vAlign w:val="center"/>
                </w:tcPr>
                <w:p>
                  <w:pPr>
                    <w:jc w:val="center"/>
                    <w:rPr>
                      <w:rFonts w:hint="eastAsia"/>
                      <w:color w:val="auto"/>
                    </w:rPr>
                  </w:pPr>
                  <w:r>
                    <w:rPr>
                      <w:rFonts w:hint="eastAsia"/>
                      <w:color w:val="auto"/>
                    </w:rPr>
                    <w:t>Y</w:t>
                  </w:r>
                </w:p>
              </w:tc>
              <w:tc>
                <w:tcPr>
                  <w:tcW w:w="351" w:type="dxa"/>
                  <w:vAlign w:val="center"/>
                </w:tcPr>
                <w:p>
                  <w:pPr>
                    <w:jc w:val="center"/>
                    <w:rPr>
                      <w:rFonts w:hint="eastAsia"/>
                      <w:color w:val="auto"/>
                    </w:rPr>
                  </w:pPr>
                  <w:r>
                    <w:rPr>
                      <w:rFonts w:hint="eastAsia"/>
                      <w:color w:val="auto"/>
                    </w:rPr>
                    <w:t>Z</w:t>
                  </w:r>
                </w:p>
              </w:tc>
              <w:tc>
                <w:tcPr>
                  <w:tcW w:w="749" w:type="dxa"/>
                  <w:vMerge w:val="continue"/>
                  <w:vAlign w:val="center"/>
                </w:tcPr>
                <w:p>
                  <w:pPr>
                    <w:jc w:val="center"/>
                    <w:rPr>
                      <w:color w:val="auto"/>
                    </w:rPr>
                  </w:pPr>
                </w:p>
              </w:tc>
              <w:tc>
                <w:tcPr>
                  <w:tcW w:w="820" w:type="dxa"/>
                  <w:vMerge w:val="continue"/>
                  <w:vAlign w:val="center"/>
                </w:tcPr>
                <w:p>
                  <w:pPr>
                    <w:jc w:val="center"/>
                    <w:rPr>
                      <w:color w:val="auto"/>
                    </w:rPr>
                  </w:pPr>
                </w:p>
              </w:tc>
              <w:tc>
                <w:tcPr>
                  <w:tcW w:w="928" w:type="dxa"/>
                  <w:vMerge w:val="continue"/>
                  <w:vAlign w:val="center"/>
                </w:tcPr>
                <w:p>
                  <w:pPr>
                    <w:jc w:val="center"/>
                    <w:rPr>
                      <w:color w:val="auto"/>
                    </w:rPr>
                  </w:pPr>
                </w:p>
              </w:tc>
              <w:tc>
                <w:tcPr>
                  <w:tcW w:w="820" w:type="dxa"/>
                  <w:vMerge w:val="continue"/>
                  <w:vAlign w:val="center"/>
                </w:tcPr>
                <w:p>
                  <w:pPr>
                    <w:jc w:val="center"/>
                    <w:rPr>
                      <w:color w:val="auto"/>
                    </w:rPr>
                  </w:pPr>
                </w:p>
              </w:tc>
              <w:tc>
                <w:tcPr>
                  <w:tcW w:w="821" w:type="dxa"/>
                  <w:vAlign w:val="center"/>
                </w:tcPr>
                <w:p>
                  <w:pPr>
                    <w:jc w:val="center"/>
                    <w:rPr>
                      <w:b/>
                      <w:bCs/>
                      <w:color w:val="auto"/>
                    </w:rPr>
                  </w:pPr>
                  <w:r>
                    <w:rPr>
                      <w:rFonts w:hint="eastAsia"/>
                      <w:b/>
                      <w:bCs/>
                      <w:color w:val="auto"/>
                    </w:rPr>
                    <w:t>声压级/dB(A)</w:t>
                  </w:r>
                </w:p>
              </w:tc>
              <w:tc>
                <w:tcPr>
                  <w:tcW w:w="432" w:type="dxa"/>
                  <w:vAlign w:val="center"/>
                </w:tcPr>
                <w:p>
                  <w:pPr>
                    <w:jc w:val="center"/>
                    <w:rPr>
                      <w:b/>
                      <w:bCs/>
                      <w:color w:val="auto"/>
                    </w:rPr>
                  </w:pPr>
                  <w:r>
                    <w:rPr>
                      <w:rFonts w:hint="eastAsia"/>
                      <w:b/>
                      <w:bCs/>
                      <w:color w:val="auto"/>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9" w:hRule="atLeast"/>
              </w:trPr>
              <w:tc>
                <w:tcPr>
                  <w:tcW w:w="429" w:type="dxa"/>
                  <w:vAlign w:val="center"/>
                </w:tcPr>
                <w:p>
                  <w:pPr>
                    <w:jc w:val="center"/>
                    <w:rPr>
                      <w:rFonts w:hint="eastAsia"/>
                      <w:color w:val="auto"/>
                      <w:highlight w:val="none"/>
                      <w:lang w:eastAsia="zh-CN"/>
                    </w:rPr>
                  </w:pPr>
                  <w:r>
                    <w:rPr>
                      <w:rFonts w:hint="eastAsia"/>
                      <w:color w:val="auto"/>
                      <w:highlight w:val="none"/>
                      <w:lang w:eastAsia="zh-CN"/>
                    </w:rPr>
                    <w:t>搅拌机</w:t>
                  </w:r>
                </w:p>
              </w:tc>
              <w:tc>
                <w:tcPr>
                  <w:tcW w:w="820" w:type="dxa"/>
                  <w:vAlign w:val="center"/>
                </w:tcPr>
                <w:p>
                  <w:pPr>
                    <w:jc w:val="center"/>
                    <w:rPr>
                      <w:rFonts w:hint="default" w:eastAsia="宋体"/>
                      <w:color w:val="auto"/>
                      <w:highlight w:val="none"/>
                      <w:lang w:val="en-US" w:eastAsia="zh-CN"/>
                    </w:rPr>
                  </w:pPr>
                  <w:r>
                    <w:rPr>
                      <w:rFonts w:hint="eastAsia"/>
                      <w:color w:val="auto"/>
                      <w:highlight w:val="none"/>
                      <w:lang w:val="en-US" w:eastAsia="zh-CN"/>
                    </w:rPr>
                    <w:t>85</w:t>
                  </w:r>
                </w:p>
              </w:tc>
              <w:tc>
                <w:tcPr>
                  <w:tcW w:w="847"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restart"/>
                  <w:vAlign w:val="center"/>
                </w:tcPr>
                <w:p>
                  <w:pPr>
                    <w:jc w:val="center"/>
                    <w:rPr>
                      <w:rFonts w:hint="eastAsia"/>
                      <w:color w:val="auto"/>
                      <w:szCs w:val="21"/>
                      <w:highlight w:val="none"/>
                    </w:rPr>
                  </w:pPr>
                  <w:r>
                    <w:rPr>
                      <w:rFonts w:hint="eastAsia"/>
                      <w:color w:val="auto"/>
                      <w:highlight w:val="none"/>
                    </w:rPr>
                    <w:t>选择低噪声设备，合理规划布局，定期</w:t>
                  </w:r>
                  <w:r>
                    <w:rPr>
                      <w:rFonts w:hint="eastAsia"/>
                      <w:color w:val="auto"/>
                      <w:highlight w:val="none"/>
                      <w:lang w:eastAsia="zh-CN"/>
                    </w:rPr>
                    <w:t>维护</w:t>
                  </w: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5</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5</w:t>
                  </w:r>
                </w:p>
              </w:tc>
              <w:tc>
                <w:tcPr>
                  <w:tcW w:w="351" w:type="dxa"/>
                  <w:vAlign w:val="center"/>
                </w:tcPr>
                <w:p>
                  <w:pPr>
                    <w:jc w:val="center"/>
                    <w:rPr>
                      <w:rFonts w:hint="default" w:eastAsia="宋体"/>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5</w:t>
                  </w:r>
                </w:p>
              </w:tc>
              <w:tc>
                <w:tcPr>
                  <w:tcW w:w="820" w:type="dxa"/>
                  <w:vAlign w:val="center"/>
                </w:tcPr>
                <w:p>
                  <w:pPr>
                    <w:jc w:val="center"/>
                    <w:rPr>
                      <w:rFonts w:hint="default"/>
                      <w:color w:val="auto"/>
                      <w:lang w:val="en-US" w:eastAsia="zh-CN"/>
                    </w:rPr>
                  </w:pPr>
                  <w:r>
                    <w:rPr>
                      <w:rFonts w:hint="eastAsia"/>
                      <w:color w:val="auto"/>
                      <w:lang w:val="en-US" w:eastAsia="zh-CN"/>
                    </w:rPr>
                    <w:t>71</w:t>
                  </w:r>
                </w:p>
              </w:tc>
              <w:tc>
                <w:tcPr>
                  <w:tcW w:w="928" w:type="dxa"/>
                  <w:vAlign w:val="center"/>
                </w:tcPr>
                <w:p>
                  <w:pPr>
                    <w:jc w:val="center"/>
                    <w:rPr>
                      <w:rFonts w:hint="default"/>
                      <w:color w:val="auto"/>
                      <w:lang w:val="en-US" w:eastAsia="zh-CN"/>
                    </w:rPr>
                  </w:pPr>
                  <w:r>
                    <w:rPr>
                      <w:rFonts w:hint="eastAsia"/>
                      <w:color w:val="auto"/>
                      <w:lang w:val="en-US" w:eastAsia="zh-CN"/>
                    </w:rPr>
                    <w:t>10</w:t>
                  </w:r>
                </w:p>
              </w:tc>
              <w:tc>
                <w:tcPr>
                  <w:tcW w:w="820" w:type="dxa"/>
                  <w:vAlign w:val="center"/>
                </w:tcPr>
                <w:p>
                  <w:pPr>
                    <w:jc w:val="center"/>
                    <w:rPr>
                      <w:rFonts w:hint="default" w:eastAsia="宋体"/>
                      <w:color w:val="auto"/>
                      <w:lang w:val="en-US" w:eastAsia="zh-CN"/>
                    </w:rPr>
                  </w:pPr>
                  <w:r>
                    <w:rPr>
                      <w:rFonts w:hint="eastAsia"/>
                      <w:color w:val="auto"/>
                      <w:lang w:val="en-US" w:eastAsia="zh-CN"/>
                    </w:rPr>
                    <w:t>15</w:t>
                  </w:r>
                </w:p>
              </w:tc>
              <w:tc>
                <w:tcPr>
                  <w:tcW w:w="821" w:type="dxa"/>
                  <w:vAlign w:val="center"/>
                </w:tcPr>
                <w:p>
                  <w:pPr>
                    <w:jc w:val="center"/>
                    <w:rPr>
                      <w:rFonts w:hint="default"/>
                      <w:color w:val="auto"/>
                      <w:lang w:val="en-US" w:eastAsia="zh-CN"/>
                    </w:rPr>
                  </w:pPr>
                  <w:r>
                    <w:rPr>
                      <w:rFonts w:hint="eastAsia"/>
                      <w:color w:val="auto"/>
                      <w:lang w:val="en-US" w:eastAsia="zh-CN"/>
                    </w:rPr>
                    <w:t>56</w:t>
                  </w:r>
                </w:p>
              </w:tc>
              <w:tc>
                <w:tcPr>
                  <w:tcW w:w="432"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429" w:type="dxa"/>
                  <w:vAlign w:val="center"/>
                </w:tcPr>
                <w:p>
                  <w:pPr>
                    <w:jc w:val="center"/>
                    <w:rPr>
                      <w:rFonts w:hint="eastAsia"/>
                      <w:color w:val="auto"/>
                      <w:highlight w:val="none"/>
                      <w:lang w:eastAsia="zh-CN"/>
                    </w:rPr>
                  </w:pPr>
                  <w:r>
                    <w:rPr>
                      <w:rFonts w:hint="eastAsia"/>
                      <w:color w:val="auto"/>
                      <w:highlight w:val="none"/>
                      <w:lang w:eastAsia="zh-CN"/>
                    </w:rPr>
                    <w:t>水泥罐</w:t>
                  </w:r>
                </w:p>
              </w:tc>
              <w:tc>
                <w:tcPr>
                  <w:tcW w:w="820" w:type="dxa"/>
                  <w:vAlign w:val="center"/>
                </w:tcPr>
                <w:p>
                  <w:pPr>
                    <w:jc w:val="center"/>
                    <w:rPr>
                      <w:rFonts w:hint="default" w:eastAsia="宋体"/>
                      <w:color w:val="auto"/>
                      <w:highlight w:val="none"/>
                      <w:lang w:val="en-US" w:eastAsia="zh-CN"/>
                    </w:rPr>
                  </w:pPr>
                  <w:r>
                    <w:rPr>
                      <w:rFonts w:hint="eastAsia"/>
                      <w:color w:val="auto"/>
                      <w:highlight w:val="none"/>
                      <w:lang w:val="en-US" w:eastAsia="zh-CN"/>
                    </w:rPr>
                    <w:t>75</w:t>
                  </w:r>
                </w:p>
              </w:tc>
              <w:tc>
                <w:tcPr>
                  <w:tcW w:w="847"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6</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3</w:t>
                  </w:r>
                </w:p>
              </w:tc>
              <w:tc>
                <w:tcPr>
                  <w:tcW w:w="351" w:type="dxa"/>
                  <w:vAlign w:val="center"/>
                </w:tcPr>
                <w:p>
                  <w:pPr>
                    <w:jc w:val="center"/>
                    <w:rPr>
                      <w:rFonts w:hint="default" w:eastAsia="宋体"/>
                      <w:color w:val="auto"/>
                      <w:lang w:val="en-US" w:eastAsia="zh-CN"/>
                    </w:rPr>
                  </w:pPr>
                  <w:r>
                    <w:rPr>
                      <w:rFonts w:hint="eastAsia"/>
                      <w:color w:val="auto"/>
                      <w:lang w:val="en-US" w:eastAsia="zh-CN"/>
                    </w:rPr>
                    <w:t>7</w:t>
                  </w:r>
                </w:p>
              </w:tc>
              <w:tc>
                <w:tcPr>
                  <w:tcW w:w="749" w:type="dxa"/>
                  <w:vAlign w:val="center"/>
                </w:tcPr>
                <w:p>
                  <w:pPr>
                    <w:jc w:val="center"/>
                    <w:rPr>
                      <w:rFonts w:hint="default"/>
                      <w:color w:val="auto"/>
                      <w:lang w:val="en-US" w:eastAsia="zh-CN"/>
                    </w:rPr>
                  </w:pPr>
                  <w:r>
                    <w:rPr>
                      <w:rFonts w:hint="eastAsia"/>
                      <w:color w:val="auto"/>
                      <w:lang w:val="en-US" w:eastAsia="zh-CN"/>
                    </w:rPr>
                    <w:t>3</w:t>
                  </w:r>
                </w:p>
              </w:tc>
              <w:tc>
                <w:tcPr>
                  <w:tcW w:w="820" w:type="dxa"/>
                  <w:vAlign w:val="center"/>
                </w:tcPr>
                <w:p>
                  <w:pPr>
                    <w:jc w:val="center"/>
                    <w:rPr>
                      <w:rFonts w:hint="default"/>
                      <w:color w:val="auto"/>
                      <w:lang w:val="en-US" w:eastAsia="zh-CN"/>
                    </w:rPr>
                  </w:pPr>
                  <w:r>
                    <w:rPr>
                      <w:rFonts w:hint="eastAsia"/>
                      <w:color w:val="auto"/>
                      <w:lang w:val="en-US" w:eastAsia="zh-CN"/>
                    </w:rPr>
                    <w:t>65</w:t>
                  </w:r>
                </w:p>
              </w:tc>
              <w:tc>
                <w:tcPr>
                  <w:tcW w:w="928" w:type="dxa"/>
                  <w:vAlign w:val="center"/>
                </w:tcPr>
                <w:p>
                  <w:pPr>
                    <w:jc w:val="center"/>
                    <w:rPr>
                      <w:rFonts w:hint="default"/>
                      <w:color w:val="auto"/>
                      <w:lang w:val="en-US" w:eastAsia="zh-CN"/>
                    </w:rPr>
                  </w:pPr>
                  <w:r>
                    <w:rPr>
                      <w:rFonts w:hint="eastAsia"/>
                      <w:color w:val="auto"/>
                      <w:lang w:val="en-US" w:eastAsia="zh-CN"/>
                    </w:rPr>
                    <w:t>10</w:t>
                  </w:r>
                </w:p>
              </w:tc>
              <w:tc>
                <w:tcPr>
                  <w:tcW w:w="820" w:type="dxa"/>
                  <w:vAlign w:val="center"/>
                </w:tcPr>
                <w:p>
                  <w:pPr>
                    <w:jc w:val="center"/>
                    <w:rPr>
                      <w:rFonts w:hint="default" w:eastAsia="宋体"/>
                      <w:color w:val="auto"/>
                      <w:lang w:val="en-US" w:eastAsia="zh-CN"/>
                    </w:rPr>
                  </w:pPr>
                  <w:r>
                    <w:rPr>
                      <w:rFonts w:hint="eastAsia"/>
                      <w:color w:val="auto"/>
                      <w:lang w:val="en-US" w:eastAsia="zh-CN"/>
                    </w:rPr>
                    <w:t>15</w:t>
                  </w:r>
                </w:p>
              </w:tc>
              <w:tc>
                <w:tcPr>
                  <w:tcW w:w="821" w:type="dxa"/>
                  <w:vAlign w:val="center"/>
                </w:tcPr>
                <w:p>
                  <w:pPr>
                    <w:jc w:val="center"/>
                    <w:rPr>
                      <w:rFonts w:hint="default"/>
                      <w:color w:val="auto"/>
                      <w:lang w:val="en-US" w:eastAsia="zh-CN"/>
                    </w:rPr>
                  </w:pPr>
                  <w:r>
                    <w:rPr>
                      <w:rFonts w:hint="eastAsia"/>
                      <w:color w:val="auto"/>
                      <w:lang w:val="en-US" w:eastAsia="zh-CN"/>
                    </w:rPr>
                    <w:t>50</w:t>
                  </w:r>
                </w:p>
              </w:tc>
              <w:tc>
                <w:tcPr>
                  <w:tcW w:w="432" w:type="dxa"/>
                  <w:vAlign w:val="center"/>
                </w:tcPr>
                <w:p>
                  <w:pPr>
                    <w:jc w:val="center"/>
                    <w:rPr>
                      <w:rFonts w:hint="default"/>
                      <w:color w:val="auto"/>
                      <w:lang w:val="en-US" w:eastAsia="zh-CN"/>
                    </w:rPr>
                  </w:pPr>
                  <w:r>
                    <w:rPr>
                      <w:rFonts w:hint="eastAsia"/>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trPr>
              <w:tc>
                <w:tcPr>
                  <w:tcW w:w="429" w:type="dxa"/>
                  <w:vAlign w:val="center"/>
                </w:tcPr>
                <w:p>
                  <w:pPr>
                    <w:jc w:val="center"/>
                    <w:rPr>
                      <w:rFonts w:hint="eastAsia"/>
                      <w:color w:val="auto"/>
                      <w:highlight w:val="none"/>
                      <w:lang w:eastAsia="zh-CN"/>
                    </w:rPr>
                  </w:pPr>
                  <w:r>
                    <w:rPr>
                      <w:rFonts w:hint="eastAsia"/>
                      <w:color w:val="auto"/>
                      <w:highlight w:val="none"/>
                      <w:lang w:eastAsia="zh-CN"/>
                    </w:rPr>
                    <w:t>配料机</w:t>
                  </w:r>
                </w:p>
              </w:tc>
              <w:tc>
                <w:tcPr>
                  <w:tcW w:w="820" w:type="dxa"/>
                  <w:vAlign w:val="center"/>
                </w:tcPr>
                <w:p>
                  <w:pPr>
                    <w:jc w:val="center"/>
                    <w:rPr>
                      <w:rFonts w:hint="default" w:eastAsia="宋体"/>
                      <w:color w:val="auto"/>
                      <w:highlight w:val="none"/>
                      <w:lang w:val="en-US" w:eastAsia="zh-CN"/>
                    </w:rPr>
                  </w:pPr>
                  <w:r>
                    <w:rPr>
                      <w:rFonts w:hint="eastAsia"/>
                      <w:color w:val="auto"/>
                      <w:highlight w:val="none"/>
                      <w:lang w:val="en-US" w:eastAsia="zh-CN"/>
                    </w:rPr>
                    <w:t>75</w:t>
                  </w:r>
                </w:p>
              </w:tc>
              <w:tc>
                <w:tcPr>
                  <w:tcW w:w="847" w:type="dxa"/>
                  <w:vAlign w:val="center"/>
                </w:tcPr>
                <w:p>
                  <w:pPr>
                    <w:jc w:val="center"/>
                    <w:rPr>
                      <w:rFonts w:hint="default"/>
                      <w:color w:val="auto"/>
                      <w:szCs w:val="21"/>
                      <w:highlight w:val="none"/>
                      <w:lang w:val="en-US" w:eastAsia="zh-CN"/>
                    </w:rPr>
                  </w:pPr>
                  <w:r>
                    <w:rPr>
                      <w:rFonts w:hint="eastAsia"/>
                      <w:color w:val="auto"/>
                      <w:szCs w:val="21"/>
                      <w:highlight w:val="none"/>
                      <w:lang w:val="en-US" w:eastAsia="zh-CN"/>
                    </w:rPr>
                    <w:t>1</w:t>
                  </w:r>
                </w:p>
              </w:tc>
              <w:tc>
                <w:tcPr>
                  <w:tcW w:w="636" w:type="dxa"/>
                  <w:vMerge w:val="continue"/>
                  <w:vAlign w:val="center"/>
                </w:tcPr>
                <w:p>
                  <w:pPr>
                    <w:jc w:val="center"/>
                    <w:rPr>
                      <w:rFonts w:hint="eastAsia"/>
                      <w:color w:val="auto"/>
                      <w:highlight w:val="none"/>
                    </w:rPr>
                  </w:pPr>
                </w:p>
              </w:tc>
              <w:tc>
                <w:tcPr>
                  <w:tcW w:w="532" w:type="dxa"/>
                  <w:vAlign w:val="center"/>
                </w:tcPr>
                <w:p>
                  <w:pPr>
                    <w:jc w:val="center"/>
                    <w:rPr>
                      <w:rFonts w:hint="default"/>
                      <w:color w:val="auto"/>
                      <w:highlight w:val="none"/>
                      <w:lang w:val="en-US" w:eastAsia="zh-CN"/>
                    </w:rPr>
                  </w:pPr>
                  <w:r>
                    <w:rPr>
                      <w:rFonts w:hint="eastAsia"/>
                      <w:color w:val="auto"/>
                      <w:highlight w:val="none"/>
                      <w:lang w:val="en-US" w:eastAsia="zh-CN"/>
                    </w:rPr>
                    <w:t>10</w:t>
                  </w:r>
                </w:p>
              </w:tc>
              <w:tc>
                <w:tcPr>
                  <w:tcW w:w="497" w:type="dxa"/>
                  <w:vAlign w:val="center"/>
                </w:tcPr>
                <w:p>
                  <w:pPr>
                    <w:jc w:val="center"/>
                    <w:rPr>
                      <w:rFonts w:hint="default"/>
                      <w:color w:val="auto"/>
                      <w:highlight w:val="none"/>
                      <w:lang w:val="en-US" w:eastAsia="zh-CN"/>
                    </w:rPr>
                  </w:pPr>
                  <w:r>
                    <w:rPr>
                      <w:rFonts w:hint="eastAsia"/>
                      <w:color w:val="auto"/>
                      <w:highlight w:val="none"/>
                      <w:lang w:val="en-US" w:eastAsia="zh-CN"/>
                    </w:rPr>
                    <w:t>7</w:t>
                  </w:r>
                </w:p>
              </w:tc>
              <w:tc>
                <w:tcPr>
                  <w:tcW w:w="351" w:type="dxa"/>
                  <w:vAlign w:val="center"/>
                </w:tcPr>
                <w:p>
                  <w:pPr>
                    <w:jc w:val="center"/>
                    <w:rPr>
                      <w:rFonts w:hint="default" w:eastAsia="宋体"/>
                      <w:color w:val="auto"/>
                      <w:lang w:val="en-US" w:eastAsia="zh-CN"/>
                    </w:rPr>
                  </w:pPr>
                  <w:r>
                    <w:rPr>
                      <w:rFonts w:hint="eastAsia"/>
                      <w:color w:val="auto"/>
                      <w:lang w:val="en-US" w:eastAsia="zh-CN"/>
                    </w:rPr>
                    <w:t>2</w:t>
                  </w:r>
                </w:p>
              </w:tc>
              <w:tc>
                <w:tcPr>
                  <w:tcW w:w="749" w:type="dxa"/>
                  <w:vAlign w:val="center"/>
                </w:tcPr>
                <w:p>
                  <w:pPr>
                    <w:jc w:val="center"/>
                    <w:rPr>
                      <w:rFonts w:hint="default"/>
                      <w:color w:val="auto"/>
                      <w:lang w:val="en-US" w:eastAsia="zh-CN"/>
                    </w:rPr>
                  </w:pPr>
                  <w:r>
                    <w:rPr>
                      <w:rFonts w:hint="eastAsia"/>
                      <w:color w:val="auto"/>
                      <w:lang w:val="en-US" w:eastAsia="zh-CN"/>
                    </w:rPr>
                    <w:t>7</w:t>
                  </w:r>
                </w:p>
              </w:tc>
              <w:tc>
                <w:tcPr>
                  <w:tcW w:w="820" w:type="dxa"/>
                  <w:vAlign w:val="center"/>
                </w:tcPr>
                <w:p>
                  <w:pPr>
                    <w:jc w:val="center"/>
                    <w:rPr>
                      <w:rFonts w:hint="default"/>
                      <w:color w:val="auto"/>
                      <w:lang w:val="en-US" w:eastAsia="zh-CN"/>
                    </w:rPr>
                  </w:pPr>
                  <w:r>
                    <w:rPr>
                      <w:rFonts w:hint="eastAsia"/>
                      <w:color w:val="auto"/>
                      <w:lang w:val="en-US" w:eastAsia="zh-CN"/>
                    </w:rPr>
                    <w:t>58</w:t>
                  </w:r>
                </w:p>
              </w:tc>
              <w:tc>
                <w:tcPr>
                  <w:tcW w:w="928" w:type="dxa"/>
                  <w:vAlign w:val="center"/>
                </w:tcPr>
                <w:p>
                  <w:pPr>
                    <w:jc w:val="center"/>
                    <w:rPr>
                      <w:rFonts w:hint="default"/>
                      <w:color w:val="auto"/>
                      <w:lang w:val="en-US" w:eastAsia="zh-CN"/>
                    </w:rPr>
                  </w:pPr>
                  <w:r>
                    <w:rPr>
                      <w:rFonts w:hint="eastAsia"/>
                      <w:color w:val="auto"/>
                      <w:lang w:val="en-US" w:eastAsia="zh-CN"/>
                    </w:rPr>
                    <w:t>10</w:t>
                  </w:r>
                </w:p>
              </w:tc>
              <w:tc>
                <w:tcPr>
                  <w:tcW w:w="820" w:type="dxa"/>
                  <w:vAlign w:val="center"/>
                </w:tcPr>
                <w:p>
                  <w:pPr>
                    <w:jc w:val="center"/>
                    <w:rPr>
                      <w:rFonts w:hint="default" w:eastAsia="宋体"/>
                      <w:color w:val="auto"/>
                      <w:lang w:val="en-US" w:eastAsia="zh-CN"/>
                    </w:rPr>
                  </w:pPr>
                  <w:r>
                    <w:rPr>
                      <w:rFonts w:hint="eastAsia"/>
                      <w:color w:val="auto"/>
                      <w:lang w:val="en-US" w:eastAsia="zh-CN"/>
                    </w:rPr>
                    <w:t>15</w:t>
                  </w:r>
                </w:p>
              </w:tc>
              <w:tc>
                <w:tcPr>
                  <w:tcW w:w="821" w:type="dxa"/>
                  <w:vAlign w:val="center"/>
                </w:tcPr>
                <w:p>
                  <w:pPr>
                    <w:jc w:val="center"/>
                    <w:rPr>
                      <w:rFonts w:hint="default"/>
                      <w:color w:val="auto"/>
                      <w:lang w:val="en-US" w:eastAsia="zh-CN"/>
                    </w:rPr>
                  </w:pPr>
                  <w:r>
                    <w:rPr>
                      <w:rFonts w:hint="eastAsia"/>
                      <w:color w:val="auto"/>
                      <w:lang w:val="en-US" w:eastAsia="zh-CN"/>
                    </w:rPr>
                    <w:t>43</w:t>
                  </w:r>
                </w:p>
              </w:tc>
              <w:tc>
                <w:tcPr>
                  <w:tcW w:w="432" w:type="dxa"/>
                  <w:vAlign w:val="center"/>
                </w:tcPr>
                <w:p>
                  <w:pPr>
                    <w:jc w:val="center"/>
                    <w:rPr>
                      <w:rFonts w:hint="default"/>
                      <w:color w:val="auto"/>
                      <w:lang w:val="en-US" w:eastAsia="zh-CN"/>
                    </w:rPr>
                  </w:pPr>
                  <w:r>
                    <w:rPr>
                      <w:rFonts w:hint="eastAsia"/>
                      <w:color w:val="auto"/>
                      <w:lang w:val="en-US" w:eastAsia="zh-CN"/>
                    </w:rPr>
                    <w:t>1</w:t>
                  </w:r>
                </w:p>
              </w:tc>
            </w:tr>
          </w:tbl>
          <w:p>
            <w:pPr>
              <w:snapToGrid w:val="0"/>
              <w:jc w:val="center"/>
              <w:rPr>
                <w:b/>
                <w:bCs/>
                <w:color w:val="auto"/>
                <w:szCs w:val="21"/>
              </w:rPr>
            </w:pPr>
          </w:p>
          <w:p>
            <w:pPr>
              <w:snapToGrid w:val="0"/>
              <w:jc w:val="center"/>
              <w:rPr>
                <w:rFonts w:hint="eastAsia"/>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14</w:t>
            </w:r>
            <w:r>
              <w:rPr>
                <w:b/>
                <w:bCs/>
                <w:color w:val="auto"/>
                <w:szCs w:val="21"/>
              </w:rPr>
              <w:t xml:space="preserve">  主要噪声源强及治理措施一览表</w:t>
            </w:r>
            <w:r>
              <w:rPr>
                <w:rFonts w:hint="eastAsia"/>
                <w:b/>
                <w:bCs/>
                <w:color w:val="auto"/>
                <w:szCs w:val="21"/>
              </w:rPr>
              <w:t>（室外）</w:t>
            </w:r>
          </w:p>
          <w:tbl>
            <w:tblPr>
              <w:tblStyle w:val="24"/>
              <w:tblW w:w="85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020"/>
              <w:gridCol w:w="1023"/>
              <w:gridCol w:w="609"/>
              <w:gridCol w:w="561"/>
              <w:gridCol w:w="501"/>
              <w:gridCol w:w="1765"/>
              <w:gridCol w:w="1244"/>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Merge w:val="restart"/>
                  <w:vAlign w:val="center"/>
                </w:tcPr>
                <w:p>
                  <w:pPr>
                    <w:jc w:val="center"/>
                    <w:rPr>
                      <w:rFonts w:hint="eastAsia"/>
                      <w:color w:val="auto"/>
                      <w:szCs w:val="21"/>
                    </w:rPr>
                  </w:pPr>
                  <w:r>
                    <w:rPr>
                      <w:rFonts w:hint="eastAsia"/>
                      <w:color w:val="auto"/>
                      <w:szCs w:val="21"/>
                    </w:rPr>
                    <w:t>声源</w:t>
                  </w:r>
                </w:p>
                <w:p>
                  <w:pPr>
                    <w:jc w:val="center"/>
                    <w:rPr>
                      <w:color w:val="auto"/>
                      <w:szCs w:val="21"/>
                    </w:rPr>
                  </w:pPr>
                  <w:r>
                    <w:rPr>
                      <w:rFonts w:hint="eastAsia"/>
                      <w:color w:val="auto"/>
                      <w:szCs w:val="21"/>
                    </w:rPr>
                    <w:t>名称</w:t>
                  </w:r>
                </w:p>
              </w:tc>
              <w:tc>
                <w:tcPr>
                  <w:tcW w:w="1020" w:type="dxa"/>
                  <w:vMerge w:val="restart"/>
                  <w:vAlign w:val="center"/>
                </w:tcPr>
                <w:p>
                  <w:pPr>
                    <w:jc w:val="center"/>
                    <w:rPr>
                      <w:color w:val="auto"/>
                      <w:szCs w:val="21"/>
                    </w:rPr>
                  </w:pPr>
                  <w:r>
                    <w:rPr>
                      <w:rFonts w:hint="eastAsia"/>
                      <w:color w:val="auto"/>
                      <w:szCs w:val="21"/>
                      <w:lang w:val="en-US" w:eastAsia="zh-CN"/>
                    </w:rPr>
                    <w:t>1m处声压级</w:t>
                  </w:r>
                  <w:r>
                    <w:rPr>
                      <w:rFonts w:hint="eastAsia"/>
                      <w:b/>
                      <w:bCs/>
                      <w:color w:val="auto"/>
                      <w:szCs w:val="21"/>
                    </w:rPr>
                    <w:t>/dB(A)</w:t>
                  </w:r>
                </w:p>
              </w:tc>
              <w:tc>
                <w:tcPr>
                  <w:tcW w:w="1023" w:type="dxa"/>
                  <w:vMerge w:val="restart"/>
                  <w:vAlign w:val="center"/>
                </w:tcPr>
                <w:p>
                  <w:pPr>
                    <w:jc w:val="center"/>
                    <w:rPr>
                      <w:rFonts w:hint="eastAsia"/>
                      <w:color w:val="auto"/>
                      <w:szCs w:val="21"/>
                    </w:rPr>
                  </w:pPr>
                  <w:r>
                    <w:rPr>
                      <w:rFonts w:hint="eastAsia"/>
                      <w:color w:val="auto"/>
                      <w:szCs w:val="21"/>
                    </w:rPr>
                    <w:t>数量（台）</w:t>
                  </w:r>
                </w:p>
              </w:tc>
              <w:tc>
                <w:tcPr>
                  <w:tcW w:w="1671" w:type="dxa"/>
                  <w:gridSpan w:val="3"/>
                  <w:vAlign w:val="center"/>
                </w:tcPr>
                <w:p>
                  <w:pPr>
                    <w:jc w:val="center"/>
                    <w:rPr>
                      <w:color w:val="auto"/>
                      <w:szCs w:val="21"/>
                    </w:rPr>
                  </w:pPr>
                  <w:r>
                    <w:rPr>
                      <w:rFonts w:hint="eastAsia"/>
                      <w:b/>
                      <w:bCs/>
                      <w:color w:val="auto"/>
                      <w:szCs w:val="21"/>
                    </w:rPr>
                    <w:t>空间相对位置/m</w:t>
                  </w:r>
                </w:p>
              </w:tc>
              <w:tc>
                <w:tcPr>
                  <w:tcW w:w="1765" w:type="dxa"/>
                  <w:vMerge w:val="restart"/>
                  <w:vAlign w:val="center"/>
                </w:tcPr>
                <w:p>
                  <w:pPr>
                    <w:jc w:val="center"/>
                    <w:rPr>
                      <w:color w:val="auto"/>
                      <w:szCs w:val="21"/>
                    </w:rPr>
                  </w:pPr>
                  <w:r>
                    <w:rPr>
                      <w:rFonts w:hint="eastAsia"/>
                      <w:b w:val="0"/>
                      <w:bCs w:val="0"/>
                      <w:color w:val="auto"/>
                      <w:szCs w:val="21"/>
                    </w:rPr>
                    <w:t>声源控制措施</w:t>
                  </w:r>
                </w:p>
              </w:tc>
              <w:tc>
                <w:tcPr>
                  <w:tcW w:w="1244" w:type="dxa"/>
                  <w:vMerge w:val="restart"/>
                  <w:vAlign w:val="center"/>
                </w:tcPr>
                <w:p>
                  <w:pPr>
                    <w:jc w:val="center"/>
                    <w:rPr>
                      <w:rFonts w:hint="default" w:eastAsia="宋体"/>
                      <w:b w:val="0"/>
                      <w:bCs w:val="0"/>
                      <w:color w:val="auto"/>
                      <w:szCs w:val="21"/>
                      <w:lang w:val="en-US" w:eastAsia="zh-CN"/>
                    </w:rPr>
                  </w:pPr>
                  <w:r>
                    <w:rPr>
                      <w:rFonts w:hint="eastAsia"/>
                      <w:b w:val="0"/>
                      <w:bCs w:val="0"/>
                      <w:color w:val="auto"/>
                      <w:szCs w:val="21"/>
                      <w:lang w:eastAsia="zh-CN"/>
                    </w:rPr>
                    <w:t>距厂界距离（</w:t>
                  </w:r>
                  <w:r>
                    <w:rPr>
                      <w:rFonts w:hint="eastAsia"/>
                      <w:b w:val="0"/>
                      <w:bCs w:val="0"/>
                      <w:color w:val="auto"/>
                      <w:szCs w:val="21"/>
                      <w:lang w:val="en-US" w:eastAsia="zh-CN"/>
                    </w:rPr>
                    <w:t>m）</w:t>
                  </w:r>
                </w:p>
              </w:tc>
              <w:tc>
                <w:tcPr>
                  <w:tcW w:w="1061" w:type="dxa"/>
                  <w:vMerge w:val="restart"/>
                  <w:vAlign w:val="center"/>
                </w:tcPr>
                <w:p>
                  <w:pPr>
                    <w:jc w:val="center"/>
                    <w:rPr>
                      <w:color w:val="auto"/>
                      <w:szCs w:val="21"/>
                    </w:rPr>
                  </w:pPr>
                  <w:r>
                    <w:rPr>
                      <w:rFonts w:hint="eastAsia"/>
                      <w:color w:val="auto"/>
                      <w:szCs w:val="21"/>
                    </w:rPr>
                    <w:t>运行时段</w:t>
                  </w:r>
                  <w:r>
                    <w:rPr>
                      <w:rFonts w:hint="eastAsia"/>
                      <w:color w:val="auto"/>
                      <w:szCs w:val="21"/>
                      <w:lang w:eastAsia="zh-CN"/>
                    </w:rPr>
                    <w:t>（</w:t>
                  </w:r>
                  <w:r>
                    <w:rPr>
                      <w:rFonts w:hint="eastAsia"/>
                      <w:color w:val="auto"/>
                      <w:szCs w:val="21"/>
                    </w:rPr>
                    <w:t>h/d</w:t>
                  </w:r>
                  <w:r>
                    <w:rPr>
                      <w:rFonts w:hint="eastAsia"/>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Merge w:val="continue"/>
                  <w:vAlign w:val="center"/>
                </w:tcPr>
                <w:p>
                  <w:pPr>
                    <w:jc w:val="center"/>
                    <w:rPr>
                      <w:rFonts w:hint="eastAsia"/>
                      <w:color w:val="auto"/>
                      <w:szCs w:val="21"/>
                    </w:rPr>
                  </w:pPr>
                </w:p>
              </w:tc>
              <w:tc>
                <w:tcPr>
                  <w:tcW w:w="1020" w:type="dxa"/>
                  <w:vMerge w:val="continue"/>
                  <w:vAlign w:val="center"/>
                </w:tcPr>
                <w:p>
                  <w:pPr>
                    <w:jc w:val="center"/>
                    <w:rPr>
                      <w:rFonts w:hint="eastAsia"/>
                      <w:color w:val="auto"/>
                      <w:szCs w:val="21"/>
                    </w:rPr>
                  </w:pPr>
                </w:p>
              </w:tc>
              <w:tc>
                <w:tcPr>
                  <w:tcW w:w="1023" w:type="dxa"/>
                  <w:vMerge w:val="continue"/>
                  <w:vAlign w:val="center"/>
                </w:tcPr>
                <w:p>
                  <w:pPr>
                    <w:jc w:val="center"/>
                    <w:rPr>
                      <w:color w:val="auto"/>
                      <w:szCs w:val="21"/>
                    </w:rPr>
                  </w:pPr>
                </w:p>
              </w:tc>
              <w:tc>
                <w:tcPr>
                  <w:tcW w:w="609" w:type="dxa"/>
                  <w:vAlign w:val="center"/>
                </w:tcPr>
                <w:p>
                  <w:pPr>
                    <w:jc w:val="center"/>
                    <w:rPr>
                      <w:color w:val="auto"/>
                      <w:szCs w:val="21"/>
                    </w:rPr>
                  </w:pPr>
                  <w:r>
                    <w:rPr>
                      <w:rFonts w:hint="eastAsia"/>
                      <w:color w:val="auto"/>
                      <w:szCs w:val="21"/>
                    </w:rPr>
                    <w:t>X</w:t>
                  </w:r>
                </w:p>
              </w:tc>
              <w:tc>
                <w:tcPr>
                  <w:tcW w:w="561" w:type="dxa"/>
                  <w:vAlign w:val="center"/>
                </w:tcPr>
                <w:p>
                  <w:pPr>
                    <w:jc w:val="center"/>
                    <w:rPr>
                      <w:color w:val="auto"/>
                      <w:szCs w:val="21"/>
                    </w:rPr>
                  </w:pPr>
                  <w:r>
                    <w:rPr>
                      <w:rFonts w:hint="eastAsia"/>
                      <w:color w:val="auto"/>
                      <w:szCs w:val="21"/>
                    </w:rPr>
                    <w:t>Y</w:t>
                  </w:r>
                </w:p>
              </w:tc>
              <w:tc>
                <w:tcPr>
                  <w:tcW w:w="501" w:type="dxa"/>
                  <w:vAlign w:val="center"/>
                </w:tcPr>
                <w:p>
                  <w:pPr>
                    <w:jc w:val="center"/>
                    <w:rPr>
                      <w:color w:val="auto"/>
                      <w:szCs w:val="21"/>
                    </w:rPr>
                  </w:pPr>
                  <w:r>
                    <w:rPr>
                      <w:rFonts w:hint="eastAsia"/>
                      <w:color w:val="auto"/>
                      <w:szCs w:val="21"/>
                    </w:rPr>
                    <w:t>Z</w:t>
                  </w:r>
                </w:p>
              </w:tc>
              <w:tc>
                <w:tcPr>
                  <w:tcW w:w="1765" w:type="dxa"/>
                  <w:vMerge w:val="continue"/>
                  <w:vAlign w:val="center"/>
                </w:tcPr>
                <w:p>
                  <w:pPr>
                    <w:jc w:val="center"/>
                    <w:rPr>
                      <w:color w:val="auto"/>
                      <w:szCs w:val="21"/>
                    </w:rPr>
                  </w:pPr>
                </w:p>
              </w:tc>
              <w:tc>
                <w:tcPr>
                  <w:tcW w:w="1244" w:type="dxa"/>
                  <w:vMerge w:val="continue"/>
                  <w:vAlign w:val="center"/>
                </w:tcPr>
                <w:p>
                  <w:pPr>
                    <w:jc w:val="center"/>
                    <w:rPr>
                      <w:color w:val="auto"/>
                      <w:szCs w:val="21"/>
                    </w:rPr>
                  </w:pPr>
                </w:p>
              </w:tc>
              <w:tc>
                <w:tcPr>
                  <w:tcW w:w="1061" w:type="dxa"/>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jc w:val="center"/>
              </w:trPr>
              <w:tc>
                <w:tcPr>
                  <w:tcW w:w="812" w:type="dxa"/>
                  <w:vAlign w:val="center"/>
                </w:tcPr>
                <w:p>
                  <w:pPr>
                    <w:jc w:val="center"/>
                    <w:rPr>
                      <w:rFonts w:hint="eastAsia"/>
                      <w:color w:val="auto"/>
                      <w:szCs w:val="21"/>
                      <w:lang w:eastAsia="zh-CN"/>
                    </w:rPr>
                  </w:pPr>
                  <w:r>
                    <w:rPr>
                      <w:rFonts w:hint="eastAsia"/>
                      <w:color w:val="auto"/>
                      <w:szCs w:val="21"/>
                      <w:lang w:eastAsia="zh-CN"/>
                    </w:rPr>
                    <w:t>风机</w:t>
                  </w:r>
                </w:p>
              </w:tc>
              <w:tc>
                <w:tcPr>
                  <w:tcW w:w="1020" w:type="dxa"/>
                  <w:vAlign w:val="center"/>
                </w:tcPr>
                <w:p>
                  <w:pPr>
                    <w:jc w:val="center"/>
                    <w:rPr>
                      <w:rFonts w:hint="default"/>
                      <w:color w:val="auto"/>
                      <w:szCs w:val="21"/>
                      <w:lang w:val="en-US" w:eastAsia="zh-CN"/>
                    </w:rPr>
                  </w:pPr>
                  <w:r>
                    <w:rPr>
                      <w:rFonts w:hint="eastAsia"/>
                      <w:color w:val="auto"/>
                      <w:szCs w:val="21"/>
                      <w:lang w:val="en-US" w:eastAsia="zh-CN"/>
                    </w:rPr>
                    <w:t>83</w:t>
                  </w:r>
                </w:p>
              </w:tc>
              <w:tc>
                <w:tcPr>
                  <w:tcW w:w="1023" w:type="dxa"/>
                  <w:vAlign w:val="center"/>
                </w:tcPr>
                <w:p>
                  <w:pPr>
                    <w:jc w:val="center"/>
                    <w:rPr>
                      <w:rFonts w:hint="eastAsia" w:eastAsia="宋体"/>
                      <w:color w:val="auto"/>
                      <w:szCs w:val="21"/>
                      <w:lang w:val="en-US" w:eastAsia="zh-CN"/>
                    </w:rPr>
                  </w:pPr>
                  <w:r>
                    <w:rPr>
                      <w:rFonts w:hint="eastAsia"/>
                      <w:color w:val="auto"/>
                      <w:szCs w:val="21"/>
                      <w:lang w:val="en-US" w:eastAsia="zh-CN"/>
                    </w:rPr>
                    <w:t>1</w:t>
                  </w:r>
                </w:p>
              </w:tc>
              <w:tc>
                <w:tcPr>
                  <w:tcW w:w="609" w:type="dxa"/>
                  <w:vAlign w:val="center"/>
                </w:tcPr>
                <w:p>
                  <w:pPr>
                    <w:jc w:val="center"/>
                    <w:rPr>
                      <w:rFonts w:hint="default"/>
                      <w:bCs/>
                      <w:color w:val="auto"/>
                      <w:szCs w:val="21"/>
                      <w:lang w:val="en-US" w:eastAsia="zh-CN"/>
                    </w:rPr>
                  </w:pPr>
                  <w:r>
                    <w:rPr>
                      <w:rFonts w:hint="eastAsia"/>
                      <w:bCs/>
                      <w:color w:val="auto"/>
                      <w:szCs w:val="21"/>
                      <w:lang w:val="en-US" w:eastAsia="zh-CN"/>
                    </w:rPr>
                    <w:t>8</w:t>
                  </w:r>
                </w:p>
              </w:tc>
              <w:tc>
                <w:tcPr>
                  <w:tcW w:w="561" w:type="dxa"/>
                  <w:vAlign w:val="center"/>
                </w:tcPr>
                <w:p>
                  <w:pPr>
                    <w:jc w:val="center"/>
                    <w:rPr>
                      <w:rFonts w:hint="default"/>
                      <w:bCs/>
                      <w:color w:val="auto"/>
                      <w:szCs w:val="21"/>
                      <w:lang w:val="en-US" w:eastAsia="zh-CN"/>
                    </w:rPr>
                  </w:pPr>
                  <w:r>
                    <w:rPr>
                      <w:rFonts w:hint="eastAsia"/>
                      <w:bCs/>
                      <w:color w:val="auto"/>
                      <w:szCs w:val="21"/>
                      <w:lang w:val="en-US" w:eastAsia="zh-CN"/>
                    </w:rPr>
                    <w:t>0</w:t>
                  </w:r>
                </w:p>
              </w:tc>
              <w:tc>
                <w:tcPr>
                  <w:tcW w:w="501" w:type="dxa"/>
                  <w:vAlign w:val="center"/>
                </w:tcPr>
                <w:p>
                  <w:pPr>
                    <w:jc w:val="center"/>
                    <w:rPr>
                      <w:rFonts w:hint="default"/>
                      <w:bCs/>
                      <w:color w:val="auto"/>
                      <w:szCs w:val="21"/>
                      <w:lang w:val="en-US" w:eastAsia="zh-CN"/>
                    </w:rPr>
                  </w:pPr>
                  <w:r>
                    <w:rPr>
                      <w:rFonts w:hint="eastAsia"/>
                      <w:bCs/>
                      <w:color w:val="auto"/>
                      <w:szCs w:val="21"/>
                      <w:lang w:val="en-US" w:eastAsia="zh-CN"/>
                    </w:rPr>
                    <w:t>1</w:t>
                  </w:r>
                </w:p>
              </w:tc>
              <w:tc>
                <w:tcPr>
                  <w:tcW w:w="1765" w:type="dxa"/>
                  <w:vAlign w:val="center"/>
                </w:tcPr>
                <w:p>
                  <w:pPr>
                    <w:jc w:val="center"/>
                    <w:rPr>
                      <w:rFonts w:hint="eastAsia" w:eastAsia="宋体"/>
                      <w:color w:val="auto"/>
                      <w:szCs w:val="21"/>
                      <w:lang w:eastAsia="zh-CN"/>
                    </w:rPr>
                  </w:pPr>
                  <w:r>
                    <w:rPr>
                      <w:rFonts w:hint="eastAsia"/>
                      <w:color w:val="auto"/>
                      <w:szCs w:val="21"/>
                      <w:lang w:eastAsia="zh-CN"/>
                    </w:rPr>
                    <w:t>安装减震器、隔声罩</w:t>
                  </w:r>
                </w:p>
              </w:tc>
              <w:tc>
                <w:tcPr>
                  <w:tcW w:w="1244" w:type="dxa"/>
                  <w:vAlign w:val="center"/>
                </w:tcPr>
                <w:p>
                  <w:pPr>
                    <w:jc w:val="center"/>
                    <w:rPr>
                      <w:rFonts w:hint="default"/>
                      <w:color w:val="auto"/>
                      <w:szCs w:val="21"/>
                      <w:lang w:val="en-US" w:eastAsia="zh-CN"/>
                    </w:rPr>
                  </w:pPr>
                  <w:r>
                    <w:rPr>
                      <w:rFonts w:hint="eastAsia"/>
                      <w:color w:val="auto"/>
                      <w:szCs w:val="21"/>
                      <w:lang w:val="en-US" w:eastAsia="zh-CN"/>
                    </w:rPr>
                    <w:t>8</w:t>
                  </w:r>
                </w:p>
              </w:tc>
              <w:tc>
                <w:tcPr>
                  <w:tcW w:w="1061" w:type="dxa"/>
                  <w:vAlign w:val="center"/>
                </w:tcPr>
                <w:p>
                  <w:pPr>
                    <w:jc w:val="center"/>
                    <w:rPr>
                      <w:rFonts w:hint="default"/>
                      <w:color w:val="auto"/>
                      <w:szCs w:val="21"/>
                      <w:lang w:val="en-US" w:eastAsia="zh-CN"/>
                    </w:rPr>
                  </w:pPr>
                  <w:r>
                    <w:rPr>
                      <w:rFonts w:hint="eastAsia"/>
                      <w:color w:val="auto"/>
                      <w:szCs w:val="21"/>
                      <w:lang w:val="en-US" w:eastAsia="zh-CN"/>
                    </w:rPr>
                    <w:t>10</w:t>
                  </w:r>
                </w:p>
              </w:tc>
            </w:tr>
          </w:tbl>
          <w:p>
            <w:pPr>
              <w:pStyle w:val="7"/>
              <w:rPr>
                <w:color w:val="auto"/>
              </w:rPr>
            </w:pP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注：</w:t>
            </w:r>
            <w:r>
              <w:rPr>
                <w:rFonts w:hint="eastAsia" w:ascii="Times New Roman" w:hAnsi="Times New Roman" w:eastAsia="宋体" w:cs="Times New Roman"/>
                <w:color w:val="auto"/>
                <w:kern w:val="0"/>
                <w:szCs w:val="21"/>
                <w:lang w:val="en-US" w:eastAsia="zh-CN"/>
              </w:rPr>
              <w:t>以生产厂房西南角为坐标原点（x=0，y=0，Z=0），x轴正方向为正东向，y轴正方向为正北向，Z轴正方向为地面向上。</w:t>
            </w:r>
          </w:p>
          <w:p>
            <w:pPr>
              <w:spacing w:line="360" w:lineRule="auto"/>
              <w:ind w:firstLine="482" w:firstLineChars="200"/>
              <w:rPr>
                <w:rFonts w:hint="eastAsia"/>
                <w:b/>
                <w:bCs/>
                <w:color w:val="auto"/>
                <w:sz w:val="24"/>
              </w:rPr>
            </w:pPr>
            <w:r>
              <w:rPr>
                <w:rFonts w:hint="eastAsia"/>
                <w:b/>
                <w:bCs/>
                <w:color w:val="auto"/>
                <w:sz w:val="24"/>
              </w:rPr>
              <w:t>3.2降噪措施</w:t>
            </w:r>
          </w:p>
          <w:p>
            <w:pPr>
              <w:spacing w:line="360" w:lineRule="auto"/>
              <w:ind w:firstLine="480" w:firstLineChars="200"/>
              <w:rPr>
                <w:rFonts w:hint="eastAsia"/>
                <w:color w:val="auto"/>
                <w:sz w:val="24"/>
              </w:rPr>
            </w:pPr>
            <w:r>
              <w:rPr>
                <w:rFonts w:hint="eastAsia"/>
                <w:color w:val="auto"/>
                <w:sz w:val="24"/>
              </w:rPr>
              <w:t>本项目噪声防治措施如下：</w:t>
            </w:r>
          </w:p>
          <w:p>
            <w:pPr>
              <w:adjustRightInd w:val="0"/>
              <w:snapToGrid w:val="0"/>
              <w:spacing w:line="360" w:lineRule="auto"/>
              <w:ind w:firstLine="480" w:firstLineChars="200"/>
              <w:rPr>
                <w:rFonts w:hint="eastAsia"/>
                <w:color w:val="auto"/>
                <w:sz w:val="24"/>
              </w:rPr>
            </w:pPr>
            <w:r>
              <w:rPr>
                <w:rFonts w:hint="eastAsia"/>
                <w:color w:val="auto"/>
                <w:sz w:val="24"/>
              </w:rPr>
              <w:t>（</w:t>
            </w:r>
            <w:r>
              <w:rPr>
                <w:color w:val="auto"/>
                <w:sz w:val="24"/>
              </w:rPr>
              <w:t>1</w:t>
            </w:r>
            <w:r>
              <w:rPr>
                <w:rFonts w:hint="eastAsia"/>
                <w:color w:val="auto"/>
                <w:sz w:val="24"/>
              </w:rPr>
              <w:t>）</w:t>
            </w:r>
            <w:r>
              <w:rPr>
                <w:rFonts w:ascii="Segoe UI" w:hAnsi="Segoe UI" w:eastAsia="Segoe UI" w:cs="Segoe UI"/>
                <w:i w:val="0"/>
                <w:iCs w:val="0"/>
                <w:caps w:val="0"/>
                <w:color w:val="auto"/>
                <w:spacing w:val="0"/>
                <w:sz w:val="24"/>
                <w:szCs w:val="24"/>
                <w:shd w:val="clear" w:fill="FFFFFF"/>
              </w:rPr>
              <w:t>本项目优先选用低噪声设备，拟购搅拌机符合国家《工业企业噪声控制设计规范》（GB/T 50087）中低噪声设备标准，设备出厂噪声值不</w:t>
            </w:r>
            <w:r>
              <w:rPr>
                <w:rFonts w:hint="default" w:ascii="Times New Roman" w:hAnsi="Times New Roman" w:eastAsia="Segoe UI" w:cs="Times New Roman"/>
                <w:i w:val="0"/>
                <w:iCs w:val="0"/>
                <w:caps w:val="0"/>
                <w:color w:val="auto"/>
                <w:spacing w:val="0"/>
                <w:sz w:val="24"/>
                <w:szCs w:val="24"/>
                <w:shd w:val="clear" w:fill="FFFFFF"/>
              </w:rPr>
              <w:t>高于85dB(A)</w:t>
            </w:r>
            <w:r>
              <w:rPr>
                <w:rFonts w:ascii="Segoe UI" w:hAnsi="Segoe UI" w:eastAsia="Segoe UI" w:cs="Segoe UI"/>
                <w:i w:val="0"/>
                <w:iCs w:val="0"/>
                <w:caps w:val="0"/>
                <w:color w:val="auto"/>
                <w:spacing w:val="0"/>
                <w:sz w:val="24"/>
                <w:szCs w:val="24"/>
                <w:shd w:val="clear" w:fill="FFFFFF"/>
              </w:rPr>
              <w:t>，并配套安</w:t>
            </w:r>
            <w:r>
              <w:rPr>
                <w:rFonts w:ascii="Segoe UI" w:hAnsi="Segoe UI" w:eastAsia="Segoe UI" w:cs="Segoe UI"/>
                <w:b w:val="0"/>
                <w:bCs w:val="0"/>
                <w:i w:val="0"/>
                <w:iCs w:val="0"/>
                <w:caps w:val="0"/>
                <w:color w:val="auto"/>
                <w:spacing w:val="0"/>
                <w:sz w:val="24"/>
                <w:szCs w:val="24"/>
                <w:shd w:val="clear" w:fill="FFFFFF"/>
              </w:rPr>
              <w:t>装</w:t>
            </w:r>
            <w:r>
              <w:rPr>
                <w:rStyle w:val="21"/>
                <w:rFonts w:hint="default" w:ascii="Segoe UI" w:hAnsi="Segoe UI" w:eastAsia="Segoe UI" w:cs="Segoe UI"/>
                <w:b w:val="0"/>
                <w:bCs w:val="0"/>
                <w:i w:val="0"/>
                <w:iCs w:val="0"/>
                <w:caps w:val="0"/>
                <w:color w:val="auto"/>
                <w:spacing w:val="0"/>
                <w:sz w:val="24"/>
                <w:szCs w:val="24"/>
                <w:shd w:val="clear" w:fill="FFFFFF"/>
                <w:vertAlign w:val="baseline"/>
              </w:rPr>
              <w:t>橡胶隔振垫</w:t>
            </w:r>
            <w:r>
              <w:rPr>
                <w:rFonts w:hint="default" w:ascii="Segoe UI" w:hAnsi="Segoe UI" w:eastAsia="Segoe UI" w:cs="Segoe UI"/>
                <w:b w:val="0"/>
                <w:bCs w:val="0"/>
                <w:i w:val="0"/>
                <w:iCs w:val="0"/>
                <w:caps w:val="0"/>
                <w:color w:val="auto"/>
                <w:spacing w:val="0"/>
                <w:sz w:val="24"/>
                <w:szCs w:val="24"/>
                <w:shd w:val="clear" w:fill="FFFFFF"/>
              </w:rPr>
              <w:t>、</w:t>
            </w:r>
            <w:r>
              <w:rPr>
                <w:rStyle w:val="21"/>
                <w:rFonts w:hint="default" w:ascii="Segoe UI" w:hAnsi="Segoe UI" w:eastAsia="Segoe UI" w:cs="Segoe UI"/>
                <w:b w:val="0"/>
                <w:bCs w:val="0"/>
                <w:i w:val="0"/>
                <w:iCs w:val="0"/>
                <w:caps w:val="0"/>
                <w:color w:val="auto"/>
                <w:spacing w:val="0"/>
                <w:sz w:val="24"/>
                <w:szCs w:val="24"/>
                <w:shd w:val="clear" w:fill="FFFFFF"/>
                <w:vertAlign w:val="baseline"/>
              </w:rPr>
              <w:t>阻尼减振基座</w:t>
            </w:r>
            <w:r>
              <w:rPr>
                <w:rFonts w:hint="default" w:ascii="Segoe UI" w:hAnsi="Segoe UI" w:eastAsia="Segoe UI" w:cs="Segoe UI"/>
                <w:b w:val="0"/>
                <w:bCs w:val="0"/>
                <w:i w:val="0"/>
                <w:iCs w:val="0"/>
                <w:caps w:val="0"/>
                <w:color w:val="auto"/>
                <w:spacing w:val="0"/>
                <w:sz w:val="24"/>
                <w:szCs w:val="24"/>
                <w:shd w:val="clear" w:fill="FFFFFF"/>
              </w:rPr>
              <w:t>等降噪设施。</w:t>
            </w:r>
          </w:p>
          <w:p>
            <w:pPr>
              <w:adjustRightInd w:val="0"/>
              <w:snapToGrid w:val="0"/>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rPr>
              <w:t>建筑上采取隔声措施，优先选用吸声性能较好的墙面材料，屋顶可设吸声吊顶。在结构设计中采用减振平顶，减振内壁和减振地板等措施。</w:t>
            </w:r>
          </w:p>
          <w:p>
            <w:pPr>
              <w:pStyle w:val="32"/>
              <w:spacing w:line="360" w:lineRule="auto"/>
              <w:rPr>
                <w:rFonts w:hint="eastAsia"/>
                <w:color w:val="auto"/>
                <w:sz w:val="24"/>
                <w:szCs w:val="24"/>
              </w:rPr>
            </w:pPr>
            <w:r>
              <w:rPr>
                <w:rFonts w:ascii="Times New Roman"/>
                <w:color w:val="auto"/>
                <w:sz w:val="24"/>
                <w:szCs w:val="24"/>
              </w:rPr>
              <w:t>（3）</w:t>
            </w:r>
            <w:r>
              <w:rPr>
                <w:rFonts w:hint="eastAsia"/>
                <w:color w:val="auto"/>
                <w:sz w:val="24"/>
                <w:szCs w:val="24"/>
              </w:rPr>
              <w:t>保证设备处于良好的运转状态，并对主要噪声设备进一步采取减振、隔声、消声等降噪措施，确保噪声达标排放。</w:t>
            </w:r>
          </w:p>
          <w:p>
            <w:pPr>
              <w:pStyle w:val="32"/>
              <w:rPr>
                <w:rFonts w:hint="eastAsia" w:ascii="Times New Roman"/>
                <w:b/>
                <w:bCs/>
                <w:color w:val="auto"/>
                <w:sz w:val="24"/>
                <w:szCs w:val="24"/>
              </w:rPr>
            </w:pPr>
            <w:r>
              <w:rPr>
                <w:rFonts w:hint="eastAsia" w:ascii="Times New Roman"/>
                <w:b/>
                <w:bCs/>
                <w:color w:val="auto"/>
                <w:sz w:val="24"/>
                <w:szCs w:val="24"/>
              </w:rPr>
              <w:t>3.3</w:t>
            </w:r>
            <w:r>
              <w:rPr>
                <w:rFonts w:hint="eastAsia"/>
                <w:b/>
                <w:bCs/>
                <w:color w:val="auto"/>
                <w:sz w:val="24"/>
              </w:rPr>
              <w:t>噪声达标分析</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运营期声环境影响采用《环境影响评价技术导则 声环境》（HJ 2.4-2021）推荐的模型预测法进行分析：本环评采用设计规范所要求的噪声源源强，对项目的厂界环境噪声排放值进行理论计算。</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（1）每个点声源对预测点的噪声贡献值按下式计算：</w:t>
            </w:r>
          </w:p>
          <w:p>
            <w:pPr>
              <w:pageBreakBefore w:val="0"/>
              <w:kinsoku/>
              <w:wordWrap/>
              <w:overflowPunct w:val="0"/>
              <w:bidi w:val="0"/>
              <w:spacing w:line="460" w:lineRule="exact"/>
              <w:jc w:val="center"/>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）-20lg（r/r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式中：L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（r）——距离声源r处的声级，dB；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）——距离声源r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处的声级，dB；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r——预测点与声源之间的距离，m；</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——参考处与声源之间的距离，m，本项目r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取1m。</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（2）本项目生产设备均位于室内，本评价预测将生产设备作为一个整体声源（面源）进行预测；</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整体声源预测模式：</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fldChar w:fldCharType="begin"/>
            </w:r>
            <w:r>
              <w:rPr>
                <w:rFonts w:hint="default" w:ascii="Times New Roman" w:hAnsi="Times New Roman" w:eastAsia="宋体" w:cs="Times New Roman"/>
                <w:color w:val="auto"/>
                <w:kern w:val="0"/>
                <w:sz w:val="24"/>
                <w:highlight w:val="none"/>
                <w:lang w:bidi="ar"/>
              </w:rPr>
              <w:instrText xml:space="preserve"> = 1 \* GB3 \* MERGEFORMAT </w:instrText>
            </w:r>
            <w:r>
              <w:rPr>
                <w:rFonts w:hint="default" w:ascii="Times New Roman" w:hAnsi="Times New Roman" w:eastAsia="宋体" w:cs="Times New Roman"/>
                <w:color w:val="auto"/>
                <w:kern w:val="0"/>
                <w:sz w:val="24"/>
                <w:highlight w:val="none"/>
                <w:lang w:bidi="ar"/>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kern w:val="0"/>
                <w:sz w:val="24"/>
                <w:highlight w:val="none"/>
                <w:lang w:bidi="ar"/>
              </w:rPr>
              <w:fldChar w:fldCharType="end"/>
            </w:r>
            <w:r>
              <w:rPr>
                <w:rFonts w:hint="default" w:ascii="Times New Roman" w:hAnsi="Times New Roman" w:eastAsia="宋体" w:cs="Times New Roman"/>
                <w:color w:val="auto"/>
                <w:kern w:val="0"/>
                <w:sz w:val="24"/>
                <w:highlight w:val="none"/>
                <w:lang w:bidi="ar"/>
              </w:rPr>
              <w:t xml:space="preserve">室内声源等效室外声源声功率级计算方法 </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声源位于室内，室内声源可采用等效室外声源声功率级法进行计算。设靠近开口处（或窗户）室内、室外某倍频带的声压级分别为Lp</w:t>
            </w:r>
            <w:r>
              <w:rPr>
                <w:rFonts w:hint="default" w:ascii="Times New Roman" w:hAnsi="Times New Roman" w:eastAsia="宋体" w:cs="Times New Roman"/>
                <w:color w:val="auto"/>
                <w:kern w:val="0"/>
                <w:sz w:val="24"/>
                <w:highlight w:val="none"/>
                <w:vertAlign w:val="subscript"/>
                <w:lang w:bidi="ar"/>
              </w:rPr>
              <w:t>1</w:t>
            </w:r>
            <w:r>
              <w:rPr>
                <w:rFonts w:hint="default" w:ascii="Times New Roman" w:hAnsi="Times New Roman" w:eastAsia="宋体" w:cs="Times New Roman"/>
                <w:color w:val="auto"/>
                <w:kern w:val="0"/>
                <w:sz w:val="24"/>
                <w:highlight w:val="none"/>
                <w:lang w:bidi="ar"/>
              </w:rPr>
              <w:t>和Lp</w:t>
            </w:r>
            <w:r>
              <w:rPr>
                <w:rFonts w:hint="default" w:ascii="Times New Roman" w:hAnsi="Times New Roman" w:eastAsia="宋体" w:cs="Times New Roman"/>
                <w:color w:val="auto"/>
                <w:kern w:val="0"/>
                <w:sz w:val="24"/>
                <w:highlight w:val="none"/>
                <w:vertAlign w:val="subscript"/>
                <w:lang w:bidi="ar"/>
              </w:rPr>
              <w:t>2</w:t>
            </w:r>
            <w:r>
              <w:rPr>
                <w:rFonts w:hint="default" w:ascii="Times New Roman" w:hAnsi="Times New Roman" w:eastAsia="宋体" w:cs="Times New Roman"/>
                <w:color w:val="auto"/>
                <w:kern w:val="0"/>
                <w:sz w:val="24"/>
                <w:highlight w:val="none"/>
                <w:lang w:bidi="ar"/>
              </w:rPr>
              <w:t>。若声源所在室内声场为近似扩散声场，按下列公式计算出靠近室外围护结构处的声压级：</w:t>
            </w:r>
          </w:p>
          <w:p>
            <w:pPr>
              <w:pageBreakBefore w:val="0"/>
              <w:widowControl/>
              <w:kinsoku/>
              <w:wordWrap/>
              <w:overflowPunct w:val="0"/>
              <w:bidi w:val="0"/>
              <w:jc w:val="center"/>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rPr>
              <w:drawing>
                <wp:inline distT="0" distB="0" distL="114300" distR="114300">
                  <wp:extent cx="2032635" cy="285750"/>
                  <wp:effectExtent l="0" t="0" r="5715"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5"/>
                          <a:stretch>
                            <a:fillRect/>
                          </a:stretch>
                        </pic:blipFill>
                        <pic:spPr>
                          <a:xfrm>
                            <a:off x="0" y="0"/>
                            <a:ext cx="2032635" cy="285750"/>
                          </a:xfrm>
                          <a:prstGeom prst="rect">
                            <a:avLst/>
                          </a:prstGeom>
                          <a:noFill/>
                          <a:ln>
                            <a:noFill/>
                          </a:ln>
                        </pic:spPr>
                      </pic:pic>
                    </a:graphicData>
                  </a:graphic>
                </wp:inline>
              </w:drawing>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式中：</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L</w:t>
            </w:r>
            <w:r>
              <w:rPr>
                <w:rFonts w:hint="default" w:ascii="Times New Roman" w:hAnsi="Times New Roman" w:eastAsia="宋体" w:cs="Times New Roman"/>
                <w:color w:val="auto"/>
                <w:kern w:val="0"/>
                <w:sz w:val="24"/>
                <w:highlight w:val="none"/>
                <w:vertAlign w:val="subscript"/>
                <w:lang w:bidi="ar"/>
              </w:rPr>
              <w:t>P1i</w:t>
            </w:r>
            <w:r>
              <w:rPr>
                <w:rFonts w:hint="default" w:ascii="Times New Roman" w:hAnsi="Times New Roman" w:eastAsia="宋体" w:cs="Times New Roman"/>
                <w:color w:val="auto"/>
                <w:kern w:val="0"/>
                <w:sz w:val="24"/>
                <w:highlight w:val="none"/>
                <w:lang w:bidi="ar"/>
              </w:rPr>
              <w:t xml:space="preserve">(T)—靠近围护结构处室内N个声源i倍频带的叠加声压级，dB </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L</w:t>
            </w:r>
            <w:r>
              <w:rPr>
                <w:rFonts w:hint="default" w:ascii="Times New Roman" w:hAnsi="Times New Roman" w:eastAsia="宋体" w:cs="Times New Roman"/>
                <w:color w:val="auto"/>
                <w:kern w:val="0"/>
                <w:sz w:val="24"/>
                <w:highlight w:val="none"/>
                <w:vertAlign w:val="subscript"/>
                <w:lang w:bidi="ar"/>
              </w:rPr>
              <w:t>P2i</w:t>
            </w:r>
            <w:r>
              <w:rPr>
                <w:rFonts w:hint="default" w:ascii="Times New Roman" w:hAnsi="Times New Roman" w:eastAsia="宋体" w:cs="Times New Roman"/>
                <w:color w:val="auto"/>
                <w:kern w:val="0"/>
                <w:sz w:val="24"/>
                <w:highlight w:val="none"/>
                <w:lang w:bidi="ar"/>
              </w:rPr>
              <w:t xml:space="preserve">(T)—靠近围护结构处室外N个声源i倍频带的叠加声压级，dB； </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TL</w:t>
            </w:r>
            <w:r>
              <w:rPr>
                <w:rFonts w:hint="default" w:ascii="Times New Roman" w:hAnsi="Times New Roman" w:eastAsia="宋体" w:cs="Times New Roman"/>
                <w:color w:val="auto"/>
                <w:kern w:val="0"/>
                <w:sz w:val="24"/>
                <w:highlight w:val="none"/>
                <w:vertAlign w:val="subscript"/>
                <w:lang w:bidi="ar"/>
              </w:rPr>
              <w:t>i</w:t>
            </w:r>
            <w:r>
              <w:rPr>
                <w:rFonts w:hint="default" w:ascii="Times New Roman" w:hAnsi="Times New Roman" w:eastAsia="宋体" w:cs="Times New Roman"/>
                <w:color w:val="auto"/>
                <w:kern w:val="0"/>
                <w:sz w:val="24"/>
                <w:highlight w:val="none"/>
                <w:lang w:bidi="ar"/>
              </w:rPr>
              <w:t>—围护结构i倍频带的隔声量，dB。</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然后按下列公式将室外声源的声压级和透过面积换算成等效的室外声源，计算出中心位置位于透声面积（S）处的等效声源的倍频带声功率级。</w:t>
            </w:r>
          </w:p>
          <w:p>
            <w:pPr>
              <w:pageBreakBefore w:val="0"/>
              <w:kinsoku/>
              <w:wordWrap/>
              <w:overflowPunct w:val="0"/>
              <w:bidi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1848485" cy="304800"/>
                  <wp:effectExtent l="0" t="0" r="18415"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6"/>
                          <a:stretch>
                            <a:fillRect/>
                          </a:stretch>
                        </pic:blipFill>
                        <pic:spPr>
                          <a:xfrm>
                            <a:off x="0" y="0"/>
                            <a:ext cx="1848485" cy="304800"/>
                          </a:xfrm>
                          <a:prstGeom prst="rect">
                            <a:avLst/>
                          </a:prstGeom>
                          <a:noFill/>
                          <a:ln>
                            <a:noFill/>
                          </a:ln>
                        </pic:spPr>
                      </pic:pic>
                    </a:graphicData>
                  </a:graphic>
                </wp:inline>
              </w:drawing>
            </w:r>
          </w:p>
          <w:p>
            <w:pPr>
              <w:pageBreakBefore w:val="0"/>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然后按室外声源预测方法计算预测点处的A声级：</w:t>
            </w:r>
          </w:p>
          <w:p>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2983230" cy="1616710"/>
                  <wp:effectExtent l="0" t="0" r="7620" b="254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7"/>
                          <a:stretch>
                            <a:fillRect/>
                          </a:stretch>
                        </pic:blipFill>
                        <pic:spPr>
                          <a:xfrm>
                            <a:off x="0" y="0"/>
                            <a:ext cx="2983230" cy="1616710"/>
                          </a:xfrm>
                          <a:prstGeom prst="rect">
                            <a:avLst/>
                          </a:prstGeom>
                          <a:noFill/>
                          <a:ln>
                            <a:noFill/>
                          </a:ln>
                        </pic:spPr>
                      </pic:pic>
                    </a:graphicData>
                  </a:graphic>
                </wp:inline>
              </w:drawing>
            </w:r>
          </w:p>
          <w:p>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图4-</w:t>
            </w:r>
            <w:r>
              <w:rPr>
                <w:rFonts w:hint="eastAsia" w:ascii="Times New Roman" w:hAnsi="Times New Roman" w:eastAsia="宋体" w:cs="Times New Roman"/>
                <w:b/>
                <w:bCs/>
                <w:snapToGrid w:val="0"/>
                <w:color w:val="auto"/>
                <w:kern w:val="0"/>
                <w:sz w:val="21"/>
                <w:szCs w:val="21"/>
                <w:highlight w:val="none"/>
                <w:lang w:val="en-US" w:eastAsia="zh-CN"/>
              </w:rPr>
              <w:t>2</w:t>
            </w:r>
            <w:r>
              <w:rPr>
                <w:rFonts w:hint="default" w:ascii="Times New Roman" w:hAnsi="Times New Roman" w:eastAsia="宋体" w:cs="Times New Roman"/>
                <w:b/>
                <w:bCs/>
                <w:snapToGrid w:val="0"/>
                <w:color w:val="auto"/>
                <w:kern w:val="0"/>
                <w:sz w:val="21"/>
                <w:szCs w:val="21"/>
                <w:highlight w:val="none"/>
              </w:rPr>
              <w:t xml:space="preserve"> 室内声源等效为室外声源图例</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fldChar w:fldCharType="begin"/>
            </w:r>
            <w:r>
              <w:rPr>
                <w:rFonts w:hint="default" w:ascii="Times New Roman" w:hAnsi="Times New Roman" w:eastAsia="宋体" w:cs="Times New Roman"/>
                <w:snapToGrid w:val="0"/>
                <w:color w:val="auto"/>
                <w:kern w:val="0"/>
                <w:sz w:val="24"/>
                <w:highlight w:val="none"/>
              </w:rPr>
              <w:instrText xml:space="preserve"> = 2 \* GB3 \* MERGEFORMAT </w:instrText>
            </w:r>
            <w:r>
              <w:rPr>
                <w:rFonts w:hint="default" w:ascii="Times New Roman" w:hAnsi="Times New Roman" w:eastAsia="宋体" w:cs="Times New Roman"/>
                <w:snapToGrid w:val="0"/>
                <w:color w:val="auto"/>
                <w:kern w:val="0"/>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snapToGrid w:val="0"/>
                <w:color w:val="auto"/>
                <w:kern w:val="0"/>
                <w:sz w:val="24"/>
                <w:highlight w:val="none"/>
              </w:rPr>
              <w:fldChar w:fldCharType="end"/>
            </w:r>
            <w:r>
              <w:rPr>
                <w:rFonts w:hint="default" w:ascii="Times New Roman" w:hAnsi="Times New Roman" w:eastAsia="宋体" w:cs="Times New Roman"/>
                <w:snapToGrid w:val="0"/>
                <w:color w:val="auto"/>
                <w:kern w:val="0"/>
                <w:sz w:val="24"/>
                <w:highlight w:val="none"/>
              </w:rPr>
              <w:t>噪声户外传播衰减的计算</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A声级的计算公式为：</w:t>
            </w:r>
          </w:p>
          <w:p>
            <w:pPr>
              <w:pageBreakBefore w:val="0"/>
              <w:kinsoku/>
              <w:wordWrap/>
              <w:overflowPunct w:val="0"/>
              <w:bidi w:val="0"/>
              <w:spacing w:line="460" w:lineRule="exact"/>
              <w:jc w:val="center"/>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i/>
                <w:iCs/>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 L</w:t>
            </w:r>
            <w:r>
              <w:rPr>
                <w:rFonts w:hint="default" w:ascii="Times New Roman" w:hAnsi="Times New Roman" w:eastAsia="宋体" w:cs="Times New Roman"/>
                <w:i/>
                <w:iCs/>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diV</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bar</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atm</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gy</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misc</w:t>
            </w:r>
            <w:r>
              <w:rPr>
                <w:rFonts w:hint="default" w:ascii="Times New Roman" w:hAnsi="Times New Roman" w:eastAsia="宋体" w:cs="Times New Roman"/>
                <w:snapToGrid w:val="0"/>
                <w:color w:val="auto"/>
                <w:kern w:val="0"/>
                <w:sz w:val="24"/>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式中：</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i/>
                <w:iCs/>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（r）----距声源r处的A声级，dB；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L</w:t>
            </w:r>
            <w:r>
              <w:rPr>
                <w:rFonts w:hint="default" w:ascii="Times New Roman" w:hAnsi="Times New Roman" w:eastAsia="宋体" w:cs="Times New Roman"/>
                <w:i/>
                <w:iCs/>
                <w:snapToGrid w:val="0"/>
                <w:color w:val="auto"/>
                <w:kern w:val="0"/>
                <w:sz w:val="24"/>
                <w:highlight w:val="none"/>
                <w:vertAlign w:val="subscript"/>
              </w:rPr>
              <w:t>P</w:t>
            </w:r>
            <w:r>
              <w:rPr>
                <w:rFonts w:hint="default" w:ascii="Times New Roman" w:hAnsi="Times New Roman" w:eastAsia="宋体" w:cs="Times New Roman"/>
                <w:snapToGrid w:val="0"/>
                <w:color w:val="auto"/>
                <w:kern w:val="0"/>
                <w:sz w:val="24"/>
                <w:highlight w:val="none"/>
              </w:rPr>
              <w:t>（r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）--参考位置r</w:t>
            </w:r>
            <w:r>
              <w:rPr>
                <w:rFonts w:hint="default" w:ascii="Times New Roman" w:hAnsi="Times New Roman" w:eastAsia="宋体" w:cs="Times New Roman"/>
                <w:snapToGrid w:val="0"/>
                <w:color w:val="auto"/>
                <w:kern w:val="0"/>
                <w:sz w:val="24"/>
                <w:highlight w:val="none"/>
                <w:vertAlign w:val="subscript"/>
              </w:rPr>
              <w:t>0</w:t>
            </w:r>
            <w:r>
              <w:rPr>
                <w:rFonts w:hint="default" w:ascii="Times New Roman" w:hAnsi="Times New Roman" w:eastAsia="宋体" w:cs="Times New Roman"/>
                <w:snapToGrid w:val="0"/>
                <w:color w:val="auto"/>
                <w:kern w:val="0"/>
                <w:sz w:val="24"/>
                <w:highlight w:val="none"/>
              </w:rPr>
              <w:t xml:space="preserve">处的A声级，dB； </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diV</w:t>
            </w:r>
            <w:r>
              <w:rPr>
                <w:rFonts w:hint="default" w:ascii="Times New Roman" w:hAnsi="Times New Roman" w:eastAsia="宋体" w:cs="Times New Roman"/>
                <w:snapToGrid w:val="0"/>
                <w:color w:val="auto"/>
                <w:kern w:val="0"/>
                <w:sz w:val="24"/>
                <w:highlight w:val="none"/>
              </w:rPr>
              <w:t xml:space="preserve">-------声波几何发散引起的A声级衰减量，dB； </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bar</w:t>
            </w:r>
            <w:r>
              <w:rPr>
                <w:rFonts w:hint="default" w:ascii="Times New Roman" w:hAnsi="Times New Roman" w:eastAsia="宋体" w:cs="Times New Roman"/>
                <w:snapToGrid w:val="0"/>
                <w:color w:val="auto"/>
                <w:kern w:val="0"/>
                <w:sz w:val="24"/>
                <w:highlight w:val="none"/>
              </w:rPr>
              <w:t xml:space="preserve">-------遮挡物引起的A声级衰减量，dB； </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atm</w:t>
            </w:r>
            <w:r>
              <w:rPr>
                <w:rFonts w:hint="default" w:ascii="Times New Roman" w:hAnsi="Times New Roman" w:eastAsia="宋体" w:cs="Times New Roman"/>
                <w:snapToGrid w:val="0"/>
                <w:color w:val="auto"/>
                <w:kern w:val="0"/>
                <w:sz w:val="24"/>
                <w:highlight w:val="none"/>
              </w:rPr>
              <w:t xml:space="preserve">-------空气吸收引起的A声级衰减量，dB； </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gy</w:t>
            </w:r>
            <w:r>
              <w:rPr>
                <w:rFonts w:hint="default" w:ascii="Times New Roman" w:hAnsi="Times New Roman" w:eastAsia="宋体" w:cs="Times New Roman"/>
                <w:snapToGrid w:val="0"/>
                <w:color w:val="auto"/>
                <w:kern w:val="0"/>
                <w:sz w:val="24"/>
                <w:highlight w:val="none"/>
              </w:rPr>
              <w:t>-------地面效应衰减量，dB；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misc</w:t>
            </w:r>
            <w:r>
              <w:rPr>
                <w:rFonts w:hint="default" w:ascii="Times New Roman" w:hAnsi="Times New Roman" w:eastAsia="宋体" w:cs="Times New Roman"/>
                <w:snapToGrid w:val="0"/>
                <w:color w:val="auto"/>
                <w:kern w:val="0"/>
                <w:sz w:val="24"/>
                <w:highlight w:val="none"/>
              </w:rPr>
              <w:t>-------其他多方面效应，dB；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szCs w:val="28"/>
                <w:highlight w:val="none"/>
              </w:rPr>
            </w:pPr>
            <w:r>
              <w:rPr>
                <w:rFonts w:hint="default" w:ascii="Times New Roman" w:hAnsi="Times New Roman" w:eastAsia="宋体" w:cs="Times New Roman"/>
                <w:snapToGrid w:val="0"/>
                <w:color w:val="auto"/>
                <w:kern w:val="0"/>
                <w:sz w:val="24"/>
                <w:highlight w:val="none"/>
              </w:rPr>
              <w:t>根据建设单位确认，生产车间较为平坦，预测点主要集中在厂界外1m处，故本次评价不考虑A</w:t>
            </w:r>
            <w:r>
              <w:rPr>
                <w:rFonts w:hint="default" w:ascii="Times New Roman" w:hAnsi="Times New Roman" w:eastAsia="宋体" w:cs="Times New Roman"/>
                <w:snapToGrid w:val="0"/>
                <w:color w:val="auto"/>
                <w:kern w:val="0"/>
                <w:sz w:val="24"/>
                <w:highlight w:val="none"/>
                <w:vertAlign w:val="subscript"/>
              </w:rPr>
              <w:t>gy</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atm</w:t>
            </w:r>
            <w:r>
              <w:rPr>
                <w:rFonts w:hint="default" w:ascii="Times New Roman" w:hAnsi="Times New Roman" w:eastAsia="宋体" w:cs="Times New Roman"/>
                <w:snapToGrid w:val="0"/>
                <w:color w:val="auto"/>
                <w:kern w:val="0"/>
                <w:sz w:val="24"/>
                <w:highlight w:val="none"/>
              </w:rPr>
              <w:t>、A</w:t>
            </w:r>
            <w:r>
              <w:rPr>
                <w:rFonts w:hint="default" w:ascii="Times New Roman" w:hAnsi="Times New Roman" w:eastAsia="宋体" w:cs="Times New Roman"/>
                <w:snapToGrid w:val="0"/>
                <w:color w:val="auto"/>
                <w:kern w:val="0"/>
                <w:sz w:val="24"/>
                <w:highlight w:val="none"/>
                <w:vertAlign w:val="subscript"/>
              </w:rPr>
              <w:t>misc</w:t>
            </w:r>
            <w:r>
              <w:rPr>
                <w:rFonts w:hint="default" w:ascii="Times New Roman" w:hAnsi="Times New Roman" w:eastAsia="宋体" w:cs="Times New Roman"/>
                <w:snapToGrid w:val="0"/>
                <w:color w:val="auto"/>
                <w:kern w:val="0"/>
                <w:sz w:val="24"/>
                <w:highlight w:val="none"/>
              </w:rPr>
              <w:t>。故本公式可简化为：</w:t>
            </w:r>
            <w:r>
              <w:rPr>
                <w:rFonts w:hint="default" w:ascii="Times New Roman" w:hAnsi="Times New Roman" w:eastAsia="宋体" w:cs="Times New Roman"/>
                <w:snapToGrid w:val="0"/>
                <w:color w:val="auto"/>
                <w:kern w:val="0"/>
                <w:sz w:val="24"/>
                <w:szCs w:val="28"/>
                <w:highlight w:val="none"/>
              </w:rPr>
              <w:t xml:space="preserve"> </w:t>
            </w:r>
          </w:p>
          <w:p>
            <w:pPr>
              <w:pageBreakBefore w:val="0"/>
              <w:kinsoku/>
              <w:wordWrap/>
              <w:overflowPunct w:val="0"/>
              <w:bidi w:val="0"/>
              <w:spacing w:line="460" w:lineRule="exact"/>
              <w:jc w:val="center"/>
              <w:rPr>
                <w:rFonts w:hint="default" w:ascii="Times New Roman" w:hAnsi="Times New Roman" w:eastAsia="宋体" w:cs="Times New Roman"/>
                <w:snapToGrid w:val="0"/>
                <w:color w:val="auto"/>
                <w:kern w:val="0"/>
                <w:sz w:val="24"/>
                <w:szCs w:val="28"/>
                <w:highlight w:val="none"/>
              </w:rPr>
            </w:pPr>
            <w:r>
              <w:rPr>
                <w:rFonts w:hint="default" w:ascii="Times New Roman" w:hAnsi="Times New Roman" w:eastAsia="宋体" w:cs="Times New Roman"/>
                <w:snapToGrid w:val="0"/>
                <w:color w:val="auto"/>
                <w:kern w:val="0"/>
                <w:sz w:val="24"/>
                <w:szCs w:val="28"/>
                <w:highlight w:val="none"/>
              </w:rPr>
              <w:t>L</w:t>
            </w:r>
            <w:r>
              <w:rPr>
                <w:rFonts w:hint="default" w:ascii="Times New Roman" w:hAnsi="Times New Roman" w:eastAsia="宋体" w:cs="Times New Roman"/>
                <w:i/>
                <w:iCs/>
                <w:snapToGrid w:val="0"/>
                <w:color w:val="auto"/>
                <w:kern w:val="0"/>
                <w:sz w:val="24"/>
                <w:szCs w:val="28"/>
                <w:highlight w:val="none"/>
              </w:rPr>
              <w:t>p</w:t>
            </w:r>
            <w:r>
              <w:rPr>
                <w:rFonts w:hint="default" w:ascii="Times New Roman" w:hAnsi="Times New Roman" w:eastAsia="宋体" w:cs="Times New Roman"/>
                <w:snapToGrid w:val="0"/>
                <w:color w:val="auto"/>
                <w:kern w:val="0"/>
                <w:sz w:val="24"/>
                <w:szCs w:val="28"/>
                <w:highlight w:val="none"/>
              </w:rPr>
              <w:t>（r）=L</w:t>
            </w:r>
            <w:r>
              <w:rPr>
                <w:rFonts w:hint="default" w:ascii="Times New Roman" w:hAnsi="Times New Roman" w:eastAsia="宋体" w:cs="Times New Roman"/>
                <w:i/>
                <w:iCs/>
                <w:snapToGrid w:val="0"/>
                <w:color w:val="auto"/>
                <w:kern w:val="0"/>
                <w:sz w:val="24"/>
                <w:szCs w:val="28"/>
                <w:highlight w:val="none"/>
              </w:rPr>
              <w:t>p</w:t>
            </w:r>
            <w:r>
              <w:rPr>
                <w:rFonts w:hint="default" w:ascii="Times New Roman" w:hAnsi="Times New Roman" w:eastAsia="宋体" w:cs="Times New Roman"/>
                <w:snapToGrid w:val="0"/>
                <w:color w:val="auto"/>
                <w:kern w:val="0"/>
                <w:sz w:val="24"/>
                <w:szCs w:val="28"/>
                <w:highlight w:val="none"/>
              </w:rPr>
              <w:t>（r</w:t>
            </w:r>
            <w:r>
              <w:rPr>
                <w:rFonts w:hint="default" w:ascii="Times New Roman" w:hAnsi="Times New Roman" w:eastAsia="宋体" w:cs="Times New Roman"/>
                <w:snapToGrid w:val="0"/>
                <w:color w:val="auto"/>
                <w:kern w:val="0"/>
                <w:sz w:val="24"/>
                <w:szCs w:val="28"/>
                <w:highlight w:val="none"/>
                <w:vertAlign w:val="subscript"/>
              </w:rPr>
              <w:t>0</w:t>
            </w:r>
            <w:r>
              <w:rPr>
                <w:rFonts w:hint="default" w:ascii="Times New Roman" w:hAnsi="Times New Roman" w:eastAsia="宋体" w:cs="Times New Roman"/>
                <w:snapToGrid w:val="0"/>
                <w:color w:val="auto"/>
                <w:kern w:val="0"/>
                <w:sz w:val="24"/>
                <w:szCs w:val="28"/>
                <w:highlight w:val="none"/>
              </w:rPr>
              <w:t>）—（A</w:t>
            </w:r>
            <w:r>
              <w:rPr>
                <w:rFonts w:hint="default" w:ascii="Times New Roman" w:hAnsi="Times New Roman" w:eastAsia="宋体" w:cs="Times New Roman"/>
                <w:snapToGrid w:val="0"/>
                <w:color w:val="auto"/>
                <w:kern w:val="0"/>
                <w:sz w:val="24"/>
                <w:szCs w:val="28"/>
                <w:highlight w:val="none"/>
                <w:vertAlign w:val="subscript"/>
              </w:rPr>
              <w:t>diV</w:t>
            </w:r>
            <w:r>
              <w:rPr>
                <w:rFonts w:hint="default" w:ascii="Times New Roman" w:hAnsi="Times New Roman" w:eastAsia="宋体" w:cs="Times New Roman"/>
                <w:snapToGrid w:val="0"/>
                <w:color w:val="auto"/>
                <w:kern w:val="0"/>
                <w:sz w:val="24"/>
                <w:szCs w:val="28"/>
                <w:highlight w:val="none"/>
              </w:rPr>
              <w:t>+A</w:t>
            </w:r>
            <w:r>
              <w:rPr>
                <w:rFonts w:hint="default" w:ascii="Times New Roman" w:hAnsi="Times New Roman" w:eastAsia="宋体" w:cs="Times New Roman"/>
                <w:snapToGrid w:val="0"/>
                <w:color w:val="auto"/>
                <w:kern w:val="0"/>
                <w:sz w:val="24"/>
                <w:szCs w:val="28"/>
                <w:highlight w:val="none"/>
                <w:vertAlign w:val="subscript"/>
              </w:rPr>
              <w:t>bar</w:t>
            </w:r>
            <w:r>
              <w:rPr>
                <w:rFonts w:hint="default" w:ascii="Times New Roman" w:hAnsi="Times New Roman" w:eastAsia="宋体" w:cs="Times New Roman"/>
                <w:snapToGrid w:val="0"/>
                <w:color w:val="auto"/>
                <w:kern w:val="0"/>
                <w:sz w:val="24"/>
                <w:szCs w:val="28"/>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③屏障引起的衰减（A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位于声源和预测点之间的实体障碍物，如用墙、建筑物、土坡或地堑等起声屏障作用，从而引起声能量的较大衰减。在环境影响评价中，可将各种形式的屏障简化为共有一定高度的薄屏障。</w:t>
            </w:r>
          </w:p>
          <w:p>
            <w:pPr>
              <w:pageBreakBefore w:val="0"/>
              <w:kinsoku/>
              <w:wordWrap/>
              <w:overflow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 声环境》（HJ2.4-2021），在噪声预测中，声屏障插入损失的计算方法需要根据实际情况做简化处理。屏障</w:t>
            </w:r>
            <w:r>
              <w:rPr>
                <w:rFonts w:hint="eastAsia" w:ascii="Times New Roman" w:hAnsi="Times New Roman" w:eastAsia="宋体" w:cs="Times New Roman"/>
                <w:color w:val="auto"/>
                <w:sz w:val="24"/>
                <w:highlight w:val="none"/>
                <w:lang w:eastAsia="zh-CN"/>
              </w:rPr>
              <w:t>衰减</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在单绕射（即薄屏障）情况，衰减最大取20dB；在双绕射（即厚屏障）情况，衰减最大取25dB；本次评价保守估算在各侧厂界取1</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（3）多个声源在预测点处的噪声贡献值叠加采用下式计算：</w:t>
            </w:r>
          </w:p>
          <w:p>
            <w:pPr>
              <w:pageBreakBefore w:val="0"/>
              <w:kinsoku/>
              <w:wordWrap/>
              <w:overflowPunct w:val="0"/>
              <w:bidi w:val="0"/>
              <w:spacing w:line="360" w:lineRule="auto"/>
              <w:jc w:val="center"/>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position w:val="-28"/>
                <w:sz w:val="24"/>
                <w:szCs w:val="21"/>
                <w:highlight w:val="none"/>
              </w:rPr>
              <w:object>
                <v:shape id="_x0000_i1027" o:spt="75" type="#_x0000_t75" style="height:37.5pt;width:144.8pt;" o:ole="t" filled="f" o:preferrelative="t" stroked="f" coordsize="21600,21600">
                  <v:path/>
                  <v:fill on="f" focussize="0,0"/>
                  <v:stroke on="f"/>
                  <v:imagedata r:id="rId18" o:title=""/>
                  <o:lock v:ext="edit" aspectratio="t"/>
                  <w10:wrap type="none"/>
                  <w10:anchorlock/>
                </v:shape>
                <o:OLEObject Type="Embed" ProgID="Equation.3" ShapeID="_x0000_i1027" DrawAspect="Content" ObjectID="_1468075727" r:id="rId28">
                  <o:LockedField>false</o:LockedField>
                </o:OLEObject>
              </w:objec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sz w:val="24"/>
                <w:szCs w:val="21"/>
                <w:highlight w:val="none"/>
              </w:rPr>
              <w:t>式中：Leqg——声源在预测点的等效A声级贡献值，dB；</w:t>
            </w:r>
          </w:p>
          <w:p>
            <w:pPr>
              <w:pageBreakBefore w:val="0"/>
              <w:kinsoku/>
              <w:wordWrap/>
              <w:overflowPunct w:val="0"/>
              <w:bidi w:val="0"/>
              <w:spacing w:line="460" w:lineRule="exact"/>
              <w:ind w:firstLine="480" w:firstLineChars="200"/>
              <w:rPr>
                <w:rFonts w:hint="default" w:ascii="Times New Roman" w:hAnsi="Times New Roman" w:eastAsia="宋体" w:cs="Times New Roman"/>
                <w:snapToGrid w:val="0"/>
                <w:color w:val="auto"/>
                <w:kern w:val="0"/>
                <w:sz w:val="24"/>
                <w:szCs w:val="21"/>
                <w:highlight w:val="none"/>
              </w:rPr>
            </w:pPr>
            <w:r>
              <w:rPr>
                <w:rFonts w:hint="default" w:ascii="Times New Roman" w:hAnsi="Times New Roman" w:eastAsia="宋体" w:cs="Times New Roman"/>
                <w:snapToGrid w:val="0"/>
                <w:color w:val="auto"/>
                <w:kern w:val="0"/>
                <w:sz w:val="24"/>
                <w:szCs w:val="21"/>
                <w:highlight w:val="none"/>
              </w:rPr>
              <w:t>n——声源个数；</w:t>
            </w:r>
          </w:p>
          <w:p>
            <w:pPr>
              <w:pageBreakBefore w:val="0"/>
              <w:widowControl/>
              <w:kinsoku/>
              <w:wordWrap/>
              <w:overflowPunct w:val="0"/>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snapToGrid w:val="0"/>
                <w:color w:val="auto"/>
                <w:kern w:val="0"/>
                <w:sz w:val="24"/>
                <w:szCs w:val="21"/>
                <w:highlight w:val="none"/>
              </w:rPr>
              <w:t>L</w:t>
            </w:r>
            <w:r>
              <w:rPr>
                <w:rFonts w:hint="default" w:ascii="Times New Roman" w:hAnsi="Times New Roman" w:eastAsia="宋体" w:cs="Times New Roman"/>
                <w:snapToGrid w:val="0"/>
                <w:color w:val="auto"/>
                <w:kern w:val="0"/>
                <w:sz w:val="24"/>
                <w:szCs w:val="21"/>
                <w:highlight w:val="none"/>
                <w:vertAlign w:val="subscript"/>
              </w:rPr>
              <w:t>i</w:t>
            </w:r>
            <w:r>
              <w:rPr>
                <w:rFonts w:hint="default" w:ascii="Times New Roman" w:hAnsi="Times New Roman" w:eastAsia="宋体" w:cs="Times New Roman"/>
                <w:snapToGrid w:val="0"/>
                <w:color w:val="auto"/>
                <w:kern w:val="0"/>
                <w:sz w:val="24"/>
                <w:szCs w:val="21"/>
                <w:highlight w:val="none"/>
              </w:rPr>
              <w:t>——各声源对某点的声压级，dB</w:t>
            </w:r>
            <w:r>
              <w:rPr>
                <w:rFonts w:hint="default" w:ascii="Times New Roman" w:hAnsi="Times New Roman" w:eastAsia="宋体" w:cs="Times New Roman"/>
                <w:color w:val="auto"/>
                <w:sz w:val="24"/>
                <w:highlight w:val="none"/>
              </w:rPr>
              <w:t>。</w:t>
            </w:r>
          </w:p>
          <w:p>
            <w:pPr>
              <w:pStyle w:val="26"/>
              <w:spacing w:line="360" w:lineRule="auto"/>
              <w:ind w:firstLine="480" w:firstLineChars="200"/>
              <w:jc w:val="left"/>
              <w:rPr>
                <w:rFonts w:hint="eastAsia" w:ascii="Times New Roman" w:hAnsi="Times New Roman"/>
                <w:bCs/>
                <w:color w:val="auto"/>
              </w:rPr>
            </w:pPr>
            <w:r>
              <w:rPr>
                <w:rFonts w:hint="eastAsia" w:ascii="Times New Roman" w:hAnsi="Times New Roman"/>
                <w:bCs/>
                <w:color w:val="auto"/>
                <w:lang w:eastAsia="zh-CN"/>
              </w:rPr>
              <w:t>（</w:t>
            </w:r>
            <w:r>
              <w:rPr>
                <w:rFonts w:hint="eastAsia" w:ascii="Times New Roman" w:hAnsi="Times New Roman"/>
                <w:bCs/>
                <w:color w:val="auto"/>
              </w:rPr>
              <w:t>2）预测结果</w:t>
            </w:r>
          </w:p>
          <w:p>
            <w:pPr>
              <w:pageBreakBefore w:val="0"/>
              <w:widowControl/>
              <w:kinsoku/>
              <w:wordWrap/>
              <w:overflowPunct w:val="0"/>
              <w:bidi w:val="0"/>
              <w:spacing w:line="480" w:lineRule="exact"/>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根据厂区总平面布置图，结合上述预测模型及计算参数，预测运营期厂界外1m处噪声贡献值，本项目建设后厂界噪声贡献值结果详见下表。</w:t>
            </w:r>
          </w:p>
          <w:p>
            <w:pPr>
              <w:jc w:val="center"/>
              <w:rPr>
                <w:b/>
                <w:color w:val="auto"/>
                <w:szCs w:val="21"/>
              </w:rPr>
            </w:pPr>
            <w:r>
              <w:rPr>
                <w:rFonts w:hint="eastAsia"/>
                <w:b/>
                <w:color w:val="auto"/>
                <w:szCs w:val="21"/>
              </w:rPr>
              <w:t>表4-</w:t>
            </w:r>
            <w:r>
              <w:rPr>
                <w:rFonts w:hint="eastAsia"/>
                <w:b/>
                <w:color w:val="auto"/>
                <w:szCs w:val="21"/>
                <w:lang w:val="en-US" w:eastAsia="zh-CN"/>
              </w:rPr>
              <w:t>15</w:t>
            </w:r>
            <w:r>
              <w:rPr>
                <w:b/>
                <w:color w:val="auto"/>
                <w:szCs w:val="21"/>
              </w:rPr>
              <w:t xml:space="preserve"> 建设项目厂界噪声预测结果    单位：dB（A）</w:t>
            </w:r>
          </w:p>
          <w:tbl>
            <w:tblPr>
              <w:tblStyle w:val="24"/>
              <w:tblW w:w="859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802"/>
              <w:gridCol w:w="1710"/>
              <w:gridCol w:w="1711"/>
              <w:gridCol w:w="1182"/>
              <w:gridCol w:w="11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368" w:hRule="atLeast"/>
                <w:jc w:val="center"/>
              </w:trPr>
              <w:tc>
                <w:tcPr>
                  <w:tcW w:w="2802" w:type="dxa"/>
                  <w:vMerge w:val="restart"/>
                  <w:vAlign w:val="center"/>
                </w:tcPr>
                <w:p>
                  <w:pPr>
                    <w:jc w:val="center"/>
                    <w:rPr>
                      <w:bCs/>
                      <w:color w:val="auto"/>
                      <w:highlight w:val="none"/>
                    </w:rPr>
                  </w:pPr>
                  <w:r>
                    <w:rPr>
                      <w:bCs/>
                      <w:color w:val="auto"/>
                      <w:highlight w:val="none"/>
                    </w:rPr>
                    <w:t>预测点</w:t>
                  </w:r>
                </w:p>
              </w:tc>
              <w:tc>
                <w:tcPr>
                  <w:tcW w:w="3421" w:type="dxa"/>
                  <w:gridSpan w:val="2"/>
                  <w:vAlign w:val="center"/>
                </w:tcPr>
                <w:p>
                  <w:pPr>
                    <w:jc w:val="center"/>
                    <w:rPr>
                      <w:bCs/>
                      <w:color w:val="auto"/>
                      <w:highlight w:val="none"/>
                    </w:rPr>
                  </w:pPr>
                  <w:r>
                    <w:rPr>
                      <w:rFonts w:hint="eastAsia"/>
                      <w:bCs/>
                      <w:color w:val="auto"/>
                      <w:highlight w:val="none"/>
                    </w:rPr>
                    <w:t>贡献值</w:t>
                  </w:r>
                </w:p>
              </w:tc>
              <w:tc>
                <w:tcPr>
                  <w:tcW w:w="2367" w:type="dxa"/>
                  <w:gridSpan w:val="2"/>
                  <w:vAlign w:val="center"/>
                </w:tcPr>
                <w:p>
                  <w:pPr>
                    <w:jc w:val="center"/>
                    <w:rPr>
                      <w:bCs/>
                      <w:color w:val="auto"/>
                      <w:highlight w:val="none"/>
                    </w:rPr>
                  </w:pPr>
                  <w:r>
                    <w:rPr>
                      <w:bCs/>
                      <w:color w:val="auto"/>
                      <w:highlight w:val="none"/>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68" w:hRule="atLeast"/>
                <w:jc w:val="center"/>
              </w:trPr>
              <w:tc>
                <w:tcPr>
                  <w:tcW w:w="2802" w:type="dxa"/>
                  <w:vMerge w:val="continue"/>
                  <w:vAlign w:val="center"/>
                </w:tcPr>
                <w:p>
                  <w:pPr>
                    <w:jc w:val="center"/>
                    <w:rPr>
                      <w:bCs/>
                      <w:color w:val="auto"/>
                      <w:highlight w:val="none"/>
                    </w:rPr>
                  </w:pPr>
                </w:p>
              </w:tc>
              <w:tc>
                <w:tcPr>
                  <w:tcW w:w="1710" w:type="dxa"/>
                  <w:vAlign w:val="center"/>
                </w:tcPr>
                <w:p>
                  <w:pPr>
                    <w:jc w:val="center"/>
                    <w:rPr>
                      <w:bCs/>
                      <w:color w:val="auto"/>
                      <w:highlight w:val="none"/>
                    </w:rPr>
                  </w:pPr>
                  <w:r>
                    <w:rPr>
                      <w:rFonts w:hint="eastAsia"/>
                      <w:bCs/>
                      <w:color w:val="auto"/>
                      <w:highlight w:val="none"/>
                    </w:rPr>
                    <w:t>昼间</w:t>
                  </w:r>
                </w:p>
              </w:tc>
              <w:tc>
                <w:tcPr>
                  <w:tcW w:w="1711" w:type="dxa"/>
                  <w:vAlign w:val="center"/>
                </w:tcPr>
                <w:p>
                  <w:pPr>
                    <w:jc w:val="center"/>
                    <w:rPr>
                      <w:rFonts w:hint="eastAsia"/>
                      <w:bCs/>
                      <w:color w:val="auto"/>
                      <w:highlight w:val="none"/>
                    </w:rPr>
                  </w:pPr>
                  <w:r>
                    <w:rPr>
                      <w:rFonts w:hint="eastAsia"/>
                      <w:bCs/>
                      <w:color w:val="auto"/>
                      <w:highlight w:val="none"/>
                    </w:rPr>
                    <w:t>夜间</w:t>
                  </w:r>
                </w:p>
              </w:tc>
              <w:tc>
                <w:tcPr>
                  <w:tcW w:w="1182" w:type="dxa"/>
                  <w:vAlign w:val="center"/>
                </w:tcPr>
                <w:p>
                  <w:pPr>
                    <w:jc w:val="center"/>
                    <w:rPr>
                      <w:bCs/>
                      <w:color w:val="auto"/>
                      <w:highlight w:val="none"/>
                    </w:rPr>
                  </w:pPr>
                  <w:r>
                    <w:rPr>
                      <w:rFonts w:hint="eastAsia"/>
                      <w:bCs/>
                      <w:color w:val="auto"/>
                      <w:highlight w:val="none"/>
                    </w:rPr>
                    <w:t>昼间</w:t>
                  </w:r>
                </w:p>
              </w:tc>
              <w:tc>
                <w:tcPr>
                  <w:tcW w:w="1185" w:type="dxa"/>
                  <w:vAlign w:val="center"/>
                </w:tcPr>
                <w:p>
                  <w:pPr>
                    <w:jc w:val="center"/>
                    <w:rPr>
                      <w:bCs/>
                      <w:color w:val="auto"/>
                      <w:highlight w:val="none"/>
                    </w:rPr>
                  </w:pPr>
                  <w:r>
                    <w:rPr>
                      <w:rFonts w:hint="eastAsia"/>
                      <w:bCs/>
                      <w:color w:val="auto"/>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92" w:hRule="atLeast"/>
                <w:jc w:val="center"/>
              </w:trPr>
              <w:tc>
                <w:tcPr>
                  <w:tcW w:w="2802" w:type="dxa"/>
                  <w:vAlign w:val="center"/>
                </w:tcPr>
                <w:p>
                  <w:pPr>
                    <w:jc w:val="center"/>
                    <w:rPr>
                      <w:rFonts w:hint="eastAsia" w:eastAsia="宋体"/>
                      <w:bCs/>
                      <w:color w:val="auto"/>
                      <w:highlight w:val="none"/>
                      <w:lang w:eastAsia="zh-CN"/>
                    </w:rPr>
                  </w:pPr>
                  <w:bookmarkStart w:id="4" w:name="OLE_LINK13" w:colFirst="1" w:colLast="1"/>
                  <w:r>
                    <w:rPr>
                      <w:bCs/>
                      <w:color w:val="auto"/>
                      <w:highlight w:val="none"/>
                    </w:rPr>
                    <w:t>东厂界</w:t>
                  </w:r>
                </w:p>
              </w:tc>
              <w:tc>
                <w:tcPr>
                  <w:tcW w:w="1710" w:type="dxa"/>
                  <w:tcBorders>
                    <w:right w:val="single" w:color="auto" w:sz="4" w:space="0"/>
                  </w:tcBorders>
                  <w:vAlign w:val="center"/>
                </w:tcPr>
                <w:p>
                  <w:pPr>
                    <w:jc w:val="center"/>
                    <w:rPr>
                      <w:rFonts w:hint="default" w:eastAsia="宋体"/>
                      <w:bCs/>
                      <w:color w:val="auto"/>
                      <w:highlight w:val="none"/>
                      <w:lang w:val="en-US" w:eastAsia="zh-CN"/>
                    </w:rPr>
                  </w:pPr>
                  <w:r>
                    <w:rPr>
                      <w:rFonts w:hint="eastAsia"/>
                      <w:bCs/>
                      <w:color w:val="auto"/>
                      <w:highlight w:val="none"/>
                      <w:lang w:val="en-US" w:eastAsia="zh-CN"/>
                    </w:rPr>
                    <w:t>43.7</w:t>
                  </w:r>
                </w:p>
              </w:tc>
              <w:tc>
                <w:tcPr>
                  <w:tcW w:w="1711" w:type="dxa"/>
                  <w:vMerge w:val="restart"/>
                  <w:tcBorders>
                    <w:right w:val="single" w:color="auto" w:sz="4" w:space="0"/>
                  </w:tcBorders>
                  <w:vAlign w:val="center"/>
                </w:tcPr>
                <w:p>
                  <w:pPr>
                    <w:jc w:val="center"/>
                    <w:rPr>
                      <w:rFonts w:hint="default" w:eastAsia="宋体"/>
                      <w:bCs/>
                      <w:color w:val="auto"/>
                      <w:highlight w:val="none"/>
                      <w:lang w:val="en-US" w:eastAsia="zh-CN"/>
                    </w:rPr>
                  </w:pPr>
                  <w:r>
                    <w:rPr>
                      <w:rFonts w:hint="eastAsia" w:eastAsia="宋体"/>
                      <w:bCs/>
                      <w:color w:val="auto"/>
                      <w:highlight w:val="none"/>
                      <w:lang w:val="en-US" w:eastAsia="zh-CN"/>
                    </w:rPr>
                    <w:t>夜间不生产</w:t>
                  </w:r>
                </w:p>
              </w:tc>
              <w:tc>
                <w:tcPr>
                  <w:tcW w:w="118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60</w:t>
                  </w:r>
                </w:p>
              </w:tc>
              <w:tc>
                <w:tcPr>
                  <w:tcW w:w="118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2802" w:type="dxa"/>
                  <w:vAlign w:val="center"/>
                </w:tcPr>
                <w:p>
                  <w:pPr>
                    <w:jc w:val="center"/>
                    <w:rPr>
                      <w:rFonts w:hint="eastAsia" w:eastAsia="宋体"/>
                      <w:bCs/>
                      <w:color w:val="auto"/>
                      <w:highlight w:val="none"/>
                      <w:lang w:eastAsia="zh-CN"/>
                    </w:rPr>
                  </w:pPr>
                  <w:r>
                    <w:rPr>
                      <w:bCs/>
                      <w:color w:val="auto"/>
                      <w:highlight w:val="none"/>
                    </w:rPr>
                    <w:t>南厂界</w:t>
                  </w:r>
                </w:p>
              </w:tc>
              <w:tc>
                <w:tcPr>
                  <w:tcW w:w="1710" w:type="dxa"/>
                  <w:tcBorders>
                    <w:right w:val="single" w:color="auto" w:sz="4" w:space="0"/>
                  </w:tcBorders>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50.3</w:t>
                  </w:r>
                </w:p>
              </w:tc>
              <w:tc>
                <w:tcPr>
                  <w:tcW w:w="1711" w:type="dxa"/>
                  <w:vMerge w:val="continue"/>
                  <w:tcBorders>
                    <w:right w:val="single" w:color="auto" w:sz="4" w:space="0"/>
                  </w:tcBorders>
                  <w:vAlign w:val="center"/>
                </w:tcPr>
                <w:p>
                  <w:pPr>
                    <w:jc w:val="center"/>
                    <w:rPr>
                      <w:rFonts w:hint="default" w:eastAsia="宋体"/>
                      <w:bCs/>
                      <w:color w:val="auto"/>
                      <w:highlight w:val="none"/>
                      <w:lang w:val="en-US" w:eastAsia="zh-CN"/>
                    </w:rPr>
                  </w:pPr>
                </w:p>
              </w:tc>
              <w:tc>
                <w:tcPr>
                  <w:tcW w:w="118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60</w:t>
                  </w:r>
                </w:p>
              </w:tc>
              <w:tc>
                <w:tcPr>
                  <w:tcW w:w="118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2802" w:type="dxa"/>
                  <w:vAlign w:val="center"/>
                </w:tcPr>
                <w:p>
                  <w:pPr>
                    <w:jc w:val="center"/>
                    <w:rPr>
                      <w:rFonts w:hint="eastAsia" w:eastAsia="宋体"/>
                      <w:bCs/>
                      <w:color w:val="auto"/>
                      <w:highlight w:val="none"/>
                      <w:lang w:eastAsia="zh-CN"/>
                    </w:rPr>
                  </w:pPr>
                  <w:r>
                    <w:rPr>
                      <w:bCs/>
                      <w:color w:val="auto"/>
                      <w:highlight w:val="none"/>
                    </w:rPr>
                    <w:t>西厂界</w:t>
                  </w:r>
                </w:p>
              </w:tc>
              <w:tc>
                <w:tcPr>
                  <w:tcW w:w="1710" w:type="dxa"/>
                  <w:tcBorders>
                    <w:right w:val="single" w:color="auto" w:sz="4" w:space="0"/>
                  </w:tcBorders>
                  <w:vAlign w:val="center"/>
                </w:tcPr>
                <w:p>
                  <w:pPr>
                    <w:jc w:val="center"/>
                    <w:rPr>
                      <w:rFonts w:hint="default" w:eastAsia="宋体"/>
                      <w:bCs/>
                      <w:color w:val="auto"/>
                      <w:highlight w:val="none"/>
                      <w:lang w:val="en-US" w:eastAsia="zh-CN"/>
                    </w:rPr>
                  </w:pPr>
                  <w:r>
                    <w:rPr>
                      <w:rFonts w:hint="eastAsia"/>
                      <w:bCs/>
                      <w:color w:val="auto"/>
                      <w:highlight w:val="none"/>
                      <w:lang w:val="en-US" w:eastAsia="zh-CN"/>
                    </w:rPr>
                    <w:t>58.8</w:t>
                  </w:r>
                </w:p>
              </w:tc>
              <w:tc>
                <w:tcPr>
                  <w:tcW w:w="1711" w:type="dxa"/>
                  <w:vMerge w:val="continue"/>
                  <w:tcBorders>
                    <w:right w:val="single" w:color="auto" w:sz="4" w:space="0"/>
                  </w:tcBorders>
                  <w:vAlign w:val="center"/>
                </w:tcPr>
                <w:p>
                  <w:pPr>
                    <w:jc w:val="center"/>
                    <w:rPr>
                      <w:rFonts w:hint="default" w:eastAsia="宋体"/>
                      <w:bCs/>
                      <w:color w:val="auto"/>
                      <w:highlight w:val="none"/>
                      <w:lang w:val="en-US" w:eastAsia="zh-CN"/>
                    </w:rPr>
                  </w:pPr>
                </w:p>
              </w:tc>
              <w:tc>
                <w:tcPr>
                  <w:tcW w:w="118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60</w:t>
                  </w:r>
                </w:p>
              </w:tc>
              <w:tc>
                <w:tcPr>
                  <w:tcW w:w="118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2802" w:type="dxa"/>
                  <w:vAlign w:val="center"/>
                </w:tcPr>
                <w:p>
                  <w:pPr>
                    <w:jc w:val="center"/>
                    <w:rPr>
                      <w:rFonts w:hint="eastAsia" w:eastAsia="宋体"/>
                      <w:bCs/>
                      <w:color w:val="auto"/>
                      <w:highlight w:val="none"/>
                      <w:lang w:eastAsia="zh-CN"/>
                    </w:rPr>
                  </w:pPr>
                  <w:r>
                    <w:rPr>
                      <w:bCs/>
                      <w:color w:val="auto"/>
                      <w:highlight w:val="none"/>
                    </w:rPr>
                    <w:t>北厂界</w:t>
                  </w:r>
                </w:p>
              </w:tc>
              <w:tc>
                <w:tcPr>
                  <w:tcW w:w="1710" w:type="dxa"/>
                  <w:tcBorders>
                    <w:right w:val="single" w:color="auto" w:sz="4" w:space="0"/>
                  </w:tcBorders>
                  <w:vAlign w:val="center"/>
                </w:tcPr>
                <w:p>
                  <w:pPr>
                    <w:jc w:val="center"/>
                    <w:rPr>
                      <w:rFonts w:hint="default" w:eastAsia="宋体"/>
                      <w:bCs/>
                      <w:color w:val="auto"/>
                      <w:highlight w:val="none"/>
                      <w:lang w:val="en-US" w:eastAsia="zh-CN"/>
                    </w:rPr>
                  </w:pPr>
                  <w:r>
                    <w:rPr>
                      <w:rFonts w:hint="eastAsia"/>
                      <w:bCs/>
                      <w:color w:val="auto"/>
                      <w:highlight w:val="none"/>
                      <w:lang w:val="en-US" w:eastAsia="zh-CN"/>
                    </w:rPr>
                    <w:t>47.4</w:t>
                  </w:r>
                </w:p>
              </w:tc>
              <w:tc>
                <w:tcPr>
                  <w:tcW w:w="1711" w:type="dxa"/>
                  <w:vMerge w:val="continue"/>
                  <w:tcBorders>
                    <w:right w:val="single" w:color="auto" w:sz="4" w:space="0"/>
                  </w:tcBorders>
                  <w:vAlign w:val="center"/>
                </w:tcPr>
                <w:p>
                  <w:pPr>
                    <w:jc w:val="center"/>
                    <w:rPr>
                      <w:rFonts w:hint="default" w:eastAsia="宋体"/>
                      <w:bCs/>
                      <w:color w:val="auto"/>
                      <w:highlight w:val="none"/>
                      <w:lang w:val="en-US" w:eastAsia="zh-CN"/>
                    </w:rPr>
                  </w:pPr>
                </w:p>
              </w:tc>
              <w:tc>
                <w:tcPr>
                  <w:tcW w:w="1182"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60</w:t>
                  </w:r>
                </w:p>
              </w:tc>
              <w:tc>
                <w:tcPr>
                  <w:tcW w:w="1185" w:type="dxa"/>
                  <w:vAlign w:val="center"/>
                </w:tcPr>
                <w:p>
                  <w:pPr>
                    <w:jc w:val="center"/>
                    <w:rPr>
                      <w:rFonts w:hint="default" w:eastAsia="宋体"/>
                      <w:bCs/>
                      <w:color w:val="auto"/>
                      <w:highlight w:val="none"/>
                      <w:lang w:val="en-US" w:eastAsia="zh-CN"/>
                    </w:rPr>
                  </w:pPr>
                  <w:r>
                    <w:rPr>
                      <w:rFonts w:hint="eastAsia"/>
                      <w:bCs/>
                      <w:color w:val="auto"/>
                      <w:highlight w:val="none"/>
                      <w:lang w:val="en-US" w:eastAsia="zh-CN"/>
                    </w:rPr>
                    <w:t>50</w:t>
                  </w:r>
                </w:p>
              </w:tc>
            </w:tr>
            <w:bookmarkEnd w:id="4"/>
          </w:tbl>
          <w:p>
            <w:pPr>
              <w:jc w:val="center"/>
              <w:rPr>
                <w:b/>
                <w:color w:val="auto"/>
                <w:szCs w:val="21"/>
              </w:rPr>
            </w:pPr>
          </w:p>
          <w:p>
            <w:pPr>
              <w:widowControl/>
              <w:spacing w:line="360" w:lineRule="auto"/>
              <w:ind w:firstLine="480" w:firstLineChars="200"/>
              <w:jc w:val="left"/>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综上所述，本项目厂界噪声能够满足《工业企业厂界环境噪声排放标准》</w:t>
            </w:r>
            <w:r>
              <w:rPr>
                <w:color w:val="auto"/>
                <w:kern w:val="0"/>
                <w:sz w:val="24"/>
                <w:highlight w:val="none"/>
                <w:lang w:bidi="ar"/>
              </w:rPr>
              <w:t>（GB12348-2008）中</w:t>
            </w:r>
            <w:r>
              <w:rPr>
                <w:rFonts w:hint="eastAsia"/>
                <w:color w:val="auto"/>
                <w:kern w:val="0"/>
                <w:sz w:val="24"/>
                <w:highlight w:val="none"/>
                <w:lang w:val="en-US" w:eastAsia="zh-CN" w:bidi="ar"/>
              </w:rPr>
              <w:t>2</w:t>
            </w:r>
            <w:r>
              <w:rPr>
                <w:color w:val="auto"/>
                <w:kern w:val="0"/>
                <w:sz w:val="24"/>
                <w:highlight w:val="none"/>
                <w:lang w:bidi="ar"/>
              </w:rPr>
              <w:t>类区标准要求。</w:t>
            </w:r>
          </w:p>
          <w:p>
            <w:pPr>
              <w:jc w:val="center"/>
              <w:rPr>
                <w:b/>
                <w:color w:val="auto"/>
                <w:szCs w:val="21"/>
              </w:rPr>
            </w:pPr>
            <w:r>
              <w:rPr>
                <w:rFonts w:hint="eastAsia"/>
                <w:b/>
                <w:color w:val="auto"/>
                <w:szCs w:val="21"/>
              </w:rPr>
              <w:t>表4-</w:t>
            </w:r>
            <w:r>
              <w:rPr>
                <w:rFonts w:hint="eastAsia"/>
                <w:b/>
                <w:color w:val="auto"/>
                <w:szCs w:val="21"/>
                <w:lang w:val="en-US" w:eastAsia="zh-CN"/>
              </w:rPr>
              <w:t>16</w:t>
            </w:r>
            <w:r>
              <w:rPr>
                <w:b/>
                <w:color w:val="auto"/>
                <w:szCs w:val="21"/>
              </w:rPr>
              <w:t xml:space="preserve"> 建设项目</w:t>
            </w:r>
            <w:r>
              <w:rPr>
                <w:rFonts w:hint="eastAsia"/>
                <w:b/>
                <w:color w:val="auto"/>
                <w:szCs w:val="21"/>
                <w:lang w:eastAsia="zh-CN"/>
              </w:rPr>
              <w:t>敏感点</w:t>
            </w:r>
            <w:r>
              <w:rPr>
                <w:b/>
                <w:color w:val="auto"/>
                <w:szCs w:val="21"/>
              </w:rPr>
              <w:t>噪声预测结果    单位：dB（A）</w:t>
            </w:r>
          </w:p>
          <w:tbl>
            <w:tblPr>
              <w:tblStyle w:val="24"/>
              <w:tblW w:w="865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913"/>
              <w:gridCol w:w="1605"/>
              <w:gridCol w:w="1367"/>
              <w:gridCol w:w="1882"/>
              <w:gridCol w:w="936"/>
              <w:gridCol w:w="9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68" w:hRule="atLeast"/>
                <w:jc w:val="center"/>
              </w:trPr>
              <w:tc>
                <w:tcPr>
                  <w:tcW w:w="1913" w:type="dxa"/>
                  <w:vMerge w:val="restart"/>
                  <w:vAlign w:val="center"/>
                </w:tcPr>
                <w:p>
                  <w:pPr>
                    <w:jc w:val="center"/>
                    <w:rPr>
                      <w:bCs/>
                      <w:color w:val="auto"/>
                    </w:rPr>
                  </w:pPr>
                  <w:r>
                    <w:rPr>
                      <w:bCs/>
                      <w:color w:val="auto"/>
                    </w:rPr>
                    <w:t>预测点</w:t>
                  </w:r>
                </w:p>
              </w:tc>
              <w:tc>
                <w:tcPr>
                  <w:tcW w:w="1605" w:type="dxa"/>
                  <w:vAlign w:val="center"/>
                </w:tcPr>
                <w:p>
                  <w:pPr>
                    <w:jc w:val="center"/>
                    <w:rPr>
                      <w:rFonts w:hint="eastAsia" w:eastAsia="宋体"/>
                      <w:bCs/>
                      <w:color w:val="auto"/>
                      <w:lang w:eastAsia="zh-CN"/>
                    </w:rPr>
                  </w:pPr>
                  <w:r>
                    <w:rPr>
                      <w:rFonts w:hint="eastAsia"/>
                      <w:bCs/>
                      <w:color w:val="auto"/>
                      <w:lang w:eastAsia="zh-CN"/>
                    </w:rPr>
                    <w:t>背景值</w:t>
                  </w:r>
                </w:p>
              </w:tc>
              <w:tc>
                <w:tcPr>
                  <w:tcW w:w="1367" w:type="dxa"/>
                  <w:vAlign w:val="center"/>
                </w:tcPr>
                <w:p>
                  <w:pPr>
                    <w:jc w:val="center"/>
                    <w:rPr>
                      <w:bCs/>
                      <w:color w:val="auto"/>
                    </w:rPr>
                  </w:pPr>
                  <w:r>
                    <w:rPr>
                      <w:rFonts w:hint="eastAsia"/>
                      <w:bCs/>
                      <w:color w:val="auto"/>
                    </w:rPr>
                    <w:t>贡献值</w:t>
                  </w:r>
                </w:p>
              </w:tc>
              <w:tc>
                <w:tcPr>
                  <w:tcW w:w="1882" w:type="dxa"/>
                  <w:vAlign w:val="center"/>
                </w:tcPr>
                <w:p>
                  <w:pPr>
                    <w:jc w:val="center"/>
                    <w:rPr>
                      <w:rFonts w:hint="eastAsia" w:eastAsia="宋体"/>
                      <w:bCs/>
                      <w:color w:val="auto"/>
                      <w:lang w:eastAsia="zh-CN"/>
                    </w:rPr>
                  </w:pPr>
                  <w:r>
                    <w:rPr>
                      <w:rFonts w:hint="eastAsia"/>
                      <w:bCs/>
                      <w:color w:val="auto"/>
                      <w:lang w:eastAsia="zh-CN"/>
                    </w:rPr>
                    <w:t>预测值</w:t>
                  </w:r>
                </w:p>
              </w:tc>
              <w:tc>
                <w:tcPr>
                  <w:tcW w:w="1889" w:type="dxa"/>
                  <w:gridSpan w:val="2"/>
                  <w:vAlign w:val="center"/>
                </w:tcPr>
                <w:p>
                  <w:pPr>
                    <w:jc w:val="center"/>
                    <w:rPr>
                      <w:bCs/>
                      <w:color w:val="auto"/>
                    </w:rPr>
                  </w:pPr>
                  <w:r>
                    <w:rPr>
                      <w:bCs/>
                      <w:color w:val="auto"/>
                    </w:rPr>
                    <w:t>标准值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68" w:hRule="atLeast"/>
                <w:jc w:val="center"/>
              </w:trPr>
              <w:tc>
                <w:tcPr>
                  <w:tcW w:w="1913" w:type="dxa"/>
                  <w:vMerge w:val="continue"/>
                  <w:vAlign w:val="center"/>
                </w:tcPr>
                <w:p>
                  <w:pPr>
                    <w:jc w:val="center"/>
                    <w:rPr>
                      <w:bCs/>
                      <w:color w:val="auto"/>
                    </w:rPr>
                  </w:pPr>
                </w:p>
              </w:tc>
              <w:tc>
                <w:tcPr>
                  <w:tcW w:w="1605" w:type="dxa"/>
                  <w:vAlign w:val="center"/>
                </w:tcPr>
                <w:p>
                  <w:pPr>
                    <w:jc w:val="center"/>
                    <w:rPr>
                      <w:rFonts w:hint="eastAsia" w:eastAsia="宋体"/>
                      <w:bCs/>
                      <w:color w:val="auto"/>
                      <w:lang w:eastAsia="zh-CN"/>
                    </w:rPr>
                  </w:pPr>
                  <w:r>
                    <w:rPr>
                      <w:rFonts w:hint="eastAsia"/>
                      <w:bCs/>
                      <w:color w:val="auto"/>
                    </w:rPr>
                    <w:t>昼间</w:t>
                  </w:r>
                </w:p>
              </w:tc>
              <w:tc>
                <w:tcPr>
                  <w:tcW w:w="1367" w:type="dxa"/>
                  <w:vAlign w:val="center"/>
                </w:tcPr>
                <w:p>
                  <w:pPr>
                    <w:jc w:val="center"/>
                    <w:rPr>
                      <w:rFonts w:hint="eastAsia" w:eastAsia="宋体"/>
                      <w:bCs/>
                      <w:color w:val="auto"/>
                      <w:lang w:eastAsia="zh-CN"/>
                    </w:rPr>
                  </w:pPr>
                  <w:r>
                    <w:rPr>
                      <w:rFonts w:hint="eastAsia"/>
                      <w:bCs/>
                      <w:color w:val="auto"/>
                    </w:rPr>
                    <w:t>昼间</w:t>
                  </w:r>
                </w:p>
              </w:tc>
              <w:tc>
                <w:tcPr>
                  <w:tcW w:w="1882" w:type="dxa"/>
                  <w:vAlign w:val="center"/>
                </w:tcPr>
                <w:p>
                  <w:pPr>
                    <w:jc w:val="center"/>
                    <w:rPr>
                      <w:rFonts w:hint="eastAsia" w:eastAsia="宋体"/>
                      <w:bCs/>
                      <w:color w:val="auto"/>
                      <w:lang w:eastAsia="zh-CN"/>
                    </w:rPr>
                  </w:pPr>
                  <w:r>
                    <w:rPr>
                      <w:rFonts w:hint="eastAsia"/>
                      <w:bCs/>
                      <w:color w:val="auto"/>
                    </w:rPr>
                    <w:t>昼间</w:t>
                  </w:r>
                </w:p>
              </w:tc>
              <w:tc>
                <w:tcPr>
                  <w:tcW w:w="936" w:type="dxa"/>
                  <w:vAlign w:val="center"/>
                </w:tcPr>
                <w:p>
                  <w:pPr>
                    <w:jc w:val="center"/>
                    <w:rPr>
                      <w:bCs/>
                      <w:color w:val="auto"/>
                    </w:rPr>
                  </w:pPr>
                  <w:r>
                    <w:rPr>
                      <w:rFonts w:hint="eastAsia"/>
                      <w:bCs/>
                      <w:color w:val="auto"/>
                    </w:rPr>
                    <w:t>昼间</w:t>
                  </w:r>
                </w:p>
              </w:tc>
              <w:tc>
                <w:tcPr>
                  <w:tcW w:w="953" w:type="dxa"/>
                  <w:vAlign w:val="center"/>
                </w:tcPr>
                <w:p>
                  <w:pPr>
                    <w:jc w:val="center"/>
                    <w:rPr>
                      <w:bCs/>
                      <w:color w:val="auto"/>
                    </w:rPr>
                  </w:pPr>
                  <w:r>
                    <w:rPr>
                      <w:rFonts w:hint="eastAsia"/>
                      <w:bCs/>
                      <w:color w:val="auto"/>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913" w:type="dxa"/>
                  <w:vAlign w:val="center"/>
                </w:tcPr>
                <w:p>
                  <w:pPr>
                    <w:jc w:val="center"/>
                    <w:rPr>
                      <w:rFonts w:hint="default"/>
                      <w:bCs/>
                      <w:color w:val="auto"/>
                      <w:highlight w:val="none"/>
                      <w:lang w:val="en-US" w:eastAsia="zh-CN"/>
                    </w:rPr>
                  </w:pPr>
                  <w:r>
                    <w:rPr>
                      <w:rFonts w:hint="eastAsia" w:eastAsia="宋体" w:cs="Times New Roman"/>
                      <w:color w:val="auto"/>
                      <w:sz w:val="21"/>
                      <w:szCs w:val="21"/>
                      <w:vertAlign w:val="baseline"/>
                      <w:lang w:val="en-US" w:eastAsia="zh-CN"/>
                    </w:rPr>
                    <w:t>南侧住户（曹卫休家）</w:t>
                  </w:r>
                </w:p>
              </w:tc>
              <w:tc>
                <w:tcPr>
                  <w:tcW w:w="1605" w:type="dxa"/>
                  <w:tcBorders>
                    <w:right w:val="single" w:color="auto" w:sz="4" w:space="0"/>
                  </w:tcBorders>
                  <w:vAlign w:val="center"/>
                </w:tcPr>
                <w:p>
                  <w:pPr>
                    <w:jc w:val="center"/>
                    <w:rPr>
                      <w:rFonts w:hint="default"/>
                      <w:bCs/>
                      <w:color w:val="auto"/>
                      <w:lang w:val="en-US" w:eastAsia="zh-CN"/>
                    </w:rPr>
                  </w:pPr>
                  <w:r>
                    <w:rPr>
                      <w:rFonts w:hint="eastAsia"/>
                      <w:bCs/>
                      <w:color w:val="auto"/>
                      <w:lang w:val="en-US" w:eastAsia="zh-CN"/>
                    </w:rPr>
                    <w:t>44</w:t>
                  </w:r>
                </w:p>
              </w:tc>
              <w:tc>
                <w:tcPr>
                  <w:tcW w:w="1367" w:type="dxa"/>
                  <w:tcBorders>
                    <w:right w:val="single" w:color="auto" w:sz="4" w:space="0"/>
                  </w:tcBorders>
                  <w:vAlign w:val="center"/>
                </w:tcPr>
                <w:p>
                  <w:pPr>
                    <w:jc w:val="center"/>
                    <w:rPr>
                      <w:rFonts w:hint="default"/>
                      <w:bCs/>
                      <w:color w:val="auto"/>
                      <w:lang w:val="en-US" w:eastAsia="zh-CN"/>
                    </w:rPr>
                  </w:pPr>
                  <w:r>
                    <w:rPr>
                      <w:rFonts w:hint="eastAsia"/>
                      <w:bCs/>
                      <w:color w:val="auto"/>
                      <w:lang w:val="en-US" w:eastAsia="zh-CN"/>
                    </w:rPr>
                    <w:t>42.5</w:t>
                  </w:r>
                </w:p>
              </w:tc>
              <w:tc>
                <w:tcPr>
                  <w:tcW w:w="1882" w:type="dxa"/>
                  <w:vAlign w:val="center"/>
                </w:tcPr>
                <w:p>
                  <w:pPr>
                    <w:jc w:val="center"/>
                    <w:rPr>
                      <w:rFonts w:hint="default"/>
                      <w:bCs/>
                      <w:color w:val="auto"/>
                      <w:lang w:val="en-US" w:eastAsia="zh-CN"/>
                    </w:rPr>
                  </w:pPr>
                  <w:r>
                    <w:rPr>
                      <w:rFonts w:hint="eastAsia"/>
                      <w:bCs/>
                      <w:color w:val="auto"/>
                      <w:lang w:val="en-US" w:eastAsia="zh-CN"/>
                    </w:rPr>
                    <w:t>46.3</w:t>
                  </w:r>
                </w:p>
              </w:tc>
              <w:tc>
                <w:tcPr>
                  <w:tcW w:w="936" w:type="dxa"/>
                  <w:vAlign w:val="center"/>
                </w:tcPr>
                <w:p>
                  <w:pPr>
                    <w:jc w:val="center"/>
                    <w:rPr>
                      <w:rFonts w:hint="default"/>
                      <w:bCs/>
                      <w:color w:val="auto"/>
                      <w:lang w:val="en-US" w:eastAsia="zh-CN"/>
                    </w:rPr>
                  </w:pPr>
                  <w:r>
                    <w:rPr>
                      <w:rFonts w:hint="eastAsia"/>
                      <w:bCs/>
                      <w:color w:val="auto"/>
                      <w:lang w:val="en-US" w:eastAsia="zh-CN"/>
                    </w:rPr>
                    <w:t>55</w:t>
                  </w:r>
                </w:p>
              </w:tc>
              <w:tc>
                <w:tcPr>
                  <w:tcW w:w="953" w:type="dxa"/>
                  <w:vAlign w:val="center"/>
                </w:tcPr>
                <w:p>
                  <w:pPr>
                    <w:jc w:val="center"/>
                    <w:rPr>
                      <w:rFonts w:hint="default"/>
                      <w:bCs/>
                      <w:color w:val="auto"/>
                      <w:lang w:val="en-US" w:eastAsia="zh-CN"/>
                    </w:rPr>
                  </w:pPr>
                  <w:r>
                    <w:rPr>
                      <w:rFonts w:hint="eastAsia"/>
                      <w:bCs/>
                      <w:color w:val="auto"/>
                      <w:lang w:val="en-US" w:eastAsia="zh-CN"/>
                    </w:rPr>
                    <w:t>45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ascii="Times New Roman" w:hAnsi="Times New Roman" w:cs="Times New Roman"/>
                <w:color w:val="auto"/>
                <w:spacing w:val="0"/>
                <w:position w:val="0"/>
                <w:sz w:val="24"/>
                <w:highlight w:val="none"/>
                <w:lang w:val="en-US" w:eastAsia="zh-CN"/>
              </w:rPr>
              <w:t>经预测本项目</w:t>
            </w:r>
            <w:r>
              <w:rPr>
                <w:rFonts w:hint="eastAsia" w:cs="Times New Roman"/>
                <w:color w:val="auto"/>
                <w:spacing w:val="0"/>
                <w:position w:val="0"/>
                <w:sz w:val="24"/>
                <w:highlight w:val="none"/>
                <w:lang w:val="en-US" w:eastAsia="zh-CN"/>
              </w:rPr>
              <w:t>对最近环保目标南侧住户（曹卫休家）</w:t>
            </w:r>
            <w:r>
              <w:rPr>
                <w:rFonts w:hint="eastAsia" w:ascii="Times New Roman" w:hAnsi="Times New Roman" w:cs="Times New Roman"/>
                <w:color w:val="auto"/>
                <w:spacing w:val="0"/>
                <w:position w:val="0"/>
                <w:sz w:val="24"/>
                <w:highlight w:val="none"/>
                <w:lang w:val="en-US" w:eastAsia="zh-CN"/>
              </w:rPr>
              <w:t>噪声预测值</w:t>
            </w:r>
            <w:r>
              <w:rPr>
                <w:rFonts w:hint="default" w:ascii="Times New Roman" w:hAnsi="Times New Roman" w:cs="Times New Roman"/>
                <w:color w:val="auto"/>
                <w:spacing w:val="0"/>
                <w:position w:val="0"/>
                <w:sz w:val="24"/>
                <w:highlight w:val="none"/>
                <w:lang w:val="en-US" w:eastAsia="zh-CN"/>
              </w:rPr>
              <w:t>满足《声环境质量标准》（GB3096-2008）中</w:t>
            </w:r>
            <w:r>
              <w:rPr>
                <w:rFonts w:hint="eastAsia" w:cs="Times New Roman"/>
                <w:color w:val="auto"/>
                <w:spacing w:val="0"/>
                <w:position w:val="0"/>
                <w:sz w:val="24"/>
                <w:highlight w:val="none"/>
                <w:lang w:val="en-US" w:eastAsia="zh-CN"/>
              </w:rPr>
              <w:t>1</w:t>
            </w:r>
            <w:r>
              <w:rPr>
                <w:rFonts w:hint="default" w:ascii="Times New Roman" w:hAnsi="Times New Roman" w:cs="Times New Roman"/>
                <w:color w:val="auto"/>
                <w:spacing w:val="0"/>
                <w:position w:val="0"/>
                <w:sz w:val="24"/>
                <w:highlight w:val="none"/>
                <w:lang w:val="en-US" w:eastAsia="zh-CN"/>
              </w:rPr>
              <w:t>类标准</w:t>
            </w:r>
            <w:r>
              <w:rPr>
                <w:rFonts w:hint="default" w:ascii="Times New Roman" w:hAnsi="Times New Roman" w:cs="Times New Roman"/>
                <w:color w:val="auto"/>
                <w:spacing w:val="0"/>
                <w:position w:val="0"/>
                <w:sz w:val="24"/>
                <w:highlight w:val="none"/>
              </w:rPr>
              <w:t>，对周围环境敏感目标影响较小</w:t>
            </w:r>
            <w:r>
              <w:rPr>
                <w:rFonts w:hint="eastAsia"/>
                <w:color w:val="auto"/>
                <w:sz w:val="24"/>
                <w:highlight w:val="none"/>
                <w:lang w:eastAsia="zh-CN"/>
              </w:rPr>
              <w:t>。</w:t>
            </w:r>
          </w:p>
          <w:p>
            <w:pPr>
              <w:spacing w:line="360" w:lineRule="auto"/>
              <w:ind w:firstLine="482" w:firstLineChars="200"/>
              <w:rPr>
                <w:b/>
                <w:bCs/>
                <w:color w:val="auto"/>
                <w:sz w:val="24"/>
                <w:highlight w:val="none"/>
              </w:rPr>
            </w:pPr>
            <w:r>
              <w:rPr>
                <w:rFonts w:hint="eastAsia"/>
                <w:b/>
                <w:bCs/>
                <w:color w:val="auto"/>
                <w:sz w:val="24"/>
                <w:highlight w:val="none"/>
              </w:rPr>
              <w:t>3.4噪声环境影响分析</w:t>
            </w:r>
          </w:p>
          <w:p>
            <w:pPr>
              <w:spacing w:line="360" w:lineRule="auto"/>
              <w:ind w:firstLine="480" w:firstLineChars="200"/>
              <w:rPr>
                <w:rFonts w:hint="eastAsia"/>
                <w:color w:val="auto"/>
                <w:sz w:val="24"/>
              </w:rPr>
            </w:pPr>
            <w:r>
              <w:rPr>
                <w:rFonts w:hint="eastAsia"/>
                <w:color w:val="auto"/>
                <w:sz w:val="24"/>
                <w:highlight w:val="none"/>
              </w:rPr>
              <w:t>本项目产生的噪声为生产过程中的设备噪声，本项目购置设备为低噪声设备</w:t>
            </w:r>
            <w:r>
              <w:rPr>
                <w:rFonts w:hint="eastAsia"/>
                <w:bCs/>
                <w:color w:val="auto"/>
                <w:sz w:val="24"/>
                <w:highlight w:val="none"/>
              </w:rPr>
              <w:t>，经厂房隔声、距离衰减，必要时安装消声措施，可确保厂界噪声满足</w:t>
            </w:r>
            <w:r>
              <w:rPr>
                <w:color w:val="auto"/>
                <w:sz w:val="24"/>
                <w:highlight w:val="none"/>
              </w:rPr>
              <w:t>《工业企业厂界环境噪声排放标准》（GB12348-2008）</w:t>
            </w:r>
            <w:r>
              <w:rPr>
                <w:rFonts w:hint="eastAsia"/>
                <w:color w:val="auto"/>
                <w:sz w:val="24"/>
                <w:highlight w:val="none"/>
              </w:rPr>
              <w:t>中</w:t>
            </w:r>
            <w:r>
              <w:rPr>
                <w:rFonts w:hint="eastAsia"/>
                <w:color w:val="auto"/>
                <w:sz w:val="24"/>
                <w:highlight w:val="none"/>
                <w:lang w:val="en-US" w:eastAsia="zh-CN"/>
              </w:rPr>
              <w:t>2</w:t>
            </w:r>
            <w:r>
              <w:rPr>
                <w:rFonts w:hint="eastAsia"/>
                <w:color w:val="auto"/>
                <w:sz w:val="24"/>
                <w:highlight w:val="none"/>
              </w:rPr>
              <w:t>类区</w:t>
            </w:r>
            <w:r>
              <w:rPr>
                <w:rFonts w:hint="eastAsia"/>
                <w:color w:val="auto"/>
                <w:sz w:val="24"/>
              </w:rPr>
              <w:t>标准要求，</w:t>
            </w:r>
            <w:r>
              <w:rPr>
                <w:rFonts w:hint="eastAsia" w:cs="Times New Roman"/>
                <w:color w:val="auto"/>
                <w:spacing w:val="0"/>
                <w:position w:val="0"/>
                <w:sz w:val="24"/>
                <w:highlight w:val="none"/>
                <w:lang w:val="en-US" w:eastAsia="zh-CN"/>
              </w:rPr>
              <w:t>最近环保目标南侧住户（曹卫休家）</w:t>
            </w:r>
            <w:r>
              <w:rPr>
                <w:rFonts w:hint="eastAsia"/>
                <w:b w:val="0"/>
                <w:bCs/>
                <w:color w:val="auto"/>
                <w:sz w:val="24"/>
                <w:lang w:eastAsia="zh-CN"/>
              </w:rPr>
              <w:t>噪声能够满足</w:t>
            </w:r>
            <w:r>
              <w:rPr>
                <w:rFonts w:hint="default" w:ascii="Times New Roman" w:hAnsi="Times New Roman" w:cs="Times New Roman"/>
                <w:color w:val="auto"/>
                <w:spacing w:val="0"/>
                <w:position w:val="0"/>
                <w:sz w:val="24"/>
                <w:highlight w:val="none"/>
                <w:lang w:val="en-US" w:eastAsia="zh-CN"/>
              </w:rPr>
              <w:t>《声环境质量标准》（GB3096-2008）中</w:t>
            </w:r>
            <w:r>
              <w:rPr>
                <w:rFonts w:hint="eastAsia" w:cs="Times New Roman"/>
                <w:color w:val="auto"/>
                <w:spacing w:val="0"/>
                <w:position w:val="0"/>
                <w:sz w:val="24"/>
                <w:highlight w:val="none"/>
                <w:lang w:val="en-US" w:eastAsia="zh-CN"/>
              </w:rPr>
              <w:t>1</w:t>
            </w:r>
            <w:r>
              <w:rPr>
                <w:rFonts w:hint="default" w:ascii="Times New Roman" w:hAnsi="Times New Roman" w:cs="Times New Roman"/>
                <w:color w:val="auto"/>
                <w:spacing w:val="0"/>
                <w:position w:val="0"/>
                <w:sz w:val="24"/>
                <w:highlight w:val="none"/>
                <w:lang w:val="en-US" w:eastAsia="zh-CN"/>
              </w:rPr>
              <w:t>类标准</w:t>
            </w:r>
            <w:r>
              <w:rPr>
                <w:rFonts w:hint="eastAsia" w:ascii="Times New Roman" w:hAnsi="Times New Roman" w:cs="Times New Roman"/>
                <w:color w:val="auto"/>
                <w:spacing w:val="0"/>
                <w:position w:val="0"/>
                <w:sz w:val="24"/>
                <w:highlight w:val="none"/>
                <w:lang w:val="en-US" w:eastAsia="zh-CN"/>
              </w:rPr>
              <w:t>要求，</w:t>
            </w:r>
            <w:r>
              <w:rPr>
                <w:rFonts w:hint="eastAsia"/>
                <w:color w:val="auto"/>
                <w:sz w:val="24"/>
              </w:rPr>
              <w:t>因此，本项目运营过程中不会对项目区域声环境造成较大不利影响。</w:t>
            </w:r>
          </w:p>
          <w:p>
            <w:pPr>
              <w:spacing w:line="360" w:lineRule="auto"/>
              <w:ind w:firstLine="482" w:firstLineChars="200"/>
              <w:rPr>
                <w:b/>
                <w:bCs/>
                <w:color w:val="auto"/>
                <w:sz w:val="24"/>
              </w:rPr>
            </w:pPr>
            <w:r>
              <w:rPr>
                <w:rFonts w:hint="eastAsia"/>
                <w:b/>
                <w:bCs/>
                <w:color w:val="auto"/>
                <w:sz w:val="24"/>
              </w:rPr>
              <w:t>3.5监测要求</w:t>
            </w:r>
          </w:p>
          <w:p>
            <w:pPr>
              <w:pStyle w:val="26"/>
              <w:spacing w:line="360" w:lineRule="auto"/>
              <w:ind w:firstLine="480" w:firstLineChars="200"/>
              <w:rPr>
                <w:rFonts w:ascii="Times New Roman" w:hAnsi="Times New Roman"/>
                <w:b w:val="0"/>
                <w:bCs w:val="0"/>
                <w:color w:val="auto"/>
              </w:rPr>
            </w:pPr>
            <w:r>
              <w:rPr>
                <w:rFonts w:ascii="Times New Roman" w:hAnsi="Times New Roman"/>
                <w:b w:val="0"/>
                <w:bCs w:val="0"/>
                <w:color w:val="auto"/>
              </w:rPr>
              <w:t>根据《</w:t>
            </w:r>
            <w:r>
              <w:rPr>
                <w:rFonts w:hint="eastAsia" w:ascii="Times New Roman" w:hAnsi="Times New Roman"/>
                <w:b w:val="0"/>
                <w:bCs w:val="0"/>
                <w:color w:val="auto"/>
              </w:rPr>
              <w:t>排污许可证申请与核发技术规范工业噪声</w:t>
            </w:r>
            <w:r>
              <w:rPr>
                <w:rFonts w:ascii="Times New Roman" w:hAnsi="Times New Roman"/>
                <w:b w:val="0"/>
                <w:bCs w:val="0"/>
                <w:color w:val="auto"/>
              </w:rPr>
              <w:t>》</w:t>
            </w:r>
            <w:r>
              <w:rPr>
                <w:rFonts w:hint="eastAsia" w:ascii="Times New Roman" w:hAnsi="Times New Roman"/>
                <w:b w:val="0"/>
                <w:bCs w:val="0"/>
                <w:color w:val="auto"/>
              </w:rPr>
              <w:t>（HJ1301-2023）表1要求</w:t>
            </w:r>
            <w:r>
              <w:rPr>
                <w:rFonts w:ascii="Times New Roman" w:hAnsi="Times New Roman"/>
                <w:b w:val="0"/>
                <w:bCs w:val="0"/>
                <w:color w:val="auto"/>
              </w:rPr>
              <w:t>，厂界噪声监测频次为每季度一次，详见下表。</w:t>
            </w:r>
          </w:p>
          <w:p>
            <w:pPr>
              <w:pStyle w:val="32"/>
              <w:spacing w:line="240" w:lineRule="auto"/>
              <w:ind w:firstLine="0"/>
              <w:jc w:val="center"/>
              <w:rPr>
                <w:b/>
                <w:color w:val="auto"/>
                <w:sz w:val="21"/>
                <w:szCs w:val="21"/>
              </w:rPr>
            </w:pPr>
            <w:r>
              <w:rPr>
                <w:rFonts w:ascii="Times New Roman"/>
                <w:b/>
                <w:color w:val="auto"/>
                <w:sz w:val="21"/>
                <w:szCs w:val="21"/>
              </w:rPr>
              <w:t>表4-</w:t>
            </w:r>
            <w:r>
              <w:rPr>
                <w:rFonts w:hint="eastAsia" w:ascii="Times New Roman"/>
                <w:b/>
                <w:color w:val="auto"/>
                <w:sz w:val="21"/>
                <w:szCs w:val="21"/>
                <w:lang w:val="en-US" w:eastAsia="zh-CN"/>
              </w:rPr>
              <w:t>17</w:t>
            </w:r>
            <w:r>
              <w:rPr>
                <w:rFonts w:ascii="Times New Roman"/>
                <w:b/>
                <w:color w:val="auto"/>
                <w:sz w:val="21"/>
                <w:szCs w:val="21"/>
              </w:rPr>
              <w:t xml:space="preserve">  建设项目厂界噪声预测结果</w:t>
            </w:r>
          </w:p>
          <w:tbl>
            <w:tblPr>
              <w:tblStyle w:val="24"/>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2149"/>
              <w:gridCol w:w="2149"/>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9" w:type="dxa"/>
                  <w:vAlign w:val="top"/>
                </w:tcPr>
                <w:p>
                  <w:pPr>
                    <w:pStyle w:val="32"/>
                    <w:spacing w:line="240" w:lineRule="auto"/>
                    <w:ind w:firstLine="0"/>
                    <w:jc w:val="center"/>
                    <w:rPr>
                      <w:b/>
                      <w:color w:val="auto"/>
                      <w:sz w:val="21"/>
                      <w:szCs w:val="21"/>
                    </w:rPr>
                  </w:pPr>
                  <w:r>
                    <w:rPr>
                      <w:rFonts w:hint="eastAsia"/>
                      <w:b/>
                      <w:color w:val="auto"/>
                      <w:sz w:val="21"/>
                      <w:szCs w:val="21"/>
                    </w:rPr>
                    <w:t>污染源名称</w:t>
                  </w:r>
                </w:p>
              </w:tc>
              <w:tc>
                <w:tcPr>
                  <w:tcW w:w="2149" w:type="dxa"/>
                  <w:vAlign w:val="top"/>
                </w:tcPr>
                <w:p>
                  <w:pPr>
                    <w:pStyle w:val="32"/>
                    <w:spacing w:line="240" w:lineRule="auto"/>
                    <w:ind w:firstLine="0"/>
                    <w:jc w:val="center"/>
                    <w:rPr>
                      <w:b/>
                      <w:color w:val="auto"/>
                      <w:sz w:val="21"/>
                      <w:szCs w:val="21"/>
                    </w:rPr>
                  </w:pPr>
                  <w:r>
                    <w:rPr>
                      <w:rFonts w:hint="eastAsia"/>
                      <w:b/>
                      <w:color w:val="auto"/>
                      <w:sz w:val="21"/>
                      <w:szCs w:val="21"/>
                    </w:rPr>
                    <w:t>监测位置</w:t>
                  </w:r>
                </w:p>
              </w:tc>
              <w:tc>
                <w:tcPr>
                  <w:tcW w:w="2149" w:type="dxa"/>
                  <w:vAlign w:val="top"/>
                </w:tcPr>
                <w:p>
                  <w:pPr>
                    <w:pStyle w:val="32"/>
                    <w:spacing w:line="240" w:lineRule="auto"/>
                    <w:ind w:firstLine="0"/>
                    <w:jc w:val="center"/>
                    <w:rPr>
                      <w:b/>
                      <w:color w:val="auto"/>
                      <w:sz w:val="21"/>
                      <w:szCs w:val="21"/>
                    </w:rPr>
                  </w:pPr>
                  <w:r>
                    <w:rPr>
                      <w:rFonts w:hint="eastAsia"/>
                      <w:b/>
                      <w:color w:val="auto"/>
                      <w:sz w:val="21"/>
                      <w:szCs w:val="21"/>
                    </w:rPr>
                    <w:t>监测项目</w:t>
                  </w:r>
                </w:p>
              </w:tc>
              <w:tc>
                <w:tcPr>
                  <w:tcW w:w="2150" w:type="dxa"/>
                  <w:vAlign w:val="top"/>
                </w:tcPr>
                <w:p>
                  <w:pPr>
                    <w:pStyle w:val="32"/>
                    <w:spacing w:line="240" w:lineRule="auto"/>
                    <w:ind w:firstLine="0"/>
                    <w:jc w:val="center"/>
                    <w:rPr>
                      <w:b/>
                      <w:color w:val="auto"/>
                      <w:sz w:val="21"/>
                      <w:szCs w:val="21"/>
                    </w:rPr>
                  </w:pPr>
                  <w:r>
                    <w:rPr>
                      <w:rFonts w:hint="eastAsia"/>
                      <w:b/>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9" w:type="dxa"/>
                  <w:vAlign w:val="top"/>
                </w:tcPr>
                <w:p>
                  <w:pPr>
                    <w:pStyle w:val="32"/>
                    <w:spacing w:line="240" w:lineRule="auto"/>
                    <w:ind w:firstLine="0"/>
                    <w:jc w:val="center"/>
                    <w:rPr>
                      <w:bCs/>
                      <w:color w:val="auto"/>
                      <w:sz w:val="21"/>
                      <w:szCs w:val="21"/>
                    </w:rPr>
                  </w:pPr>
                  <w:r>
                    <w:rPr>
                      <w:rFonts w:hint="eastAsia"/>
                      <w:bCs/>
                      <w:color w:val="auto"/>
                      <w:sz w:val="21"/>
                      <w:szCs w:val="21"/>
                    </w:rPr>
                    <w:t>噪声</w:t>
                  </w:r>
                </w:p>
              </w:tc>
              <w:tc>
                <w:tcPr>
                  <w:tcW w:w="2149" w:type="dxa"/>
                  <w:vAlign w:val="top"/>
                </w:tcPr>
                <w:p>
                  <w:pPr>
                    <w:pStyle w:val="32"/>
                    <w:spacing w:line="240" w:lineRule="auto"/>
                    <w:ind w:firstLine="0"/>
                    <w:jc w:val="center"/>
                    <w:rPr>
                      <w:bCs/>
                      <w:color w:val="auto"/>
                      <w:sz w:val="21"/>
                      <w:szCs w:val="21"/>
                    </w:rPr>
                  </w:pPr>
                  <w:r>
                    <w:rPr>
                      <w:rFonts w:hint="eastAsia"/>
                      <w:bCs/>
                      <w:color w:val="auto"/>
                      <w:sz w:val="21"/>
                      <w:szCs w:val="21"/>
                    </w:rPr>
                    <w:t>厂界</w:t>
                  </w:r>
                </w:p>
              </w:tc>
              <w:tc>
                <w:tcPr>
                  <w:tcW w:w="2149" w:type="dxa"/>
                  <w:vAlign w:val="top"/>
                </w:tcPr>
                <w:p>
                  <w:pPr>
                    <w:pStyle w:val="32"/>
                    <w:spacing w:line="240" w:lineRule="auto"/>
                    <w:ind w:firstLine="0"/>
                    <w:jc w:val="center"/>
                    <w:rPr>
                      <w:bCs/>
                      <w:color w:val="auto"/>
                      <w:sz w:val="21"/>
                      <w:szCs w:val="21"/>
                    </w:rPr>
                  </w:pPr>
                  <w:r>
                    <w:rPr>
                      <w:rFonts w:hint="eastAsia"/>
                      <w:bCs/>
                      <w:color w:val="auto"/>
                      <w:sz w:val="21"/>
                      <w:szCs w:val="21"/>
                    </w:rPr>
                    <w:t>等效A声级</w:t>
                  </w:r>
                </w:p>
              </w:tc>
              <w:tc>
                <w:tcPr>
                  <w:tcW w:w="2150" w:type="dxa"/>
                  <w:vAlign w:val="top"/>
                </w:tcPr>
                <w:p>
                  <w:pPr>
                    <w:pStyle w:val="32"/>
                    <w:spacing w:line="240" w:lineRule="auto"/>
                    <w:ind w:firstLine="0"/>
                    <w:jc w:val="center"/>
                    <w:rPr>
                      <w:bCs/>
                      <w:color w:val="auto"/>
                      <w:sz w:val="21"/>
                      <w:szCs w:val="21"/>
                    </w:rPr>
                  </w:pPr>
                  <w:r>
                    <w:rPr>
                      <w:rFonts w:hint="eastAsia"/>
                      <w:bCs/>
                      <w:color w:val="auto"/>
                      <w:sz w:val="21"/>
                      <w:szCs w:val="21"/>
                    </w:rPr>
                    <w:t>1次/季</w:t>
                  </w:r>
                </w:p>
              </w:tc>
            </w:tr>
          </w:tbl>
          <w:p>
            <w:pPr>
              <w:pStyle w:val="32"/>
              <w:rPr>
                <w:b/>
                <w:color w:val="auto"/>
                <w:szCs w:val="21"/>
              </w:rPr>
            </w:pPr>
          </w:p>
          <w:p>
            <w:pPr>
              <w:widowControl/>
              <w:spacing w:line="360" w:lineRule="auto"/>
              <w:ind w:firstLine="482" w:firstLineChars="200"/>
              <w:jc w:val="left"/>
              <w:rPr>
                <w:color w:val="auto"/>
              </w:rPr>
            </w:pPr>
            <w:r>
              <w:rPr>
                <w:rFonts w:hint="eastAsia" w:ascii="宋体" w:hAnsi="宋体" w:cs="宋体"/>
                <w:b/>
                <w:bCs/>
                <w:color w:val="auto"/>
                <w:kern w:val="0"/>
                <w:sz w:val="24"/>
                <w:lang w:bidi="ar"/>
              </w:rPr>
              <w:t>4运营期固体废物环境影响和保护措施</w:t>
            </w:r>
          </w:p>
          <w:p>
            <w:pPr>
              <w:spacing w:line="360" w:lineRule="auto"/>
              <w:ind w:firstLine="482" w:firstLineChars="200"/>
              <w:rPr>
                <w:b/>
                <w:bCs/>
                <w:color w:val="auto"/>
                <w:sz w:val="24"/>
              </w:rPr>
            </w:pPr>
            <w:r>
              <w:rPr>
                <w:rFonts w:hint="eastAsia"/>
                <w:b/>
                <w:bCs/>
                <w:color w:val="auto"/>
                <w:sz w:val="24"/>
              </w:rPr>
              <w:t>4.1项目固体废物产生及处置情况</w:t>
            </w:r>
          </w:p>
          <w:p>
            <w:pPr>
              <w:spacing w:line="360" w:lineRule="auto"/>
              <w:ind w:firstLine="482" w:firstLineChars="200"/>
              <w:rPr>
                <w:b/>
                <w:bCs/>
                <w:color w:val="auto"/>
                <w:sz w:val="24"/>
              </w:rPr>
            </w:pPr>
            <w:r>
              <w:rPr>
                <w:b/>
                <w:bCs/>
                <w:color w:val="auto"/>
                <w:sz w:val="24"/>
              </w:rPr>
              <w:t>生活垃圾</w:t>
            </w:r>
          </w:p>
          <w:p>
            <w:pPr>
              <w:spacing w:line="360" w:lineRule="auto"/>
              <w:ind w:firstLine="480" w:firstLineChars="200"/>
              <w:rPr>
                <w:color w:val="auto"/>
                <w:sz w:val="24"/>
              </w:rPr>
            </w:pPr>
            <w:r>
              <w:rPr>
                <w:rFonts w:hint="eastAsia"/>
                <w:color w:val="auto"/>
                <w:sz w:val="24"/>
              </w:rPr>
              <w:t>本项目劳动定员</w:t>
            </w:r>
            <w:r>
              <w:rPr>
                <w:rFonts w:hint="eastAsia"/>
                <w:color w:val="auto"/>
                <w:sz w:val="24"/>
                <w:lang w:val="en-US" w:eastAsia="zh-CN"/>
              </w:rPr>
              <w:t>10</w:t>
            </w:r>
            <w:r>
              <w:rPr>
                <w:rFonts w:hint="eastAsia"/>
                <w:color w:val="auto"/>
                <w:sz w:val="24"/>
              </w:rPr>
              <w:t>人，</w:t>
            </w:r>
            <w:r>
              <w:rPr>
                <w:color w:val="auto"/>
                <w:sz w:val="24"/>
              </w:rPr>
              <w:t>人均生活垃圾产生量按0.5 kg/d 计，则生活垃圾产生量约</w:t>
            </w:r>
            <w:r>
              <w:rPr>
                <w:rFonts w:hint="eastAsia"/>
                <w:color w:val="auto"/>
                <w:sz w:val="24"/>
                <w:lang w:val="en-US" w:eastAsia="zh-CN"/>
              </w:rPr>
              <w:t>1.5</w:t>
            </w:r>
            <w:r>
              <w:rPr>
                <w:color w:val="auto"/>
                <w:sz w:val="24"/>
              </w:rPr>
              <w:t>t/a。</w:t>
            </w:r>
          </w:p>
          <w:p>
            <w:pPr>
              <w:spacing w:line="360" w:lineRule="auto"/>
              <w:ind w:firstLine="482" w:firstLineChars="200"/>
              <w:rPr>
                <w:rFonts w:hint="eastAsia"/>
                <w:color w:val="auto"/>
                <w:sz w:val="24"/>
              </w:rPr>
            </w:pPr>
            <w:r>
              <w:rPr>
                <w:rFonts w:hint="eastAsia"/>
                <w:b/>
                <w:bCs/>
                <w:color w:val="auto"/>
                <w:sz w:val="24"/>
              </w:rPr>
              <w:t>治理措施</w:t>
            </w:r>
            <w:r>
              <w:rPr>
                <w:rFonts w:hint="eastAsia"/>
                <w:color w:val="auto"/>
                <w:sz w:val="24"/>
              </w:rPr>
              <w:t>：设置垃圾桶进行分类回收，交环卫部门进行清运。</w:t>
            </w:r>
          </w:p>
          <w:p>
            <w:pPr>
              <w:spacing w:line="360" w:lineRule="auto"/>
              <w:ind w:firstLine="482" w:firstLineChars="200"/>
              <w:rPr>
                <w:b/>
                <w:bCs/>
                <w:color w:val="auto"/>
                <w:sz w:val="24"/>
              </w:rPr>
            </w:pPr>
            <w:r>
              <w:rPr>
                <w:b/>
                <w:bCs/>
                <w:color w:val="auto"/>
                <w:sz w:val="24"/>
              </w:rPr>
              <w:t>一般工业固体废物</w:t>
            </w:r>
          </w:p>
          <w:p>
            <w:pPr>
              <w:spacing w:line="360" w:lineRule="auto"/>
              <w:ind w:firstLine="480" w:firstLineChars="200"/>
              <w:rPr>
                <w:rFonts w:hint="eastAsia"/>
                <w:color w:val="auto"/>
                <w:sz w:val="24"/>
              </w:rPr>
            </w:pPr>
            <w:r>
              <w:rPr>
                <w:rFonts w:ascii="Times New Roman" w:hAnsi="Times New Roman"/>
                <w:b w:val="0"/>
                <w:bCs w:val="0"/>
                <w:color w:val="auto"/>
                <w:sz w:val="24"/>
              </w:rPr>
              <w:t>①</w:t>
            </w:r>
            <w:r>
              <w:rPr>
                <w:rFonts w:hint="eastAsia" w:ascii="Times New Roman" w:hAnsi="Times New Roman"/>
                <w:b w:val="0"/>
                <w:bCs w:val="0"/>
                <w:color w:val="auto"/>
                <w:sz w:val="24"/>
                <w:lang w:val="en-US" w:eastAsia="zh-CN"/>
              </w:rPr>
              <w:t>沉淀池沉渣</w:t>
            </w:r>
            <w:r>
              <w:rPr>
                <w:rFonts w:ascii="Times New Roman" w:hAnsi="Times New Roman"/>
                <w:b w:val="0"/>
                <w:bCs w:val="0"/>
                <w:color w:val="auto"/>
                <w:sz w:val="24"/>
              </w:rPr>
              <w:t>：</w:t>
            </w:r>
            <w:r>
              <w:rPr>
                <w:rFonts w:hint="eastAsia"/>
                <w:color w:val="auto"/>
                <w:sz w:val="24"/>
              </w:rPr>
              <w:t>项目设置三级沉淀池，对清洗废水进行沉淀后回用，将产生一定量沉渣，沉渣产生量约为</w:t>
            </w:r>
            <w:r>
              <w:rPr>
                <w:rFonts w:hint="eastAsia"/>
                <w:color w:val="auto"/>
                <w:sz w:val="24"/>
                <w:lang w:val="en-US" w:eastAsia="zh-CN"/>
              </w:rPr>
              <w:t>4.62</w:t>
            </w:r>
            <w:r>
              <w:rPr>
                <w:rFonts w:hint="eastAsia"/>
                <w:color w:val="auto"/>
                <w:sz w:val="24"/>
              </w:rPr>
              <w:t>t/a。企业集中收集后回用于</w:t>
            </w:r>
            <w:r>
              <w:rPr>
                <w:rFonts w:hint="eastAsia"/>
                <w:color w:val="auto"/>
                <w:sz w:val="24"/>
                <w:lang w:eastAsia="zh-CN"/>
              </w:rPr>
              <w:t>生产</w:t>
            </w:r>
            <w:r>
              <w:rPr>
                <w:rFonts w:hint="eastAsia"/>
                <w:color w:val="auto"/>
                <w:sz w:val="24"/>
              </w:rPr>
              <w:t>。</w:t>
            </w:r>
          </w:p>
          <w:p>
            <w:pPr>
              <w:pStyle w:val="18"/>
              <w:spacing w:line="360" w:lineRule="auto"/>
              <w:ind w:firstLine="480" w:firstLineChars="200"/>
              <w:rPr>
                <w:rFonts w:hint="eastAsia"/>
                <w:color w:val="auto"/>
                <w:sz w:val="24"/>
              </w:rPr>
            </w:pPr>
            <w:r>
              <w:rPr>
                <w:rFonts w:hint="default" w:ascii="Times New Roman" w:hAnsi="Times New Roman" w:cs="Times New Roman"/>
                <w:color w:val="auto"/>
                <w:sz w:val="24"/>
              </w:rPr>
              <w:t>②</w:t>
            </w:r>
            <w:r>
              <w:rPr>
                <w:rFonts w:hint="eastAsia"/>
                <w:color w:val="auto"/>
                <w:sz w:val="24"/>
              </w:rPr>
              <w:t>除尘器收集的粉尘：根据工程分析，</w:t>
            </w:r>
            <w:r>
              <w:rPr>
                <w:rFonts w:hint="eastAsia"/>
                <w:color w:val="auto"/>
                <w:sz w:val="24"/>
                <w:highlight w:val="none"/>
              </w:rPr>
              <w:t>除尘器收集的粉尘约</w:t>
            </w:r>
            <w:r>
              <w:rPr>
                <w:rFonts w:hint="eastAsia"/>
                <w:color w:val="auto"/>
                <w:sz w:val="24"/>
                <w:highlight w:val="none"/>
                <w:lang w:val="en-US" w:eastAsia="zh-CN"/>
              </w:rPr>
              <w:t>26.752</w:t>
            </w:r>
            <w:r>
              <w:rPr>
                <w:rFonts w:hint="eastAsia"/>
                <w:color w:val="auto"/>
                <w:sz w:val="24"/>
                <w:highlight w:val="none"/>
              </w:rPr>
              <w:t>t/a</w:t>
            </w:r>
            <w:r>
              <w:rPr>
                <w:rFonts w:hint="eastAsia"/>
                <w:color w:val="auto"/>
                <w:sz w:val="24"/>
                <w:highlight w:val="none"/>
                <w:lang w:eastAsia="zh-CN"/>
              </w:rPr>
              <w:t>，</w:t>
            </w:r>
            <w:r>
              <w:rPr>
                <w:rFonts w:hint="eastAsia"/>
                <w:color w:val="auto"/>
                <w:sz w:val="24"/>
                <w:highlight w:val="none"/>
              </w:rPr>
              <w:t>回用于生产</w:t>
            </w:r>
            <w:r>
              <w:rPr>
                <w:rFonts w:hint="eastAsia"/>
                <w:color w:val="auto"/>
                <w:sz w:val="24"/>
              </w:rPr>
              <w:t>。</w:t>
            </w:r>
          </w:p>
          <w:p>
            <w:pPr>
              <w:pStyle w:val="18"/>
              <w:spacing w:line="360" w:lineRule="auto"/>
              <w:ind w:firstLine="480" w:firstLineChars="200"/>
              <w:rPr>
                <w:rFonts w:hint="eastAsia"/>
                <w:color w:val="auto"/>
                <w:sz w:val="24"/>
              </w:rPr>
            </w:pPr>
            <w:r>
              <w:rPr>
                <w:rFonts w:hint="default" w:ascii="Times New Roman" w:hAnsi="Times New Roman" w:cs="Times New Roman"/>
                <w:b w:val="0"/>
                <w:bCs w:val="0"/>
                <w:color w:val="auto"/>
                <w:sz w:val="24"/>
              </w:rPr>
              <w:t>③</w:t>
            </w:r>
            <w:r>
              <w:rPr>
                <w:rFonts w:hint="eastAsia"/>
                <w:color w:val="auto"/>
                <w:sz w:val="24"/>
              </w:rPr>
              <w:t>车间沉降粉尘：根据工程分析，</w:t>
            </w:r>
            <w:r>
              <w:rPr>
                <w:rFonts w:hint="eastAsia"/>
                <w:color w:val="auto"/>
                <w:sz w:val="24"/>
                <w:highlight w:val="none"/>
              </w:rPr>
              <w:t>车间沉降粉尘量</w:t>
            </w:r>
            <w:r>
              <w:rPr>
                <w:rFonts w:hint="eastAsia"/>
                <w:color w:val="auto"/>
                <w:sz w:val="24"/>
                <w:highlight w:val="none"/>
                <w:lang w:eastAsia="zh-CN"/>
              </w:rPr>
              <w:t>约</w:t>
            </w:r>
            <w:r>
              <w:rPr>
                <w:rFonts w:hint="eastAsia"/>
                <w:color w:val="auto"/>
                <w:sz w:val="24"/>
                <w:highlight w:val="none"/>
              </w:rPr>
              <w:t>为</w:t>
            </w:r>
            <w:r>
              <w:rPr>
                <w:rFonts w:hint="eastAsia"/>
                <w:color w:val="auto"/>
                <w:sz w:val="24"/>
                <w:highlight w:val="none"/>
                <w:lang w:val="en-US" w:eastAsia="zh-CN"/>
              </w:rPr>
              <w:t>5.233</w:t>
            </w:r>
            <w:r>
              <w:rPr>
                <w:rFonts w:hint="eastAsia"/>
                <w:color w:val="auto"/>
                <w:sz w:val="24"/>
                <w:highlight w:val="none"/>
              </w:rPr>
              <w:t>t/a</w:t>
            </w:r>
            <w:r>
              <w:rPr>
                <w:rFonts w:hint="eastAsia"/>
                <w:color w:val="auto"/>
                <w:sz w:val="24"/>
                <w:highlight w:val="none"/>
                <w:lang w:eastAsia="zh-CN"/>
              </w:rPr>
              <w:t>，</w:t>
            </w:r>
            <w:r>
              <w:rPr>
                <w:rFonts w:hint="eastAsia"/>
                <w:color w:val="auto"/>
                <w:sz w:val="24"/>
                <w:highlight w:val="none"/>
              </w:rPr>
              <w:t>回用于生产。</w:t>
            </w:r>
          </w:p>
          <w:p>
            <w:pPr>
              <w:pStyle w:val="26"/>
              <w:spacing w:line="360" w:lineRule="auto"/>
              <w:ind w:firstLine="480"/>
              <w:rPr>
                <w:b w:val="0"/>
                <w:bCs w:val="0"/>
                <w:color w:val="auto"/>
                <w:sz w:val="24"/>
              </w:rPr>
            </w:pPr>
            <w:r>
              <w:rPr>
                <w:rFonts w:hint="eastAsia"/>
                <w:b w:val="0"/>
                <w:bCs w:val="0"/>
                <w:color w:val="auto"/>
                <w:sz w:val="24"/>
              </w:rPr>
              <w:t>危险</w:t>
            </w:r>
            <w:r>
              <w:rPr>
                <w:b w:val="0"/>
                <w:bCs w:val="0"/>
                <w:color w:val="auto"/>
                <w:sz w:val="24"/>
              </w:rPr>
              <w:t>废物</w:t>
            </w:r>
          </w:p>
          <w:p>
            <w:pPr>
              <w:pStyle w:val="26"/>
              <w:snapToGrid w:val="0"/>
              <w:spacing w:line="360" w:lineRule="auto"/>
              <w:ind w:firstLine="480" w:firstLineChars="200"/>
              <w:rPr>
                <w:rFonts w:ascii="Times New Roman" w:hAnsi="Times New Roman"/>
                <w:b w:val="0"/>
                <w:color w:val="auto"/>
              </w:rPr>
            </w:pPr>
            <w:r>
              <w:rPr>
                <w:rFonts w:hint="default" w:ascii="Times New Roman" w:hAnsi="Times New Roman" w:cs="Times New Roman"/>
                <w:b w:val="0"/>
                <w:color w:val="auto"/>
              </w:rPr>
              <w:t>①</w:t>
            </w:r>
            <w:r>
              <w:rPr>
                <w:rFonts w:ascii="Times New Roman" w:hAnsi="Times New Roman"/>
                <w:b w:val="0"/>
                <w:color w:val="auto"/>
              </w:rPr>
              <w:t>废弃的含油抹布、劳保用品：职工操作过程产生的废含油抹布、手套等劳保用品，产生量约为0.05t/a。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②废润滑油：项目设备保养需要使用润滑油，</w:t>
            </w:r>
            <w:r>
              <w:rPr>
                <w:rFonts w:ascii="Times New Roman" w:hAnsi="Times New Roman" w:cs="Times New Roman"/>
                <w:color w:val="auto"/>
                <w:sz w:val="24"/>
              </w:rPr>
              <w:t>产生量为0.</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8</w:t>
            </w:r>
            <w:r>
              <w:rPr>
                <w:rFonts w:ascii="Times New Roman" w:hAnsi="Times New Roman" w:cs="Times New Roman"/>
                <w:color w:val="auto"/>
                <w:sz w:val="24"/>
              </w:rPr>
              <w:t>t/a</w:t>
            </w:r>
            <w:r>
              <w:rPr>
                <w:rFonts w:hint="default" w:ascii="Times New Roman" w:hAnsi="Times New Roman" w:cs="Times New Roman"/>
                <w:color w:val="auto"/>
                <w:sz w:val="24"/>
              </w:rPr>
              <w:t>。</w:t>
            </w:r>
          </w:p>
          <w:p>
            <w:pPr>
              <w:spacing w:line="360" w:lineRule="auto"/>
              <w:ind w:firstLine="480" w:firstLineChars="200"/>
              <w:rPr>
                <w:color w:val="auto"/>
                <w:sz w:val="24"/>
              </w:rPr>
            </w:pPr>
            <w:r>
              <w:rPr>
                <w:rFonts w:hint="default" w:ascii="Times New Roman" w:hAnsi="Times New Roman" w:eastAsia="宋体" w:cs="Times New Roman"/>
                <w:color w:val="auto"/>
                <w:sz w:val="24"/>
              </w:rPr>
              <w:t>③</w:t>
            </w:r>
            <w:r>
              <w:rPr>
                <w:color w:val="auto"/>
                <w:sz w:val="24"/>
              </w:rPr>
              <w:t>废润滑油桶：项目润滑油采用25kg/桶</w:t>
            </w:r>
            <w:r>
              <w:rPr>
                <w:rFonts w:hint="eastAsia"/>
                <w:color w:val="auto"/>
                <w:sz w:val="24"/>
              </w:rPr>
              <w:t>盛</w:t>
            </w:r>
            <w:r>
              <w:rPr>
                <w:color w:val="auto"/>
                <w:sz w:val="24"/>
              </w:rPr>
              <w:t>装，每个废桶约2kg，项目</w:t>
            </w:r>
            <w:r>
              <w:rPr>
                <w:rFonts w:hint="eastAsia"/>
                <w:color w:val="auto"/>
                <w:sz w:val="24"/>
              </w:rPr>
              <w:t>润滑油</w:t>
            </w:r>
            <w:r>
              <w:rPr>
                <w:color w:val="auto"/>
                <w:sz w:val="24"/>
              </w:rPr>
              <w:t>用量</w:t>
            </w:r>
            <w:r>
              <w:rPr>
                <w:rFonts w:hint="eastAsia"/>
                <w:color w:val="auto"/>
                <w:sz w:val="24"/>
              </w:rPr>
              <w:t>0.</w:t>
            </w:r>
            <w:r>
              <w:rPr>
                <w:rFonts w:hint="eastAsia"/>
                <w:color w:val="auto"/>
                <w:sz w:val="24"/>
                <w:lang w:val="en-US" w:eastAsia="zh-CN"/>
              </w:rPr>
              <w:t>5</w:t>
            </w:r>
            <w:r>
              <w:rPr>
                <w:color w:val="auto"/>
                <w:sz w:val="24"/>
              </w:rPr>
              <w:t>t（</w:t>
            </w:r>
            <w:r>
              <w:rPr>
                <w:rFonts w:hint="eastAsia"/>
                <w:color w:val="auto"/>
                <w:sz w:val="24"/>
                <w:lang w:val="en-US" w:eastAsia="zh-CN"/>
              </w:rPr>
              <w:t>20</w:t>
            </w:r>
            <w:r>
              <w:rPr>
                <w:color w:val="auto"/>
                <w:sz w:val="24"/>
              </w:rPr>
              <w:t>桶），因此废桶量为</w:t>
            </w:r>
            <w:r>
              <w:rPr>
                <w:rFonts w:hint="eastAsia"/>
                <w:color w:val="auto"/>
                <w:sz w:val="24"/>
                <w:lang w:val="en-US" w:eastAsia="zh-CN"/>
              </w:rPr>
              <w:t>0.04</w:t>
            </w:r>
            <w:r>
              <w:rPr>
                <w:color w:val="auto"/>
                <w:sz w:val="24"/>
              </w:rPr>
              <w:t>t。</w:t>
            </w:r>
          </w:p>
          <w:p>
            <w:pPr>
              <w:spacing w:line="360" w:lineRule="auto"/>
              <w:ind w:firstLine="480" w:firstLineChars="200"/>
              <w:jc w:val="left"/>
              <w:rPr>
                <w:rFonts w:hint="eastAsia"/>
                <w:color w:val="auto"/>
                <w:sz w:val="24"/>
                <w:highlight w:val="none"/>
              </w:rPr>
            </w:pPr>
            <w:r>
              <w:rPr>
                <w:rFonts w:hint="eastAsia"/>
                <w:color w:val="auto"/>
                <w:sz w:val="24"/>
                <w:highlight w:val="none"/>
              </w:rPr>
              <w:t>危险废物收集后分类暂存于</w:t>
            </w:r>
            <w:r>
              <w:rPr>
                <w:color w:val="auto"/>
                <w:sz w:val="24"/>
                <w:highlight w:val="none"/>
              </w:rPr>
              <w:t>危险废物</w:t>
            </w:r>
            <w:r>
              <w:rPr>
                <w:rFonts w:hint="eastAsia"/>
                <w:color w:val="auto"/>
                <w:sz w:val="24"/>
                <w:highlight w:val="none"/>
              </w:rPr>
              <w:t>贮存库</w:t>
            </w:r>
            <w:r>
              <w:rPr>
                <w:color w:val="auto"/>
                <w:sz w:val="24"/>
                <w:highlight w:val="none"/>
              </w:rPr>
              <w:t>暂存</w:t>
            </w:r>
            <w:r>
              <w:rPr>
                <w:rFonts w:hint="eastAsia"/>
                <w:color w:val="auto"/>
                <w:sz w:val="24"/>
                <w:highlight w:val="none"/>
              </w:rPr>
              <w:t>，委托有危废资质的单位处置。</w:t>
            </w:r>
          </w:p>
          <w:p>
            <w:pPr>
              <w:widowControl/>
              <w:jc w:val="center"/>
              <w:rPr>
                <w:b/>
                <w:bCs/>
                <w:color w:val="auto"/>
                <w:szCs w:val="21"/>
                <w:highlight w:val="none"/>
              </w:rPr>
            </w:pPr>
            <w:r>
              <w:rPr>
                <w:rFonts w:hint="eastAsia"/>
                <w:b/>
                <w:bCs/>
                <w:color w:val="auto"/>
                <w:szCs w:val="21"/>
                <w:highlight w:val="none"/>
              </w:rPr>
              <w:t>表4-1</w:t>
            </w:r>
            <w:r>
              <w:rPr>
                <w:rFonts w:hint="eastAsia"/>
                <w:b/>
                <w:bCs/>
                <w:color w:val="auto"/>
                <w:szCs w:val="21"/>
                <w:highlight w:val="none"/>
                <w:lang w:val="en-US" w:eastAsia="zh-CN"/>
              </w:rPr>
              <w:t>8</w:t>
            </w:r>
            <w:r>
              <w:rPr>
                <w:rFonts w:hint="eastAsia"/>
                <w:b/>
                <w:bCs/>
                <w:color w:val="auto"/>
                <w:szCs w:val="21"/>
                <w:highlight w:val="none"/>
              </w:rPr>
              <w:t xml:space="preserve"> 项目固体废物产生及处置情况一览表</w:t>
            </w:r>
          </w:p>
          <w:tbl>
            <w:tblPr>
              <w:tblStyle w:val="24"/>
              <w:tblW w:w="8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201"/>
              <w:gridCol w:w="742"/>
              <w:gridCol w:w="641"/>
              <w:gridCol w:w="876"/>
              <w:gridCol w:w="1306"/>
              <w:gridCol w:w="168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36"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序号</w:t>
                  </w:r>
                </w:p>
              </w:tc>
              <w:tc>
                <w:tcPr>
                  <w:tcW w:w="1201"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固废名称</w:t>
                  </w:r>
                </w:p>
              </w:tc>
              <w:tc>
                <w:tcPr>
                  <w:tcW w:w="742"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产生</w:t>
                  </w:r>
                </w:p>
                <w:p>
                  <w:pPr>
                    <w:pStyle w:val="32"/>
                    <w:spacing w:line="240" w:lineRule="auto"/>
                    <w:ind w:firstLine="0"/>
                    <w:jc w:val="center"/>
                    <w:rPr>
                      <w:rFonts w:ascii="Times New Roman"/>
                      <w:color w:val="auto"/>
                      <w:sz w:val="21"/>
                      <w:szCs w:val="21"/>
                    </w:rPr>
                  </w:pPr>
                  <w:r>
                    <w:rPr>
                      <w:rFonts w:hint="eastAsia" w:ascii="Times New Roman"/>
                      <w:color w:val="auto"/>
                      <w:sz w:val="21"/>
                      <w:szCs w:val="21"/>
                    </w:rPr>
                    <w:t>工序</w:t>
                  </w:r>
                </w:p>
              </w:tc>
              <w:tc>
                <w:tcPr>
                  <w:tcW w:w="641"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形态</w:t>
                  </w:r>
                </w:p>
              </w:tc>
              <w:tc>
                <w:tcPr>
                  <w:tcW w:w="876"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主要</w:t>
                  </w:r>
                </w:p>
                <w:p>
                  <w:pPr>
                    <w:pStyle w:val="32"/>
                    <w:spacing w:line="240" w:lineRule="auto"/>
                    <w:ind w:firstLine="0"/>
                    <w:jc w:val="center"/>
                    <w:rPr>
                      <w:rFonts w:ascii="Times New Roman"/>
                      <w:color w:val="auto"/>
                      <w:sz w:val="21"/>
                      <w:szCs w:val="21"/>
                    </w:rPr>
                  </w:pPr>
                  <w:r>
                    <w:rPr>
                      <w:rFonts w:hint="eastAsia" w:ascii="Times New Roman"/>
                      <w:color w:val="auto"/>
                      <w:sz w:val="21"/>
                      <w:szCs w:val="21"/>
                    </w:rPr>
                    <w:t>成分</w:t>
                  </w:r>
                </w:p>
              </w:tc>
              <w:tc>
                <w:tcPr>
                  <w:tcW w:w="1306"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预测产生量（t/a）</w:t>
                  </w:r>
                </w:p>
              </w:tc>
              <w:tc>
                <w:tcPr>
                  <w:tcW w:w="1688"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分类代码</w:t>
                  </w:r>
                </w:p>
              </w:tc>
              <w:tc>
                <w:tcPr>
                  <w:tcW w:w="1690"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jc w:val="center"/>
              </w:trPr>
              <w:tc>
                <w:tcPr>
                  <w:tcW w:w="536"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1</w:t>
                  </w:r>
                </w:p>
              </w:tc>
              <w:tc>
                <w:tcPr>
                  <w:tcW w:w="1201" w:type="dxa"/>
                  <w:vAlign w:val="center"/>
                </w:tcPr>
                <w:p>
                  <w:pPr>
                    <w:pStyle w:val="32"/>
                    <w:spacing w:line="240" w:lineRule="auto"/>
                    <w:ind w:firstLine="0"/>
                    <w:jc w:val="center"/>
                    <w:rPr>
                      <w:rFonts w:hint="eastAsia" w:ascii="Times New Roman"/>
                      <w:color w:val="auto"/>
                      <w:sz w:val="21"/>
                      <w:szCs w:val="21"/>
                      <w:lang w:val="en-US" w:eastAsia="zh-CN"/>
                    </w:rPr>
                  </w:pPr>
                  <w:r>
                    <w:rPr>
                      <w:rFonts w:hint="eastAsia" w:ascii="Times New Roman"/>
                      <w:color w:val="auto"/>
                      <w:sz w:val="21"/>
                      <w:szCs w:val="21"/>
                      <w:lang w:val="en-US" w:eastAsia="zh-CN"/>
                    </w:rPr>
                    <w:t>沉淀池</w:t>
                  </w:r>
                </w:p>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沉渣</w:t>
                  </w:r>
                </w:p>
              </w:tc>
              <w:tc>
                <w:tcPr>
                  <w:tcW w:w="742"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沉淀池</w:t>
                  </w:r>
                </w:p>
              </w:tc>
              <w:tc>
                <w:tcPr>
                  <w:tcW w:w="641"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固态</w:t>
                  </w:r>
                </w:p>
              </w:tc>
              <w:tc>
                <w:tcPr>
                  <w:tcW w:w="876" w:type="dxa"/>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砂石</w:t>
                  </w:r>
                </w:p>
              </w:tc>
              <w:tc>
                <w:tcPr>
                  <w:tcW w:w="1306" w:type="dxa"/>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4.62</w:t>
                  </w:r>
                </w:p>
              </w:tc>
              <w:tc>
                <w:tcPr>
                  <w:tcW w:w="1688" w:type="dxa"/>
                  <w:vAlign w:val="center"/>
                </w:tcPr>
                <w:p>
                  <w:pPr>
                    <w:pStyle w:val="32"/>
                    <w:spacing w:line="240" w:lineRule="auto"/>
                    <w:ind w:firstLine="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rPr>
                    <w:t>SW</w:t>
                  </w:r>
                  <w:r>
                    <w:rPr>
                      <w:rFonts w:hint="eastAsia" w:ascii="Times New Roman"/>
                      <w:color w:val="auto"/>
                      <w:sz w:val="21"/>
                      <w:szCs w:val="21"/>
                      <w:highlight w:val="none"/>
                      <w:lang w:val="en-US" w:eastAsia="zh-CN"/>
                    </w:rPr>
                    <w:t>59</w:t>
                  </w:r>
                </w:p>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highlight w:val="none"/>
                    </w:rPr>
                    <w:t>900-0</w:t>
                  </w:r>
                  <w:r>
                    <w:rPr>
                      <w:rFonts w:hint="eastAsia" w:ascii="Times New Roman"/>
                      <w:color w:val="auto"/>
                      <w:sz w:val="21"/>
                      <w:szCs w:val="21"/>
                      <w:highlight w:val="none"/>
                      <w:lang w:val="en-US" w:eastAsia="zh-CN"/>
                    </w:rPr>
                    <w:t>99</w:t>
                  </w:r>
                  <w:r>
                    <w:rPr>
                      <w:rFonts w:hint="eastAsia" w:ascii="Times New Roman"/>
                      <w:color w:val="auto"/>
                      <w:sz w:val="21"/>
                      <w:szCs w:val="21"/>
                      <w:highlight w:val="none"/>
                    </w:rPr>
                    <w:t>-S</w:t>
                  </w:r>
                  <w:r>
                    <w:rPr>
                      <w:rFonts w:hint="eastAsia" w:ascii="Times New Roman"/>
                      <w:color w:val="auto"/>
                      <w:sz w:val="21"/>
                      <w:szCs w:val="21"/>
                      <w:highlight w:val="none"/>
                      <w:lang w:eastAsia="zh-CN"/>
                    </w:rPr>
                    <w:t>5</w:t>
                  </w:r>
                  <w:r>
                    <w:rPr>
                      <w:rFonts w:hint="eastAsia" w:ascii="Times New Roman"/>
                      <w:color w:val="auto"/>
                      <w:sz w:val="21"/>
                      <w:szCs w:val="21"/>
                      <w:highlight w:val="none"/>
                      <w:lang w:val="en-US" w:eastAsia="zh-CN"/>
                    </w:rPr>
                    <w:t>9</w:t>
                  </w:r>
                </w:p>
              </w:tc>
              <w:tc>
                <w:tcPr>
                  <w:tcW w:w="1690" w:type="dxa"/>
                  <w:vMerge w:val="restart"/>
                  <w:vAlign w:val="center"/>
                </w:tcPr>
                <w:p>
                  <w:pPr>
                    <w:pStyle w:val="32"/>
                    <w:spacing w:line="240" w:lineRule="auto"/>
                    <w:ind w:firstLine="0"/>
                    <w:jc w:val="center"/>
                    <w:rPr>
                      <w:rFonts w:hint="eastAsia" w:ascii="Times New Roman"/>
                      <w:color w:val="auto"/>
                      <w:sz w:val="21"/>
                      <w:szCs w:val="21"/>
                    </w:rPr>
                  </w:pPr>
                </w:p>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lang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jc w:val="center"/>
              </w:trPr>
              <w:tc>
                <w:tcPr>
                  <w:tcW w:w="536"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2</w:t>
                  </w:r>
                </w:p>
              </w:tc>
              <w:tc>
                <w:tcPr>
                  <w:tcW w:w="1201"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除尘器收集的粉尘</w:t>
                  </w:r>
                </w:p>
              </w:tc>
              <w:tc>
                <w:tcPr>
                  <w:tcW w:w="742"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环保设备</w:t>
                  </w:r>
                </w:p>
              </w:tc>
              <w:tc>
                <w:tcPr>
                  <w:tcW w:w="641"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固态</w:t>
                  </w:r>
                </w:p>
              </w:tc>
              <w:tc>
                <w:tcPr>
                  <w:tcW w:w="876"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粉尘</w:t>
                  </w:r>
                </w:p>
              </w:tc>
              <w:tc>
                <w:tcPr>
                  <w:tcW w:w="1306" w:type="dxa"/>
                  <w:vAlign w:val="center"/>
                </w:tcPr>
                <w:p>
                  <w:pPr>
                    <w:pStyle w:val="32"/>
                    <w:spacing w:line="240" w:lineRule="auto"/>
                    <w:ind w:firstLine="0"/>
                    <w:jc w:val="center"/>
                    <w:rPr>
                      <w:rFonts w:hint="default" w:ascii="Times New Roman" w:eastAsia="宋体"/>
                      <w:color w:val="auto"/>
                      <w:sz w:val="21"/>
                      <w:szCs w:val="21"/>
                      <w:lang w:val="en-US" w:eastAsia="zh-CN"/>
                    </w:rPr>
                  </w:pPr>
                  <w:r>
                    <w:rPr>
                      <w:rFonts w:hint="eastAsia" w:ascii="Times New Roman"/>
                      <w:color w:val="auto"/>
                      <w:sz w:val="21"/>
                      <w:szCs w:val="21"/>
                      <w:lang w:val="en-US" w:eastAsia="zh-CN"/>
                    </w:rPr>
                    <w:t>26.752</w:t>
                  </w:r>
                </w:p>
              </w:tc>
              <w:tc>
                <w:tcPr>
                  <w:tcW w:w="1688" w:type="dxa"/>
                  <w:vAlign w:val="center"/>
                </w:tcPr>
                <w:p>
                  <w:pPr>
                    <w:pStyle w:val="32"/>
                    <w:spacing w:line="240" w:lineRule="auto"/>
                    <w:ind w:firstLine="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rPr>
                    <w:t>SW</w:t>
                  </w:r>
                  <w:r>
                    <w:rPr>
                      <w:rFonts w:hint="eastAsia" w:ascii="Times New Roman"/>
                      <w:color w:val="auto"/>
                      <w:sz w:val="21"/>
                      <w:szCs w:val="21"/>
                      <w:highlight w:val="none"/>
                      <w:lang w:val="en-US" w:eastAsia="zh-CN"/>
                    </w:rPr>
                    <w:t>59</w:t>
                  </w:r>
                </w:p>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highlight w:val="none"/>
                    </w:rPr>
                    <w:t>900-0</w:t>
                  </w:r>
                  <w:r>
                    <w:rPr>
                      <w:rFonts w:hint="eastAsia" w:ascii="Times New Roman"/>
                      <w:color w:val="auto"/>
                      <w:sz w:val="21"/>
                      <w:szCs w:val="21"/>
                      <w:highlight w:val="none"/>
                      <w:lang w:val="en-US" w:eastAsia="zh-CN"/>
                    </w:rPr>
                    <w:t>99</w:t>
                  </w:r>
                  <w:r>
                    <w:rPr>
                      <w:rFonts w:hint="eastAsia" w:ascii="Times New Roman"/>
                      <w:color w:val="auto"/>
                      <w:sz w:val="21"/>
                      <w:szCs w:val="21"/>
                      <w:highlight w:val="none"/>
                    </w:rPr>
                    <w:t>-S</w:t>
                  </w:r>
                  <w:r>
                    <w:rPr>
                      <w:rFonts w:hint="eastAsia" w:ascii="Times New Roman"/>
                      <w:color w:val="auto"/>
                      <w:sz w:val="21"/>
                      <w:szCs w:val="21"/>
                      <w:highlight w:val="none"/>
                      <w:lang w:eastAsia="zh-CN"/>
                    </w:rPr>
                    <w:t>5</w:t>
                  </w:r>
                  <w:r>
                    <w:rPr>
                      <w:rFonts w:hint="eastAsia" w:ascii="Times New Roman"/>
                      <w:color w:val="auto"/>
                      <w:sz w:val="21"/>
                      <w:szCs w:val="21"/>
                      <w:highlight w:val="none"/>
                      <w:lang w:val="en-US" w:eastAsia="zh-CN"/>
                    </w:rPr>
                    <w:t>9</w:t>
                  </w:r>
                </w:p>
              </w:tc>
              <w:tc>
                <w:tcPr>
                  <w:tcW w:w="1690" w:type="dxa"/>
                  <w:vMerge w:val="continue"/>
                  <w:vAlign w:val="center"/>
                </w:tcPr>
                <w:p>
                  <w:pPr>
                    <w:pStyle w:val="32"/>
                    <w:spacing w:line="240" w:lineRule="auto"/>
                    <w:ind w:firstLine="0"/>
                    <w:jc w:val="center"/>
                    <w:rPr>
                      <w:rFonts w:hint="eastAsia"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9" w:hRule="atLeast"/>
                <w:jc w:val="center"/>
              </w:trPr>
              <w:tc>
                <w:tcPr>
                  <w:tcW w:w="536" w:type="dxa"/>
                  <w:vAlign w:val="center"/>
                </w:tcPr>
                <w:p>
                  <w:pPr>
                    <w:pStyle w:val="32"/>
                    <w:spacing w:line="240" w:lineRule="auto"/>
                    <w:ind w:firstLine="0"/>
                    <w:jc w:val="center"/>
                    <w:rPr>
                      <w:rFonts w:hint="eastAsia" w:ascii="Times New Roman" w:eastAsia="宋体"/>
                      <w:color w:val="auto"/>
                      <w:sz w:val="21"/>
                      <w:szCs w:val="21"/>
                      <w:lang w:val="en-US" w:eastAsia="zh-CN"/>
                    </w:rPr>
                  </w:pPr>
                  <w:r>
                    <w:rPr>
                      <w:rFonts w:hint="eastAsia" w:ascii="Times New Roman"/>
                      <w:color w:val="auto"/>
                      <w:sz w:val="21"/>
                      <w:szCs w:val="21"/>
                      <w:lang w:val="en-US" w:eastAsia="zh-CN"/>
                    </w:rPr>
                    <w:t>3</w:t>
                  </w:r>
                </w:p>
              </w:tc>
              <w:tc>
                <w:tcPr>
                  <w:tcW w:w="1201" w:type="dxa"/>
                  <w:vAlign w:val="center"/>
                </w:tcPr>
                <w:p>
                  <w:pPr>
                    <w:pStyle w:val="32"/>
                    <w:spacing w:line="240" w:lineRule="auto"/>
                    <w:ind w:firstLine="0"/>
                    <w:jc w:val="center"/>
                    <w:rPr>
                      <w:rFonts w:hint="eastAsia" w:ascii="Times New Roman"/>
                      <w:color w:val="auto"/>
                      <w:sz w:val="21"/>
                      <w:szCs w:val="21"/>
                      <w:lang w:eastAsia="zh-CN"/>
                    </w:rPr>
                  </w:pPr>
                  <w:r>
                    <w:rPr>
                      <w:rFonts w:hint="eastAsia" w:ascii="Times New Roman"/>
                      <w:color w:val="auto"/>
                      <w:sz w:val="21"/>
                      <w:szCs w:val="21"/>
                      <w:lang w:eastAsia="zh-CN"/>
                    </w:rPr>
                    <w:t>车间沉降粉尘</w:t>
                  </w:r>
                </w:p>
              </w:tc>
              <w:tc>
                <w:tcPr>
                  <w:tcW w:w="742"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w:t>
                  </w:r>
                </w:p>
              </w:tc>
              <w:tc>
                <w:tcPr>
                  <w:tcW w:w="641"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固态</w:t>
                  </w:r>
                </w:p>
              </w:tc>
              <w:tc>
                <w:tcPr>
                  <w:tcW w:w="876" w:type="dxa"/>
                  <w:vAlign w:val="center"/>
                </w:tcPr>
                <w:p>
                  <w:pPr>
                    <w:pStyle w:val="32"/>
                    <w:spacing w:line="240" w:lineRule="auto"/>
                    <w:ind w:firstLine="0"/>
                    <w:jc w:val="center"/>
                    <w:rPr>
                      <w:rFonts w:hint="eastAsia" w:ascii="Times New Roman"/>
                      <w:color w:val="auto"/>
                      <w:sz w:val="21"/>
                      <w:szCs w:val="21"/>
                      <w:lang w:eastAsia="zh-CN"/>
                    </w:rPr>
                  </w:pPr>
                  <w:r>
                    <w:rPr>
                      <w:rFonts w:hint="eastAsia" w:ascii="Times New Roman"/>
                      <w:color w:val="auto"/>
                      <w:sz w:val="21"/>
                      <w:szCs w:val="21"/>
                      <w:lang w:eastAsia="zh-CN"/>
                    </w:rPr>
                    <w:t>粉尘</w:t>
                  </w:r>
                </w:p>
              </w:tc>
              <w:tc>
                <w:tcPr>
                  <w:tcW w:w="1306"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5.233</w:t>
                  </w:r>
                </w:p>
              </w:tc>
              <w:tc>
                <w:tcPr>
                  <w:tcW w:w="1688" w:type="dxa"/>
                  <w:vAlign w:val="center"/>
                </w:tcPr>
                <w:p>
                  <w:pPr>
                    <w:pStyle w:val="32"/>
                    <w:spacing w:line="240" w:lineRule="auto"/>
                    <w:ind w:firstLine="0"/>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rPr>
                    <w:t>SW</w:t>
                  </w:r>
                  <w:r>
                    <w:rPr>
                      <w:rFonts w:hint="eastAsia" w:ascii="Times New Roman"/>
                      <w:color w:val="auto"/>
                      <w:sz w:val="21"/>
                      <w:szCs w:val="21"/>
                      <w:highlight w:val="none"/>
                      <w:lang w:val="en-US" w:eastAsia="zh-CN"/>
                    </w:rPr>
                    <w:t>59</w:t>
                  </w:r>
                </w:p>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highlight w:val="none"/>
                    </w:rPr>
                    <w:t>900-0</w:t>
                  </w:r>
                  <w:r>
                    <w:rPr>
                      <w:rFonts w:hint="eastAsia" w:ascii="Times New Roman"/>
                      <w:color w:val="auto"/>
                      <w:sz w:val="21"/>
                      <w:szCs w:val="21"/>
                      <w:highlight w:val="none"/>
                      <w:lang w:val="en-US" w:eastAsia="zh-CN"/>
                    </w:rPr>
                    <w:t>99</w:t>
                  </w:r>
                  <w:r>
                    <w:rPr>
                      <w:rFonts w:hint="eastAsia" w:ascii="Times New Roman"/>
                      <w:color w:val="auto"/>
                      <w:sz w:val="21"/>
                      <w:szCs w:val="21"/>
                      <w:highlight w:val="none"/>
                    </w:rPr>
                    <w:t>-S</w:t>
                  </w:r>
                  <w:r>
                    <w:rPr>
                      <w:rFonts w:hint="eastAsia" w:ascii="Times New Roman"/>
                      <w:color w:val="auto"/>
                      <w:sz w:val="21"/>
                      <w:szCs w:val="21"/>
                      <w:highlight w:val="none"/>
                      <w:lang w:eastAsia="zh-CN"/>
                    </w:rPr>
                    <w:t>5</w:t>
                  </w:r>
                  <w:r>
                    <w:rPr>
                      <w:rFonts w:hint="eastAsia" w:ascii="Times New Roman"/>
                      <w:color w:val="auto"/>
                      <w:sz w:val="21"/>
                      <w:szCs w:val="21"/>
                      <w:highlight w:val="none"/>
                      <w:lang w:val="en-US" w:eastAsia="zh-CN"/>
                    </w:rPr>
                    <w:t>9</w:t>
                  </w:r>
                </w:p>
              </w:tc>
              <w:tc>
                <w:tcPr>
                  <w:tcW w:w="1690" w:type="dxa"/>
                  <w:vMerge w:val="continue"/>
                  <w:vAlign w:val="center"/>
                </w:tcPr>
                <w:p>
                  <w:pPr>
                    <w:pStyle w:val="32"/>
                    <w:spacing w:line="240" w:lineRule="auto"/>
                    <w:ind w:firstLine="0"/>
                    <w:jc w:val="center"/>
                    <w:rPr>
                      <w:rFonts w:hint="eastAsia"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6"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val="en-US" w:eastAsia="zh-CN"/>
                    </w:rPr>
                    <w:t>4</w:t>
                  </w:r>
                </w:p>
              </w:tc>
              <w:tc>
                <w:tcPr>
                  <w:tcW w:w="1201" w:type="dxa"/>
                  <w:vAlign w:val="center"/>
                </w:tcPr>
                <w:p>
                  <w:pPr>
                    <w:jc w:val="center"/>
                    <w:rPr>
                      <w:color w:val="auto"/>
                      <w:szCs w:val="21"/>
                    </w:rPr>
                  </w:pPr>
                  <w:r>
                    <w:rPr>
                      <w:rFonts w:hint="eastAsia"/>
                      <w:color w:val="auto"/>
                      <w:szCs w:val="21"/>
                    </w:rPr>
                    <w:t>生活垃圾</w:t>
                  </w:r>
                </w:p>
              </w:tc>
              <w:tc>
                <w:tcPr>
                  <w:tcW w:w="742"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员工</w:t>
                  </w:r>
                </w:p>
                <w:p>
                  <w:pPr>
                    <w:pStyle w:val="32"/>
                    <w:spacing w:line="240" w:lineRule="auto"/>
                    <w:ind w:firstLine="0"/>
                    <w:jc w:val="center"/>
                    <w:rPr>
                      <w:rFonts w:ascii="Times New Roman"/>
                      <w:color w:val="auto"/>
                      <w:sz w:val="21"/>
                      <w:szCs w:val="21"/>
                    </w:rPr>
                  </w:pPr>
                  <w:r>
                    <w:rPr>
                      <w:rFonts w:hint="eastAsia" w:ascii="Times New Roman"/>
                      <w:color w:val="auto"/>
                      <w:sz w:val="21"/>
                      <w:szCs w:val="21"/>
                    </w:rPr>
                    <w:t>生活</w:t>
                  </w:r>
                </w:p>
              </w:tc>
              <w:tc>
                <w:tcPr>
                  <w:tcW w:w="641" w:type="dxa"/>
                  <w:vAlign w:val="center"/>
                </w:tcPr>
                <w:p>
                  <w:pPr>
                    <w:adjustRightInd w:val="0"/>
                    <w:jc w:val="center"/>
                    <w:rPr>
                      <w:color w:val="auto"/>
                      <w:szCs w:val="21"/>
                    </w:rPr>
                  </w:pPr>
                  <w:r>
                    <w:rPr>
                      <w:rFonts w:hint="eastAsia"/>
                      <w:color w:val="auto"/>
                      <w:szCs w:val="21"/>
                    </w:rPr>
                    <w:t>固态</w:t>
                  </w:r>
                </w:p>
              </w:tc>
              <w:tc>
                <w:tcPr>
                  <w:tcW w:w="876"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w:t>
                  </w:r>
                </w:p>
              </w:tc>
              <w:tc>
                <w:tcPr>
                  <w:tcW w:w="1306" w:type="dxa"/>
                  <w:vAlign w:val="center"/>
                </w:tcPr>
                <w:p>
                  <w:pPr>
                    <w:jc w:val="center"/>
                    <w:rPr>
                      <w:rFonts w:hint="default" w:eastAsia="宋体"/>
                      <w:color w:val="auto"/>
                      <w:szCs w:val="21"/>
                      <w:lang w:val="en-US" w:eastAsia="zh-CN"/>
                    </w:rPr>
                  </w:pPr>
                  <w:r>
                    <w:rPr>
                      <w:rFonts w:hint="eastAsia"/>
                      <w:color w:val="auto"/>
                      <w:szCs w:val="21"/>
                      <w:lang w:val="en-US" w:eastAsia="zh-CN"/>
                    </w:rPr>
                    <w:t>1.5</w:t>
                  </w:r>
                </w:p>
              </w:tc>
              <w:tc>
                <w:tcPr>
                  <w:tcW w:w="1688" w:type="dxa"/>
                  <w:vAlign w:val="center"/>
                </w:tcPr>
                <w:p>
                  <w:pPr>
                    <w:jc w:val="center"/>
                    <w:rPr>
                      <w:color w:val="auto"/>
                      <w:szCs w:val="21"/>
                    </w:rPr>
                  </w:pPr>
                  <w:r>
                    <w:rPr>
                      <w:rFonts w:hint="eastAsia"/>
                      <w:color w:val="auto"/>
                      <w:szCs w:val="21"/>
                    </w:rPr>
                    <w:t>--</w:t>
                  </w:r>
                </w:p>
              </w:tc>
              <w:tc>
                <w:tcPr>
                  <w:tcW w:w="1690" w:type="dxa"/>
                  <w:vAlign w:val="center"/>
                </w:tcPr>
                <w:p>
                  <w:pPr>
                    <w:jc w:val="center"/>
                    <w:rPr>
                      <w:color w:val="auto"/>
                      <w:szCs w:val="21"/>
                    </w:rPr>
                  </w:pPr>
                  <w:r>
                    <w:rPr>
                      <w:rFonts w:hint="eastAsia"/>
                      <w:color w:val="auto"/>
                      <w:szCs w:val="21"/>
                    </w:rPr>
                    <w:t>交环卫部门清运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6"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val="en-US" w:eastAsia="zh-CN"/>
                    </w:rPr>
                    <w:t>5</w:t>
                  </w:r>
                </w:p>
              </w:tc>
              <w:tc>
                <w:tcPr>
                  <w:tcW w:w="1201" w:type="dxa"/>
                  <w:vAlign w:val="center"/>
                </w:tcPr>
                <w:p>
                  <w:pPr>
                    <w:jc w:val="center"/>
                    <w:rPr>
                      <w:rFonts w:hint="eastAsia"/>
                      <w:color w:val="auto"/>
                      <w:szCs w:val="21"/>
                    </w:rPr>
                  </w:pPr>
                  <w:r>
                    <w:rPr>
                      <w:rFonts w:hint="eastAsia"/>
                      <w:color w:val="auto"/>
                      <w:szCs w:val="21"/>
                    </w:rPr>
                    <w:t>废弃的含油抹布、劳保用品</w:t>
                  </w:r>
                </w:p>
              </w:tc>
              <w:tc>
                <w:tcPr>
                  <w:tcW w:w="742" w:type="dxa"/>
                  <w:vMerge w:val="restart"/>
                  <w:vAlign w:val="center"/>
                </w:tcPr>
                <w:p>
                  <w:pPr>
                    <w:pStyle w:val="32"/>
                    <w:spacing w:line="240" w:lineRule="auto"/>
                    <w:ind w:firstLine="0"/>
                    <w:jc w:val="center"/>
                    <w:rPr>
                      <w:rFonts w:hint="eastAsia" w:ascii="Times New Roman"/>
                      <w:color w:val="auto"/>
                      <w:sz w:val="21"/>
                      <w:szCs w:val="21"/>
                      <w:lang w:val="en-US" w:eastAsia="zh-CN"/>
                    </w:rPr>
                  </w:pPr>
                </w:p>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设备保养</w:t>
                  </w:r>
                </w:p>
                <w:p>
                  <w:pPr>
                    <w:pStyle w:val="32"/>
                    <w:spacing w:line="240" w:lineRule="auto"/>
                    <w:ind w:firstLine="0"/>
                    <w:jc w:val="center"/>
                    <w:rPr>
                      <w:rFonts w:hint="eastAsia" w:ascii="Times New Roman"/>
                      <w:color w:val="auto"/>
                      <w:sz w:val="21"/>
                      <w:szCs w:val="21"/>
                      <w:lang w:eastAsia="zh-CN"/>
                    </w:rPr>
                  </w:pPr>
                </w:p>
              </w:tc>
              <w:tc>
                <w:tcPr>
                  <w:tcW w:w="641" w:type="dxa"/>
                  <w:vAlign w:val="center"/>
                </w:tcPr>
                <w:p>
                  <w:pPr>
                    <w:adjustRightInd w:val="0"/>
                    <w:jc w:val="center"/>
                    <w:rPr>
                      <w:rFonts w:hint="eastAsia"/>
                      <w:color w:val="auto"/>
                      <w:szCs w:val="21"/>
                    </w:rPr>
                  </w:pPr>
                  <w:r>
                    <w:rPr>
                      <w:rFonts w:hint="eastAsia"/>
                      <w:color w:val="auto"/>
                      <w:szCs w:val="21"/>
                    </w:rPr>
                    <w:t>固态</w:t>
                  </w:r>
                </w:p>
              </w:tc>
              <w:tc>
                <w:tcPr>
                  <w:tcW w:w="876"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有机溶剂</w:t>
                  </w:r>
                </w:p>
              </w:tc>
              <w:tc>
                <w:tcPr>
                  <w:tcW w:w="1306" w:type="dxa"/>
                  <w:vAlign w:val="center"/>
                </w:tcPr>
                <w:p>
                  <w:pPr>
                    <w:jc w:val="center"/>
                    <w:rPr>
                      <w:rFonts w:hint="eastAsia"/>
                      <w:color w:val="auto"/>
                      <w:szCs w:val="21"/>
                    </w:rPr>
                  </w:pPr>
                  <w:r>
                    <w:rPr>
                      <w:rFonts w:hint="eastAsia"/>
                      <w:color w:val="auto"/>
                      <w:szCs w:val="21"/>
                    </w:rPr>
                    <w:t>0.05</w:t>
                  </w:r>
                </w:p>
              </w:tc>
              <w:tc>
                <w:tcPr>
                  <w:tcW w:w="1688" w:type="dxa"/>
                  <w:vAlign w:val="center"/>
                </w:tcPr>
                <w:p>
                  <w:pPr>
                    <w:jc w:val="center"/>
                    <w:rPr>
                      <w:color w:val="auto"/>
                      <w:highlight w:val="none"/>
                    </w:rPr>
                  </w:pPr>
                  <w:r>
                    <w:rPr>
                      <w:color w:val="auto"/>
                      <w:highlight w:val="none"/>
                    </w:rPr>
                    <w:t>HW</w:t>
                  </w:r>
                  <w:r>
                    <w:rPr>
                      <w:rFonts w:hint="eastAsia"/>
                      <w:color w:val="auto"/>
                      <w:highlight w:val="none"/>
                    </w:rPr>
                    <w:t>49</w:t>
                  </w:r>
                </w:p>
                <w:p>
                  <w:pPr>
                    <w:jc w:val="center"/>
                    <w:rPr>
                      <w:rFonts w:hint="eastAsia"/>
                      <w:color w:val="auto"/>
                      <w:szCs w:val="21"/>
                    </w:rPr>
                  </w:pPr>
                  <w:r>
                    <w:rPr>
                      <w:bCs/>
                      <w:color w:val="auto"/>
                      <w:szCs w:val="21"/>
                      <w:highlight w:val="none"/>
                    </w:rPr>
                    <w:t>900-</w:t>
                  </w:r>
                  <w:r>
                    <w:rPr>
                      <w:rFonts w:hint="eastAsia"/>
                      <w:bCs/>
                      <w:color w:val="auto"/>
                      <w:szCs w:val="21"/>
                      <w:highlight w:val="none"/>
                    </w:rPr>
                    <w:t>041</w:t>
                  </w:r>
                  <w:r>
                    <w:rPr>
                      <w:bCs/>
                      <w:color w:val="auto"/>
                      <w:szCs w:val="21"/>
                      <w:highlight w:val="none"/>
                    </w:rPr>
                    <w:t>-</w:t>
                  </w:r>
                  <w:r>
                    <w:rPr>
                      <w:rFonts w:hint="eastAsia"/>
                      <w:bCs/>
                      <w:color w:val="auto"/>
                      <w:szCs w:val="21"/>
                      <w:highlight w:val="none"/>
                    </w:rPr>
                    <w:t>49</w:t>
                  </w:r>
                </w:p>
              </w:tc>
              <w:tc>
                <w:tcPr>
                  <w:tcW w:w="1690" w:type="dxa"/>
                  <w:vMerge w:val="restart"/>
                  <w:vAlign w:val="center"/>
                </w:tcPr>
                <w:p>
                  <w:pPr>
                    <w:jc w:val="center"/>
                    <w:rPr>
                      <w:rFonts w:hint="eastAsia" w:eastAsia="宋体"/>
                      <w:color w:val="auto"/>
                      <w:szCs w:val="21"/>
                      <w:lang w:eastAsia="zh-CN"/>
                    </w:rPr>
                  </w:pPr>
                  <w:r>
                    <w:rPr>
                      <w:rFonts w:hint="eastAsia"/>
                      <w:color w:val="auto"/>
                      <w:szCs w:val="21"/>
                      <w:lang w:eastAsia="zh-CN"/>
                    </w:rPr>
                    <w:t>分类贮存于危废贮存库，定期交有资质单位处理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36"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val="en-US" w:eastAsia="zh-CN"/>
                    </w:rPr>
                    <w:t>6</w:t>
                  </w:r>
                </w:p>
              </w:tc>
              <w:tc>
                <w:tcPr>
                  <w:tcW w:w="1201" w:type="dxa"/>
                  <w:vAlign w:val="center"/>
                </w:tcPr>
                <w:p>
                  <w:pPr>
                    <w:rPr>
                      <w:rFonts w:hint="eastAsia"/>
                      <w:color w:val="auto"/>
                      <w:szCs w:val="21"/>
                    </w:rPr>
                  </w:pPr>
                  <w:r>
                    <w:rPr>
                      <w:rFonts w:hint="eastAsia"/>
                      <w:color w:val="auto"/>
                      <w:szCs w:val="21"/>
                    </w:rPr>
                    <w:t>废润滑油</w:t>
                  </w:r>
                </w:p>
              </w:tc>
              <w:tc>
                <w:tcPr>
                  <w:tcW w:w="742" w:type="dxa"/>
                  <w:vMerge w:val="continue"/>
                  <w:vAlign w:val="center"/>
                </w:tcPr>
                <w:p>
                  <w:pPr>
                    <w:pStyle w:val="32"/>
                    <w:spacing w:line="240" w:lineRule="auto"/>
                    <w:ind w:firstLine="0"/>
                    <w:jc w:val="center"/>
                    <w:rPr>
                      <w:rFonts w:ascii="Times New Roman"/>
                      <w:color w:val="auto"/>
                      <w:sz w:val="21"/>
                      <w:szCs w:val="21"/>
                    </w:rPr>
                  </w:pPr>
                </w:p>
              </w:tc>
              <w:tc>
                <w:tcPr>
                  <w:tcW w:w="641" w:type="dxa"/>
                  <w:vAlign w:val="center"/>
                </w:tcPr>
                <w:p>
                  <w:pPr>
                    <w:adjustRightInd w:val="0"/>
                    <w:jc w:val="center"/>
                    <w:rPr>
                      <w:rFonts w:hint="eastAsia"/>
                      <w:color w:val="auto"/>
                      <w:szCs w:val="21"/>
                    </w:rPr>
                  </w:pPr>
                  <w:r>
                    <w:rPr>
                      <w:rFonts w:hint="eastAsia"/>
                      <w:color w:val="auto"/>
                      <w:szCs w:val="21"/>
                    </w:rPr>
                    <w:t>液态</w:t>
                  </w:r>
                </w:p>
              </w:tc>
              <w:tc>
                <w:tcPr>
                  <w:tcW w:w="876"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润滑油</w:t>
                  </w:r>
                </w:p>
              </w:tc>
              <w:tc>
                <w:tcPr>
                  <w:tcW w:w="1306" w:type="dxa"/>
                  <w:vAlign w:val="center"/>
                </w:tcPr>
                <w:p>
                  <w:pPr>
                    <w:jc w:val="center"/>
                    <w:rPr>
                      <w:rFonts w:hint="default" w:eastAsia="宋体"/>
                      <w:color w:val="auto"/>
                      <w:szCs w:val="21"/>
                      <w:lang w:val="en-US" w:eastAsia="zh-CN"/>
                    </w:rPr>
                  </w:pPr>
                  <w:r>
                    <w:rPr>
                      <w:rFonts w:hint="eastAsia"/>
                      <w:color w:val="auto"/>
                      <w:szCs w:val="21"/>
                      <w:lang w:val="en-US" w:eastAsia="zh-CN"/>
                    </w:rPr>
                    <w:t>0.48</w:t>
                  </w:r>
                </w:p>
              </w:tc>
              <w:tc>
                <w:tcPr>
                  <w:tcW w:w="1688" w:type="dxa"/>
                  <w:vAlign w:val="center"/>
                </w:tcPr>
                <w:p>
                  <w:pPr>
                    <w:jc w:val="center"/>
                    <w:rPr>
                      <w:rFonts w:hint="eastAsia"/>
                      <w:color w:val="auto"/>
                      <w:szCs w:val="21"/>
                    </w:rPr>
                  </w:pPr>
                  <w:r>
                    <w:rPr>
                      <w:rFonts w:hint="eastAsia"/>
                      <w:color w:val="auto"/>
                      <w:szCs w:val="21"/>
                    </w:rPr>
                    <w:t>HW08</w:t>
                  </w:r>
                </w:p>
                <w:p>
                  <w:pPr>
                    <w:jc w:val="center"/>
                    <w:rPr>
                      <w:rFonts w:hint="eastAsia"/>
                      <w:color w:val="auto"/>
                      <w:szCs w:val="21"/>
                    </w:rPr>
                  </w:pPr>
                  <w:r>
                    <w:rPr>
                      <w:rFonts w:hint="eastAsia"/>
                      <w:color w:val="auto"/>
                      <w:szCs w:val="21"/>
                    </w:rPr>
                    <w:t>900-214-08</w:t>
                  </w:r>
                </w:p>
              </w:tc>
              <w:tc>
                <w:tcPr>
                  <w:tcW w:w="1690" w:type="dxa"/>
                  <w:vMerge w:val="continue"/>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536" w:type="dxa"/>
                  <w:vAlign w:val="center"/>
                </w:tcPr>
                <w:p>
                  <w:pPr>
                    <w:pStyle w:val="32"/>
                    <w:spacing w:line="240" w:lineRule="auto"/>
                    <w:ind w:firstLine="0"/>
                    <w:jc w:val="center"/>
                    <w:rPr>
                      <w:rFonts w:hint="default" w:ascii="Times New Roman"/>
                      <w:color w:val="auto"/>
                      <w:sz w:val="21"/>
                      <w:szCs w:val="21"/>
                      <w:lang w:val="en-US" w:eastAsia="zh-CN"/>
                    </w:rPr>
                  </w:pPr>
                  <w:r>
                    <w:rPr>
                      <w:rFonts w:hint="eastAsia" w:ascii="Times New Roman"/>
                      <w:color w:val="auto"/>
                      <w:sz w:val="21"/>
                      <w:szCs w:val="21"/>
                      <w:lang w:val="en-US" w:eastAsia="zh-CN"/>
                    </w:rPr>
                    <w:t>7</w:t>
                  </w:r>
                </w:p>
                <w:p>
                  <w:pPr>
                    <w:pStyle w:val="32"/>
                    <w:spacing w:line="240" w:lineRule="auto"/>
                    <w:ind w:firstLine="0"/>
                    <w:jc w:val="center"/>
                    <w:rPr>
                      <w:rFonts w:hint="default" w:ascii="Times New Roman" w:eastAsia="宋体"/>
                      <w:color w:val="auto"/>
                      <w:sz w:val="21"/>
                      <w:szCs w:val="21"/>
                      <w:lang w:val="en-US" w:eastAsia="zh-CN"/>
                    </w:rPr>
                  </w:pPr>
                </w:p>
              </w:tc>
              <w:tc>
                <w:tcPr>
                  <w:tcW w:w="1201" w:type="dxa"/>
                  <w:vAlign w:val="center"/>
                </w:tcPr>
                <w:p>
                  <w:pPr>
                    <w:jc w:val="center"/>
                    <w:rPr>
                      <w:rFonts w:hint="eastAsia"/>
                      <w:color w:val="auto"/>
                      <w:szCs w:val="21"/>
                    </w:rPr>
                  </w:pPr>
                  <w:r>
                    <w:rPr>
                      <w:rFonts w:hint="eastAsia"/>
                      <w:color w:val="auto"/>
                      <w:szCs w:val="21"/>
                    </w:rPr>
                    <w:t>废润滑油桶</w:t>
                  </w:r>
                </w:p>
              </w:tc>
              <w:tc>
                <w:tcPr>
                  <w:tcW w:w="742" w:type="dxa"/>
                  <w:vMerge w:val="continue"/>
                  <w:vAlign w:val="center"/>
                </w:tcPr>
                <w:p>
                  <w:pPr>
                    <w:pStyle w:val="32"/>
                    <w:spacing w:line="240" w:lineRule="auto"/>
                    <w:ind w:firstLine="0"/>
                    <w:jc w:val="center"/>
                    <w:rPr>
                      <w:rFonts w:hint="eastAsia" w:ascii="Times New Roman"/>
                      <w:color w:val="auto"/>
                      <w:sz w:val="21"/>
                      <w:szCs w:val="21"/>
                    </w:rPr>
                  </w:pPr>
                </w:p>
              </w:tc>
              <w:tc>
                <w:tcPr>
                  <w:tcW w:w="641" w:type="dxa"/>
                  <w:vAlign w:val="center"/>
                </w:tcPr>
                <w:p>
                  <w:pPr>
                    <w:adjustRightInd w:val="0"/>
                    <w:jc w:val="center"/>
                    <w:rPr>
                      <w:rFonts w:hint="eastAsia"/>
                      <w:color w:val="auto"/>
                      <w:szCs w:val="21"/>
                      <w:lang w:eastAsia="zh-CN"/>
                    </w:rPr>
                  </w:pPr>
                  <w:r>
                    <w:rPr>
                      <w:rFonts w:hint="eastAsia"/>
                      <w:color w:val="auto"/>
                      <w:szCs w:val="21"/>
                    </w:rPr>
                    <w:t>固态</w:t>
                  </w:r>
                </w:p>
              </w:tc>
              <w:tc>
                <w:tcPr>
                  <w:tcW w:w="876" w:type="dxa"/>
                  <w:vAlign w:val="center"/>
                </w:tcPr>
                <w:p>
                  <w:pPr>
                    <w:pStyle w:val="32"/>
                    <w:spacing w:line="240" w:lineRule="auto"/>
                    <w:ind w:firstLine="0"/>
                    <w:jc w:val="center"/>
                    <w:rPr>
                      <w:rFonts w:hint="eastAsia" w:ascii="Times New Roman"/>
                      <w:color w:val="auto"/>
                      <w:sz w:val="21"/>
                      <w:szCs w:val="21"/>
                      <w:lang w:val="en-US" w:eastAsia="zh-CN"/>
                    </w:rPr>
                  </w:pPr>
                  <w:r>
                    <w:rPr>
                      <w:rFonts w:hint="eastAsia" w:ascii="Times New Roman"/>
                      <w:color w:val="auto"/>
                      <w:sz w:val="21"/>
                      <w:szCs w:val="21"/>
                    </w:rPr>
                    <w:t>润滑油</w:t>
                  </w:r>
                </w:p>
              </w:tc>
              <w:tc>
                <w:tcPr>
                  <w:tcW w:w="1306" w:type="dxa"/>
                  <w:vAlign w:val="center"/>
                </w:tcPr>
                <w:p>
                  <w:pPr>
                    <w:jc w:val="center"/>
                    <w:rPr>
                      <w:rFonts w:hint="default"/>
                      <w:color w:val="auto"/>
                      <w:szCs w:val="21"/>
                      <w:lang w:val="en-US" w:eastAsia="zh-CN"/>
                    </w:rPr>
                  </w:pPr>
                  <w:r>
                    <w:rPr>
                      <w:rFonts w:hint="eastAsia"/>
                      <w:color w:val="auto"/>
                      <w:szCs w:val="21"/>
                      <w:lang w:val="en-US" w:eastAsia="zh-CN"/>
                    </w:rPr>
                    <w:t>0.04</w:t>
                  </w:r>
                </w:p>
              </w:tc>
              <w:tc>
                <w:tcPr>
                  <w:tcW w:w="1688" w:type="dxa"/>
                  <w:vAlign w:val="center"/>
                </w:tcPr>
                <w:p>
                  <w:pPr>
                    <w:jc w:val="center"/>
                    <w:rPr>
                      <w:color w:val="auto"/>
                      <w:szCs w:val="21"/>
                    </w:rPr>
                  </w:pPr>
                  <w:r>
                    <w:rPr>
                      <w:rFonts w:hint="eastAsia"/>
                      <w:color w:val="auto"/>
                      <w:szCs w:val="21"/>
                    </w:rPr>
                    <w:t>HW49</w:t>
                  </w:r>
                </w:p>
                <w:p>
                  <w:pPr>
                    <w:jc w:val="center"/>
                    <w:rPr>
                      <w:rFonts w:hint="eastAsia"/>
                      <w:color w:val="auto"/>
                      <w:szCs w:val="21"/>
                    </w:rPr>
                  </w:pPr>
                  <w:r>
                    <w:rPr>
                      <w:rFonts w:hint="eastAsia"/>
                      <w:color w:val="auto"/>
                      <w:szCs w:val="21"/>
                    </w:rPr>
                    <w:t>900-041-49</w:t>
                  </w:r>
                </w:p>
              </w:tc>
              <w:tc>
                <w:tcPr>
                  <w:tcW w:w="1690" w:type="dxa"/>
                  <w:vMerge w:val="continue"/>
                  <w:vAlign w:val="center"/>
                </w:tcPr>
                <w:p>
                  <w:pPr>
                    <w:jc w:val="center"/>
                    <w:rPr>
                      <w:rFonts w:hint="eastAsia"/>
                      <w:color w:val="auto"/>
                      <w:szCs w:val="21"/>
                    </w:rPr>
                  </w:pPr>
                </w:p>
              </w:tc>
            </w:tr>
          </w:tbl>
          <w:p>
            <w:pPr>
              <w:spacing w:line="360" w:lineRule="auto"/>
              <w:ind w:firstLine="480" w:firstLineChars="200"/>
              <w:rPr>
                <w:rFonts w:ascii="宋体" w:hAnsi="宋体" w:cs="宋体"/>
                <w:color w:val="auto"/>
                <w:sz w:val="24"/>
              </w:rPr>
            </w:pPr>
            <w:r>
              <w:rPr>
                <w:rFonts w:ascii="宋体" w:hAnsi="宋体" w:cs="宋体"/>
                <w:color w:val="auto"/>
                <w:sz w:val="24"/>
              </w:rPr>
              <w:t>根据《建设项目危险废物环境影响评价指南》，分析拟建项目危险废物的产生、贮存、处置情况见下表。</w:t>
            </w:r>
          </w:p>
          <w:p>
            <w:pPr>
              <w:widowControl/>
              <w:jc w:val="center"/>
              <w:rPr>
                <w:b/>
                <w:bCs/>
                <w:color w:val="auto"/>
                <w:szCs w:val="21"/>
              </w:rPr>
            </w:pPr>
            <w:r>
              <w:rPr>
                <w:rFonts w:hint="eastAsia"/>
                <w:b/>
                <w:bCs/>
                <w:color w:val="auto"/>
                <w:szCs w:val="21"/>
              </w:rPr>
              <w:t>表4-1</w:t>
            </w:r>
            <w:r>
              <w:rPr>
                <w:rFonts w:hint="eastAsia"/>
                <w:b/>
                <w:bCs/>
                <w:color w:val="auto"/>
                <w:szCs w:val="21"/>
                <w:lang w:val="en-US" w:eastAsia="zh-CN"/>
              </w:rPr>
              <w:t>9</w:t>
            </w:r>
            <w:r>
              <w:rPr>
                <w:rFonts w:hint="eastAsia"/>
                <w:b/>
                <w:bCs/>
                <w:color w:val="auto"/>
                <w:szCs w:val="21"/>
              </w:rPr>
              <w:t xml:space="preserve"> 危险废物汇总表</w:t>
            </w:r>
          </w:p>
          <w:tbl>
            <w:tblPr>
              <w:tblStyle w:val="24"/>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31"/>
              <w:gridCol w:w="1281"/>
              <w:gridCol w:w="725"/>
              <w:gridCol w:w="588"/>
              <w:gridCol w:w="590"/>
              <w:gridCol w:w="831"/>
              <w:gridCol w:w="1283"/>
              <w:gridCol w:w="591"/>
              <w:gridCol w:w="599"/>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危废名称</w:t>
                  </w:r>
                </w:p>
              </w:tc>
              <w:tc>
                <w:tcPr>
                  <w:tcW w:w="831"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危废类别</w:t>
                  </w:r>
                </w:p>
              </w:tc>
              <w:tc>
                <w:tcPr>
                  <w:tcW w:w="1281"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危废代码</w:t>
                  </w:r>
                </w:p>
              </w:tc>
              <w:tc>
                <w:tcPr>
                  <w:tcW w:w="725"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预测产生量t/a</w:t>
                  </w:r>
                </w:p>
              </w:tc>
              <w:tc>
                <w:tcPr>
                  <w:tcW w:w="588"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产生工序</w:t>
                  </w:r>
                </w:p>
              </w:tc>
              <w:tc>
                <w:tcPr>
                  <w:tcW w:w="590"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形态</w:t>
                  </w:r>
                </w:p>
              </w:tc>
              <w:tc>
                <w:tcPr>
                  <w:tcW w:w="831"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主要成分</w:t>
                  </w:r>
                </w:p>
              </w:tc>
              <w:tc>
                <w:tcPr>
                  <w:tcW w:w="1283"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有害成分</w:t>
                  </w:r>
                </w:p>
              </w:tc>
              <w:tc>
                <w:tcPr>
                  <w:tcW w:w="591"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产废周期</w:t>
                  </w:r>
                </w:p>
              </w:tc>
              <w:tc>
                <w:tcPr>
                  <w:tcW w:w="599"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危险特性</w:t>
                  </w:r>
                </w:p>
              </w:tc>
              <w:tc>
                <w:tcPr>
                  <w:tcW w:w="683" w:type="dxa"/>
                  <w:vAlign w:val="center"/>
                </w:tcPr>
                <w:p>
                  <w:pPr>
                    <w:pStyle w:val="26"/>
                    <w:spacing w:line="240" w:lineRule="auto"/>
                    <w:ind w:firstLine="0"/>
                    <w:jc w:val="center"/>
                    <w:rPr>
                      <w:rFonts w:ascii="Times New Roman" w:hAnsi="Times New Roman"/>
                      <w:color w:val="auto"/>
                      <w:sz w:val="21"/>
                      <w:szCs w:val="21"/>
                    </w:rPr>
                  </w:pPr>
                  <w:r>
                    <w:rPr>
                      <w:rFonts w:ascii="Times New Roman" w:hAnsi="Times New Roman"/>
                      <w:color w:val="auto"/>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Align w:val="center"/>
                </w:tcPr>
                <w:p>
                  <w:pPr>
                    <w:jc w:val="center"/>
                    <w:rPr>
                      <w:rFonts w:hint="eastAsia"/>
                      <w:color w:val="auto"/>
                      <w:szCs w:val="21"/>
                    </w:rPr>
                  </w:pPr>
                  <w:r>
                    <w:rPr>
                      <w:rFonts w:hint="eastAsia"/>
                      <w:color w:val="auto"/>
                      <w:szCs w:val="21"/>
                    </w:rPr>
                    <w:t>废弃的含油抹布、劳保用品</w:t>
                  </w:r>
                </w:p>
              </w:tc>
              <w:tc>
                <w:tcPr>
                  <w:tcW w:w="831" w:type="dxa"/>
                  <w:vAlign w:val="center"/>
                </w:tcPr>
                <w:p>
                  <w:pPr>
                    <w:jc w:val="center"/>
                    <w:rPr>
                      <w:rFonts w:hint="eastAsia"/>
                      <w:color w:val="auto"/>
                      <w:szCs w:val="21"/>
                    </w:rPr>
                  </w:pPr>
                  <w:r>
                    <w:rPr>
                      <w:rFonts w:hint="eastAsia"/>
                      <w:color w:val="auto"/>
                      <w:szCs w:val="21"/>
                    </w:rPr>
                    <w:t>HW49</w:t>
                  </w:r>
                </w:p>
              </w:tc>
              <w:tc>
                <w:tcPr>
                  <w:tcW w:w="1281" w:type="dxa"/>
                  <w:vAlign w:val="center"/>
                </w:tcPr>
                <w:p>
                  <w:pPr>
                    <w:jc w:val="center"/>
                    <w:rPr>
                      <w:rFonts w:hint="eastAsia"/>
                      <w:color w:val="auto"/>
                      <w:szCs w:val="21"/>
                    </w:rPr>
                  </w:pPr>
                  <w:r>
                    <w:rPr>
                      <w:bCs/>
                      <w:color w:val="auto"/>
                      <w:szCs w:val="21"/>
                    </w:rPr>
                    <w:t>900-</w:t>
                  </w:r>
                  <w:r>
                    <w:rPr>
                      <w:rFonts w:hint="eastAsia"/>
                      <w:bCs/>
                      <w:color w:val="auto"/>
                      <w:szCs w:val="21"/>
                    </w:rPr>
                    <w:t>041</w:t>
                  </w:r>
                  <w:r>
                    <w:rPr>
                      <w:bCs/>
                      <w:color w:val="auto"/>
                      <w:szCs w:val="21"/>
                    </w:rPr>
                    <w:t>-</w:t>
                  </w:r>
                  <w:r>
                    <w:rPr>
                      <w:rFonts w:hint="eastAsia"/>
                      <w:bCs/>
                      <w:color w:val="auto"/>
                      <w:szCs w:val="21"/>
                    </w:rPr>
                    <w:t>49</w:t>
                  </w:r>
                </w:p>
              </w:tc>
              <w:tc>
                <w:tcPr>
                  <w:tcW w:w="725" w:type="dxa"/>
                  <w:vAlign w:val="center"/>
                </w:tcPr>
                <w:p>
                  <w:pPr>
                    <w:jc w:val="center"/>
                    <w:rPr>
                      <w:rFonts w:hint="eastAsia"/>
                      <w:color w:val="auto"/>
                      <w:szCs w:val="21"/>
                    </w:rPr>
                  </w:pPr>
                  <w:r>
                    <w:rPr>
                      <w:rFonts w:hint="eastAsia"/>
                      <w:color w:val="auto"/>
                      <w:szCs w:val="21"/>
                    </w:rPr>
                    <w:t>0.05</w:t>
                  </w:r>
                </w:p>
              </w:tc>
              <w:tc>
                <w:tcPr>
                  <w:tcW w:w="588" w:type="dxa"/>
                  <w:vMerge w:val="restart"/>
                  <w:vAlign w:val="center"/>
                </w:tcPr>
                <w:p>
                  <w:pPr>
                    <w:adjustRightInd w:val="0"/>
                    <w:jc w:val="center"/>
                    <w:rPr>
                      <w:rFonts w:hint="eastAsia"/>
                      <w:color w:val="auto"/>
                      <w:szCs w:val="21"/>
                    </w:rPr>
                  </w:pPr>
                  <w:r>
                    <w:rPr>
                      <w:rFonts w:hint="eastAsia"/>
                      <w:color w:val="auto"/>
                      <w:szCs w:val="21"/>
                    </w:rPr>
                    <w:t>设备保养</w:t>
                  </w:r>
                </w:p>
                <w:p>
                  <w:pPr>
                    <w:pStyle w:val="26"/>
                    <w:spacing w:line="240" w:lineRule="auto"/>
                    <w:ind w:firstLine="0"/>
                    <w:jc w:val="center"/>
                    <w:rPr>
                      <w:rFonts w:hint="eastAsia"/>
                      <w:color w:val="auto"/>
                      <w:szCs w:val="21"/>
                    </w:rPr>
                  </w:pPr>
                  <w:r>
                    <w:rPr>
                      <w:rFonts w:hint="eastAsia" w:ascii="Times New Roman" w:hAnsi="Times New Roman"/>
                      <w:b w:val="0"/>
                      <w:bCs/>
                      <w:color w:val="auto"/>
                      <w:sz w:val="21"/>
                      <w:szCs w:val="21"/>
                    </w:rPr>
                    <w:t>固态</w:t>
                  </w:r>
                </w:p>
              </w:tc>
              <w:tc>
                <w:tcPr>
                  <w:tcW w:w="590"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有机溶剂</w:t>
                  </w:r>
                </w:p>
              </w:tc>
              <w:tc>
                <w:tcPr>
                  <w:tcW w:w="831"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有机溶剂</w:t>
                  </w:r>
                </w:p>
              </w:tc>
              <w:tc>
                <w:tcPr>
                  <w:tcW w:w="1283" w:type="dxa"/>
                  <w:vAlign w:val="center"/>
                </w:tcPr>
                <w:p>
                  <w:pPr>
                    <w:pStyle w:val="26"/>
                    <w:spacing w:line="240" w:lineRule="auto"/>
                    <w:ind w:firstLine="0"/>
                    <w:jc w:val="center"/>
                    <w:rPr>
                      <w:rFonts w:hint="eastAsia" w:ascii="Times New Roman" w:hAnsi="Times New Roman"/>
                      <w:b w:val="0"/>
                      <w:bCs/>
                      <w:color w:val="auto"/>
                      <w:sz w:val="21"/>
                      <w:szCs w:val="21"/>
                    </w:rPr>
                  </w:pPr>
                  <w:r>
                    <w:rPr>
                      <w:rFonts w:hint="eastAsia" w:ascii="Times New Roman" w:hAnsi="Times New Roman"/>
                      <w:b w:val="0"/>
                      <w:bCs/>
                      <w:color w:val="auto"/>
                      <w:sz w:val="21"/>
                      <w:szCs w:val="21"/>
                    </w:rPr>
                    <w:t>年</w:t>
                  </w:r>
                </w:p>
              </w:tc>
              <w:tc>
                <w:tcPr>
                  <w:tcW w:w="591" w:type="dxa"/>
                  <w:vAlign w:val="center"/>
                </w:tcPr>
                <w:p>
                  <w:pPr>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eastAsia="zh-CN"/>
                    </w:rPr>
                    <w:t>年</w:t>
                  </w:r>
                </w:p>
              </w:tc>
              <w:tc>
                <w:tcPr>
                  <w:tcW w:w="599" w:type="dxa"/>
                  <w:vAlign w:val="center"/>
                </w:tcPr>
                <w:p>
                  <w:pPr>
                    <w:pStyle w:val="26"/>
                    <w:spacing w:line="240" w:lineRule="auto"/>
                    <w:ind w:firstLine="0"/>
                    <w:jc w:val="center"/>
                    <w:rPr>
                      <w:rFonts w:hint="eastAsia" w:ascii="Times New Roman" w:hAnsi="Times New Roman"/>
                      <w:b/>
                      <w:color w:val="auto"/>
                      <w:sz w:val="21"/>
                      <w:szCs w:val="21"/>
                    </w:rPr>
                  </w:pPr>
                  <w:r>
                    <w:rPr>
                      <w:rFonts w:hint="default" w:ascii="Times New Roman" w:hAnsi="Times New Roman"/>
                      <w:color w:val="auto"/>
                      <w:kern w:val="0"/>
                      <w:szCs w:val="21"/>
                    </w:rPr>
                    <w:t>T,I</w:t>
                  </w:r>
                </w:p>
              </w:tc>
              <w:tc>
                <w:tcPr>
                  <w:tcW w:w="683" w:type="dxa"/>
                  <w:vMerge w:val="restart"/>
                  <w:vAlign w:val="center"/>
                </w:tcPr>
                <w:p>
                  <w:pPr>
                    <w:pStyle w:val="26"/>
                    <w:spacing w:line="240" w:lineRule="auto"/>
                    <w:ind w:firstLine="0"/>
                    <w:jc w:val="center"/>
                    <w:rPr>
                      <w:rFonts w:hint="eastAsia" w:ascii="Times New Roman" w:hAnsi="Times New Roman" w:eastAsia="宋体"/>
                      <w:b/>
                      <w:color w:val="auto"/>
                      <w:sz w:val="21"/>
                      <w:szCs w:val="21"/>
                      <w:lang w:eastAsia="zh-CN"/>
                    </w:rPr>
                  </w:pPr>
                  <w:r>
                    <w:rPr>
                      <w:rFonts w:hint="eastAsia" w:ascii="Times New Roman" w:hAnsi="Times New Roman"/>
                      <w:b w:val="0"/>
                      <w:bCs/>
                      <w:color w:val="auto"/>
                      <w:sz w:val="21"/>
                      <w:szCs w:val="21"/>
                      <w:lang w:eastAsia="zh-CN"/>
                    </w:rPr>
                    <w:t>分类贮存于危废贮存库，定期交有资质单位处理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 w:type="dxa"/>
                  <w:vAlign w:val="center"/>
                </w:tcPr>
                <w:p>
                  <w:pPr>
                    <w:jc w:val="center"/>
                    <w:rPr>
                      <w:rFonts w:hint="eastAsia"/>
                      <w:color w:val="auto"/>
                      <w:szCs w:val="21"/>
                    </w:rPr>
                  </w:pPr>
                  <w:r>
                    <w:rPr>
                      <w:rFonts w:hint="eastAsia"/>
                      <w:color w:val="auto"/>
                      <w:szCs w:val="21"/>
                    </w:rPr>
                    <w:t>废润滑油</w:t>
                  </w:r>
                </w:p>
              </w:tc>
              <w:tc>
                <w:tcPr>
                  <w:tcW w:w="831" w:type="dxa"/>
                  <w:vAlign w:val="center"/>
                </w:tcPr>
                <w:p>
                  <w:pPr>
                    <w:jc w:val="center"/>
                    <w:rPr>
                      <w:rFonts w:hint="eastAsia"/>
                      <w:color w:val="auto"/>
                      <w:szCs w:val="21"/>
                    </w:rPr>
                  </w:pPr>
                  <w:r>
                    <w:rPr>
                      <w:rFonts w:hint="eastAsia"/>
                      <w:color w:val="auto"/>
                      <w:szCs w:val="21"/>
                    </w:rPr>
                    <w:t>HW08</w:t>
                  </w:r>
                </w:p>
              </w:tc>
              <w:tc>
                <w:tcPr>
                  <w:tcW w:w="1281" w:type="dxa"/>
                  <w:vAlign w:val="center"/>
                </w:tcPr>
                <w:p>
                  <w:pPr>
                    <w:jc w:val="center"/>
                    <w:rPr>
                      <w:rFonts w:hint="eastAsia"/>
                      <w:color w:val="auto"/>
                      <w:szCs w:val="21"/>
                    </w:rPr>
                  </w:pPr>
                  <w:r>
                    <w:rPr>
                      <w:rFonts w:hint="eastAsia"/>
                      <w:color w:val="auto"/>
                      <w:szCs w:val="21"/>
                    </w:rPr>
                    <w:t>900-214-08</w:t>
                  </w:r>
                </w:p>
              </w:tc>
              <w:tc>
                <w:tcPr>
                  <w:tcW w:w="725" w:type="dxa"/>
                  <w:vAlign w:val="center"/>
                </w:tcPr>
                <w:p>
                  <w:pPr>
                    <w:jc w:val="center"/>
                    <w:rPr>
                      <w:rFonts w:hint="default" w:eastAsia="宋体"/>
                      <w:color w:val="auto"/>
                      <w:szCs w:val="21"/>
                      <w:lang w:val="en-US" w:eastAsia="zh-CN"/>
                    </w:rPr>
                  </w:pPr>
                  <w:r>
                    <w:rPr>
                      <w:rFonts w:hint="eastAsia"/>
                      <w:color w:val="auto"/>
                      <w:szCs w:val="21"/>
                      <w:lang w:val="en-US" w:eastAsia="zh-CN"/>
                    </w:rPr>
                    <w:t>0.48</w:t>
                  </w:r>
                </w:p>
              </w:tc>
              <w:tc>
                <w:tcPr>
                  <w:tcW w:w="588" w:type="dxa"/>
                  <w:vMerge w:val="continue"/>
                  <w:vAlign w:val="center"/>
                </w:tcPr>
                <w:p>
                  <w:pPr>
                    <w:adjustRightInd w:val="0"/>
                    <w:jc w:val="center"/>
                    <w:rPr>
                      <w:rFonts w:hint="eastAsia"/>
                      <w:color w:val="auto"/>
                      <w:szCs w:val="21"/>
                    </w:rPr>
                  </w:pPr>
                </w:p>
              </w:tc>
              <w:tc>
                <w:tcPr>
                  <w:tcW w:w="590" w:type="dxa"/>
                  <w:vAlign w:val="center"/>
                </w:tcPr>
                <w:p>
                  <w:pPr>
                    <w:adjustRightInd w:val="0"/>
                    <w:jc w:val="center"/>
                    <w:rPr>
                      <w:rFonts w:hint="eastAsia"/>
                      <w:color w:val="auto"/>
                      <w:szCs w:val="21"/>
                    </w:rPr>
                  </w:pPr>
                  <w:r>
                    <w:rPr>
                      <w:rFonts w:hint="eastAsia"/>
                      <w:color w:val="auto"/>
                      <w:szCs w:val="21"/>
                    </w:rPr>
                    <w:t>液态</w:t>
                  </w:r>
                </w:p>
              </w:tc>
              <w:tc>
                <w:tcPr>
                  <w:tcW w:w="831"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润滑油</w:t>
                  </w:r>
                </w:p>
              </w:tc>
              <w:tc>
                <w:tcPr>
                  <w:tcW w:w="1283" w:type="dxa"/>
                  <w:vAlign w:val="center"/>
                </w:tcPr>
                <w:p>
                  <w:pPr>
                    <w:pStyle w:val="32"/>
                    <w:spacing w:line="240" w:lineRule="auto"/>
                    <w:ind w:firstLine="0"/>
                    <w:jc w:val="center"/>
                    <w:rPr>
                      <w:rFonts w:hint="eastAsia" w:ascii="Times New Roman"/>
                      <w:color w:val="auto"/>
                      <w:sz w:val="21"/>
                      <w:szCs w:val="21"/>
                    </w:rPr>
                  </w:pPr>
                  <w:r>
                    <w:rPr>
                      <w:rFonts w:hint="eastAsia" w:ascii="Times New Roman"/>
                      <w:color w:val="auto"/>
                      <w:sz w:val="21"/>
                      <w:szCs w:val="21"/>
                    </w:rPr>
                    <w:t>润滑油</w:t>
                  </w:r>
                </w:p>
              </w:tc>
              <w:tc>
                <w:tcPr>
                  <w:tcW w:w="591" w:type="dxa"/>
                  <w:vAlign w:val="center"/>
                </w:tcPr>
                <w:p>
                  <w:pPr>
                    <w:pStyle w:val="26"/>
                    <w:spacing w:line="240" w:lineRule="auto"/>
                    <w:ind w:firstLine="0"/>
                    <w:jc w:val="center"/>
                    <w:rPr>
                      <w:rFonts w:hint="eastAsia" w:ascii="Times New Roman" w:hAnsi="Times New Roman"/>
                      <w:b w:val="0"/>
                      <w:bCs/>
                      <w:color w:val="auto"/>
                      <w:sz w:val="21"/>
                      <w:szCs w:val="21"/>
                    </w:rPr>
                  </w:pPr>
                  <w:r>
                    <w:rPr>
                      <w:rFonts w:hint="eastAsia" w:ascii="Times New Roman" w:hAnsi="Times New Roman"/>
                      <w:b w:val="0"/>
                      <w:bCs/>
                      <w:color w:val="auto"/>
                      <w:sz w:val="21"/>
                      <w:szCs w:val="21"/>
                    </w:rPr>
                    <w:t>年</w:t>
                  </w:r>
                </w:p>
              </w:tc>
              <w:tc>
                <w:tcPr>
                  <w:tcW w:w="59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T,I</w:t>
                  </w:r>
                </w:p>
              </w:tc>
              <w:tc>
                <w:tcPr>
                  <w:tcW w:w="683" w:type="dxa"/>
                  <w:vMerge w:val="continue"/>
                  <w:vAlign w:val="center"/>
                </w:tcPr>
                <w:p>
                  <w:pPr>
                    <w:pStyle w:val="26"/>
                    <w:spacing w:line="240" w:lineRule="auto"/>
                    <w:ind w:firstLine="0"/>
                    <w:jc w:val="center"/>
                    <w:rPr>
                      <w:rFonts w:hint="eastAsia" w:ascii="Times New Roman" w:hAnsi="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1" w:hRule="atLeast"/>
              </w:trPr>
              <w:tc>
                <w:tcPr>
                  <w:tcW w:w="679" w:type="dxa"/>
                  <w:vAlign w:val="center"/>
                </w:tcPr>
                <w:p>
                  <w:pPr>
                    <w:jc w:val="center"/>
                    <w:rPr>
                      <w:rFonts w:hint="eastAsia"/>
                      <w:color w:val="auto"/>
                      <w:szCs w:val="21"/>
                    </w:rPr>
                  </w:pPr>
                  <w:r>
                    <w:rPr>
                      <w:rFonts w:hint="eastAsia"/>
                      <w:color w:val="auto"/>
                      <w:szCs w:val="21"/>
                    </w:rPr>
                    <w:t>废润滑油桶</w:t>
                  </w:r>
                </w:p>
                <w:p>
                  <w:pPr>
                    <w:jc w:val="center"/>
                    <w:rPr>
                      <w:color w:val="auto"/>
                    </w:rPr>
                  </w:pPr>
                </w:p>
                <w:p>
                  <w:pPr>
                    <w:jc w:val="center"/>
                    <w:rPr>
                      <w:color w:val="auto"/>
                    </w:rPr>
                  </w:pPr>
                </w:p>
                <w:p>
                  <w:pPr>
                    <w:jc w:val="center"/>
                    <w:rPr>
                      <w:rFonts w:hint="eastAsia"/>
                      <w:color w:val="auto"/>
                      <w:szCs w:val="21"/>
                    </w:rPr>
                  </w:pPr>
                </w:p>
              </w:tc>
              <w:tc>
                <w:tcPr>
                  <w:tcW w:w="831" w:type="dxa"/>
                  <w:vAlign w:val="center"/>
                </w:tcPr>
                <w:p>
                  <w:pPr>
                    <w:jc w:val="center"/>
                    <w:rPr>
                      <w:rFonts w:hint="eastAsia"/>
                      <w:color w:val="auto"/>
                      <w:szCs w:val="21"/>
                    </w:rPr>
                  </w:pPr>
                  <w:r>
                    <w:rPr>
                      <w:rFonts w:hint="eastAsia"/>
                      <w:color w:val="auto"/>
                      <w:szCs w:val="21"/>
                    </w:rPr>
                    <w:t>HW49</w:t>
                  </w:r>
                </w:p>
                <w:p>
                  <w:pPr>
                    <w:jc w:val="center"/>
                    <w:rPr>
                      <w:color w:val="auto"/>
                    </w:rPr>
                  </w:pPr>
                </w:p>
                <w:p>
                  <w:pPr>
                    <w:jc w:val="center"/>
                    <w:rPr>
                      <w:color w:val="auto"/>
                    </w:rPr>
                  </w:pPr>
                </w:p>
                <w:p>
                  <w:pPr>
                    <w:jc w:val="center"/>
                    <w:rPr>
                      <w:rFonts w:hint="eastAsia"/>
                      <w:color w:val="auto"/>
                      <w:szCs w:val="21"/>
                    </w:rPr>
                  </w:pPr>
                </w:p>
              </w:tc>
              <w:tc>
                <w:tcPr>
                  <w:tcW w:w="1281" w:type="dxa"/>
                  <w:vAlign w:val="center"/>
                </w:tcPr>
                <w:p>
                  <w:pPr>
                    <w:jc w:val="center"/>
                    <w:rPr>
                      <w:rFonts w:hint="eastAsia"/>
                      <w:color w:val="auto"/>
                      <w:szCs w:val="21"/>
                    </w:rPr>
                  </w:pPr>
                  <w:r>
                    <w:rPr>
                      <w:rFonts w:hint="eastAsia"/>
                      <w:color w:val="auto"/>
                      <w:szCs w:val="21"/>
                    </w:rPr>
                    <w:t>900-041-49</w:t>
                  </w:r>
                </w:p>
                <w:p>
                  <w:pPr>
                    <w:jc w:val="center"/>
                    <w:rPr>
                      <w:color w:val="auto"/>
                    </w:rPr>
                  </w:pPr>
                </w:p>
                <w:p>
                  <w:pPr>
                    <w:jc w:val="center"/>
                    <w:rPr>
                      <w:color w:val="auto"/>
                    </w:rPr>
                  </w:pPr>
                </w:p>
                <w:p>
                  <w:pPr>
                    <w:jc w:val="center"/>
                    <w:rPr>
                      <w:rFonts w:hint="eastAsia"/>
                      <w:color w:val="auto"/>
                      <w:szCs w:val="21"/>
                    </w:rPr>
                  </w:pPr>
                </w:p>
              </w:tc>
              <w:tc>
                <w:tcPr>
                  <w:tcW w:w="725" w:type="dxa"/>
                  <w:vAlign w:val="center"/>
                </w:tcPr>
                <w:p>
                  <w:pPr>
                    <w:jc w:val="center"/>
                    <w:rPr>
                      <w:rFonts w:hint="eastAsia"/>
                      <w:color w:val="auto"/>
                      <w:szCs w:val="21"/>
                      <w:lang w:val="en-US" w:eastAsia="zh-CN"/>
                    </w:rPr>
                  </w:pPr>
                  <w:r>
                    <w:rPr>
                      <w:rFonts w:hint="eastAsia"/>
                      <w:color w:val="auto"/>
                      <w:szCs w:val="21"/>
                      <w:lang w:val="en-US" w:eastAsia="zh-CN"/>
                    </w:rPr>
                    <w:t>0.04</w:t>
                  </w:r>
                </w:p>
                <w:p>
                  <w:pPr>
                    <w:jc w:val="center"/>
                    <w:rPr>
                      <w:color w:val="auto"/>
                    </w:rPr>
                  </w:pPr>
                </w:p>
                <w:p>
                  <w:pPr>
                    <w:jc w:val="center"/>
                    <w:rPr>
                      <w:color w:val="auto"/>
                    </w:rPr>
                  </w:pPr>
                </w:p>
                <w:p>
                  <w:pPr>
                    <w:jc w:val="center"/>
                    <w:rPr>
                      <w:rFonts w:hint="default" w:eastAsia="宋体"/>
                      <w:color w:val="auto"/>
                      <w:szCs w:val="21"/>
                      <w:lang w:val="en-US" w:eastAsia="zh-CN"/>
                    </w:rPr>
                  </w:pPr>
                </w:p>
              </w:tc>
              <w:tc>
                <w:tcPr>
                  <w:tcW w:w="588" w:type="dxa"/>
                  <w:vMerge w:val="continue"/>
                  <w:vAlign w:val="center"/>
                </w:tcPr>
                <w:p>
                  <w:pPr>
                    <w:adjustRightInd w:val="0"/>
                    <w:jc w:val="center"/>
                    <w:rPr>
                      <w:rFonts w:hint="eastAsia"/>
                      <w:color w:val="auto"/>
                      <w:szCs w:val="21"/>
                      <w:lang w:eastAsia="zh-CN"/>
                    </w:rPr>
                  </w:pPr>
                </w:p>
              </w:tc>
              <w:tc>
                <w:tcPr>
                  <w:tcW w:w="590" w:type="dxa"/>
                  <w:vAlign w:val="center"/>
                </w:tcPr>
                <w:p>
                  <w:pPr>
                    <w:jc w:val="center"/>
                    <w:rPr>
                      <w:color w:val="auto"/>
                    </w:rPr>
                  </w:pPr>
                  <w:r>
                    <w:rPr>
                      <w:rFonts w:hint="eastAsia"/>
                      <w:color w:val="auto"/>
                      <w:szCs w:val="21"/>
                    </w:rPr>
                    <w:t>废润滑油桶</w:t>
                  </w:r>
                </w:p>
                <w:p>
                  <w:pPr>
                    <w:jc w:val="center"/>
                    <w:rPr>
                      <w:rFonts w:hint="eastAsia"/>
                      <w:color w:val="auto"/>
                      <w:szCs w:val="21"/>
                    </w:rPr>
                  </w:pPr>
                </w:p>
              </w:tc>
              <w:tc>
                <w:tcPr>
                  <w:tcW w:w="831" w:type="dxa"/>
                  <w:vAlign w:val="center"/>
                </w:tcPr>
                <w:p>
                  <w:pPr>
                    <w:pStyle w:val="32"/>
                    <w:spacing w:line="240" w:lineRule="auto"/>
                    <w:ind w:firstLine="0" w:firstLineChars="0"/>
                    <w:jc w:val="center"/>
                    <w:rPr>
                      <w:rFonts w:hint="eastAsia" w:ascii="Times New Roman"/>
                      <w:color w:val="auto"/>
                      <w:sz w:val="21"/>
                      <w:szCs w:val="21"/>
                    </w:rPr>
                  </w:pPr>
                  <w:r>
                    <w:rPr>
                      <w:rFonts w:hint="eastAsia" w:ascii="Times New Roman"/>
                      <w:color w:val="auto"/>
                      <w:sz w:val="21"/>
                      <w:szCs w:val="21"/>
                    </w:rPr>
                    <w:t>润滑油</w:t>
                  </w:r>
                </w:p>
              </w:tc>
              <w:tc>
                <w:tcPr>
                  <w:tcW w:w="1283" w:type="dxa"/>
                  <w:vAlign w:val="center"/>
                </w:tcPr>
                <w:p>
                  <w:pPr>
                    <w:pStyle w:val="32"/>
                    <w:spacing w:line="240" w:lineRule="auto"/>
                    <w:ind w:firstLine="0" w:firstLineChars="0"/>
                    <w:jc w:val="center"/>
                    <w:rPr>
                      <w:rFonts w:hint="eastAsia" w:ascii="Times New Roman"/>
                      <w:color w:val="auto"/>
                      <w:sz w:val="21"/>
                      <w:szCs w:val="21"/>
                    </w:rPr>
                  </w:pPr>
                  <w:r>
                    <w:rPr>
                      <w:rFonts w:hint="eastAsia" w:ascii="Times New Roman"/>
                      <w:color w:val="auto"/>
                      <w:sz w:val="21"/>
                      <w:szCs w:val="21"/>
                    </w:rPr>
                    <w:t>润滑油</w:t>
                  </w:r>
                </w:p>
              </w:tc>
              <w:tc>
                <w:tcPr>
                  <w:tcW w:w="591" w:type="dxa"/>
                  <w:vAlign w:val="center"/>
                </w:tcPr>
                <w:p>
                  <w:pPr>
                    <w:pStyle w:val="26"/>
                    <w:spacing w:line="240" w:lineRule="auto"/>
                    <w:ind w:firstLine="0" w:firstLineChars="0"/>
                    <w:jc w:val="center"/>
                    <w:rPr>
                      <w:rFonts w:hint="eastAsia" w:ascii="Times New Roman" w:hAnsi="Times New Roman"/>
                      <w:b/>
                      <w:color w:val="auto"/>
                      <w:sz w:val="21"/>
                      <w:szCs w:val="21"/>
                    </w:rPr>
                  </w:pPr>
                  <w:r>
                    <w:rPr>
                      <w:rFonts w:hint="default" w:ascii="Times New Roman" w:hAnsi="Times New Roman"/>
                      <w:b w:val="0"/>
                      <w:bCs/>
                      <w:color w:val="auto"/>
                      <w:sz w:val="21"/>
                      <w:szCs w:val="21"/>
                    </w:rPr>
                    <w:t>年</w:t>
                  </w:r>
                </w:p>
              </w:tc>
              <w:tc>
                <w:tcPr>
                  <w:tcW w:w="599"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T,I</w:t>
                  </w:r>
                </w:p>
              </w:tc>
              <w:tc>
                <w:tcPr>
                  <w:tcW w:w="683" w:type="dxa"/>
                  <w:vMerge w:val="continue"/>
                  <w:vAlign w:val="center"/>
                </w:tcPr>
                <w:p>
                  <w:pPr>
                    <w:pStyle w:val="26"/>
                    <w:spacing w:line="240" w:lineRule="auto"/>
                    <w:ind w:firstLine="0"/>
                    <w:jc w:val="center"/>
                    <w:rPr>
                      <w:rFonts w:hint="eastAsia" w:ascii="Times New Roman" w:hAnsi="Times New Roman" w:eastAsia="宋体"/>
                      <w:b/>
                      <w:color w:val="auto"/>
                      <w:sz w:val="21"/>
                      <w:szCs w:val="21"/>
                      <w:lang w:eastAsia="zh-CN"/>
                    </w:rPr>
                  </w:pPr>
                </w:p>
              </w:tc>
            </w:tr>
          </w:tbl>
          <w:p>
            <w:pPr>
              <w:spacing w:line="360" w:lineRule="auto"/>
              <w:ind w:firstLine="482" w:firstLineChars="200"/>
              <w:rPr>
                <w:rFonts w:hint="eastAsia"/>
                <w:b/>
                <w:bCs/>
                <w:color w:val="auto"/>
                <w:sz w:val="24"/>
              </w:rPr>
            </w:pPr>
          </w:p>
          <w:p>
            <w:pPr>
              <w:spacing w:line="360" w:lineRule="auto"/>
              <w:ind w:firstLine="482" w:firstLineChars="200"/>
              <w:rPr>
                <w:rFonts w:hint="eastAsia"/>
                <w:b/>
                <w:bCs/>
                <w:color w:val="auto"/>
                <w:sz w:val="24"/>
              </w:rPr>
            </w:pPr>
            <w:r>
              <w:rPr>
                <w:rFonts w:hint="eastAsia"/>
                <w:b/>
                <w:bCs/>
                <w:color w:val="auto"/>
                <w:sz w:val="24"/>
              </w:rPr>
              <w:t>4.2</w:t>
            </w:r>
            <w:r>
              <w:rPr>
                <w:b/>
                <w:bCs/>
                <w:color w:val="auto"/>
                <w:sz w:val="24"/>
              </w:rPr>
              <w:t>固体废弃物环境影响分析</w:t>
            </w:r>
          </w:p>
          <w:p>
            <w:pPr>
              <w:spacing w:line="360" w:lineRule="auto"/>
              <w:ind w:firstLine="482" w:firstLineChars="200"/>
              <w:rPr>
                <w:b/>
                <w:bCs/>
                <w:color w:val="auto"/>
                <w:sz w:val="24"/>
              </w:rPr>
            </w:pPr>
            <w:r>
              <w:rPr>
                <w:rFonts w:hint="eastAsia"/>
                <w:b/>
                <w:bCs/>
                <w:color w:val="auto"/>
                <w:sz w:val="24"/>
              </w:rPr>
              <w:t>（1）</w:t>
            </w:r>
            <w:r>
              <w:rPr>
                <w:b/>
                <w:bCs/>
                <w:color w:val="auto"/>
                <w:sz w:val="24"/>
              </w:rPr>
              <w:t>生活垃圾污染防治措施</w:t>
            </w:r>
          </w:p>
          <w:p>
            <w:pPr>
              <w:spacing w:line="360" w:lineRule="auto"/>
              <w:ind w:firstLine="480" w:firstLineChars="200"/>
              <w:rPr>
                <w:color w:val="auto"/>
                <w:sz w:val="24"/>
              </w:rPr>
            </w:pPr>
            <w:r>
              <w:rPr>
                <w:color w:val="auto"/>
                <w:sz w:val="24"/>
              </w:rPr>
              <w:t>生活垃圾用垃圾桶集中收集，委托环卫部门每日清运处理。</w:t>
            </w:r>
          </w:p>
          <w:p>
            <w:pPr>
              <w:spacing w:line="360" w:lineRule="auto"/>
              <w:ind w:firstLine="482" w:firstLineChars="200"/>
              <w:rPr>
                <w:b/>
                <w:bCs/>
                <w:color w:val="auto"/>
                <w:sz w:val="24"/>
              </w:rPr>
            </w:pPr>
            <w:r>
              <w:rPr>
                <w:rFonts w:hint="eastAsia"/>
                <w:b/>
                <w:bCs/>
                <w:color w:val="auto"/>
                <w:sz w:val="24"/>
              </w:rPr>
              <w:t>（2）</w:t>
            </w:r>
            <w:r>
              <w:rPr>
                <w:b/>
                <w:bCs/>
                <w:color w:val="auto"/>
                <w:sz w:val="24"/>
              </w:rPr>
              <w:t>一般固废污染防治措施</w:t>
            </w:r>
          </w:p>
          <w:p>
            <w:pPr>
              <w:pStyle w:val="26"/>
              <w:spacing w:line="360" w:lineRule="auto"/>
              <w:ind w:firstLine="480" w:firstLineChars="200"/>
              <w:rPr>
                <w:rFonts w:ascii="Times New Roman" w:hAnsi="Times New Roman"/>
                <w:b w:val="0"/>
                <w:bCs/>
                <w:color w:val="auto"/>
              </w:rPr>
            </w:pPr>
            <w:r>
              <w:rPr>
                <w:rFonts w:ascii="Times New Roman" w:hAnsi="Times New Roman"/>
                <w:b w:val="0"/>
                <w:bCs/>
                <w:color w:val="auto"/>
              </w:rPr>
              <w:t>本项目建成后，固体废物处理处置及综合利用率达到100%，不会对厂区外环境产生影响。根据国家对工业固废，尤其是危险废物处置减量化、资源化和无害化的技术政策，建设单位应优先对各类可回收工业固废进行回收利用，对无法利用的部分交由专业单位处理或处置。</w:t>
            </w:r>
          </w:p>
          <w:p>
            <w:pPr>
              <w:pStyle w:val="26"/>
              <w:numPr>
                <w:ilvl w:val="0"/>
                <w:numId w:val="9"/>
              </w:numPr>
              <w:spacing w:line="360" w:lineRule="auto"/>
              <w:ind w:firstLine="480" w:firstLineChars="200"/>
              <w:rPr>
                <w:rFonts w:ascii="Times New Roman" w:hAnsi="Times New Roman"/>
                <w:color w:val="auto"/>
              </w:rPr>
            </w:pPr>
            <w:r>
              <w:rPr>
                <w:rFonts w:ascii="Times New Roman" w:hAnsi="Times New Roman"/>
                <w:color w:val="auto"/>
              </w:rPr>
              <w:t xml:space="preserve">危险固废污染防治措施 </w:t>
            </w:r>
          </w:p>
          <w:p>
            <w:pPr>
              <w:pStyle w:val="17"/>
              <w:spacing w:line="360" w:lineRule="auto"/>
              <w:ind w:left="0" w:firstLine="480" w:firstLineChars="200"/>
              <w:rPr>
                <w:color w:val="auto"/>
                <w:sz w:val="24"/>
                <w:szCs w:val="24"/>
              </w:rPr>
            </w:pPr>
            <w:r>
              <w:rPr>
                <w:rFonts w:hint="eastAsia"/>
                <w:color w:val="auto"/>
                <w:sz w:val="24"/>
                <w:szCs w:val="24"/>
              </w:rPr>
              <w:t>本项目在</w:t>
            </w:r>
            <w:r>
              <w:rPr>
                <w:rFonts w:hint="eastAsia"/>
                <w:color w:val="auto"/>
                <w:sz w:val="24"/>
                <w:szCs w:val="24"/>
                <w:lang w:eastAsia="zh-CN"/>
              </w:rPr>
              <w:t>厂房南侧</w:t>
            </w:r>
            <w:r>
              <w:rPr>
                <w:rFonts w:hint="eastAsia"/>
                <w:color w:val="auto"/>
                <w:sz w:val="24"/>
                <w:szCs w:val="24"/>
              </w:rPr>
              <w:t>设置危废贮存库一间，约</w:t>
            </w:r>
            <w:r>
              <w:rPr>
                <w:rFonts w:hint="eastAsia"/>
                <w:color w:val="auto"/>
                <w:sz w:val="24"/>
                <w:szCs w:val="24"/>
                <w:lang w:val="en-US" w:eastAsia="zh-CN"/>
              </w:rPr>
              <w:t>7</w:t>
            </w:r>
            <w:r>
              <w:rPr>
                <w:rFonts w:hint="eastAsia"/>
                <w:color w:val="auto"/>
                <w:sz w:val="24"/>
                <w:szCs w:val="24"/>
              </w:rPr>
              <w:t>m</w:t>
            </w:r>
            <w:r>
              <w:rPr>
                <w:rFonts w:hint="eastAsia"/>
                <w:color w:val="auto"/>
                <w:sz w:val="24"/>
                <w:szCs w:val="24"/>
                <w:vertAlign w:val="superscript"/>
              </w:rPr>
              <w:t>2</w:t>
            </w:r>
            <w:r>
              <w:rPr>
                <w:rFonts w:hint="eastAsia"/>
                <w:color w:val="auto"/>
                <w:sz w:val="24"/>
                <w:szCs w:val="24"/>
              </w:rPr>
              <w:t>。危废间按照如下要求设置：</w:t>
            </w:r>
          </w:p>
          <w:p>
            <w:pPr>
              <w:spacing w:line="360" w:lineRule="auto"/>
              <w:ind w:firstLine="480" w:firstLineChars="200"/>
              <w:rPr>
                <w:rFonts w:hint="eastAsia"/>
                <w:color w:val="auto"/>
                <w:sz w:val="24"/>
              </w:rPr>
            </w:pPr>
            <w:r>
              <w:rPr>
                <w:rFonts w:hint="eastAsia"/>
                <w:color w:val="auto"/>
                <w:sz w:val="24"/>
              </w:rPr>
              <w:t>1）厂区内的危险废物临时贮存应严格按照</w:t>
            </w:r>
            <w:r>
              <w:rPr>
                <w:color w:val="auto"/>
                <w:sz w:val="24"/>
              </w:rPr>
              <w:t>《危险废物贮存污染控制标准》 （GB18597-2023）</w:t>
            </w:r>
            <w:r>
              <w:rPr>
                <w:rFonts w:hint="eastAsia"/>
                <w:color w:val="auto"/>
                <w:sz w:val="24"/>
              </w:rPr>
              <w:t>的规定执行，应建有堵截泄漏的裙脚，地面与裙脚要用坚固防渗的材料建造。应有隔离设施、报警装置和防风、防晒、防雨设施；</w:t>
            </w:r>
          </w:p>
          <w:p>
            <w:pPr>
              <w:spacing w:line="360" w:lineRule="auto"/>
              <w:ind w:firstLine="480" w:firstLineChars="200"/>
              <w:rPr>
                <w:rFonts w:hint="eastAsia"/>
                <w:color w:val="auto"/>
                <w:sz w:val="24"/>
              </w:rPr>
            </w:pPr>
            <w:r>
              <w:rPr>
                <w:rFonts w:hint="eastAsia"/>
                <w:color w:val="auto"/>
                <w:sz w:val="24"/>
              </w:rPr>
              <w:t>2）所有产生的危险废物均应适用符合标准要求的容器盛装，装载危险废物的容器及材质要满足相应的强度要求，且必须完好无损，用于存放液体、半固体危险废物的地方，还须有耐腐蚀的硬化地面，地面无裂隙，不相容的危险废物堆放区必须有隔离间隔断。</w:t>
            </w:r>
          </w:p>
          <w:p>
            <w:pPr>
              <w:spacing w:line="360" w:lineRule="auto"/>
              <w:ind w:firstLine="480" w:firstLineChars="200"/>
              <w:rPr>
                <w:rFonts w:hint="eastAsia"/>
                <w:color w:val="auto"/>
                <w:sz w:val="24"/>
              </w:rPr>
            </w:pPr>
            <w:r>
              <w:rPr>
                <w:rFonts w:hint="eastAsia"/>
                <w:color w:val="auto"/>
                <w:sz w:val="24"/>
              </w:rPr>
              <w:t>3）厂内建立危险废物台账管理制度，做好危险废物情况的记录，记录上须注明危险废物的名称、来源、数量、特性和包装容器的类别、入库日期、存放库位、废物出库日期及</w:t>
            </w:r>
            <w:r>
              <w:rPr>
                <w:rFonts w:hint="eastAsia"/>
                <w:color w:val="auto"/>
                <w:sz w:val="24"/>
                <w:lang w:eastAsia="zh-CN"/>
              </w:rPr>
              <w:t>接收单位</w:t>
            </w:r>
            <w:r>
              <w:rPr>
                <w:rFonts w:hint="eastAsia"/>
                <w:color w:val="auto"/>
                <w:sz w:val="24"/>
              </w:rPr>
              <w:t>名称，危险废物的记录和货单在危险废物回取后应继续保留三年。</w:t>
            </w:r>
          </w:p>
          <w:p>
            <w:pPr>
              <w:spacing w:line="360" w:lineRule="auto"/>
              <w:ind w:firstLine="480" w:firstLineChars="200"/>
              <w:rPr>
                <w:rFonts w:hint="eastAsia"/>
                <w:color w:val="auto"/>
                <w:sz w:val="24"/>
              </w:rPr>
            </w:pPr>
            <w:r>
              <w:rPr>
                <w:rFonts w:hint="eastAsia"/>
                <w:color w:val="auto"/>
                <w:sz w:val="24"/>
              </w:rPr>
              <w:t>4）必须定期对贮存的危险废物包装容器及贮存设施进行检查，发现破损，应及时采取措施清理更换。</w:t>
            </w:r>
          </w:p>
          <w:p>
            <w:pPr>
              <w:spacing w:line="360" w:lineRule="auto"/>
              <w:ind w:firstLine="480" w:firstLineChars="200"/>
              <w:rPr>
                <w:rFonts w:hint="eastAsia"/>
                <w:color w:val="auto"/>
                <w:sz w:val="24"/>
              </w:rPr>
            </w:pPr>
            <w:r>
              <w:rPr>
                <w:rFonts w:hint="eastAsia"/>
                <w:color w:val="auto"/>
                <w:sz w:val="24"/>
              </w:rPr>
              <w:t>5）危险废物贮存设施必须按照《环境保护图形标志固体废物贮存（处置）场》（GB15562.2-1995）的规定设置警示标志。危险废物贮存设施周围应设置围墙或其他防护栅栏，配备通讯设备、照明设施、安全防护服装及工具，并设有应急防护设施。</w:t>
            </w:r>
          </w:p>
          <w:p>
            <w:pPr>
              <w:ind w:firstLine="422" w:firstLineChars="200"/>
              <w:jc w:val="center"/>
              <w:rPr>
                <w:rFonts w:hint="eastAsia"/>
                <w:b/>
                <w:bCs/>
                <w:color w:val="auto"/>
                <w:szCs w:val="21"/>
              </w:rPr>
            </w:pPr>
            <w:r>
              <w:rPr>
                <w:rFonts w:hint="eastAsia"/>
                <w:b/>
                <w:bCs/>
                <w:color w:val="auto"/>
                <w:szCs w:val="21"/>
              </w:rPr>
              <w:t>表4-</w:t>
            </w:r>
            <w:r>
              <w:rPr>
                <w:rFonts w:hint="eastAsia"/>
                <w:b/>
                <w:bCs/>
                <w:color w:val="auto"/>
                <w:szCs w:val="21"/>
                <w:lang w:val="en-US" w:eastAsia="zh-CN"/>
              </w:rPr>
              <w:t>20</w:t>
            </w:r>
            <w:r>
              <w:rPr>
                <w:rFonts w:hint="eastAsia"/>
                <w:b/>
                <w:bCs/>
                <w:color w:val="auto"/>
                <w:szCs w:val="21"/>
              </w:rPr>
              <w:t xml:space="preserve">  危险废物标志牌式样及说明</w:t>
            </w:r>
          </w:p>
          <w:tbl>
            <w:tblPr>
              <w:tblStyle w:val="24"/>
              <w:tblW w:w="86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4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01" w:type="dxa"/>
                  <w:vAlign w:val="center"/>
                </w:tcPr>
                <w:p>
                  <w:pPr>
                    <w:pStyle w:val="32"/>
                    <w:spacing w:line="240" w:lineRule="auto"/>
                    <w:jc w:val="center"/>
                    <w:rPr>
                      <w:b w:val="0"/>
                      <w:bCs w:val="0"/>
                      <w:color w:val="auto"/>
                      <w:sz w:val="21"/>
                      <w:szCs w:val="21"/>
                    </w:rPr>
                  </w:pPr>
                  <w:r>
                    <w:rPr>
                      <w:rFonts w:hint="eastAsia"/>
                      <w:b w:val="0"/>
                      <w:bCs w:val="0"/>
                      <w:color w:val="auto"/>
                      <w:sz w:val="21"/>
                      <w:szCs w:val="21"/>
                    </w:rPr>
                    <w:t>样式</w:t>
                  </w:r>
                </w:p>
              </w:tc>
              <w:tc>
                <w:tcPr>
                  <w:tcW w:w="4183" w:type="dxa"/>
                  <w:vAlign w:val="center"/>
                </w:tcPr>
                <w:p>
                  <w:pPr>
                    <w:pStyle w:val="26"/>
                    <w:jc w:val="center"/>
                    <w:rPr>
                      <w:bCs w:val="0"/>
                      <w:color w:val="auto"/>
                      <w:sz w:val="21"/>
                      <w:szCs w:val="21"/>
                    </w:rPr>
                  </w:pPr>
                  <w:r>
                    <w:rPr>
                      <w:rFonts w:hint="eastAsia"/>
                      <w:bCs w:val="0"/>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01" w:type="dxa"/>
                  <w:vAlign w:val="center"/>
                </w:tcPr>
                <w:p>
                  <w:pPr>
                    <w:pStyle w:val="32"/>
                    <w:ind w:firstLine="0"/>
                    <w:rPr>
                      <w:rFonts w:hint="eastAsia"/>
                      <w:b w:val="0"/>
                      <w:bCs w:val="0"/>
                      <w:color w:val="auto"/>
                      <w:sz w:val="21"/>
                      <w:szCs w:val="21"/>
                    </w:rPr>
                  </w:pPr>
                  <w:r>
                    <w:rPr>
                      <w:color w:val="auto"/>
                    </w:rPr>
                    <w:drawing>
                      <wp:inline distT="0" distB="0" distL="114300" distR="114300">
                        <wp:extent cx="2552700" cy="1604645"/>
                        <wp:effectExtent l="0" t="0" r="0" b="1460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9"/>
                                <a:srcRect t="4762"/>
                                <a:stretch>
                                  <a:fillRect/>
                                </a:stretch>
                              </pic:blipFill>
                              <pic:spPr>
                                <a:xfrm>
                                  <a:off x="0" y="0"/>
                                  <a:ext cx="2552700" cy="1604645"/>
                                </a:xfrm>
                                <a:prstGeom prst="rect">
                                  <a:avLst/>
                                </a:prstGeom>
                                <a:noFill/>
                                <a:ln>
                                  <a:noFill/>
                                </a:ln>
                              </pic:spPr>
                            </pic:pic>
                          </a:graphicData>
                        </a:graphic>
                      </wp:inline>
                    </w:drawing>
                  </w:r>
                </w:p>
              </w:tc>
              <w:tc>
                <w:tcPr>
                  <w:tcW w:w="4183" w:type="dxa"/>
                  <w:vAlign w:val="center"/>
                </w:tcPr>
                <w:p>
                  <w:pPr>
                    <w:pStyle w:val="26"/>
                    <w:jc w:val="center"/>
                    <w:rPr>
                      <w:rFonts w:ascii="Times New Roman" w:hAnsi="Times New Roman"/>
                      <w:b w:val="0"/>
                      <w:color w:val="auto"/>
                      <w:sz w:val="21"/>
                      <w:szCs w:val="21"/>
                    </w:rPr>
                  </w:pPr>
                  <w:r>
                    <w:rPr>
                      <w:rFonts w:hint="eastAsia" w:ascii="Times New Roman" w:hAnsi="Times New Roman"/>
                      <w:b w:val="0"/>
                      <w:color w:val="auto"/>
                      <w:sz w:val="21"/>
                      <w:szCs w:val="21"/>
                      <w:lang w:eastAsia="zh-CN"/>
                    </w:rPr>
                    <w:t>1.</w:t>
                  </w:r>
                  <w:r>
                    <w:rPr>
                      <w:rFonts w:ascii="Times New Roman" w:hAnsi="Times New Roman"/>
                      <w:b w:val="0"/>
                      <w:color w:val="auto"/>
                      <w:sz w:val="21"/>
                      <w:szCs w:val="21"/>
                    </w:rPr>
                    <w:t>危险废物贮存区标志牌背景色应采用黄色，RGB 颜色值为（255, 255, 0）。</w:t>
                  </w:r>
                </w:p>
                <w:p>
                  <w:pPr>
                    <w:pStyle w:val="26"/>
                    <w:jc w:val="center"/>
                    <w:rPr>
                      <w:rFonts w:ascii="Times New Roman" w:hAnsi="Times New Roman"/>
                      <w:b w:val="0"/>
                      <w:color w:val="auto"/>
                      <w:sz w:val="21"/>
                      <w:szCs w:val="21"/>
                    </w:rPr>
                  </w:pPr>
                  <w:r>
                    <w:rPr>
                      <w:rFonts w:hint="eastAsia" w:ascii="Times New Roman" w:hAnsi="Times New Roman"/>
                      <w:b w:val="0"/>
                      <w:color w:val="auto"/>
                      <w:sz w:val="21"/>
                      <w:szCs w:val="21"/>
                      <w:lang w:eastAsia="zh-CN"/>
                    </w:rPr>
                    <w:t>2.</w:t>
                  </w:r>
                  <w:r>
                    <w:rPr>
                      <w:rFonts w:ascii="Times New Roman" w:hAnsi="Times New Roman"/>
                      <w:b w:val="0"/>
                      <w:color w:val="auto"/>
                      <w:sz w:val="21"/>
                      <w:szCs w:val="21"/>
                    </w:rPr>
                    <w:t>废物种类信息应采用醒目的 橘黄色，RGB 颜色值为（255,150, 0）。字体颜色为黑色，RGB 颜色值为（0,0,0）。危图形和文字应清晰、完整，保证在足够的</w:t>
                  </w:r>
                </w:p>
                <w:p>
                  <w:pPr>
                    <w:pStyle w:val="26"/>
                    <w:jc w:val="center"/>
                    <w:rPr>
                      <w:rFonts w:hint="eastAsia"/>
                      <w:b w:val="0"/>
                      <w:color w:val="auto"/>
                      <w:sz w:val="21"/>
                      <w:szCs w:val="21"/>
                    </w:rPr>
                  </w:pPr>
                  <w:r>
                    <w:rPr>
                      <w:rFonts w:ascii="Times New Roman" w:hAnsi="Times New Roman"/>
                      <w:b w:val="0"/>
                      <w:color w:val="auto"/>
                      <w:sz w:val="21"/>
                      <w:szCs w:val="21"/>
                    </w:rPr>
                    <w:t>观察距离条件下不影响阅读。“危险废物贮存分区标志”字样与其他信息宜加黑色分界线区分，分界线的宽度不小于2mm。危险废物贮存分区标志宜设置在该贮存分区前的通道位置或墙壁、栏杆等易于观察的位置</w:t>
                  </w:r>
                  <w:r>
                    <w:rPr>
                      <w:rFonts w:hint="eastAsia" w:ascii="Times New Roman" w:hAnsi="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501" w:type="dxa"/>
                  <w:vAlign w:val="center"/>
                </w:tcPr>
                <w:p>
                  <w:pPr>
                    <w:pStyle w:val="26"/>
                    <w:ind w:firstLine="0"/>
                    <w:jc w:val="both"/>
                    <w:rPr>
                      <w:color w:val="auto"/>
                    </w:rPr>
                  </w:pPr>
                  <w:r>
                    <w:rPr>
                      <w:color w:val="auto"/>
                    </w:rPr>
                    <w:drawing>
                      <wp:inline distT="0" distB="0" distL="114300" distR="114300">
                        <wp:extent cx="2554605" cy="2625725"/>
                        <wp:effectExtent l="0" t="0" r="17145" b="3175"/>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30"/>
                                <a:srcRect l="2580" t="2934" r="1291"/>
                                <a:stretch>
                                  <a:fillRect/>
                                </a:stretch>
                              </pic:blipFill>
                              <pic:spPr>
                                <a:xfrm>
                                  <a:off x="0" y="0"/>
                                  <a:ext cx="2554605" cy="2625725"/>
                                </a:xfrm>
                                <a:prstGeom prst="rect">
                                  <a:avLst/>
                                </a:prstGeom>
                                <a:noFill/>
                                <a:ln>
                                  <a:noFill/>
                                </a:ln>
                              </pic:spPr>
                            </pic:pic>
                          </a:graphicData>
                        </a:graphic>
                      </wp:inline>
                    </w:drawing>
                  </w:r>
                </w:p>
                <w:p>
                  <w:pPr>
                    <w:pStyle w:val="32"/>
                    <w:jc w:val="center"/>
                    <w:rPr>
                      <w:color w:val="auto"/>
                    </w:rPr>
                  </w:pPr>
                  <w:r>
                    <w:rPr>
                      <w:rFonts w:hint="eastAsia"/>
                      <w:color w:val="auto"/>
                      <w:sz w:val="21"/>
                      <w:szCs w:val="21"/>
                    </w:rPr>
                    <w:t>危险废物标签样式示意图</w:t>
                  </w:r>
                </w:p>
              </w:tc>
              <w:tc>
                <w:tcPr>
                  <w:tcW w:w="4183" w:type="dxa"/>
                  <w:vAlign w:val="center"/>
                </w:tcPr>
                <w:p>
                  <w:pPr>
                    <w:pStyle w:val="26"/>
                    <w:jc w:val="center"/>
                    <w:rPr>
                      <w:rFonts w:hint="eastAsia"/>
                      <w:b w:val="0"/>
                      <w:color w:val="auto"/>
                      <w:sz w:val="21"/>
                      <w:szCs w:val="21"/>
                    </w:rPr>
                  </w:pPr>
                  <w:r>
                    <w:rPr>
                      <w:rFonts w:hint="eastAsia"/>
                      <w:b w:val="0"/>
                      <w:color w:val="auto"/>
                      <w:sz w:val="21"/>
                      <w:szCs w:val="21"/>
                      <w:lang w:eastAsia="zh-CN"/>
                    </w:rPr>
                    <w:t>1.</w:t>
                  </w:r>
                  <w:r>
                    <w:rPr>
                      <w:rFonts w:hint="eastAsia"/>
                      <w:b w:val="0"/>
                      <w:color w:val="auto"/>
                      <w:sz w:val="21"/>
                      <w:szCs w:val="21"/>
                    </w:rPr>
                    <w:t>危险废物标志设置位置应明显可见且易读，不应被容器、包装物自身的任何部分或其他标签遮挡。对箱类包装危险废物的其标签应置于包装端面或侧面；</w:t>
                  </w:r>
                </w:p>
                <w:p>
                  <w:pPr>
                    <w:pStyle w:val="26"/>
                    <w:jc w:val="center"/>
                    <w:rPr>
                      <w:rFonts w:hint="eastAsia"/>
                      <w:b w:val="0"/>
                      <w:color w:val="auto"/>
                      <w:sz w:val="21"/>
                      <w:szCs w:val="21"/>
                    </w:rPr>
                  </w:pPr>
                  <w:r>
                    <w:rPr>
                      <w:rFonts w:hint="eastAsia"/>
                      <w:b w:val="0"/>
                      <w:color w:val="auto"/>
                      <w:sz w:val="21"/>
                      <w:szCs w:val="21"/>
                      <w:lang w:eastAsia="zh-CN"/>
                    </w:rPr>
                    <w:t>2.</w:t>
                  </w:r>
                  <w:r>
                    <w:rPr>
                      <w:rFonts w:hint="eastAsia"/>
                      <w:b w:val="0"/>
                      <w:color w:val="auto"/>
                      <w:sz w:val="21"/>
                      <w:szCs w:val="21"/>
                    </w:rPr>
                    <w:t>袋类包装危险废物的其标签应置于包装明显处；</w:t>
                  </w:r>
                </w:p>
                <w:p>
                  <w:pPr>
                    <w:pStyle w:val="26"/>
                    <w:jc w:val="center"/>
                    <w:rPr>
                      <w:rFonts w:hint="eastAsia"/>
                      <w:b w:val="0"/>
                      <w:color w:val="auto"/>
                      <w:sz w:val="21"/>
                      <w:szCs w:val="21"/>
                    </w:rPr>
                  </w:pPr>
                  <w:r>
                    <w:rPr>
                      <w:rFonts w:hint="eastAsia"/>
                      <w:b w:val="0"/>
                      <w:color w:val="auto"/>
                      <w:sz w:val="21"/>
                      <w:szCs w:val="21"/>
                      <w:lang w:eastAsia="zh-CN"/>
                    </w:rPr>
                    <w:t>3.</w:t>
                  </w:r>
                  <w:r>
                    <w:rPr>
                      <w:rFonts w:hint="eastAsia"/>
                      <w:b w:val="0"/>
                      <w:color w:val="auto"/>
                      <w:sz w:val="21"/>
                      <w:szCs w:val="21"/>
                    </w:rPr>
                    <w:t>桶类包装危险废物</w:t>
                  </w:r>
                  <w:r>
                    <w:rPr>
                      <w:rFonts w:hint="eastAsia"/>
                      <w:b w:val="0"/>
                      <w:color w:val="auto"/>
                      <w:sz w:val="21"/>
                      <w:szCs w:val="21"/>
                      <w:lang w:eastAsia="zh-CN"/>
                    </w:rPr>
                    <w:t>的</w:t>
                  </w:r>
                  <w:r>
                    <w:rPr>
                      <w:rFonts w:hint="eastAsia"/>
                      <w:b w:val="0"/>
                      <w:color w:val="auto"/>
                      <w:sz w:val="21"/>
                      <w:szCs w:val="21"/>
                    </w:rPr>
                    <w:t>标签应置于桶身或桶盖；</w:t>
                  </w:r>
                </w:p>
                <w:p>
                  <w:pPr>
                    <w:pStyle w:val="26"/>
                    <w:jc w:val="center"/>
                    <w:rPr>
                      <w:rFonts w:hint="eastAsia"/>
                      <w:b w:val="0"/>
                      <w:color w:val="auto"/>
                      <w:sz w:val="21"/>
                      <w:szCs w:val="21"/>
                    </w:rPr>
                  </w:pPr>
                  <w:r>
                    <w:rPr>
                      <w:rFonts w:hint="eastAsia"/>
                      <w:b w:val="0"/>
                      <w:color w:val="auto"/>
                      <w:sz w:val="21"/>
                      <w:szCs w:val="21"/>
                      <w:lang w:eastAsia="zh-CN"/>
                    </w:rPr>
                    <w:t>4.</w:t>
                  </w:r>
                  <w:r>
                    <w:rPr>
                      <w:rFonts w:hint="eastAsia"/>
                      <w:b w:val="0"/>
                      <w:color w:val="auto"/>
                      <w:sz w:val="21"/>
                      <w:szCs w:val="21"/>
                    </w:rPr>
                    <w:t>其他包装危险废物</w:t>
                  </w:r>
                  <w:r>
                    <w:rPr>
                      <w:rFonts w:hint="eastAsia"/>
                      <w:b w:val="0"/>
                      <w:color w:val="auto"/>
                      <w:sz w:val="21"/>
                      <w:szCs w:val="21"/>
                      <w:lang w:eastAsia="zh-CN"/>
                    </w:rPr>
                    <w:t>的</w:t>
                  </w:r>
                  <w:r>
                    <w:rPr>
                      <w:rFonts w:hint="eastAsia"/>
                      <w:b w:val="0"/>
                      <w:color w:val="auto"/>
                      <w:sz w:val="21"/>
                      <w:szCs w:val="21"/>
                    </w:rPr>
                    <w:t>标签应置</w:t>
                  </w:r>
                  <w:r>
                    <w:rPr>
                      <w:rFonts w:hint="eastAsia"/>
                      <w:b w:val="0"/>
                      <w:color w:val="auto"/>
                      <w:sz w:val="21"/>
                      <w:szCs w:val="21"/>
                      <w:lang w:eastAsia="zh-CN"/>
                    </w:rPr>
                    <w:t>于</w:t>
                  </w:r>
                  <w:r>
                    <w:rPr>
                      <w:rFonts w:hint="eastAsia"/>
                      <w:b w:val="0"/>
                      <w:color w:val="auto"/>
                      <w:sz w:val="21"/>
                      <w:szCs w:val="21"/>
                    </w:rPr>
                    <w:t>明显处。</w:t>
                  </w:r>
                </w:p>
                <w:p>
                  <w:pPr>
                    <w:pStyle w:val="26"/>
                    <w:jc w:val="center"/>
                    <w:rPr>
                      <w:b w:val="0"/>
                      <w:color w:val="auto"/>
                    </w:rPr>
                  </w:pPr>
                </w:p>
              </w:tc>
            </w:tr>
          </w:tbl>
          <w:p>
            <w:pPr>
              <w:ind w:firstLine="422" w:firstLineChars="200"/>
              <w:jc w:val="center"/>
              <w:rPr>
                <w:rFonts w:hint="eastAsia"/>
                <w:b/>
                <w:bCs/>
                <w:color w:val="auto"/>
                <w:szCs w:val="21"/>
              </w:rPr>
            </w:pPr>
          </w:p>
          <w:p>
            <w:pPr>
              <w:ind w:firstLine="422" w:firstLineChars="200"/>
              <w:jc w:val="center"/>
              <w:rPr>
                <w:rFonts w:hint="eastAsia"/>
                <w:b/>
                <w:bCs/>
                <w:color w:val="auto"/>
                <w:szCs w:val="21"/>
              </w:rPr>
            </w:pPr>
          </w:p>
          <w:p>
            <w:pPr>
              <w:spacing w:line="360" w:lineRule="auto"/>
              <w:ind w:firstLine="482" w:firstLineChars="200"/>
              <w:rPr>
                <w:b/>
                <w:bCs/>
                <w:color w:val="auto"/>
                <w:sz w:val="24"/>
              </w:rPr>
            </w:pPr>
            <w:r>
              <w:rPr>
                <w:rFonts w:hint="eastAsia"/>
                <w:b/>
                <w:bCs/>
                <w:color w:val="auto"/>
                <w:sz w:val="24"/>
              </w:rPr>
              <w:t>5地下水、土壤影响分析</w:t>
            </w:r>
          </w:p>
          <w:p>
            <w:pPr>
              <w:spacing w:line="360" w:lineRule="auto"/>
              <w:ind w:firstLine="482" w:firstLineChars="200"/>
              <w:rPr>
                <w:rFonts w:hint="eastAsia"/>
                <w:b/>
                <w:bCs/>
                <w:color w:val="auto"/>
                <w:sz w:val="24"/>
              </w:rPr>
            </w:pPr>
            <w:r>
              <w:rPr>
                <w:rFonts w:hint="eastAsia"/>
                <w:b/>
                <w:bCs/>
                <w:color w:val="auto"/>
                <w:sz w:val="24"/>
              </w:rPr>
              <w:t>5.1污染源分析</w:t>
            </w:r>
          </w:p>
          <w:p>
            <w:pPr>
              <w:spacing w:line="360" w:lineRule="auto"/>
              <w:ind w:firstLine="480" w:firstLineChars="200"/>
              <w:rPr>
                <w:rFonts w:hint="eastAsia"/>
                <w:color w:val="auto"/>
                <w:sz w:val="24"/>
              </w:rPr>
            </w:pPr>
            <w:r>
              <w:rPr>
                <w:rFonts w:hint="eastAsia"/>
                <w:color w:val="auto"/>
                <w:sz w:val="24"/>
              </w:rPr>
              <w:t>本项目存在的可能污染地下水和土壤的物质主要为润滑油。主要污染类型及污染途径为：</w:t>
            </w:r>
            <w:r>
              <w:rPr>
                <w:rFonts w:hint="eastAsia"/>
                <w:color w:val="auto"/>
                <w:sz w:val="24"/>
                <w:lang w:eastAsia="zh-CN"/>
              </w:rPr>
              <w:t>润滑油</w:t>
            </w:r>
            <w:r>
              <w:rPr>
                <w:rFonts w:hint="eastAsia"/>
                <w:color w:val="auto"/>
                <w:sz w:val="24"/>
              </w:rPr>
              <w:t>发生渗漏后下渗污染土壤、地下水。</w:t>
            </w:r>
          </w:p>
          <w:p>
            <w:pPr>
              <w:spacing w:line="360" w:lineRule="auto"/>
              <w:ind w:firstLine="482" w:firstLineChars="200"/>
              <w:rPr>
                <w:rFonts w:hint="eastAsia"/>
                <w:b/>
                <w:bCs/>
                <w:color w:val="auto"/>
                <w:sz w:val="24"/>
              </w:rPr>
            </w:pPr>
            <w:r>
              <w:rPr>
                <w:rFonts w:hint="eastAsia"/>
                <w:b/>
                <w:bCs/>
                <w:color w:val="auto"/>
                <w:sz w:val="24"/>
              </w:rPr>
              <w:t>5.2分区防渗</w:t>
            </w:r>
          </w:p>
          <w:p>
            <w:pPr>
              <w:spacing w:line="360" w:lineRule="auto"/>
              <w:ind w:firstLine="480" w:firstLineChars="200"/>
              <w:rPr>
                <w:rFonts w:hint="eastAsia"/>
                <w:color w:val="auto"/>
                <w:sz w:val="24"/>
              </w:rPr>
            </w:pPr>
            <w:r>
              <w:rPr>
                <w:rFonts w:hint="eastAsia"/>
                <w:color w:val="auto"/>
                <w:sz w:val="24"/>
              </w:rPr>
              <w:t>地下水、土壤污染防治措施坚持“源头控制、末端防治、污染监控、应急响应相结合” 的原则。即采取主动控制和被动控制相结合的措施。</w:t>
            </w:r>
          </w:p>
          <w:p>
            <w:pPr>
              <w:spacing w:line="360" w:lineRule="auto"/>
              <w:ind w:firstLine="480" w:firstLineChars="200"/>
              <w:rPr>
                <w:rFonts w:hint="eastAsia"/>
                <w:color w:val="auto"/>
                <w:sz w:val="24"/>
              </w:rPr>
            </w:pPr>
            <w:r>
              <w:rPr>
                <w:rFonts w:hint="eastAsia"/>
                <w:color w:val="auto"/>
                <w:sz w:val="24"/>
              </w:rPr>
              <w:t>主动控制，分区防渗。从源头控制，主要包括在工艺、管道、设备、污水储存及处理构筑物采取相应的措施，防止和降低污染物跑、冒、滴、漏，将污染物泄漏的环境风险事故降到最低程度。</w:t>
            </w:r>
          </w:p>
          <w:p>
            <w:pPr>
              <w:spacing w:line="360" w:lineRule="auto"/>
              <w:ind w:firstLine="480" w:firstLineChars="200"/>
              <w:rPr>
                <w:rFonts w:hint="eastAsia"/>
                <w:color w:val="auto"/>
                <w:sz w:val="24"/>
              </w:rPr>
            </w:pPr>
            <w:r>
              <w:rPr>
                <w:rFonts w:hint="eastAsia"/>
                <w:color w:val="auto"/>
                <w:sz w:val="24"/>
              </w:rPr>
              <w:t>根据《环境影响评价技术导则 地下水环境》（HJ610-2016）中污染防治区分的规定，根据装置、单元的特点和所处的区域及部位，可将建设场地划分为一般防渗区和重点防渗区。参照《环境影响评价技术导则 地下水环境》（HJ610-2016）、《危险废物贮存污染控制标准》</w:t>
            </w:r>
            <w:r>
              <w:rPr>
                <w:rFonts w:hint="eastAsia"/>
                <w:color w:val="auto"/>
                <w:sz w:val="24"/>
                <w:lang w:eastAsia="zh-CN"/>
              </w:rPr>
              <w:t>（</w:t>
            </w:r>
            <w:r>
              <w:rPr>
                <w:rFonts w:hint="eastAsia"/>
                <w:color w:val="auto"/>
                <w:sz w:val="24"/>
              </w:rPr>
              <w:t>GB 18597-2023</w:t>
            </w:r>
            <w:r>
              <w:rPr>
                <w:rFonts w:hint="eastAsia"/>
                <w:color w:val="auto"/>
                <w:sz w:val="24"/>
                <w:lang w:eastAsia="zh-CN"/>
              </w:rPr>
              <w:t>）</w:t>
            </w:r>
            <w:r>
              <w:rPr>
                <w:rFonts w:hint="eastAsia"/>
                <w:color w:val="auto"/>
                <w:sz w:val="24"/>
              </w:rPr>
              <w:t>等要求，项目防渗分区的划分情况和具体要求见下表：</w:t>
            </w:r>
          </w:p>
          <w:p>
            <w:pPr>
              <w:pStyle w:val="26"/>
              <w:spacing w:line="240" w:lineRule="auto"/>
              <w:jc w:val="center"/>
              <w:rPr>
                <w:rFonts w:hint="eastAsia"/>
                <w:b/>
                <w:bCs w:val="0"/>
                <w:color w:val="auto"/>
                <w:sz w:val="21"/>
                <w:szCs w:val="21"/>
              </w:rPr>
            </w:pPr>
            <w:r>
              <w:rPr>
                <w:rFonts w:ascii="Times New Roman" w:hAnsi="Times New Roman"/>
                <w:b/>
                <w:bCs w:val="0"/>
                <w:color w:val="auto"/>
                <w:sz w:val="21"/>
                <w:szCs w:val="21"/>
              </w:rPr>
              <w:t>表4-</w:t>
            </w:r>
            <w:r>
              <w:rPr>
                <w:rFonts w:hint="eastAsia" w:ascii="Times New Roman" w:hAnsi="Times New Roman"/>
                <w:b/>
                <w:bCs w:val="0"/>
                <w:color w:val="auto"/>
                <w:sz w:val="21"/>
                <w:szCs w:val="21"/>
                <w:lang w:val="en-US" w:eastAsia="zh-CN"/>
              </w:rPr>
              <w:t>21</w:t>
            </w:r>
            <w:r>
              <w:rPr>
                <w:rFonts w:ascii="Times New Roman" w:hAnsi="Times New Roman"/>
                <w:b/>
                <w:bCs w:val="0"/>
                <w:color w:val="auto"/>
                <w:sz w:val="21"/>
                <w:szCs w:val="21"/>
              </w:rPr>
              <w:t xml:space="preserve"> </w:t>
            </w:r>
            <w:r>
              <w:rPr>
                <w:rFonts w:hint="eastAsia"/>
                <w:b/>
                <w:bCs w:val="0"/>
                <w:color w:val="auto"/>
                <w:sz w:val="21"/>
                <w:szCs w:val="21"/>
              </w:rPr>
              <w:t>项目污染防渗分区及要求</w:t>
            </w:r>
          </w:p>
          <w:tbl>
            <w:tblPr>
              <w:tblStyle w:val="24"/>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678"/>
              <w:gridCol w:w="4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7" w:type="dxa"/>
                  <w:vAlign w:val="center"/>
                </w:tcPr>
                <w:p>
                  <w:pPr>
                    <w:pStyle w:val="32"/>
                    <w:spacing w:line="240" w:lineRule="auto"/>
                    <w:ind w:firstLine="0"/>
                    <w:jc w:val="center"/>
                    <w:rPr>
                      <w:rFonts w:hint="eastAsia"/>
                      <w:color w:val="auto"/>
                      <w:sz w:val="21"/>
                      <w:szCs w:val="21"/>
                    </w:rPr>
                  </w:pPr>
                  <w:r>
                    <w:rPr>
                      <w:rFonts w:hint="eastAsia"/>
                      <w:color w:val="auto"/>
                      <w:sz w:val="21"/>
                      <w:szCs w:val="21"/>
                    </w:rPr>
                    <w:t>防渗分区</w:t>
                  </w:r>
                </w:p>
              </w:tc>
              <w:tc>
                <w:tcPr>
                  <w:tcW w:w="2678" w:type="dxa"/>
                  <w:vAlign w:val="center"/>
                </w:tcPr>
                <w:p>
                  <w:pPr>
                    <w:pStyle w:val="32"/>
                    <w:spacing w:line="240" w:lineRule="auto"/>
                    <w:ind w:firstLine="0"/>
                    <w:jc w:val="center"/>
                    <w:rPr>
                      <w:rFonts w:hint="eastAsia"/>
                      <w:color w:val="auto"/>
                      <w:sz w:val="21"/>
                      <w:szCs w:val="21"/>
                    </w:rPr>
                  </w:pPr>
                  <w:r>
                    <w:rPr>
                      <w:rFonts w:hint="eastAsia"/>
                      <w:color w:val="auto"/>
                      <w:sz w:val="21"/>
                      <w:szCs w:val="21"/>
                    </w:rPr>
                    <w:t>装置设施</w:t>
                  </w:r>
                </w:p>
              </w:tc>
              <w:tc>
                <w:tcPr>
                  <w:tcW w:w="4646" w:type="dxa"/>
                  <w:vAlign w:val="center"/>
                </w:tcPr>
                <w:p>
                  <w:pPr>
                    <w:pStyle w:val="32"/>
                    <w:spacing w:line="240" w:lineRule="auto"/>
                    <w:jc w:val="center"/>
                    <w:rPr>
                      <w:rFonts w:hint="eastAsia"/>
                      <w:color w:val="auto"/>
                      <w:sz w:val="21"/>
                      <w:szCs w:val="21"/>
                    </w:rPr>
                  </w:pPr>
                  <w:r>
                    <w:rPr>
                      <w:rFonts w:hint="eastAsia"/>
                      <w:color w:val="auto"/>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7"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重点防渗区</w:t>
                  </w:r>
                </w:p>
              </w:tc>
              <w:tc>
                <w:tcPr>
                  <w:tcW w:w="2678"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rPr>
                    <w:t>危废贮存库</w:t>
                  </w:r>
                </w:p>
              </w:tc>
              <w:tc>
                <w:tcPr>
                  <w:tcW w:w="4646" w:type="dxa"/>
                  <w:vAlign w:val="center"/>
                </w:tcPr>
                <w:p>
                  <w:pPr>
                    <w:pStyle w:val="32"/>
                    <w:spacing w:line="240" w:lineRule="auto"/>
                    <w:ind w:firstLine="0"/>
                    <w:jc w:val="center"/>
                    <w:rPr>
                      <w:rFonts w:ascii="Times New Roman"/>
                      <w:color w:val="auto"/>
                      <w:sz w:val="21"/>
                      <w:szCs w:val="21"/>
                    </w:rPr>
                  </w:pPr>
                  <w:r>
                    <w:rPr>
                      <w:rFonts w:ascii="Times New Roman"/>
                      <w:color w:val="auto"/>
                      <w:sz w:val="21"/>
                      <w:szCs w:val="21"/>
                    </w:rPr>
                    <w:t>等效黏土防渗层 Mb≥6.0m，K≤1×10</w:t>
                  </w:r>
                  <w:r>
                    <w:rPr>
                      <w:rFonts w:ascii="Times New Roman"/>
                      <w:color w:val="auto"/>
                      <w:sz w:val="21"/>
                      <w:szCs w:val="21"/>
                      <w:vertAlign w:val="superscript"/>
                    </w:rPr>
                    <w:t>-7</w:t>
                  </w:r>
                  <w:r>
                    <w:rPr>
                      <w:rFonts w:ascii="Times New Roman"/>
                      <w:color w:val="auto"/>
                      <w:sz w:val="21"/>
                      <w:szCs w:val="21"/>
                    </w:rPr>
                    <w:t>cm/s；或参照GB18597 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7"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一般防渗区</w:t>
                  </w:r>
                </w:p>
              </w:tc>
              <w:tc>
                <w:tcPr>
                  <w:tcW w:w="2678" w:type="dxa"/>
                  <w:vAlign w:val="center"/>
                </w:tcPr>
                <w:p>
                  <w:pPr>
                    <w:pStyle w:val="32"/>
                    <w:spacing w:line="240" w:lineRule="auto"/>
                    <w:ind w:firstLine="0"/>
                    <w:jc w:val="center"/>
                    <w:rPr>
                      <w:rFonts w:hint="eastAsia" w:ascii="Times New Roman" w:eastAsia="宋体"/>
                      <w:color w:val="auto"/>
                      <w:sz w:val="21"/>
                      <w:szCs w:val="21"/>
                      <w:lang w:eastAsia="zh-CN"/>
                    </w:rPr>
                  </w:pPr>
                  <w:r>
                    <w:rPr>
                      <w:rFonts w:hint="eastAsia" w:ascii="Times New Roman"/>
                      <w:color w:val="auto"/>
                      <w:sz w:val="21"/>
                      <w:szCs w:val="21"/>
                      <w:lang w:eastAsia="zh-CN"/>
                    </w:rPr>
                    <w:t>三级沉淀池、初期雨水池</w:t>
                  </w:r>
                </w:p>
              </w:tc>
              <w:tc>
                <w:tcPr>
                  <w:tcW w:w="4646"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等效黏土防渗层Mb≥1.5m，渗透系数K≤1×10-7cm/s。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7" w:type="dxa"/>
                  <w:vAlign w:val="center"/>
                </w:tcPr>
                <w:p>
                  <w:pPr>
                    <w:pStyle w:val="32"/>
                    <w:spacing w:line="240" w:lineRule="auto"/>
                    <w:ind w:firstLine="0"/>
                    <w:jc w:val="center"/>
                    <w:rPr>
                      <w:rFonts w:hint="eastAsia"/>
                      <w:color w:val="auto"/>
                      <w:sz w:val="21"/>
                      <w:szCs w:val="21"/>
                    </w:rPr>
                  </w:pPr>
                  <w:r>
                    <w:rPr>
                      <w:rFonts w:hint="eastAsia"/>
                      <w:color w:val="auto"/>
                      <w:sz w:val="21"/>
                      <w:szCs w:val="21"/>
                    </w:rPr>
                    <w:t>简单防渗</w:t>
                  </w:r>
                </w:p>
              </w:tc>
              <w:tc>
                <w:tcPr>
                  <w:tcW w:w="2678" w:type="dxa"/>
                  <w:vAlign w:val="center"/>
                </w:tcPr>
                <w:p>
                  <w:pPr>
                    <w:pStyle w:val="32"/>
                    <w:spacing w:line="240" w:lineRule="auto"/>
                    <w:ind w:firstLine="0"/>
                    <w:jc w:val="center"/>
                    <w:rPr>
                      <w:rFonts w:hint="eastAsia" w:eastAsia="宋体"/>
                      <w:color w:val="auto"/>
                      <w:sz w:val="21"/>
                      <w:szCs w:val="21"/>
                      <w:lang w:eastAsia="zh-CN"/>
                    </w:rPr>
                  </w:pPr>
                  <w:r>
                    <w:rPr>
                      <w:rFonts w:hint="eastAsia"/>
                      <w:color w:val="auto"/>
                      <w:sz w:val="21"/>
                      <w:szCs w:val="21"/>
                      <w:lang w:eastAsia="zh-CN"/>
                    </w:rPr>
                    <w:t>厂房其他区域</w:t>
                  </w:r>
                </w:p>
              </w:tc>
              <w:tc>
                <w:tcPr>
                  <w:tcW w:w="4646" w:type="dxa"/>
                  <w:vAlign w:val="center"/>
                </w:tcPr>
                <w:p>
                  <w:pPr>
                    <w:pStyle w:val="32"/>
                    <w:spacing w:line="240" w:lineRule="auto"/>
                    <w:jc w:val="center"/>
                    <w:rPr>
                      <w:color w:val="auto"/>
                      <w:sz w:val="21"/>
                      <w:szCs w:val="21"/>
                    </w:rPr>
                  </w:pPr>
                  <w:r>
                    <w:rPr>
                      <w:rFonts w:hint="eastAsia"/>
                      <w:color w:val="auto"/>
                      <w:sz w:val="21"/>
                      <w:szCs w:val="21"/>
                    </w:rPr>
                    <w:t>一般地面硬化</w:t>
                  </w:r>
                </w:p>
              </w:tc>
            </w:tr>
          </w:tbl>
          <w:p>
            <w:pPr>
              <w:spacing w:line="360" w:lineRule="auto"/>
              <w:ind w:firstLine="480" w:firstLineChars="200"/>
              <w:rPr>
                <w:rFonts w:ascii="宋体" w:hAnsi="宋体" w:cs="宋体"/>
                <w:color w:val="auto"/>
                <w:sz w:val="24"/>
              </w:rPr>
            </w:pPr>
            <w:r>
              <w:rPr>
                <w:rFonts w:ascii="宋体" w:hAnsi="宋体" w:cs="宋体"/>
                <w:color w:val="auto"/>
                <w:sz w:val="24"/>
              </w:rPr>
              <w:t>综上所述，本项目在采取上述防渗措施后，可有效防止营运期对区域地下水、 土壤环境的影响。</w:t>
            </w:r>
          </w:p>
          <w:p>
            <w:pPr>
              <w:spacing w:line="360" w:lineRule="auto"/>
              <w:ind w:firstLine="482" w:firstLineChars="200"/>
              <w:rPr>
                <w:rFonts w:hint="eastAsia"/>
                <w:b/>
                <w:bCs/>
                <w:color w:val="auto"/>
                <w:sz w:val="24"/>
              </w:rPr>
            </w:pPr>
            <w:r>
              <w:rPr>
                <w:rFonts w:hint="eastAsia"/>
                <w:b/>
                <w:bCs/>
                <w:color w:val="auto"/>
                <w:sz w:val="24"/>
                <w:lang w:eastAsia="zh-CN"/>
              </w:rPr>
              <w:t>6.</w:t>
            </w:r>
            <w:r>
              <w:rPr>
                <w:rFonts w:hint="eastAsia"/>
                <w:b/>
                <w:bCs/>
                <w:color w:val="auto"/>
                <w:sz w:val="24"/>
              </w:rPr>
              <w:t>环境风险分析</w:t>
            </w:r>
          </w:p>
          <w:p>
            <w:pPr>
              <w:pStyle w:val="18"/>
              <w:spacing w:line="360" w:lineRule="auto"/>
              <w:ind w:firstLine="482" w:firstLineChars="200"/>
              <w:rPr>
                <w:rFonts w:hint="eastAsia"/>
                <w:color w:val="auto"/>
                <w:sz w:val="24"/>
              </w:rPr>
            </w:pPr>
            <w:r>
              <w:rPr>
                <w:rFonts w:hint="eastAsia"/>
                <w:b/>
                <w:bCs/>
                <w:color w:val="auto"/>
                <w:sz w:val="24"/>
              </w:rPr>
              <w:t>6.1风险源调查及可能影响途径</w:t>
            </w:r>
          </w:p>
          <w:p>
            <w:pPr>
              <w:pStyle w:val="18"/>
              <w:spacing w:line="360" w:lineRule="auto"/>
              <w:ind w:firstLine="480" w:firstLineChars="200"/>
              <w:rPr>
                <w:b/>
                <w:bCs/>
                <w:color w:val="auto"/>
                <w:sz w:val="21"/>
                <w:szCs w:val="21"/>
              </w:rPr>
            </w:pPr>
            <w:r>
              <w:rPr>
                <w:rFonts w:hint="eastAsia"/>
                <w:color w:val="auto"/>
                <w:sz w:val="24"/>
              </w:rPr>
              <w:t>本评价按照《建设项目环境风险评价技术导则》（HJ169-2018）（简称“导则”）表B.1突发环境事件风险物质临界量和《环境风险评价实用技术和方法》（简称“方法”）中的相关规定，项目风险源为危废贮存库等。</w:t>
            </w:r>
          </w:p>
          <w:p>
            <w:pPr>
              <w:pStyle w:val="18"/>
              <w:spacing w:line="360" w:lineRule="auto"/>
              <w:ind w:firstLine="482" w:firstLineChars="200"/>
              <w:rPr>
                <w:rFonts w:hint="eastAsia"/>
                <w:b/>
                <w:bCs/>
                <w:color w:val="auto"/>
                <w:sz w:val="24"/>
              </w:rPr>
            </w:pPr>
            <w:r>
              <w:rPr>
                <w:rFonts w:hint="eastAsia"/>
                <w:b/>
                <w:bCs/>
                <w:color w:val="auto"/>
                <w:sz w:val="24"/>
              </w:rPr>
              <w:t>6.2主要风险源</w:t>
            </w:r>
          </w:p>
          <w:p>
            <w:pPr>
              <w:pStyle w:val="18"/>
              <w:spacing w:line="360" w:lineRule="auto"/>
              <w:ind w:firstLine="480" w:firstLineChars="200"/>
              <w:rPr>
                <w:rFonts w:hint="eastAsia"/>
                <w:color w:val="auto"/>
                <w:sz w:val="24"/>
              </w:rPr>
            </w:pPr>
            <w:r>
              <w:rPr>
                <w:rFonts w:hint="eastAsia"/>
                <w:color w:val="auto"/>
                <w:sz w:val="24"/>
              </w:rPr>
              <w:t>泄漏污染风险源：危废贮存库等。</w:t>
            </w:r>
          </w:p>
          <w:p>
            <w:pPr>
              <w:pStyle w:val="18"/>
              <w:spacing w:line="360" w:lineRule="auto"/>
              <w:ind w:firstLine="480" w:firstLineChars="200"/>
              <w:rPr>
                <w:rFonts w:hint="eastAsia"/>
                <w:b/>
                <w:bCs/>
                <w:color w:val="auto"/>
                <w:sz w:val="24"/>
              </w:rPr>
            </w:pPr>
            <w:r>
              <w:rPr>
                <w:rFonts w:hint="eastAsia"/>
                <w:color w:val="auto"/>
                <w:sz w:val="24"/>
              </w:rPr>
              <w:t>火灾风险源：主要为危废贮存库等</w:t>
            </w:r>
            <w:r>
              <w:rPr>
                <w:rFonts w:hint="eastAsia"/>
                <w:color w:val="auto"/>
                <w:sz w:val="24"/>
                <w:lang w:eastAsia="zh-CN"/>
              </w:rPr>
              <w:t>其他</w:t>
            </w:r>
            <w:r>
              <w:rPr>
                <w:rFonts w:hint="eastAsia"/>
                <w:color w:val="auto"/>
                <w:sz w:val="24"/>
              </w:rPr>
              <w:t>可燃物料区。</w:t>
            </w:r>
          </w:p>
          <w:p>
            <w:pPr>
              <w:pStyle w:val="18"/>
              <w:spacing w:line="360" w:lineRule="auto"/>
              <w:ind w:firstLine="482" w:firstLineChars="200"/>
              <w:rPr>
                <w:rFonts w:hint="eastAsia"/>
                <w:b/>
                <w:bCs/>
                <w:color w:val="auto"/>
                <w:sz w:val="24"/>
              </w:rPr>
            </w:pPr>
            <w:r>
              <w:rPr>
                <w:rFonts w:hint="eastAsia"/>
                <w:b/>
                <w:bCs/>
                <w:color w:val="auto"/>
                <w:sz w:val="24"/>
              </w:rPr>
              <w:t>6.3可能影响途径</w:t>
            </w:r>
          </w:p>
          <w:p>
            <w:pPr>
              <w:pStyle w:val="18"/>
              <w:spacing w:line="360" w:lineRule="auto"/>
              <w:ind w:firstLine="480" w:firstLineChars="200"/>
              <w:rPr>
                <w:rFonts w:hint="eastAsia"/>
                <w:color w:val="auto"/>
                <w:sz w:val="24"/>
              </w:rPr>
            </w:pPr>
            <w:r>
              <w:rPr>
                <w:rFonts w:hint="eastAsia"/>
                <w:color w:val="auto"/>
                <w:sz w:val="24"/>
              </w:rPr>
              <w:t>不同风险源可能污染环境的途径如下：</w:t>
            </w:r>
          </w:p>
          <w:p>
            <w:pPr>
              <w:pStyle w:val="18"/>
              <w:spacing w:line="240" w:lineRule="auto"/>
              <w:ind w:firstLine="422" w:firstLineChars="200"/>
              <w:jc w:val="center"/>
              <w:rPr>
                <w:rFonts w:hint="eastAsia"/>
                <w:b/>
                <w:bCs/>
                <w:color w:val="auto"/>
                <w:sz w:val="21"/>
                <w:szCs w:val="21"/>
              </w:rPr>
            </w:pPr>
            <w:r>
              <w:rPr>
                <w:rFonts w:hint="eastAsia"/>
                <w:b/>
                <w:bCs/>
                <w:color w:val="auto"/>
                <w:sz w:val="21"/>
                <w:szCs w:val="21"/>
              </w:rPr>
              <w:t>表4-</w:t>
            </w:r>
            <w:r>
              <w:rPr>
                <w:rFonts w:hint="eastAsia"/>
                <w:b/>
                <w:bCs/>
                <w:color w:val="auto"/>
                <w:sz w:val="21"/>
                <w:szCs w:val="21"/>
                <w:lang w:val="en-US" w:eastAsia="zh-CN"/>
              </w:rPr>
              <w:t>22</w:t>
            </w:r>
            <w:r>
              <w:rPr>
                <w:rFonts w:hint="eastAsia"/>
                <w:b/>
                <w:bCs/>
                <w:color w:val="auto"/>
                <w:sz w:val="21"/>
                <w:szCs w:val="21"/>
              </w:rPr>
              <w:t xml:space="preserve"> 项目风险物质可能污染环境的影响途径</w:t>
            </w:r>
          </w:p>
          <w:tbl>
            <w:tblPr>
              <w:tblStyle w:val="24"/>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458"/>
              <w:gridCol w:w="1853"/>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58" w:type="dxa"/>
                  <w:vAlign w:val="center"/>
                </w:tcPr>
                <w:p>
                  <w:pPr>
                    <w:pStyle w:val="18"/>
                    <w:spacing w:line="240" w:lineRule="auto"/>
                    <w:jc w:val="center"/>
                    <w:rPr>
                      <w:rFonts w:hint="eastAsia"/>
                      <w:color w:val="auto"/>
                      <w:sz w:val="21"/>
                      <w:szCs w:val="21"/>
                    </w:rPr>
                  </w:pPr>
                  <w:r>
                    <w:rPr>
                      <w:rFonts w:hint="eastAsia"/>
                      <w:color w:val="auto"/>
                      <w:sz w:val="21"/>
                      <w:szCs w:val="21"/>
                    </w:rPr>
                    <w:t>风险源</w:t>
                  </w:r>
                </w:p>
              </w:tc>
              <w:tc>
                <w:tcPr>
                  <w:tcW w:w="1458" w:type="dxa"/>
                  <w:vAlign w:val="center"/>
                </w:tcPr>
                <w:p>
                  <w:pPr>
                    <w:pStyle w:val="18"/>
                    <w:spacing w:line="240" w:lineRule="auto"/>
                    <w:jc w:val="center"/>
                    <w:rPr>
                      <w:rFonts w:hint="eastAsia"/>
                      <w:color w:val="auto"/>
                      <w:sz w:val="21"/>
                      <w:szCs w:val="21"/>
                    </w:rPr>
                  </w:pPr>
                  <w:r>
                    <w:rPr>
                      <w:rFonts w:hint="eastAsia"/>
                      <w:color w:val="auto"/>
                      <w:sz w:val="21"/>
                      <w:szCs w:val="21"/>
                    </w:rPr>
                    <w:t>主要风险</w:t>
                  </w:r>
                </w:p>
                <w:p>
                  <w:pPr>
                    <w:pStyle w:val="18"/>
                    <w:spacing w:line="240" w:lineRule="auto"/>
                    <w:jc w:val="center"/>
                    <w:rPr>
                      <w:rFonts w:hint="eastAsia"/>
                      <w:color w:val="auto"/>
                      <w:sz w:val="21"/>
                      <w:szCs w:val="21"/>
                    </w:rPr>
                  </w:pPr>
                  <w:r>
                    <w:rPr>
                      <w:rFonts w:hint="eastAsia"/>
                      <w:color w:val="auto"/>
                      <w:sz w:val="21"/>
                      <w:szCs w:val="21"/>
                    </w:rPr>
                    <w:t>物质</w:t>
                  </w:r>
                </w:p>
              </w:tc>
              <w:tc>
                <w:tcPr>
                  <w:tcW w:w="1853" w:type="dxa"/>
                  <w:vAlign w:val="center"/>
                </w:tcPr>
                <w:p>
                  <w:pPr>
                    <w:pStyle w:val="18"/>
                    <w:spacing w:line="240" w:lineRule="auto"/>
                    <w:jc w:val="center"/>
                    <w:rPr>
                      <w:rFonts w:hint="eastAsia"/>
                      <w:color w:val="auto"/>
                      <w:sz w:val="21"/>
                      <w:szCs w:val="21"/>
                    </w:rPr>
                  </w:pPr>
                  <w:r>
                    <w:rPr>
                      <w:rFonts w:hint="eastAsia"/>
                      <w:color w:val="auto"/>
                      <w:sz w:val="21"/>
                      <w:szCs w:val="21"/>
                    </w:rPr>
                    <w:t>可能影响途径</w:t>
                  </w:r>
                </w:p>
              </w:tc>
              <w:tc>
                <w:tcPr>
                  <w:tcW w:w="4012" w:type="dxa"/>
                  <w:vAlign w:val="center"/>
                </w:tcPr>
                <w:p>
                  <w:pPr>
                    <w:pStyle w:val="18"/>
                    <w:spacing w:line="240" w:lineRule="auto"/>
                    <w:jc w:val="center"/>
                    <w:rPr>
                      <w:rFonts w:hint="eastAsia"/>
                      <w:color w:val="auto"/>
                      <w:sz w:val="21"/>
                      <w:szCs w:val="21"/>
                    </w:rPr>
                  </w:pPr>
                  <w:r>
                    <w:rPr>
                      <w:rFonts w:hint="eastAsia"/>
                      <w:color w:val="auto"/>
                      <w:sz w:val="21"/>
                      <w:szCs w:val="21"/>
                    </w:rPr>
                    <w:t>污染类型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trPr>
              <w:tc>
                <w:tcPr>
                  <w:tcW w:w="1358" w:type="dxa"/>
                  <w:vAlign w:val="center"/>
                </w:tcPr>
                <w:p>
                  <w:pPr>
                    <w:pStyle w:val="18"/>
                    <w:spacing w:line="240" w:lineRule="auto"/>
                    <w:jc w:val="center"/>
                    <w:rPr>
                      <w:rFonts w:hint="eastAsia"/>
                      <w:color w:val="auto"/>
                      <w:sz w:val="21"/>
                      <w:szCs w:val="21"/>
                    </w:rPr>
                  </w:pPr>
                  <w:r>
                    <w:rPr>
                      <w:rFonts w:hint="eastAsia"/>
                      <w:color w:val="auto"/>
                      <w:sz w:val="21"/>
                      <w:szCs w:val="21"/>
                    </w:rPr>
                    <w:t>危废贮存库</w:t>
                  </w:r>
                </w:p>
              </w:tc>
              <w:tc>
                <w:tcPr>
                  <w:tcW w:w="1458" w:type="dxa"/>
                  <w:vAlign w:val="center"/>
                </w:tcPr>
                <w:p>
                  <w:pPr>
                    <w:pStyle w:val="18"/>
                    <w:spacing w:line="240" w:lineRule="auto"/>
                    <w:jc w:val="center"/>
                    <w:rPr>
                      <w:rFonts w:hint="eastAsia" w:eastAsia="宋体"/>
                      <w:color w:val="auto"/>
                      <w:sz w:val="21"/>
                      <w:szCs w:val="21"/>
                      <w:lang w:eastAsia="zh-CN"/>
                    </w:rPr>
                  </w:pPr>
                  <w:r>
                    <w:rPr>
                      <w:rFonts w:hint="eastAsia"/>
                      <w:color w:val="auto"/>
                      <w:sz w:val="21"/>
                      <w:szCs w:val="21"/>
                      <w:lang w:eastAsia="zh-CN"/>
                    </w:rPr>
                    <w:t>废润滑油</w:t>
                  </w:r>
                </w:p>
              </w:tc>
              <w:tc>
                <w:tcPr>
                  <w:tcW w:w="1853" w:type="dxa"/>
                  <w:vAlign w:val="center"/>
                </w:tcPr>
                <w:p>
                  <w:pPr>
                    <w:pStyle w:val="18"/>
                    <w:spacing w:line="240" w:lineRule="auto"/>
                    <w:ind w:firstLine="210" w:firstLineChars="100"/>
                    <w:jc w:val="center"/>
                    <w:rPr>
                      <w:color w:val="auto"/>
                      <w:sz w:val="21"/>
                      <w:szCs w:val="21"/>
                    </w:rPr>
                  </w:pPr>
                  <w:r>
                    <w:rPr>
                      <w:rFonts w:hint="eastAsia"/>
                      <w:color w:val="auto"/>
                      <w:sz w:val="21"/>
                      <w:szCs w:val="21"/>
                    </w:rPr>
                    <w:t>渗漏进入地下水和土壤</w:t>
                  </w:r>
                </w:p>
              </w:tc>
              <w:tc>
                <w:tcPr>
                  <w:tcW w:w="4012" w:type="dxa"/>
                  <w:vAlign w:val="center"/>
                </w:tcPr>
                <w:p>
                  <w:pPr>
                    <w:pStyle w:val="18"/>
                    <w:spacing w:line="240" w:lineRule="auto"/>
                    <w:jc w:val="center"/>
                    <w:rPr>
                      <w:rFonts w:hint="eastAsia"/>
                      <w:color w:val="auto"/>
                      <w:sz w:val="21"/>
                      <w:szCs w:val="21"/>
                    </w:rPr>
                  </w:pPr>
                  <w:r>
                    <w:rPr>
                      <w:rFonts w:hint="eastAsia"/>
                      <w:color w:val="auto"/>
                      <w:sz w:val="21"/>
                      <w:szCs w:val="21"/>
                    </w:rPr>
                    <w:t>危险固废遗失或者危废贮存库发生破损，泄漏</w:t>
                  </w:r>
                  <w:r>
                    <w:rPr>
                      <w:rFonts w:hint="eastAsia"/>
                      <w:color w:val="auto"/>
                      <w:sz w:val="21"/>
                      <w:szCs w:val="21"/>
                      <w:lang w:eastAsia="zh-CN"/>
                    </w:rPr>
                    <w:t>进入</w:t>
                  </w:r>
                  <w:r>
                    <w:rPr>
                      <w:rFonts w:hint="eastAsia"/>
                      <w:color w:val="auto"/>
                      <w:sz w:val="21"/>
                      <w:szCs w:val="21"/>
                    </w:rPr>
                    <w:t>地下水和土壤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vAlign w:val="center"/>
                </w:tcPr>
                <w:p>
                  <w:pPr>
                    <w:pStyle w:val="18"/>
                    <w:spacing w:line="240" w:lineRule="auto"/>
                    <w:jc w:val="center"/>
                    <w:rPr>
                      <w:rFonts w:hint="eastAsia"/>
                      <w:color w:val="auto"/>
                      <w:sz w:val="21"/>
                      <w:szCs w:val="21"/>
                    </w:rPr>
                  </w:pPr>
                  <w:r>
                    <w:rPr>
                      <w:rFonts w:hint="eastAsia"/>
                      <w:color w:val="auto"/>
                      <w:sz w:val="21"/>
                      <w:szCs w:val="21"/>
                    </w:rPr>
                    <w:t>厂区火灾</w:t>
                  </w:r>
                </w:p>
              </w:tc>
              <w:tc>
                <w:tcPr>
                  <w:tcW w:w="1458" w:type="dxa"/>
                  <w:vAlign w:val="center"/>
                </w:tcPr>
                <w:p>
                  <w:pPr>
                    <w:jc w:val="center"/>
                    <w:rPr>
                      <w:color w:val="auto"/>
                      <w:szCs w:val="21"/>
                    </w:rPr>
                  </w:pPr>
                  <w:r>
                    <w:rPr>
                      <w:color w:val="auto"/>
                      <w:szCs w:val="21"/>
                    </w:rPr>
                    <w:t>消防废水、火灾烟气</w:t>
                  </w:r>
                </w:p>
              </w:tc>
              <w:tc>
                <w:tcPr>
                  <w:tcW w:w="1853" w:type="dxa"/>
                  <w:vAlign w:val="center"/>
                </w:tcPr>
                <w:p>
                  <w:pPr>
                    <w:jc w:val="center"/>
                    <w:rPr>
                      <w:rFonts w:hint="eastAsia"/>
                      <w:color w:val="auto"/>
                      <w:szCs w:val="21"/>
                    </w:rPr>
                  </w:pPr>
                  <w:r>
                    <w:rPr>
                      <w:color w:val="auto"/>
                      <w:szCs w:val="21"/>
                    </w:rPr>
                    <w:t>渗漏、经雨水管网进入地表水，大气输送等</w:t>
                  </w:r>
                </w:p>
              </w:tc>
              <w:tc>
                <w:tcPr>
                  <w:tcW w:w="4012" w:type="dxa"/>
                  <w:vAlign w:val="center"/>
                </w:tcPr>
                <w:p>
                  <w:pPr>
                    <w:jc w:val="center"/>
                    <w:rPr>
                      <w:rFonts w:hint="eastAsia"/>
                      <w:color w:val="auto"/>
                      <w:szCs w:val="21"/>
                    </w:rPr>
                  </w:pPr>
                  <w:r>
                    <w:rPr>
                      <w:color w:val="auto"/>
                      <w:szCs w:val="21"/>
                    </w:rPr>
                    <w:t>消防废水</w:t>
                  </w:r>
                  <w:r>
                    <w:rPr>
                      <w:rFonts w:hint="eastAsia"/>
                      <w:color w:val="auto"/>
                      <w:szCs w:val="21"/>
                      <w:lang w:eastAsia="zh-CN"/>
                    </w:rPr>
                    <w:t>进入</w:t>
                  </w:r>
                  <w:r>
                    <w:rPr>
                      <w:rFonts w:hint="eastAsia"/>
                      <w:color w:val="auto"/>
                      <w:szCs w:val="21"/>
                    </w:rPr>
                    <w:t>雨水管网中</w:t>
                  </w:r>
                  <w:r>
                    <w:rPr>
                      <w:color w:val="auto"/>
                      <w:szCs w:val="21"/>
                    </w:rPr>
                    <w:t>造成地表水、地下水、土壤环境影响；火灾烟气可能造成大气环境污染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vAlign w:val="center"/>
                </w:tcPr>
                <w:p>
                  <w:pPr>
                    <w:pStyle w:val="18"/>
                    <w:spacing w:line="240" w:lineRule="auto"/>
                    <w:jc w:val="center"/>
                    <w:rPr>
                      <w:rFonts w:hint="eastAsia"/>
                      <w:color w:val="auto"/>
                      <w:sz w:val="21"/>
                      <w:szCs w:val="21"/>
                    </w:rPr>
                  </w:pPr>
                  <w:r>
                    <w:rPr>
                      <w:rFonts w:hint="eastAsia"/>
                      <w:color w:val="auto"/>
                      <w:sz w:val="21"/>
                      <w:szCs w:val="21"/>
                    </w:rPr>
                    <w:t>废气处理设施</w:t>
                  </w:r>
                </w:p>
              </w:tc>
              <w:tc>
                <w:tcPr>
                  <w:tcW w:w="1458" w:type="dxa"/>
                  <w:vAlign w:val="center"/>
                </w:tcPr>
                <w:p>
                  <w:pPr>
                    <w:pStyle w:val="18"/>
                    <w:spacing w:line="240" w:lineRule="auto"/>
                    <w:jc w:val="center"/>
                    <w:rPr>
                      <w:color w:val="auto"/>
                      <w:szCs w:val="21"/>
                    </w:rPr>
                  </w:pPr>
                  <w:r>
                    <w:rPr>
                      <w:rFonts w:hint="eastAsia"/>
                      <w:color w:val="auto"/>
                      <w:sz w:val="21"/>
                      <w:szCs w:val="21"/>
                    </w:rPr>
                    <w:t>颗粒物</w:t>
                  </w:r>
                </w:p>
              </w:tc>
              <w:tc>
                <w:tcPr>
                  <w:tcW w:w="1853" w:type="dxa"/>
                  <w:vAlign w:val="center"/>
                </w:tcPr>
                <w:p>
                  <w:pPr>
                    <w:pStyle w:val="18"/>
                    <w:spacing w:line="240" w:lineRule="auto"/>
                    <w:jc w:val="center"/>
                    <w:rPr>
                      <w:color w:val="auto"/>
                      <w:szCs w:val="21"/>
                    </w:rPr>
                  </w:pPr>
                  <w:r>
                    <w:rPr>
                      <w:rFonts w:hint="eastAsia"/>
                      <w:color w:val="auto"/>
                      <w:sz w:val="21"/>
                      <w:szCs w:val="21"/>
                    </w:rPr>
                    <w:t>未达标等事故排放</w:t>
                  </w:r>
                </w:p>
              </w:tc>
              <w:tc>
                <w:tcPr>
                  <w:tcW w:w="4012" w:type="dxa"/>
                  <w:vAlign w:val="center"/>
                </w:tcPr>
                <w:p>
                  <w:pPr>
                    <w:pStyle w:val="18"/>
                    <w:spacing w:line="240" w:lineRule="auto"/>
                    <w:jc w:val="center"/>
                    <w:rPr>
                      <w:color w:val="auto"/>
                      <w:szCs w:val="21"/>
                    </w:rPr>
                  </w:pPr>
                  <w:r>
                    <w:rPr>
                      <w:rFonts w:hint="eastAsia"/>
                      <w:color w:val="auto"/>
                      <w:sz w:val="21"/>
                      <w:szCs w:val="21"/>
                    </w:rPr>
                    <w:t>造成大气环境污染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vAlign w:val="center"/>
                </w:tcPr>
                <w:p>
                  <w:pPr>
                    <w:pStyle w:val="18"/>
                    <w:spacing w:line="240" w:lineRule="auto"/>
                    <w:jc w:val="center"/>
                    <w:rPr>
                      <w:rFonts w:hint="eastAsia" w:eastAsia="宋体"/>
                      <w:color w:val="auto"/>
                      <w:sz w:val="21"/>
                      <w:szCs w:val="21"/>
                      <w:lang w:eastAsia="zh-CN"/>
                    </w:rPr>
                  </w:pPr>
                  <w:r>
                    <w:rPr>
                      <w:rFonts w:hint="eastAsia"/>
                      <w:color w:val="auto"/>
                      <w:sz w:val="21"/>
                      <w:szCs w:val="21"/>
                      <w:lang w:eastAsia="zh-CN"/>
                    </w:rPr>
                    <w:t>三级沉淀池</w:t>
                  </w:r>
                </w:p>
              </w:tc>
              <w:tc>
                <w:tcPr>
                  <w:tcW w:w="1458" w:type="dxa"/>
                  <w:vAlign w:val="center"/>
                </w:tcPr>
                <w:p>
                  <w:pPr>
                    <w:pStyle w:val="18"/>
                    <w:spacing w:line="240" w:lineRule="auto"/>
                    <w:jc w:val="center"/>
                    <w:rPr>
                      <w:rFonts w:hint="eastAsia" w:eastAsia="宋体"/>
                      <w:color w:val="auto"/>
                      <w:sz w:val="21"/>
                      <w:szCs w:val="21"/>
                      <w:lang w:eastAsia="zh-CN"/>
                    </w:rPr>
                  </w:pPr>
                  <w:r>
                    <w:rPr>
                      <w:rFonts w:hint="eastAsia"/>
                      <w:color w:val="auto"/>
                      <w:sz w:val="21"/>
                      <w:szCs w:val="21"/>
                      <w:lang w:eastAsia="zh-CN"/>
                    </w:rPr>
                    <w:t>废水外溢</w:t>
                  </w:r>
                </w:p>
              </w:tc>
              <w:tc>
                <w:tcPr>
                  <w:tcW w:w="1853"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rPr>
                  </w:pPr>
                  <w:r>
                    <w:rPr>
                      <w:rFonts w:hint="default" w:ascii="Times New Roman" w:hAnsi="Times New Roman" w:cs="Times New Roman"/>
                      <w:color w:val="auto"/>
                      <w:szCs w:val="21"/>
                    </w:rPr>
                    <w:t>渗透、漫流</w:t>
                  </w:r>
                </w:p>
              </w:tc>
              <w:tc>
                <w:tcPr>
                  <w:tcW w:w="4012"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auto"/>
                      <w:sz w:val="21"/>
                      <w:szCs w:val="21"/>
                    </w:rPr>
                  </w:pPr>
                  <w:r>
                    <w:rPr>
                      <w:rFonts w:hint="default" w:ascii="Times New Roman" w:hAnsi="Times New Roman" w:cs="Times New Roman"/>
                      <w:color w:val="auto"/>
                      <w:szCs w:val="21"/>
                    </w:rPr>
                    <w:t>周边地表水、土壤、地下水等</w:t>
                  </w:r>
                </w:p>
              </w:tc>
            </w:tr>
          </w:tbl>
          <w:p>
            <w:pPr>
              <w:spacing w:line="360" w:lineRule="auto"/>
              <w:rPr>
                <w:rFonts w:hint="eastAsia"/>
                <w:b/>
                <w:bCs/>
                <w:color w:val="auto"/>
                <w:sz w:val="24"/>
              </w:rPr>
            </w:pPr>
          </w:p>
          <w:p>
            <w:pPr>
              <w:spacing w:line="360" w:lineRule="auto"/>
              <w:ind w:left="567"/>
              <w:rPr>
                <w:rFonts w:hint="eastAsia"/>
                <w:b/>
                <w:bCs/>
                <w:color w:val="auto"/>
                <w:sz w:val="24"/>
              </w:rPr>
            </w:pPr>
            <w:r>
              <w:rPr>
                <w:rFonts w:hint="eastAsia"/>
                <w:b/>
                <w:bCs/>
                <w:color w:val="auto"/>
                <w:sz w:val="24"/>
              </w:rPr>
              <w:t>6.3评价等级确定</w:t>
            </w:r>
          </w:p>
          <w:p>
            <w:pPr>
              <w:pStyle w:val="17"/>
              <w:spacing w:line="360" w:lineRule="auto"/>
              <w:ind w:left="0" w:firstLine="480" w:firstLineChars="200"/>
              <w:rPr>
                <w:rFonts w:hint="eastAsia"/>
                <w:color w:val="auto"/>
                <w:sz w:val="24"/>
                <w:szCs w:val="24"/>
              </w:rPr>
            </w:pPr>
            <w:r>
              <w:rPr>
                <w:rFonts w:hint="eastAsia"/>
                <w:color w:val="auto"/>
                <w:sz w:val="24"/>
                <w:szCs w:val="24"/>
              </w:rPr>
              <w:t>根据《建设项目环境风险评价技术导则》（HJ 169-2018），本项目使用润滑油，计算本项目所涉及的每种危险物质在厂界内的最大存在总量与其在附录B中对应临界量的比值Q。在不同厂区的同一种物质，按其在厂界内的最大存在总量计算。按照根据《建设项目环境风险评价技术导则》</w:t>
            </w:r>
            <w:r>
              <w:rPr>
                <w:rFonts w:hint="eastAsia"/>
                <w:color w:val="auto"/>
                <w:sz w:val="24"/>
                <w:szCs w:val="24"/>
                <w:lang w:eastAsia="zh-CN"/>
              </w:rPr>
              <w:t>（</w:t>
            </w:r>
            <w:r>
              <w:rPr>
                <w:rFonts w:hint="eastAsia"/>
                <w:color w:val="auto"/>
                <w:sz w:val="24"/>
                <w:szCs w:val="24"/>
              </w:rPr>
              <w:t>HJ169-2018</w:t>
            </w:r>
            <w:r>
              <w:rPr>
                <w:rFonts w:hint="eastAsia"/>
                <w:color w:val="auto"/>
                <w:sz w:val="24"/>
                <w:szCs w:val="24"/>
                <w:lang w:eastAsia="zh-CN"/>
              </w:rPr>
              <w:t>）</w:t>
            </w:r>
            <w:r>
              <w:rPr>
                <w:rFonts w:hint="eastAsia"/>
                <w:color w:val="auto"/>
                <w:sz w:val="24"/>
                <w:szCs w:val="24"/>
              </w:rPr>
              <w:t>附录C，当存在多种危险物质时，Q按下式进行计算：</w:t>
            </w:r>
          </w:p>
          <w:p>
            <w:pPr>
              <w:pStyle w:val="17"/>
              <w:spacing w:line="360" w:lineRule="auto"/>
              <w:ind w:left="0"/>
              <w:jc w:val="center"/>
              <w:rPr>
                <w:rFonts w:hint="eastAsia"/>
                <w:color w:val="auto"/>
                <w:sz w:val="24"/>
                <w:szCs w:val="24"/>
              </w:rPr>
            </w:pPr>
            <w:r>
              <w:rPr>
                <w:rFonts w:hint="eastAsia"/>
                <w:color w:val="auto"/>
                <w:sz w:val="24"/>
                <w:szCs w:val="24"/>
              </w:rPr>
              <w:t>Q=q</w:t>
            </w:r>
            <w:r>
              <w:rPr>
                <w:rFonts w:hint="eastAsia"/>
                <w:color w:val="auto"/>
                <w:sz w:val="24"/>
                <w:szCs w:val="24"/>
                <w:vertAlign w:val="subscript"/>
              </w:rPr>
              <w:t>1/</w:t>
            </w:r>
            <w:r>
              <w:rPr>
                <w:rFonts w:hint="eastAsia"/>
                <w:color w:val="auto"/>
                <w:sz w:val="24"/>
                <w:szCs w:val="24"/>
              </w:rPr>
              <w:t>Q</w:t>
            </w:r>
            <w:r>
              <w:rPr>
                <w:rFonts w:hint="eastAsia"/>
                <w:color w:val="auto"/>
                <w:sz w:val="24"/>
                <w:szCs w:val="24"/>
                <w:vertAlign w:val="subscript"/>
              </w:rPr>
              <w:t>1</w:t>
            </w:r>
            <w:r>
              <w:rPr>
                <w:rFonts w:hint="eastAsia"/>
                <w:color w:val="auto"/>
                <w:sz w:val="24"/>
                <w:szCs w:val="24"/>
              </w:rPr>
              <w:t>+ q</w:t>
            </w:r>
            <w:r>
              <w:rPr>
                <w:rFonts w:hint="eastAsia"/>
                <w:color w:val="auto"/>
                <w:sz w:val="24"/>
                <w:szCs w:val="24"/>
                <w:vertAlign w:val="subscript"/>
              </w:rPr>
              <w:t>2</w:t>
            </w:r>
            <w:r>
              <w:rPr>
                <w:rFonts w:hint="eastAsia"/>
                <w:color w:val="auto"/>
                <w:sz w:val="24"/>
                <w:szCs w:val="24"/>
              </w:rPr>
              <w:t>/Q</w:t>
            </w:r>
            <w:r>
              <w:rPr>
                <w:rFonts w:hint="eastAsia"/>
                <w:color w:val="auto"/>
                <w:sz w:val="24"/>
                <w:szCs w:val="24"/>
                <w:vertAlign w:val="subscript"/>
              </w:rPr>
              <w:t xml:space="preserve">2 </w:t>
            </w:r>
            <w:r>
              <w:rPr>
                <w:rFonts w:hint="eastAsia"/>
                <w:color w:val="auto"/>
                <w:sz w:val="24"/>
                <w:szCs w:val="24"/>
              </w:rPr>
              <w:t>+…+q</w:t>
            </w:r>
            <w:r>
              <w:rPr>
                <w:rFonts w:hint="eastAsia"/>
                <w:color w:val="auto"/>
                <w:sz w:val="24"/>
                <w:szCs w:val="24"/>
                <w:vertAlign w:val="subscript"/>
              </w:rPr>
              <w:t>n</w:t>
            </w:r>
            <w:r>
              <w:rPr>
                <w:rFonts w:hint="eastAsia"/>
                <w:color w:val="auto"/>
                <w:sz w:val="24"/>
                <w:szCs w:val="24"/>
              </w:rPr>
              <w:t>/Q</w:t>
            </w:r>
            <w:r>
              <w:rPr>
                <w:rFonts w:hint="eastAsia"/>
                <w:color w:val="auto"/>
                <w:sz w:val="24"/>
                <w:szCs w:val="24"/>
                <w:vertAlign w:val="subscript"/>
              </w:rPr>
              <w:t>n</w:t>
            </w:r>
          </w:p>
          <w:p>
            <w:pPr>
              <w:pStyle w:val="17"/>
              <w:spacing w:line="360" w:lineRule="auto"/>
              <w:ind w:left="0" w:firstLine="480" w:firstLineChars="200"/>
              <w:rPr>
                <w:rFonts w:hint="eastAsia"/>
                <w:color w:val="auto"/>
                <w:sz w:val="24"/>
                <w:szCs w:val="24"/>
              </w:rPr>
            </w:pPr>
            <w:r>
              <w:rPr>
                <w:rFonts w:hint="eastAsia"/>
                <w:color w:val="auto"/>
                <w:sz w:val="24"/>
                <w:szCs w:val="24"/>
              </w:rPr>
              <w:t>式中：q</w:t>
            </w:r>
            <w:r>
              <w:rPr>
                <w:rFonts w:hint="eastAsia"/>
                <w:color w:val="auto"/>
                <w:sz w:val="24"/>
                <w:szCs w:val="24"/>
                <w:vertAlign w:val="subscript"/>
              </w:rPr>
              <w:t>1</w:t>
            </w:r>
            <w:r>
              <w:rPr>
                <w:rFonts w:hint="eastAsia"/>
                <w:color w:val="auto"/>
                <w:sz w:val="24"/>
                <w:szCs w:val="24"/>
              </w:rPr>
              <w:t>，q</w:t>
            </w:r>
            <w:r>
              <w:rPr>
                <w:rFonts w:hint="eastAsia"/>
                <w:color w:val="auto"/>
                <w:sz w:val="24"/>
                <w:szCs w:val="24"/>
                <w:vertAlign w:val="subscript"/>
              </w:rPr>
              <w:t>2</w:t>
            </w:r>
            <w:r>
              <w:rPr>
                <w:rFonts w:hint="eastAsia"/>
                <w:color w:val="auto"/>
                <w:sz w:val="24"/>
                <w:szCs w:val="24"/>
              </w:rPr>
              <w:t>……q</w:t>
            </w:r>
            <w:r>
              <w:rPr>
                <w:rFonts w:hint="eastAsia"/>
                <w:color w:val="auto"/>
                <w:sz w:val="24"/>
                <w:szCs w:val="24"/>
                <w:vertAlign w:val="subscript"/>
              </w:rPr>
              <w:t>n</w:t>
            </w:r>
            <w:r>
              <w:rPr>
                <w:rFonts w:hint="eastAsia"/>
                <w:color w:val="auto"/>
                <w:sz w:val="24"/>
                <w:szCs w:val="24"/>
              </w:rPr>
              <w:t>——每种危险物质的最大存在量，t；</w:t>
            </w:r>
          </w:p>
          <w:p>
            <w:pPr>
              <w:pStyle w:val="17"/>
              <w:spacing w:line="360" w:lineRule="auto"/>
              <w:ind w:left="0" w:firstLine="480" w:firstLineChars="200"/>
              <w:rPr>
                <w:rFonts w:hint="eastAsia"/>
                <w:color w:val="auto"/>
                <w:sz w:val="24"/>
                <w:szCs w:val="24"/>
              </w:rPr>
            </w:pPr>
            <w:r>
              <w:rPr>
                <w:rFonts w:hint="eastAsia"/>
                <w:color w:val="auto"/>
                <w:sz w:val="24"/>
                <w:szCs w:val="24"/>
              </w:rPr>
              <w:t>Q</w:t>
            </w:r>
            <w:r>
              <w:rPr>
                <w:rFonts w:hint="eastAsia"/>
                <w:color w:val="auto"/>
                <w:sz w:val="24"/>
                <w:szCs w:val="24"/>
                <w:vertAlign w:val="subscript"/>
              </w:rPr>
              <w:t>1</w:t>
            </w:r>
            <w:r>
              <w:rPr>
                <w:rFonts w:hint="eastAsia"/>
                <w:color w:val="auto"/>
                <w:sz w:val="24"/>
                <w:szCs w:val="24"/>
              </w:rPr>
              <w:t>，Q</w:t>
            </w:r>
            <w:r>
              <w:rPr>
                <w:rFonts w:hint="eastAsia"/>
                <w:color w:val="auto"/>
                <w:sz w:val="24"/>
                <w:szCs w:val="24"/>
                <w:vertAlign w:val="subscript"/>
              </w:rPr>
              <w:t>2</w:t>
            </w:r>
            <w:r>
              <w:rPr>
                <w:rFonts w:hint="eastAsia"/>
                <w:color w:val="auto"/>
                <w:sz w:val="24"/>
                <w:szCs w:val="24"/>
              </w:rPr>
              <w:t>…Q</w:t>
            </w:r>
            <w:r>
              <w:rPr>
                <w:rFonts w:hint="eastAsia"/>
                <w:color w:val="auto"/>
                <w:sz w:val="24"/>
                <w:szCs w:val="24"/>
                <w:vertAlign w:val="subscript"/>
              </w:rPr>
              <w:t>n</w:t>
            </w:r>
            <w:r>
              <w:rPr>
                <w:rFonts w:hint="eastAsia"/>
                <w:color w:val="auto"/>
                <w:sz w:val="24"/>
                <w:szCs w:val="24"/>
              </w:rPr>
              <w:t>—每种危险物质的临界量，t。</w:t>
            </w:r>
          </w:p>
          <w:p>
            <w:pPr>
              <w:pStyle w:val="17"/>
              <w:spacing w:line="360" w:lineRule="auto"/>
              <w:ind w:left="0" w:firstLine="480" w:firstLineChars="200"/>
              <w:rPr>
                <w:rFonts w:hint="eastAsia"/>
                <w:color w:val="auto"/>
                <w:sz w:val="24"/>
                <w:szCs w:val="24"/>
              </w:rPr>
            </w:pPr>
            <w:r>
              <w:rPr>
                <w:rFonts w:hint="eastAsia"/>
                <w:color w:val="auto"/>
                <w:sz w:val="24"/>
                <w:szCs w:val="24"/>
              </w:rPr>
              <w:t>当 Q＜1 时，该项目环境风险潜势为I。</w:t>
            </w:r>
          </w:p>
          <w:p>
            <w:pPr>
              <w:pStyle w:val="17"/>
              <w:spacing w:line="360" w:lineRule="auto"/>
              <w:ind w:left="0" w:firstLine="480" w:firstLineChars="200"/>
              <w:rPr>
                <w:rFonts w:hint="eastAsia"/>
                <w:color w:val="auto"/>
                <w:sz w:val="24"/>
                <w:szCs w:val="24"/>
              </w:rPr>
            </w:pPr>
            <w:r>
              <w:rPr>
                <w:rFonts w:hint="eastAsia"/>
                <w:color w:val="auto"/>
                <w:sz w:val="24"/>
                <w:szCs w:val="24"/>
              </w:rPr>
              <w:t>当 Q≥1 时，将Q值划分为：</w:t>
            </w:r>
            <w:r>
              <w:rPr>
                <w:rFonts w:hint="eastAsia"/>
                <w:color w:val="auto"/>
                <w:sz w:val="24"/>
                <w:szCs w:val="24"/>
                <w:lang w:eastAsia="zh-CN"/>
              </w:rPr>
              <w:t>（</w:t>
            </w:r>
            <w:r>
              <w:rPr>
                <w:rFonts w:hint="eastAsia"/>
                <w:color w:val="auto"/>
                <w:sz w:val="24"/>
                <w:szCs w:val="24"/>
              </w:rPr>
              <w:t>1</w:t>
            </w:r>
            <w:r>
              <w:rPr>
                <w:rFonts w:hint="eastAsia"/>
                <w:color w:val="auto"/>
                <w:sz w:val="24"/>
                <w:szCs w:val="24"/>
                <w:lang w:eastAsia="zh-CN"/>
              </w:rPr>
              <w:t>）</w:t>
            </w:r>
            <w:r>
              <w:rPr>
                <w:rFonts w:hint="eastAsia"/>
                <w:color w:val="auto"/>
                <w:sz w:val="24"/>
                <w:szCs w:val="24"/>
              </w:rPr>
              <w:t>1≤Q＜10；</w:t>
            </w:r>
            <w:r>
              <w:rPr>
                <w:rFonts w:hint="eastAsia"/>
                <w:color w:val="auto"/>
                <w:sz w:val="24"/>
                <w:szCs w:val="24"/>
                <w:lang w:eastAsia="zh-CN"/>
              </w:rPr>
              <w:t>（</w:t>
            </w:r>
            <w:r>
              <w:rPr>
                <w:rFonts w:hint="eastAsia"/>
                <w:color w:val="auto"/>
                <w:sz w:val="24"/>
                <w:szCs w:val="24"/>
              </w:rPr>
              <w:t>2</w:t>
            </w:r>
            <w:r>
              <w:rPr>
                <w:rFonts w:hint="eastAsia"/>
                <w:color w:val="auto"/>
                <w:sz w:val="24"/>
                <w:szCs w:val="24"/>
                <w:lang w:eastAsia="zh-CN"/>
              </w:rPr>
              <w:t>）</w:t>
            </w:r>
            <w:r>
              <w:rPr>
                <w:rFonts w:hint="eastAsia"/>
                <w:color w:val="auto"/>
                <w:sz w:val="24"/>
                <w:szCs w:val="24"/>
              </w:rPr>
              <w:t>10≤Q＜100；</w:t>
            </w:r>
            <w:r>
              <w:rPr>
                <w:rFonts w:hint="eastAsia"/>
                <w:color w:val="auto"/>
                <w:sz w:val="24"/>
                <w:szCs w:val="24"/>
                <w:lang w:eastAsia="zh-CN"/>
              </w:rPr>
              <w:t>（</w:t>
            </w:r>
            <w:r>
              <w:rPr>
                <w:rFonts w:hint="eastAsia"/>
                <w:color w:val="auto"/>
                <w:sz w:val="24"/>
                <w:szCs w:val="24"/>
              </w:rPr>
              <w:t>3</w:t>
            </w:r>
            <w:r>
              <w:rPr>
                <w:rFonts w:hint="eastAsia"/>
                <w:color w:val="auto"/>
                <w:sz w:val="24"/>
                <w:szCs w:val="24"/>
                <w:lang w:eastAsia="zh-CN"/>
              </w:rPr>
              <w:t>）</w:t>
            </w:r>
            <w:r>
              <w:rPr>
                <w:rFonts w:hint="eastAsia"/>
                <w:color w:val="auto"/>
                <w:sz w:val="24"/>
                <w:szCs w:val="24"/>
              </w:rPr>
              <w:t>Q≥100。</w:t>
            </w:r>
          </w:p>
          <w:p>
            <w:pPr>
              <w:pStyle w:val="17"/>
              <w:spacing w:line="360" w:lineRule="auto"/>
              <w:ind w:left="0" w:firstLine="480" w:firstLineChars="200"/>
              <w:rPr>
                <w:color w:val="auto"/>
                <w:sz w:val="24"/>
                <w:szCs w:val="24"/>
              </w:rPr>
            </w:pPr>
            <w:r>
              <w:rPr>
                <w:rFonts w:hint="eastAsia"/>
                <w:color w:val="auto"/>
                <w:sz w:val="24"/>
                <w:szCs w:val="24"/>
              </w:rPr>
              <w:t>结合风险物质调查及识别过程结果，拟建项目危险物质数量与临界量具体判定结果见下表。</w:t>
            </w:r>
          </w:p>
          <w:tbl>
            <w:tblPr>
              <w:tblStyle w:val="24"/>
              <w:tblpPr w:leftFromText="180" w:rightFromText="180" w:vertAnchor="text" w:horzAnchor="page" w:tblpXSpec="center" w:tblpY="368"/>
              <w:tblOverlap w:val="never"/>
              <w:tblW w:w="8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431"/>
              <w:gridCol w:w="1544"/>
              <w:gridCol w:w="2301"/>
              <w:gridCol w:w="1338"/>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Align w:val="center"/>
                </w:tcPr>
                <w:p>
                  <w:pPr>
                    <w:pStyle w:val="26"/>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序号</w:t>
                  </w:r>
                </w:p>
              </w:tc>
              <w:tc>
                <w:tcPr>
                  <w:tcW w:w="1431" w:type="dxa"/>
                  <w:vAlign w:val="center"/>
                </w:tcPr>
                <w:p>
                  <w:pPr>
                    <w:pStyle w:val="26"/>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化学品名称</w:t>
                  </w:r>
                </w:p>
              </w:tc>
              <w:tc>
                <w:tcPr>
                  <w:tcW w:w="1544" w:type="dxa"/>
                  <w:vAlign w:val="center"/>
                </w:tcPr>
                <w:p>
                  <w:pPr>
                    <w:pStyle w:val="26"/>
                    <w:spacing w:line="240" w:lineRule="auto"/>
                    <w:ind w:firstLine="0"/>
                    <w:jc w:val="center"/>
                    <w:rPr>
                      <w:rFonts w:ascii="Times New Roman" w:hAnsi="Times New Roman"/>
                      <w:bCs/>
                      <w:color w:val="auto"/>
                      <w:sz w:val="21"/>
                      <w:szCs w:val="21"/>
                    </w:rPr>
                  </w:pPr>
                  <w:r>
                    <w:rPr>
                      <w:rFonts w:hint="eastAsia" w:ascii="Times New Roman" w:hAnsi="Times New Roman"/>
                      <w:bCs/>
                      <w:color w:val="auto"/>
                      <w:sz w:val="21"/>
                      <w:szCs w:val="21"/>
                    </w:rPr>
                    <w:t>CAS号</w:t>
                  </w:r>
                </w:p>
              </w:tc>
              <w:tc>
                <w:tcPr>
                  <w:tcW w:w="2301" w:type="dxa"/>
                  <w:vAlign w:val="center"/>
                </w:tcPr>
                <w:p>
                  <w:pPr>
                    <w:pStyle w:val="26"/>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厂区最大储存量q</w:t>
                  </w:r>
                  <w:r>
                    <w:rPr>
                      <w:rFonts w:ascii="Times New Roman" w:hAnsi="Times New Roman"/>
                      <w:bCs/>
                      <w:color w:val="auto"/>
                      <w:sz w:val="21"/>
                      <w:szCs w:val="21"/>
                      <w:vertAlign w:val="subscript"/>
                    </w:rPr>
                    <w:t>n</w:t>
                  </w:r>
                  <w:r>
                    <w:rPr>
                      <w:rFonts w:ascii="Times New Roman" w:hAnsi="Times New Roman"/>
                      <w:bCs/>
                      <w:color w:val="auto"/>
                      <w:sz w:val="21"/>
                      <w:szCs w:val="21"/>
                    </w:rPr>
                    <w:t>/t</w:t>
                  </w:r>
                </w:p>
              </w:tc>
              <w:tc>
                <w:tcPr>
                  <w:tcW w:w="1338" w:type="dxa"/>
                  <w:vAlign w:val="center"/>
                </w:tcPr>
                <w:p>
                  <w:pPr>
                    <w:pStyle w:val="26"/>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临界量Qn/t</w:t>
                  </w:r>
                </w:p>
              </w:tc>
              <w:tc>
                <w:tcPr>
                  <w:tcW w:w="1323" w:type="dxa"/>
                  <w:vAlign w:val="center"/>
                </w:tcPr>
                <w:p>
                  <w:pPr>
                    <w:pStyle w:val="26"/>
                    <w:spacing w:line="240" w:lineRule="auto"/>
                    <w:ind w:firstLine="0"/>
                    <w:jc w:val="center"/>
                    <w:rPr>
                      <w:rFonts w:ascii="Times New Roman" w:hAnsi="Times New Roman"/>
                      <w:bCs/>
                      <w:color w:val="auto"/>
                      <w:sz w:val="21"/>
                      <w:szCs w:val="21"/>
                    </w:rPr>
                  </w:pPr>
                  <w:r>
                    <w:rPr>
                      <w:rFonts w:ascii="Times New Roman" w:hAnsi="Times New Roman"/>
                      <w:bCs/>
                      <w:color w:val="auto"/>
                      <w:sz w:val="21"/>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Align w:val="center"/>
                </w:tcPr>
                <w:p>
                  <w:pPr>
                    <w:pStyle w:val="26"/>
                    <w:spacing w:line="240" w:lineRule="auto"/>
                    <w:ind w:firstLine="0"/>
                    <w:jc w:val="center"/>
                    <w:rPr>
                      <w:rFonts w:hint="eastAsia" w:ascii="Times New Roman" w:hAnsi="Times New Roman"/>
                      <w:b/>
                      <w:color w:val="auto"/>
                      <w:sz w:val="21"/>
                      <w:szCs w:val="21"/>
                    </w:rPr>
                  </w:pPr>
                  <w:r>
                    <w:rPr>
                      <w:rFonts w:hint="eastAsia" w:ascii="Times New Roman" w:hAnsi="Times New Roman"/>
                      <w:b/>
                      <w:color w:val="auto"/>
                      <w:sz w:val="21"/>
                      <w:szCs w:val="21"/>
                    </w:rPr>
                    <w:t>1</w:t>
                  </w:r>
                </w:p>
              </w:tc>
              <w:tc>
                <w:tcPr>
                  <w:tcW w:w="1431" w:type="dxa"/>
                  <w:vAlign w:val="center"/>
                </w:tcPr>
                <w:p>
                  <w:pPr>
                    <w:tabs>
                      <w:tab w:val="left" w:pos="3900"/>
                    </w:tabs>
                    <w:jc w:val="center"/>
                    <w:rPr>
                      <w:rFonts w:hint="eastAsia"/>
                      <w:bCs/>
                      <w:color w:val="auto"/>
                      <w:szCs w:val="21"/>
                    </w:rPr>
                  </w:pPr>
                  <w:r>
                    <w:rPr>
                      <w:rFonts w:hint="eastAsia"/>
                      <w:bCs/>
                      <w:color w:val="auto"/>
                      <w:szCs w:val="21"/>
                    </w:rPr>
                    <w:t>润滑油</w:t>
                  </w:r>
                </w:p>
              </w:tc>
              <w:tc>
                <w:tcPr>
                  <w:tcW w:w="1544" w:type="dxa"/>
                  <w:vAlign w:val="center"/>
                </w:tcPr>
                <w:p>
                  <w:pPr>
                    <w:tabs>
                      <w:tab w:val="left" w:pos="3900"/>
                    </w:tabs>
                    <w:jc w:val="center"/>
                    <w:rPr>
                      <w:rFonts w:hint="eastAsia"/>
                      <w:bCs/>
                      <w:color w:val="auto"/>
                      <w:szCs w:val="21"/>
                    </w:rPr>
                  </w:pPr>
                  <w:r>
                    <w:rPr>
                      <w:rFonts w:hint="eastAsia"/>
                      <w:bCs/>
                      <w:color w:val="auto"/>
                      <w:szCs w:val="21"/>
                    </w:rPr>
                    <w:t>/</w:t>
                  </w:r>
                </w:p>
              </w:tc>
              <w:tc>
                <w:tcPr>
                  <w:tcW w:w="2301" w:type="dxa"/>
                  <w:vAlign w:val="center"/>
                </w:tcPr>
                <w:p>
                  <w:pPr>
                    <w:pStyle w:val="26"/>
                    <w:spacing w:line="240" w:lineRule="auto"/>
                    <w:ind w:firstLine="0"/>
                    <w:jc w:val="center"/>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0.5</w:t>
                  </w:r>
                </w:p>
              </w:tc>
              <w:tc>
                <w:tcPr>
                  <w:tcW w:w="1338" w:type="dxa"/>
                  <w:vAlign w:val="center"/>
                </w:tcPr>
                <w:p>
                  <w:pPr>
                    <w:pStyle w:val="26"/>
                    <w:spacing w:line="240" w:lineRule="auto"/>
                    <w:ind w:firstLine="0"/>
                    <w:jc w:val="center"/>
                    <w:rPr>
                      <w:rFonts w:ascii="Times New Roman" w:hAnsi="Times New Roman"/>
                      <w:b w:val="0"/>
                      <w:bCs/>
                      <w:color w:val="auto"/>
                      <w:sz w:val="21"/>
                      <w:szCs w:val="21"/>
                    </w:rPr>
                  </w:pPr>
                  <w:r>
                    <w:rPr>
                      <w:rFonts w:hint="eastAsia" w:ascii="Times New Roman" w:hAnsi="Times New Roman"/>
                      <w:b w:val="0"/>
                      <w:bCs/>
                      <w:color w:val="auto"/>
                      <w:sz w:val="21"/>
                      <w:szCs w:val="21"/>
                    </w:rPr>
                    <w:t>2500</w:t>
                  </w:r>
                </w:p>
              </w:tc>
              <w:tc>
                <w:tcPr>
                  <w:tcW w:w="1323" w:type="dxa"/>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 w:type="dxa"/>
                  <w:vAlign w:val="center"/>
                </w:tcPr>
                <w:p>
                  <w:pPr>
                    <w:pStyle w:val="26"/>
                    <w:spacing w:line="240" w:lineRule="auto"/>
                    <w:ind w:firstLine="0"/>
                    <w:jc w:val="center"/>
                    <w:rPr>
                      <w:rFonts w:hint="eastAsia" w:ascii="Times New Roman" w:hAnsi="Times New Roman"/>
                      <w:b/>
                      <w:color w:val="auto"/>
                      <w:sz w:val="21"/>
                      <w:szCs w:val="21"/>
                    </w:rPr>
                  </w:pPr>
                  <w:r>
                    <w:rPr>
                      <w:rFonts w:hint="eastAsia" w:ascii="Times New Roman" w:hAnsi="Times New Roman"/>
                      <w:b/>
                      <w:color w:val="auto"/>
                      <w:sz w:val="21"/>
                      <w:szCs w:val="21"/>
                    </w:rPr>
                    <w:t>2</w:t>
                  </w:r>
                </w:p>
              </w:tc>
              <w:tc>
                <w:tcPr>
                  <w:tcW w:w="1431" w:type="dxa"/>
                  <w:vAlign w:val="center"/>
                </w:tcPr>
                <w:p>
                  <w:pPr>
                    <w:tabs>
                      <w:tab w:val="left" w:pos="3900"/>
                    </w:tabs>
                    <w:jc w:val="center"/>
                    <w:rPr>
                      <w:rFonts w:hint="eastAsia"/>
                      <w:bCs/>
                      <w:color w:val="auto"/>
                      <w:szCs w:val="21"/>
                    </w:rPr>
                  </w:pPr>
                  <w:r>
                    <w:rPr>
                      <w:rFonts w:hint="eastAsia"/>
                      <w:bCs/>
                      <w:color w:val="auto"/>
                      <w:szCs w:val="21"/>
                    </w:rPr>
                    <w:t>废润滑油</w:t>
                  </w:r>
                </w:p>
              </w:tc>
              <w:tc>
                <w:tcPr>
                  <w:tcW w:w="1544" w:type="dxa"/>
                  <w:vAlign w:val="center"/>
                </w:tcPr>
                <w:p>
                  <w:pPr>
                    <w:tabs>
                      <w:tab w:val="left" w:pos="3900"/>
                    </w:tabs>
                    <w:jc w:val="center"/>
                    <w:rPr>
                      <w:rFonts w:hint="eastAsia"/>
                      <w:bCs/>
                      <w:color w:val="auto"/>
                      <w:szCs w:val="21"/>
                    </w:rPr>
                  </w:pPr>
                  <w:r>
                    <w:rPr>
                      <w:rFonts w:hint="eastAsia"/>
                      <w:bCs/>
                      <w:color w:val="auto"/>
                      <w:szCs w:val="21"/>
                    </w:rPr>
                    <w:t>/</w:t>
                  </w:r>
                </w:p>
              </w:tc>
              <w:tc>
                <w:tcPr>
                  <w:tcW w:w="2301" w:type="dxa"/>
                  <w:vAlign w:val="center"/>
                </w:tcPr>
                <w:p>
                  <w:pPr>
                    <w:pStyle w:val="26"/>
                    <w:spacing w:line="240" w:lineRule="auto"/>
                    <w:ind w:firstLine="0"/>
                    <w:jc w:val="center"/>
                    <w:rPr>
                      <w:rFonts w:hint="default" w:ascii="Times New Roman" w:hAnsi="Times New Roman" w:eastAsia="宋体"/>
                      <w:b w:val="0"/>
                      <w:bCs/>
                      <w:color w:val="auto"/>
                      <w:sz w:val="21"/>
                      <w:szCs w:val="21"/>
                      <w:lang w:val="en-US" w:eastAsia="zh-CN"/>
                    </w:rPr>
                  </w:pPr>
                  <w:r>
                    <w:rPr>
                      <w:rFonts w:hint="eastAsia" w:ascii="Times New Roman" w:hAnsi="Times New Roman"/>
                      <w:b w:val="0"/>
                      <w:bCs/>
                      <w:color w:val="auto"/>
                      <w:sz w:val="21"/>
                      <w:szCs w:val="21"/>
                      <w:lang w:val="en-US" w:eastAsia="zh-CN"/>
                    </w:rPr>
                    <w:t>0.48</w:t>
                  </w:r>
                </w:p>
              </w:tc>
              <w:tc>
                <w:tcPr>
                  <w:tcW w:w="1338" w:type="dxa"/>
                  <w:vAlign w:val="center"/>
                </w:tcPr>
                <w:p>
                  <w:pPr>
                    <w:pStyle w:val="26"/>
                    <w:spacing w:line="240" w:lineRule="auto"/>
                    <w:ind w:firstLine="0"/>
                    <w:jc w:val="center"/>
                    <w:rPr>
                      <w:rFonts w:ascii="Times New Roman" w:hAnsi="Times New Roman"/>
                      <w:b w:val="0"/>
                      <w:bCs/>
                      <w:color w:val="auto"/>
                      <w:sz w:val="21"/>
                      <w:szCs w:val="21"/>
                    </w:rPr>
                  </w:pPr>
                  <w:r>
                    <w:rPr>
                      <w:rFonts w:hint="eastAsia" w:ascii="Times New Roman" w:hAnsi="Times New Roman"/>
                      <w:b w:val="0"/>
                      <w:bCs/>
                      <w:color w:val="auto"/>
                      <w:sz w:val="21"/>
                      <w:szCs w:val="21"/>
                    </w:rPr>
                    <w:t>2500</w:t>
                  </w:r>
                </w:p>
              </w:tc>
              <w:tc>
                <w:tcPr>
                  <w:tcW w:w="1323" w:type="dxa"/>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59" w:type="dxa"/>
                  <w:gridSpan w:val="5"/>
                  <w:vAlign w:val="center"/>
                </w:tcPr>
                <w:p>
                  <w:pPr>
                    <w:pStyle w:val="26"/>
                    <w:spacing w:line="240" w:lineRule="auto"/>
                    <w:ind w:firstLine="0"/>
                    <w:jc w:val="center"/>
                    <w:rPr>
                      <w:rFonts w:hint="eastAsia"/>
                      <w:bCs/>
                      <w:color w:val="auto"/>
                      <w:sz w:val="21"/>
                      <w:szCs w:val="21"/>
                    </w:rPr>
                  </w:pPr>
                  <w:r>
                    <w:rPr>
                      <w:rFonts w:hint="eastAsia"/>
                      <w:bCs/>
                      <w:color w:val="auto"/>
                      <w:sz w:val="21"/>
                      <w:szCs w:val="21"/>
                    </w:rPr>
                    <w:t>项目Q值∑</w:t>
                  </w:r>
                </w:p>
              </w:tc>
              <w:tc>
                <w:tcPr>
                  <w:tcW w:w="1323" w:type="dxa"/>
                  <w:vAlign w:val="center"/>
                </w:tcPr>
                <w:p>
                  <w:pPr>
                    <w:widowControl/>
                    <w:jc w:val="center"/>
                    <w:textAlignment w:val="center"/>
                    <w:rPr>
                      <w:rFonts w:hint="default" w:eastAsia="宋体"/>
                      <w:b/>
                      <w:bCs/>
                      <w:color w:val="auto"/>
                      <w:szCs w:val="21"/>
                      <w:lang w:val="en-US" w:eastAsia="zh-CN"/>
                    </w:rPr>
                  </w:pPr>
                  <w:r>
                    <w:rPr>
                      <w:rFonts w:hint="eastAsia"/>
                      <w:color w:val="auto"/>
                      <w:szCs w:val="21"/>
                      <w:lang w:val="en-US" w:eastAsia="zh-CN"/>
                    </w:rPr>
                    <w:t>0.000392</w:t>
                  </w:r>
                </w:p>
              </w:tc>
            </w:tr>
          </w:tbl>
          <w:p>
            <w:pPr>
              <w:jc w:val="center"/>
              <w:rPr>
                <w:b/>
                <w:color w:val="auto"/>
              </w:rPr>
            </w:pPr>
            <w:r>
              <w:rPr>
                <w:rFonts w:hint="eastAsia"/>
                <w:b/>
                <w:bCs/>
                <w:color w:val="auto"/>
                <w:szCs w:val="21"/>
              </w:rPr>
              <w:t>表4-</w:t>
            </w:r>
            <w:r>
              <w:rPr>
                <w:rFonts w:hint="eastAsia"/>
                <w:b/>
                <w:bCs/>
                <w:color w:val="auto"/>
                <w:szCs w:val="21"/>
                <w:lang w:val="en-US" w:eastAsia="zh-CN"/>
              </w:rPr>
              <w:t>23</w:t>
            </w:r>
            <w:r>
              <w:rPr>
                <w:rFonts w:hint="eastAsia"/>
                <w:b/>
                <w:bCs/>
                <w:color w:val="auto"/>
                <w:szCs w:val="21"/>
              </w:rPr>
              <w:t xml:space="preserve"> 建设项目Q值确定表</w:t>
            </w:r>
          </w:p>
          <w:p>
            <w:pPr>
              <w:pStyle w:val="26"/>
              <w:spacing w:line="360" w:lineRule="auto"/>
              <w:ind w:firstLine="480" w:firstLineChars="200"/>
              <w:rPr>
                <w:rFonts w:ascii="Times New Roman" w:hAnsi="Times New Roman"/>
                <w:b w:val="0"/>
                <w:bCs/>
                <w:color w:val="auto"/>
              </w:rPr>
            </w:pPr>
            <w:r>
              <w:rPr>
                <w:rFonts w:ascii="Times New Roman" w:hAnsi="Times New Roman"/>
                <w:b w:val="0"/>
                <w:bCs/>
                <w:color w:val="auto"/>
              </w:rPr>
              <w:t>Q=</w:t>
            </w:r>
            <w:r>
              <w:rPr>
                <w:rFonts w:hint="eastAsia" w:ascii="Times New Roman" w:hAnsi="Times New Roman"/>
                <w:b w:val="0"/>
                <w:bCs/>
                <w:color w:val="auto"/>
                <w:lang w:val="en-US" w:eastAsia="zh-CN"/>
              </w:rPr>
              <w:t>0.000392</w:t>
            </w:r>
            <w:r>
              <w:rPr>
                <w:rFonts w:ascii="Times New Roman" w:hAnsi="Times New Roman"/>
                <w:b w:val="0"/>
                <w:bCs/>
                <w:color w:val="auto"/>
              </w:rPr>
              <w:t>&lt;1，项目环境风险评价工作等级为简单分析。</w:t>
            </w:r>
          </w:p>
          <w:p>
            <w:pPr>
              <w:spacing w:line="360" w:lineRule="auto"/>
              <w:ind w:left="567"/>
              <w:rPr>
                <w:rFonts w:hint="eastAsia"/>
                <w:b/>
                <w:bCs/>
                <w:color w:val="auto"/>
                <w:sz w:val="24"/>
              </w:rPr>
            </w:pPr>
            <w:r>
              <w:rPr>
                <w:rFonts w:hint="eastAsia"/>
                <w:b/>
                <w:bCs/>
                <w:color w:val="auto"/>
                <w:sz w:val="24"/>
              </w:rPr>
              <w:t>6.4环境风险防范措施</w:t>
            </w:r>
          </w:p>
          <w:p>
            <w:pPr>
              <w:pStyle w:val="26"/>
              <w:numPr>
                <w:ilvl w:val="0"/>
                <w:numId w:val="10"/>
              </w:numPr>
              <w:spacing w:line="360" w:lineRule="auto"/>
              <w:ind w:firstLine="480" w:firstLineChars="200"/>
              <w:rPr>
                <w:rFonts w:hint="eastAsia"/>
                <w:b w:val="0"/>
                <w:bCs w:val="0"/>
                <w:color w:val="auto"/>
                <w:lang w:eastAsia="zh-CN"/>
              </w:rPr>
            </w:pPr>
            <w:r>
              <w:rPr>
                <w:rFonts w:hint="eastAsia"/>
                <w:b w:val="0"/>
                <w:bCs w:val="0"/>
                <w:color w:val="auto"/>
                <w:lang w:eastAsia="zh-CN"/>
              </w:rPr>
              <w:t>危险物质泄漏风险</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项目主要可能泄漏的主要为危废暂存间存放的废</w:t>
            </w:r>
            <w:r>
              <w:rPr>
                <w:rFonts w:hint="eastAsia" w:ascii="Times New Roman" w:hAnsi="Times New Roman" w:cs="Times New Roman"/>
                <w:color w:val="auto"/>
                <w:kern w:val="0"/>
                <w:sz w:val="24"/>
                <w:lang w:eastAsia="zh-CN"/>
              </w:rPr>
              <w:t>润滑油</w:t>
            </w:r>
            <w:r>
              <w:rPr>
                <w:rFonts w:hint="default" w:ascii="Times New Roman" w:hAnsi="Times New Roman" w:cs="Times New Roman"/>
                <w:color w:val="auto"/>
                <w:kern w:val="0"/>
                <w:sz w:val="24"/>
              </w:rPr>
              <w:t>，一旦泄漏、下渗，可能造成地表水、地下水、土壤环境的污染。危废暂存间按照重点防渗要求防渗，专人管理，建立物料台账，应做好防雨、防风、防渗漏、防扬散措施，应设置围堰及渗出液收集设施，按照《危险废物识别标志设置技术规范》（HJ 1276-2022）</w:t>
            </w:r>
            <w:r>
              <w:rPr>
                <w:rFonts w:hint="eastAsia" w:cs="Times New Roman"/>
                <w:color w:val="auto"/>
                <w:kern w:val="0"/>
                <w:sz w:val="24"/>
                <w:lang w:val="en-US" w:eastAsia="zh-CN"/>
              </w:rPr>
              <w:t>等标准</w:t>
            </w:r>
            <w:r>
              <w:rPr>
                <w:rFonts w:hint="default" w:ascii="Times New Roman" w:hAnsi="Times New Roman" w:cs="Times New Roman"/>
                <w:color w:val="auto"/>
                <w:kern w:val="0"/>
                <w:sz w:val="24"/>
              </w:rPr>
              <w:t>的要求设立危险废物</w:t>
            </w:r>
            <w:r>
              <w:rPr>
                <w:rFonts w:hint="eastAsia" w:cs="Times New Roman"/>
                <w:color w:val="auto"/>
                <w:kern w:val="0"/>
                <w:sz w:val="24"/>
                <w:lang w:eastAsia="zh-CN"/>
              </w:rPr>
              <w:t>标识牌</w:t>
            </w:r>
            <w:r>
              <w:rPr>
                <w:rFonts w:hint="default" w:ascii="Times New Roman" w:hAnsi="Times New Roman" w:cs="Times New Roman"/>
                <w:color w:val="auto"/>
                <w:kern w:val="0"/>
                <w:sz w:val="24"/>
              </w:rPr>
              <w:t>，采用专用密闭容器贮存危险废物，容器上必须粘贴符合标准的标签，定期将危险废物交由有资质单位处置，不私自非法处置，在提出的防范措施下物料泄漏风险可控，环境风险的可能性较小。</w:t>
            </w:r>
          </w:p>
          <w:p>
            <w:pPr>
              <w:pStyle w:val="26"/>
              <w:spacing w:line="360" w:lineRule="auto"/>
              <w:ind w:firstLine="480" w:firstLineChars="200"/>
              <w:rPr>
                <w:rFonts w:hint="eastAsia"/>
                <w:b w:val="0"/>
                <w:bCs w:val="0"/>
                <w:color w:val="auto"/>
              </w:rPr>
            </w:pPr>
            <w:r>
              <w:rPr>
                <w:rFonts w:hint="eastAsia"/>
                <w:b w:val="0"/>
                <w:bCs w:val="0"/>
                <w:color w:val="auto"/>
                <w:lang w:eastAsia="zh-CN"/>
              </w:rPr>
              <w:t>（</w:t>
            </w:r>
            <w:r>
              <w:rPr>
                <w:rFonts w:hint="eastAsia"/>
                <w:b w:val="0"/>
                <w:bCs w:val="0"/>
                <w:color w:val="auto"/>
                <w:lang w:val="en-US" w:eastAsia="zh-CN"/>
              </w:rPr>
              <w:t>2</w:t>
            </w:r>
            <w:r>
              <w:rPr>
                <w:rFonts w:hint="eastAsia"/>
                <w:b w:val="0"/>
                <w:bCs w:val="0"/>
                <w:color w:val="auto"/>
                <w:lang w:eastAsia="zh-CN"/>
              </w:rPr>
              <w:t>）</w:t>
            </w:r>
            <w:r>
              <w:rPr>
                <w:rFonts w:hint="eastAsia"/>
                <w:b w:val="0"/>
                <w:bCs w:val="0"/>
                <w:color w:val="auto"/>
              </w:rPr>
              <w:t>火灾次生风险</w:t>
            </w:r>
          </w:p>
          <w:p>
            <w:pPr>
              <w:pStyle w:val="26"/>
              <w:spacing w:line="360" w:lineRule="auto"/>
              <w:ind w:firstLine="480" w:firstLineChars="200"/>
              <w:rPr>
                <w:rFonts w:hint="eastAsia"/>
                <w:b w:val="0"/>
                <w:bCs w:val="0"/>
                <w:color w:val="auto"/>
              </w:rPr>
            </w:pPr>
            <w:r>
              <w:rPr>
                <w:rFonts w:hint="eastAsia"/>
                <w:b w:val="0"/>
                <w:bCs w:val="0"/>
                <w:color w:val="auto"/>
              </w:rPr>
              <w:t>根据《建设项目环境风险评价技术导则</w:t>
            </w:r>
            <w:r>
              <w:rPr>
                <w:rFonts w:ascii="Times New Roman" w:hAnsi="Times New Roman"/>
                <w:b w:val="0"/>
                <w:bCs w:val="0"/>
                <w:color w:val="auto"/>
              </w:rPr>
              <w:t>》（HJ169-2018）</w:t>
            </w:r>
            <w:r>
              <w:rPr>
                <w:rFonts w:hint="eastAsia"/>
                <w:b w:val="0"/>
                <w:bCs w:val="0"/>
                <w:color w:val="auto"/>
              </w:rPr>
              <w:t>，项目风险物质为</w:t>
            </w:r>
            <w:r>
              <w:rPr>
                <w:rFonts w:hint="eastAsia"/>
                <w:b w:val="0"/>
                <w:bCs w:val="0"/>
                <w:color w:val="auto"/>
                <w:lang w:eastAsia="zh-CN"/>
              </w:rPr>
              <w:t>废润滑油</w:t>
            </w:r>
            <w:r>
              <w:rPr>
                <w:rFonts w:hint="eastAsia"/>
                <w:b w:val="0"/>
                <w:bCs w:val="0"/>
                <w:color w:val="auto"/>
              </w:rPr>
              <w:t>，采用桶装封盖盛装，项目厂区严禁烟火，严格执行三级动火证制度，加强可燃物料的管理，加强电气、电线保养与防爆等措施，项目火灾风险可以避免。</w:t>
            </w:r>
          </w:p>
          <w:p>
            <w:pPr>
              <w:spacing w:line="360" w:lineRule="auto"/>
              <w:ind w:left="420" w:leftChars="200"/>
              <w:rPr>
                <w:rFonts w:hint="eastAsia"/>
                <w:color w:val="auto"/>
                <w:sz w:val="24"/>
              </w:rPr>
            </w:pPr>
            <w:r>
              <w:rPr>
                <w:rFonts w:hint="eastAsia"/>
                <w:color w:val="auto"/>
                <w:sz w:val="24"/>
              </w:rPr>
              <w:t>（</w:t>
            </w:r>
            <w:r>
              <w:rPr>
                <w:rFonts w:hint="eastAsia"/>
                <w:color w:val="auto"/>
                <w:sz w:val="24"/>
                <w:lang w:val="en-US" w:eastAsia="zh-CN"/>
              </w:rPr>
              <w:t>3</w:t>
            </w:r>
            <w:r>
              <w:rPr>
                <w:rFonts w:hint="eastAsia"/>
                <w:color w:val="auto"/>
                <w:sz w:val="24"/>
              </w:rPr>
              <w:t>）工艺废气风险</w:t>
            </w:r>
          </w:p>
          <w:p>
            <w:pPr>
              <w:spacing w:line="360" w:lineRule="auto"/>
              <w:ind w:firstLine="480" w:firstLineChars="200"/>
              <w:rPr>
                <w:rFonts w:hint="eastAsia"/>
                <w:color w:val="auto"/>
                <w:sz w:val="24"/>
              </w:rPr>
            </w:pPr>
            <w:r>
              <w:rPr>
                <w:rFonts w:hint="eastAsia"/>
                <w:color w:val="auto"/>
                <w:sz w:val="24"/>
              </w:rPr>
              <w:t>项目主要产生颗粒物，如不进行有效的收集治理，超标排放，造成大气环境污染。项目废气处理措施必须委托具有资质的有经验的单位设计、施工。运营时，项目应在开班、交接班前，必须认真检查废气的收集、处理措施，确保达到设计的效率，从而避免废气事故排放对大气环境的影响。如活性炭吸附装置，根据说明书与环评要求定期更换。同时根据监测计划，跟踪监测。</w:t>
            </w:r>
          </w:p>
          <w:p>
            <w:pPr>
              <w:spacing w:line="360" w:lineRule="auto"/>
              <w:ind w:firstLine="480" w:firstLineChars="200"/>
              <w:rPr>
                <w:rFonts w:hint="eastAsia"/>
                <w:color w:val="auto"/>
                <w:sz w:val="24"/>
              </w:rPr>
            </w:pPr>
            <w:r>
              <w:rPr>
                <w:rFonts w:hint="eastAsia"/>
                <w:color w:val="auto"/>
                <w:sz w:val="24"/>
              </w:rPr>
              <w:t>综上，项目在确保废气有效收集，有效处理，确保废气达标排放，项目废气事故排放环境风险较小。</w:t>
            </w:r>
          </w:p>
          <w:p>
            <w:pPr>
              <w:spacing w:line="360" w:lineRule="auto"/>
              <w:ind w:firstLine="480" w:firstLineChars="200"/>
              <w:rPr>
                <w:rFonts w:hint="eastAsia"/>
                <w:color w:val="auto"/>
                <w:sz w:val="24"/>
              </w:rPr>
            </w:pPr>
            <w:r>
              <w:rPr>
                <w:rFonts w:hint="eastAsia"/>
                <w:color w:val="auto"/>
                <w:sz w:val="24"/>
              </w:rPr>
              <w:t>（4）其他风险防范措施</w:t>
            </w:r>
          </w:p>
          <w:p>
            <w:pPr>
              <w:spacing w:line="360" w:lineRule="auto"/>
              <w:ind w:firstLine="480" w:firstLineChars="200"/>
              <w:rPr>
                <w:rFonts w:hint="eastAsia"/>
                <w:b/>
                <w:color w:val="auto"/>
              </w:rPr>
            </w:pPr>
            <w:r>
              <w:rPr>
                <w:rFonts w:hint="eastAsia"/>
                <w:color w:val="auto"/>
                <w:sz w:val="24"/>
              </w:rPr>
              <w:t>项目应全厂严禁烟火，并加强车间、风险源的标识标牌，加强员工培训</w:t>
            </w:r>
            <w:r>
              <w:rPr>
                <w:rFonts w:hint="eastAsia"/>
                <w:color w:val="auto"/>
                <w:sz w:val="24"/>
                <w:lang w:eastAsia="zh-CN"/>
              </w:rPr>
              <w:t>与</w:t>
            </w:r>
            <w:r>
              <w:rPr>
                <w:rFonts w:hint="eastAsia"/>
                <w:color w:val="auto"/>
                <w:sz w:val="24"/>
              </w:rPr>
              <w:t>教育。</w:t>
            </w:r>
          </w:p>
          <w:p>
            <w:pPr>
              <w:spacing w:line="360" w:lineRule="auto"/>
              <w:ind w:firstLine="482" w:firstLineChars="200"/>
              <w:rPr>
                <w:rFonts w:hint="eastAsia"/>
                <w:b/>
                <w:bCs/>
                <w:color w:val="auto"/>
                <w:sz w:val="24"/>
              </w:rPr>
            </w:pPr>
            <w:r>
              <w:rPr>
                <w:rFonts w:hint="eastAsia"/>
                <w:b/>
                <w:bCs/>
                <w:color w:val="auto"/>
                <w:sz w:val="24"/>
              </w:rPr>
              <w:t>7排污口规范化</w:t>
            </w:r>
          </w:p>
          <w:p>
            <w:pPr>
              <w:pStyle w:val="32"/>
              <w:spacing w:line="360" w:lineRule="auto"/>
              <w:ind w:firstLine="480" w:firstLineChars="200"/>
              <w:rPr>
                <w:rFonts w:hint="eastAsia" w:ascii="Times New Roman"/>
                <w:color w:val="auto"/>
                <w:sz w:val="24"/>
                <w:szCs w:val="24"/>
              </w:rPr>
            </w:pPr>
            <w:r>
              <w:rPr>
                <w:rFonts w:ascii="Times New Roman"/>
                <w:color w:val="auto"/>
                <w:sz w:val="24"/>
                <w:szCs w:val="24"/>
              </w:rPr>
              <w:t>根据《环境保护图形标志—排放口（源）》和</w:t>
            </w:r>
            <w:r>
              <w:rPr>
                <w:rFonts w:hint="eastAsia" w:ascii="Times New Roman"/>
                <w:color w:val="auto"/>
                <w:sz w:val="24"/>
                <w:szCs w:val="24"/>
                <w:lang w:eastAsia="zh-CN"/>
              </w:rPr>
              <w:t>《排污口规范化整治要求（试行）》</w:t>
            </w:r>
            <w:r>
              <w:rPr>
                <w:rFonts w:ascii="Times New Roman"/>
                <w:color w:val="auto"/>
                <w:sz w:val="24"/>
                <w:szCs w:val="24"/>
              </w:rPr>
              <w:t>的技术要求，项目得气排放口必须按照“便于采样、便于计量检测、便于日常监督检查”的原则来规范化要求，设置相应的环境保护图形标志</w:t>
            </w:r>
            <w:r>
              <w:rPr>
                <w:rFonts w:hint="eastAsia" w:ascii="Times New Roman"/>
                <w:color w:val="auto"/>
                <w:sz w:val="24"/>
                <w:szCs w:val="24"/>
              </w:rPr>
              <w:t>。</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按照《排污口规范化整治技术要求（试行）</w:t>
            </w:r>
            <w:r>
              <w:rPr>
                <w:rFonts w:hint="eastAsia" w:ascii="Times New Roman"/>
                <w:color w:val="auto"/>
                <w:sz w:val="24"/>
                <w:szCs w:val="24"/>
                <w:lang w:eastAsia="zh-CN"/>
              </w:rPr>
              <w:t>》《</w:t>
            </w:r>
            <w:r>
              <w:rPr>
                <w:rFonts w:hint="eastAsia" w:ascii="Times New Roman"/>
                <w:color w:val="auto"/>
                <w:sz w:val="24"/>
                <w:szCs w:val="24"/>
              </w:rPr>
              <w:t>关于开展排放口规范化整治工作的通知》等文件中有关规定设置与管理废气、废水排放口。</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（1）废气排气筒高度应符合国家大气污染物排放标准的有关规定，应安装采样监测平台，并设置永久采样孔。监测采样孔附近地面醒目处设置环保图形标志牌，标明排气筒高度、出口</w:t>
            </w:r>
            <w:r>
              <w:rPr>
                <w:rFonts w:hint="eastAsia" w:ascii="Times New Roman"/>
                <w:color w:val="auto"/>
                <w:sz w:val="24"/>
                <w:szCs w:val="24"/>
                <w:lang w:eastAsia="zh-CN"/>
              </w:rPr>
              <w:t>内径</w:t>
            </w:r>
            <w:r>
              <w:rPr>
                <w:rFonts w:hint="eastAsia" w:ascii="Times New Roman"/>
                <w:color w:val="auto"/>
                <w:sz w:val="24"/>
                <w:szCs w:val="24"/>
              </w:rPr>
              <w:t>、排放污染物种类等。</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（2）厂区的排水体制必须实施雨污分流制。</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（3）按规定对固定噪声进行治理，噪声设备附近醒目处设置环保图形标志牌。</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 xml:space="preserve">（4）固体废物暂存期间应按固废相关规定加强管理，存放场所严格按照 </w:t>
            </w:r>
            <w:r>
              <w:rPr>
                <w:color w:val="auto"/>
                <w:sz w:val="24"/>
              </w:rPr>
              <w:t>《一般工业固体废物贮存和填埋污染控</w:t>
            </w:r>
            <w:r>
              <w:rPr>
                <w:rFonts w:ascii="Times New Roman"/>
                <w:color w:val="auto"/>
                <w:sz w:val="24"/>
              </w:rPr>
              <w:t>制标准》（GB18599-2020）</w:t>
            </w:r>
            <w:r>
              <w:rPr>
                <w:rFonts w:hint="eastAsia" w:ascii="Times New Roman"/>
                <w:color w:val="auto"/>
                <w:sz w:val="24"/>
                <w:szCs w:val="24"/>
              </w:rPr>
              <w:t>标准要求设计、施工及运行，存放场所边界和进出口位置设置环保标志牌。</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（5）项目建设单位应对上述所有污染排放口的名称、位置、数量，以及排放污染物名称、数量等内容进行统计，以便进行验收和排放口的规范化管理。</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（6）排污口的有关设置（如图形标志牌、计量装置、监控装置等）</w:t>
            </w:r>
            <w:r>
              <w:rPr>
                <w:rFonts w:hint="eastAsia" w:ascii="Times New Roman"/>
                <w:color w:val="auto"/>
                <w:sz w:val="24"/>
                <w:szCs w:val="24"/>
                <w:lang w:eastAsia="zh-CN"/>
              </w:rPr>
              <w:t>属于</w:t>
            </w:r>
            <w:r>
              <w:rPr>
                <w:rFonts w:hint="eastAsia" w:ascii="Times New Roman"/>
                <w:color w:val="auto"/>
                <w:sz w:val="24"/>
                <w:szCs w:val="24"/>
              </w:rPr>
              <w:t>环保设施，排污单位必须负责日常的维护保养，任何单位和个人不得擅自拆除，如需要变更的须报当地环境监理部门同意并办理变更手续。</w:t>
            </w:r>
          </w:p>
          <w:p>
            <w:pPr>
              <w:pStyle w:val="32"/>
              <w:spacing w:line="360" w:lineRule="auto"/>
              <w:ind w:firstLine="480" w:firstLineChars="200"/>
              <w:rPr>
                <w:rFonts w:hint="eastAsia" w:ascii="Times New Roman"/>
                <w:color w:val="auto"/>
                <w:sz w:val="24"/>
                <w:szCs w:val="24"/>
              </w:rPr>
            </w:pPr>
            <w:r>
              <w:rPr>
                <w:rFonts w:hint="eastAsia" w:ascii="Times New Roman"/>
                <w:color w:val="auto"/>
                <w:sz w:val="24"/>
                <w:szCs w:val="24"/>
              </w:rPr>
              <w:t>（7）废气排放口、废水排放口和噪声排放源、固体废物贮存（处置）场图形符号分别为提示图形符号和警告图形符号两种，图形符号的设置按 GB15562.1-1995、GB15562.2-1995 执行。</w:t>
            </w:r>
          </w:p>
          <w:p>
            <w:pPr>
              <w:pStyle w:val="32"/>
              <w:spacing w:line="240" w:lineRule="auto"/>
              <w:ind w:firstLine="422" w:firstLineChars="200"/>
              <w:jc w:val="center"/>
              <w:rPr>
                <w:rFonts w:hint="eastAsia" w:ascii="Times New Roman"/>
                <w:b/>
                <w:bCs/>
                <w:color w:val="auto"/>
                <w:sz w:val="21"/>
                <w:szCs w:val="21"/>
              </w:rPr>
            </w:pPr>
            <w:r>
              <w:rPr>
                <w:rFonts w:hint="eastAsia" w:ascii="Times New Roman"/>
                <w:b/>
                <w:bCs/>
                <w:color w:val="auto"/>
                <w:sz w:val="21"/>
                <w:szCs w:val="21"/>
              </w:rPr>
              <w:t>表4-</w:t>
            </w:r>
            <w:r>
              <w:rPr>
                <w:rFonts w:hint="eastAsia" w:ascii="Times New Roman"/>
                <w:b/>
                <w:bCs/>
                <w:color w:val="auto"/>
                <w:sz w:val="21"/>
                <w:szCs w:val="21"/>
                <w:lang w:val="en-US" w:eastAsia="zh-CN"/>
              </w:rPr>
              <w:t>24</w:t>
            </w:r>
            <w:r>
              <w:rPr>
                <w:rFonts w:hint="eastAsia" w:ascii="Times New Roman"/>
                <w:b/>
                <w:bCs/>
                <w:color w:val="auto"/>
                <w:sz w:val="21"/>
                <w:szCs w:val="21"/>
              </w:rPr>
              <w:t xml:space="preserve"> 环境保护图形标志的形状及颜色表</w:t>
            </w:r>
          </w:p>
          <w:tbl>
            <w:tblPr>
              <w:tblStyle w:val="24"/>
              <w:tblW w:w="8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9"/>
              <w:gridCol w:w="2169"/>
              <w:gridCol w:w="2171"/>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69" w:type="dxa"/>
                  <w:vAlign w:val="top"/>
                </w:tcPr>
                <w:p>
                  <w:pPr>
                    <w:pStyle w:val="32"/>
                    <w:spacing w:line="240" w:lineRule="auto"/>
                    <w:ind w:firstLine="0"/>
                    <w:jc w:val="center"/>
                    <w:rPr>
                      <w:rFonts w:ascii="Times New Roman"/>
                      <w:color w:val="auto"/>
                      <w:sz w:val="21"/>
                      <w:szCs w:val="21"/>
                    </w:rPr>
                  </w:pPr>
                  <w:r>
                    <w:rPr>
                      <w:rFonts w:hint="eastAsia" w:ascii="Times New Roman"/>
                      <w:color w:val="auto"/>
                      <w:sz w:val="21"/>
                      <w:szCs w:val="21"/>
                    </w:rPr>
                    <w:t>标志名称</w:t>
                  </w:r>
                </w:p>
              </w:tc>
              <w:tc>
                <w:tcPr>
                  <w:tcW w:w="2169" w:type="dxa"/>
                  <w:vAlign w:val="top"/>
                </w:tcPr>
                <w:p>
                  <w:pPr>
                    <w:pStyle w:val="32"/>
                    <w:spacing w:line="240" w:lineRule="auto"/>
                    <w:ind w:firstLine="0"/>
                    <w:jc w:val="center"/>
                    <w:rPr>
                      <w:rFonts w:ascii="Times New Roman"/>
                      <w:color w:val="auto"/>
                      <w:sz w:val="21"/>
                      <w:szCs w:val="21"/>
                    </w:rPr>
                  </w:pPr>
                  <w:r>
                    <w:rPr>
                      <w:rFonts w:hint="eastAsia" w:ascii="Times New Roman"/>
                      <w:color w:val="auto"/>
                      <w:sz w:val="21"/>
                      <w:szCs w:val="21"/>
                    </w:rPr>
                    <w:t>形状</w:t>
                  </w:r>
                </w:p>
              </w:tc>
              <w:tc>
                <w:tcPr>
                  <w:tcW w:w="2171" w:type="dxa"/>
                  <w:vAlign w:val="top"/>
                </w:tcPr>
                <w:p>
                  <w:pPr>
                    <w:pStyle w:val="32"/>
                    <w:spacing w:line="240" w:lineRule="auto"/>
                    <w:ind w:firstLine="0"/>
                    <w:jc w:val="center"/>
                    <w:rPr>
                      <w:rFonts w:ascii="Times New Roman"/>
                      <w:color w:val="auto"/>
                      <w:sz w:val="21"/>
                      <w:szCs w:val="21"/>
                    </w:rPr>
                  </w:pPr>
                  <w:r>
                    <w:rPr>
                      <w:rFonts w:hint="eastAsia" w:ascii="Times New Roman"/>
                      <w:color w:val="auto"/>
                      <w:sz w:val="21"/>
                      <w:szCs w:val="21"/>
                    </w:rPr>
                    <w:t>背景颜色</w:t>
                  </w:r>
                </w:p>
              </w:tc>
              <w:tc>
                <w:tcPr>
                  <w:tcW w:w="2172" w:type="dxa"/>
                  <w:vAlign w:val="top"/>
                </w:tcPr>
                <w:p>
                  <w:pPr>
                    <w:pStyle w:val="32"/>
                    <w:spacing w:line="240" w:lineRule="auto"/>
                    <w:ind w:firstLine="0"/>
                    <w:jc w:val="center"/>
                    <w:rPr>
                      <w:rFonts w:ascii="Times New Roman"/>
                      <w:color w:val="auto"/>
                      <w:sz w:val="21"/>
                      <w:szCs w:val="21"/>
                    </w:rPr>
                  </w:pPr>
                  <w:r>
                    <w:rPr>
                      <w:rFonts w:hint="eastAsia" w:ascii="Times New Roman"/>
                      <w:color w:val="auto"/>
                      <w:sz w:val="21"/>
                      <w:szCs w:val="21"/>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69" w:type="dxa"/>
                  <w:vAlign w:val="top"/>
                </w:tcPr>
                <w:p>
                  <w:pPr>
                    <w:pStyle w:val="32"/>
                    <w:spacing w:line="240" w:lineRule="auto"/>
                    <w:ind w:firstLine="0"/>
                    <w:jc w:val="center"/>
                    <w:rPr>
                      <w:rFonts w:ascii="Times New Roman"/>
                      <w:color w:val="auto"/>
                      <w:sz w:val="21"/>
                      <w:szCs w:val="21"/>
                    </w:rPr>
                  </w:pPr>
                  <w:r>
                    <w:rPr>
                      <w:rFonts w:hint="eastAsia" w:ascii="Times New Roman"/>
                      <w:color w:val="auto"/>
                      <w:sz w:val="21"/>
                      <w:szCs w:val="21"/>
                    </w:rPr>
                    <w:t>警告标志</w:t>
                  </w:r>
                </w:p>
              </w:tc>
              <w:tc>
                <w:tcPr>
                  <w:tcW w:w="2169" w:type="dxa"/>
                  <w:vAlign w:val="top"/>
                </w:tcPr>
                <w:p>
                  <w:pPr>
                    <w:pStyle w:val="32"/>
                    <w:spacing w:line="240" w:lineRule="auto"/>
                    <w:ind w:firstLine="0"/>
                    <w:jc w:val="center"/>
                    <w:rPr>
                      <w:rFonts w:ascii="Times New Roman"/>
                      <w:color w:val="auto"/>
                      <w:sz w:val="21"/>
                      <w:szCs w:val="21"/>
                    </w:rPr>
                  </w:pPr>
                  <w:r>
                    <w:rPr>
                      <w:rFonts w:ascii="Times New Roman"/>
                      <w:color w:val="auto"/>
                      <w:sz w:val="21"/>
                      <w:szCs w:val="21"/>
                    </w:rPr>
                    <w:t>三角形边框</w:t>
                  </w:r>
                </w:p>
              </w:tc>
              <w:tc>
                <w:tcPr>
                  <w:tcW w:w="2171" w:type="dxa"/>
                  <w:vAlign w:val="top"/>
                </w:tcPr>
                <w:p>
                  <w:pPr>
                    <w:pStyle w:val="32"/>
                    <w:spacing w:line="240" w:lineRule="auto"/>
                    <w:ind w:firstLine="0"/>
                    <w:jc w:val="center"/>
                    <w:rPr>
                      <w:rFonts w:ascii="Times New Roman"/>
                      <w:color w:val="auto"/>
                      <w:sz w:val="21"/>
                      <w:szCs w:val="21"/>
                    </w:rPr>
                  </w:pPr>
                  <w:r>
                    <w:rPr>
                      <w:rFonts w:ascii="Times New Roman"/>
                      <w:color w:val="auto"/>
                      <w:sz w:val="21"/>
                      <w:szCs w:val="21"/>
                    </w:rPr>
                    <w:t>黄色</w:t>
                  </w:r>
                </w:p>
              </w:tc>
              <w:tc>
                <w:tcPr>
                  <w:tcW w:w="2172" w:type="dxa"/>
                  <w:vAlign w:val="top"/>
                </w:tcPr>
                <w:p>
                  <w:pPr>
                    <w:pStyle w:val="32"/>
                    <w:spacing w:line="240" w:lineRule="auto"/>
                    <w:ind w:firstLine="0"/>
                    <w:jc w:val="center"/>
                    <w:rPr>
                      <w:rFonts w:ascii="Times New Roman"/>
                      <w:color w:val="auto"/>
                      <w:sz w:val="21"/>
                      <w:szCs w:val="21"/>
                    </w:rPr>
                  </w:pPr>
                  <w:r>
                    <w:rPr>
                      <w:rFonts w:hint="eastAsia" w:ascii="Times New Roman"/>
                      <w:color w:val="auto"/>
                      <w:sz w:val="21"/>
                      <w:szCs w:val="21"/>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69" w:type="dxa"/>
                  <w:vAlign w:val="top"/>
                </w:tcPr>
                <w:p>
                  <w:pPr>
                    <w:pStyle w:val="32"/>
                    <w:spacing w:line="240" w:lineRule="auto"/>
                    <w:ind w:firstLine="0"/>
                    <w:jc w:val="center"/>
                    <w:rPr>
                      <w:rFonts w:ascii="Times New Roman"/>
                      <w:color w:val="auto"/>
                      <w:sz w:val="21"/>
                      <w:szCs w:val="21"/>
                    </w:rPr>
                  </w:pPr>
                  <w:r>
                    <w:rPr>
                      <w:rFonts w:ascii="Times New Roman"/>
                      <w:color w:val="auto"/>
                      <w:sz w:val="21"/>
                      <w:szCs w:val="21"/>
                    </w:rPr>
                    <w:t>提示标志</w:t>
                  </w:r>
                </w:p>
              </w:tc>
              <w:tc>
                <w:tcPr>
                  <w:tcW w:w="2169" w:type="dxa"/>
                  <w:vAlign w:val="top"/>
                </w:tcPr>
                <w:p>
                  <w:pPr>
                    <w:pStyle w:val="32"/>
                    <w:spacing w:line="240" w:lineRule="auto"/>
                    <w:ind w:firstLine="0"/>
                    <w:jc w:val="center"/>
                    <w:rPr>
                      <w:rFonts w:ascii="Times New Roman"/>
                      <w:color w:val="auto"/>
                      <w:sz w:val="21"/>
                      <w:szCs w:val="21"/>
                    </w:rPr>
                  </w:pPr>
                  <w:r>
                    <w:rPr>
                      <w:rFonts w:ascii="Times New Roman"/>
                      <w:color w:val="auto"/>
                      <w:sz w:val="21"/>
                      <w:szCs w:val="21"/>
                    </w:rPr>
                    <w:t>正方形边框</w:t>
                  </w:r>
                </w:p>
              </w:tc>
              <w:tc>
                <w:tcPr>
                  <w:tcW w:w="2171" w:type="dxa"/>
                  <w:vAlign w:val="top"/>
                </w:tcPr>
                <w:p>
                  <w:pPr>
                    <w:pStyle w:val="32"/>
                    <w:spacing w:line="240" w:lineRule="auto"/>
                    <w:ind w:firstLine="0"/>
                    <w:jc w:val="center"/>
                    <w:rPr>
                      <w:rFonts w:ascii="Times New Roman"/>
                      <w:color w:val="auto"/>
                      <w:sz w:val="21"/>
                      <w:szCs w:val="21"/>
                    </w:rPr>
                  </w:pPr>
                  <w:r>
                    <w:rPr>
                      <w:rFonts w:ascii="Times New Roman"/>
                      <w:color w:val="auto"/>
                      <w:sz w:val="21"/>
                      <w:szCs w:val="21"/>
                    </w:rPr>
                    <w:t>绿色</w:t>
                  </w:r>
                </w:p>
              </w:tc>
              <w:tc>
                <w:tcPr>
                  <w:tcW w:w="2172" w:type="dxa"/>
                  <w:vAlign w:val="top"/>
                </w:tcPr>
                <w:p>
                  <w:pPr>
                    <w:pStyle w:val="32"/>
                    <w:spacing w:line="240" w:lineRule="auto"/>
                    <w:ind w:firstLine="0"/>
                    <w:jc w:val="center"/>
                    <w:rPr>
                      <w:rFonts w:ascii="Times New Roman"/>
                      <w:color w:val="auto"/>
                      <w:sz w:val="21"/>
                      <w:szCs w:val="21"/>
                    </w:rPr>
                  </w:pPr>
                  <w:r>
                    <w:rPr>
                      <w:rFonts w:hint="eastAsia" w:ascii="Times New Roman"/>
                      <w:color w:val="auto"/>
                      <w:sz w:val="21"/>
                      <w:szCs w:val="21"/>
                    </w:rPr>
                    <w:t>白色</w:t>
                  </w:r>
                </w:p>
              </w:tc>
            </w:tr>
          </w:tbl>
          <w:p>
            <w:pPr>
              <w:pStyle w:val="32"/>
              <w:spacing w:line="240" w:lineRule="auto"/>
              <w:ind w:firstLine="422" w:firstLineChars="200"/>
              <w:jc w:val="center"/>
              <w:rPr>
                <w:rFonts w:hint="eastAsia" w:ascii="Times New Roman"/>
                <w:b/>
                <w:bCs/>
                <w:color w:val="auto"/>
                <w:sz w:val="21"/>
                <w:szCs w:val="21"/>
              </w:rPr>
            </w:pPr>
            <w:r>
              <w:rPr>
                <w:rFonts w:hint="eastAsia" w:ascii="Times New Roman"/>
                <w:b/>
                <w:bCs/>
                <w:color w:val="auto"/>
                <w:sz w:val="21"/>
                <w:szCs w:val="21"/>
              </w:rPr>
              <w:t>表4-</w:t>
            </w:r>
            <w:r>
              <w:rPr>
                <w:rFonts w:hint="eastAsia" w:ascii="Times New Roman"/>
                <w:b/>
                <w:bCs/>
                <w:color w:val="auto"/>
                <w:sz w:val="21"/>
                <w:szCs w:val="21"/>
                <w:lang w:val="en-US" w:eastAsia="zh-CN"/>
              </w:rPr>
              <w:t>25</w:t>
            </w:r>
            <w:r>
              <w:rPr>
                <w:rFonts w:hint="eastAsia" w:ascii="Times New Roman"/>
                <w:b/>
                <w:bCs/>
                <w:color w:val="auto"/>
                <w:sz w:val="21"/>
                <w:szCs w:val="21"/>
              </w:rPr>
              <w:t>环境保护图形符号一览表</w:t>
            </w:r>
          </w:p>
          <w:tbl>
            <w:tblPr>
              <w:tblStyle w:val="24"/>
              <w:tblW w:w="8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986"/>
              <w:gridCol w:w="2790"/>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序号</w:t>
                  </w:r>
                </w:p>
              </w:tc>
              <w:tc>
                <w:tcPr>
                  <w:tcW w:w="2986"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提示图形符号</w:t>
                  </w:r>
                </w:p>
              </w:tc>
              <w:tc>
                <w:tcPr>
                  <w:tcW w:w="2790"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警告图形符号</w:t>
                  </w:r>
                </w:p>
              </w:tc>
              <w:tc>
                <w:tcPr>
                  <w:tcW w:w="2140"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1</w:t>
                  </w:r>
                </w:p>
              </w:tc>
              <w:tc>
                <w:tcPr>
                  <w:tcW w:w="2986" w:type="dxa"/>
                  <w:vAlign w:val="center"/>
                </w:tcPr>
                <w:p>
                  <w:pPr>
                    <w:pStyle w:val="32"/>
                    <w:spacing w:line="240" w:lineRule="auto"/>
                    <w:ind w:firstLine="0"/>
                    <w:jc w:val="center"/>
                    <w:rPr>
                      <w:rFonts w:ascii="Times New Roman"/>
                      <w:color w:val="auto"/>
                      <w:sz w:val="21"/>
                      <w:szCs w:val="21"/>
                    </w:rPr>
                  </w:pPr>
                  <w:r>
                    <w:rPr>
                      <w:color w:val="auto"/>
                    </w:rPr>
                    <w:drawing>
                      <wp:inline distT="0" distB="0" distL="114300" distR="114300">
                        <wp:extent cx="1468755" cy="1026160"/>
                        <wp:effectExtent l="0" t="0" r="17145" b="254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1"/>
                                <a:stretch>
                                  <a:fillRect/>
                                </a:stretch>
                              </pic:blipFill>
                              <pic:spPr>
                                <a:xfrm>
                                  <a:off x="0" y="0"/>
                                  <a:ext cx="1468755" cy="1026160"/>
                                </a:xfrm>
                                <a:prstGeom prst="rect">
                                  <a:avLst/>
                                </a:prstGeom>
                                <a:noFill/>
                                <a:ln>
                                  <a:noFill/>
                                </a:ln>
                              </pic:spPr>
                            </pic:pic>
                          </a:graphicData>
                        </a:graphic>
                      </wp:inline>
                    </w:drawing>
                  </w:r>
                </w:p>
              </w:tc>
              <w:tc>
                <w:tcPr>
                  <w:tcW w:w="2790" w:type="dxa"/>
                  <w:vAlign w:val="center"/>
                </w:tcPr>
                <w:p>
                  <w:pPr>
                    <w:pStyle w:val="32"/>
                    <w:spacing w:line="240" w:lineRule="auto"/>
                    <w:ind w:firstLine="0"/>
                    <w:jc w:val="center"/>
                    <w:rPr>
                      <w:rFonts w:ascii="Times New Roman"/>
                      <w:color w:val="auto"/>
                      <w:sz w:val="21"/>
                      <w:szCs w:val="21"/>
                    </w:rPr>
                  </w:pPr>
                  <w:r>
                    <w:rPr>
                      <w:color w:val="auto"/>
                    </w:rPr>
                    <w:drawing>
                      <wp:inline distT="0" distB="0" distL="114300" distR="114300">
                        <wp:extent cx="1568450" cy="1062355"/>
                        <wp:effectExtent l="0" t="0" r="12700" b="4445"/>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32"/>
                                <a:srcRect l="6343" r="5602"/>
                                <a:stretch>
                                  <a:fillRect/>
                                </a:stretch>
                              </pic:blipFill>
                              <pic:spPr>
                                <a:xfrm>
                                  <a:off x="0" y="0"/>
                                  <a:ext cx="1568450" cy="1062355"/>
                                </a:xfrm>
                                <a:prstGeom prst="rect">
                                  <a:avLst/>
                                </a:prstGeom>
                                <a:noFill/>
                                <a:ln>
                                  <a:noFill/>
                                </a:ln>
                              </pic:spPr>
                            </pic:pic>
                          </a:graphicData>
                        </a:graphic>
                      </wp:inline>
                    </w:drawing>
                  </w:r>
                </w:p>
              </w:tc>
              <w:tc>
                <w:tcPr>
                  <w:tcW w:w="2140"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废气排放口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2</w:t>
                  </w:r>
                </w:p>
              </w:tc>
              <w:tc>
                <w:tcPr>
                  <w:tcW w:w="2986" w:type="dxa"/>
                  <w:vAlign w:val="center"/>
                </w:tcPr>
                <w:p>
                  <w:pPr>
                    <w:pStyle w:val="32"/>
                    <w:spacing w:line="240" w:lineRule="auto"/>
                    <w:ind w:firstLine="0"/>
                    <w:jc w:val="center"/>
                    <w:rPr>
                      <w:color w:val="auto"/>
                    </w:rPr>
                  </w:pPr>
                  <w:r>
                    <w:rPr>
                      <w:color w:val="auto"/>
                    </w:rPr>
                    <w:drawing>
                      <wp:inline distT="0" distB="0" distL="114300" distR="114300">
                        <wp:extent cx="1438275" cy="1207135"/>
                        <wp:effectExtent l="0" t="0" r="9525" b="12065"/>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33"/>
                                <a:srcRect t="10751"/>
                                <a:stretch>
                                  <a:fillRect/>
                                </a:stretch>
                              </pic:blipFill>
                              <pic:spPr>
                                <a:xfrm>
                                  <a:off x="0" y="0"/>
                                  <a:ext cx="1438275" cy="1207135"/>
                                </a:xfrm>
                                <a:prstGeom prst="rect">
                                  <a:avLst/>
                                </a:prstGeom>
                                <a:noFill/>
                                <a:ln>
                                  <a:noFill/>
                                </a:ln>
                              </pic:spPr>
                            </pic:pic>
                          </a:graphicData>
                        </a:graphic>
                      </wp:inline>
                    </w:drawing>
                  </w:r>
                </w:p>
              </w:tc>
              <w:tc>
                <w:tcPr>
                  <w:tcW w:w="2790" w:type="dxa"/>
                  <w:vAlign w:val="center"/>
                </w:tcPr>
                <w:p>
                  <w:pPr>
                    <w:pStyle w:val="32"/>
                    <w:spacing w:line="240" w:lineRule="auto"/>
                    <w:ind w:firstLine="0"/>
                    <w:jc w:val="center"/>
                    <w:rPr>
                      <w:rFonts w:hint="eastAsia"/>
                      <w:color w:val="auto"/>
                    </w:rPr>
                  </w:pPr>
                  <w:r>
                    <w:rPr>
                      <w:rFonts w:hint="eastAsia"/>
                      <w:color w:val="auto"/>
                    </w:rPr>
                    <w:t>/</w:t>
                  </w:r>
                </w:p>
              </w:tc>
              <w:tc>
                <w:tcPr>
                  <w:tcW w:w="2140"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雨水排放口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3</w:t>
                  </w:r>
                </w:p>
              </w:tc>
              <w:tc>
                <w:tcPr>
                  <w:tcW w:w="2986" w:type="dxa"/>
                  <w:vAlign w:val="center"/>
                </w:tcPr>
                <w:p>
                  <w:pPr>
                    <w:pStyle w:val="32"/>
                    <w:spacing w:line="240" w:lineRule="auto"/>
                    <w:ind w:firstLine="0"/>
                    <w:jc w:val="center"/>
                    <w:rPr>
                      <w:rFonts w:ascii="Times New Roman"/>
                      <w:color w:val="auto"/>
                      <w:sz w:val="21"/>
                      <w:szCs w:val="21"/>
                    </w:rPr>
                  </w:pPr>
                  <w:r>
                    <w:rPr>
                      <w:color w:val="auto"/>
                    </w:rPr>
                    <w:drawing>
                      <wp:inline distT="0" distB="0" distL="114300" distR="114300">
                        <wp:extent cx="1447800" cy="1067435"/>
                        <wp:effectExtent l="0" t="0" r="0" b="18415"/>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34"/>
                                <a:srcRect t="6995" b="12019"/>
                                <a:stretch>
                                  <a:fillRect/>
                                </a:stretch>
                              </pic:blipFill>
                              <pic:spPr>
                                <a:xfrm>
                                  <a:off x="0" y="0"/>
                                  <a:ext cx="1447800" cy="1067435"/>
                                </a:xfrm>
                                <a:prstGeom prst="rect">
                                  <a:avLst/>
                                </a:prstGeom>
                                <a:noFill/>
                                <a:ln>
                                  <a:noFill/>
                                </a:ln>
                              </pic:spPr>
                            </pic:pic>
                          </a:graphicData>
                        </a:graphic>
                      </wp:inline>
                    </w:drawing>
                  </w:r>
                </w:p>
              </w:tc>
              <w:tc>
                <w:tcPr>
                  <w:tcW w:w="2790" w:type="dxa"/>
                  <w:vAlign w:val="center"/>
                </w:tcPr>
                <w:p>
                  <w:pPr>
                    <w:pStyle w:val="32"/>
                    <w:spacing w:line="240" w:lineRule="auto"/>
                    <w:ind w:firstLine="0"/>
                    <w:jc w:val="center"/>
                    <w:rPr>
                      <w:rFonts w:ascii="Times New Roman"/>
                      <w:color w:val="auto"/>
                      <w:sz w:val="21"/>
                      <w:szCs w:val="21"/>
                    </w:rPr>
                  </w:pPr>
                  <w:r>
                    <w:rPr>
                      <w:color w:val="auto"/>
                    </w:rPr>
                    <w:drawing>
                      <wp:inline distT="0" distB="0" distL="114300" distR="114300">
                        <wp:extent cx="1541145" cy="1104265"/>
                        <wp:effectExtent l="0" t="0" r="1905" b="635"/>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35"/>
                                <a:stretch>
                                  <a:fillRect/>
                                </a:stretch>
                              </pic:blipFill>
                              <pic:spPr>
                                <a:xfrm>
                                  <a:off x="0" y="0"/>
                                  <a:ext cx="1541145" cy="1104265"/>
                                </a:xfrm>
                                <a:prstGeom prst="rect">
                                  <a:avLst/>
                                </a:prstGeom>
                                <a:noFill/>
                                <a:ln>
                                  <a:noFill/>
                                </a:ln>
                              </pic:spPr>
                            </pic:pic>
                          </a:graphicData>
                        </a:graphic>
                      </wp:inline>
                    </w:drawing>
                  </w:r>
                </w:p>
              </w:tc>
              <w:tc>
                <w:tcPr>
                  <w:tcW w:w="2140"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噪声排放源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4</w:t>
                  </w:r>
                </w:p>
              </w:tc>
              <w:tc>
                <w:tcPr>
                  <w:tcW w:w="2986" w:type="dxa"/>
                  <w:vAlign w:val="center"/>
                </w:tcPr>
                <w:p>
                  <w:pPr>
                    <w:pStyle w:val="32"/>
                    <w:spacing w:line="240" w:lineRule="auto"/>
                    <w:ind w:firstLine="0"/>
                    <w:jc w:val="center"/>
                    <w:rPr>
                      <w:color w:val="auto"/>
                    </w:rPr>
                  </w:pPr>
                  <w:r>
                    <w:rPr>
                      <w:color w:val="auto"/>
                    </w:rPr>
                    <w:drawing>
                      <wp:inline distT="0" distB="0" distL="114300" distR="114300">
                        <wp:extent cx="1439545" cy="1285875"/>
                        <wp:effectExtent l="0" t="0" r="8255" b="9525"/>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36"/>
                                <a:stretch>
                                  <a:fillRect/>
                                </a:stretch>
                              </pic:blipFill>
                              <pic:spPr>
                                <a:xfrm>
                                  <a:off x="0" y="0"/>
                                  <a:ext cx="1439545" cy="1285875"/>
                                </a:xfrm>
                                <a:prstGeom prst="rect">
                                  <a:avLst/>
                                </a:prstGeom>
                                <a:noFill/>
                                <a:ln>
                                  <a:noFill/>
                                </a:ln>
                              </pic:spPr>
                            </pic:pic>
                          </a:graphicData>
                        </a:graphic>
                      </wp:inline>
                    </w:drawing>
                  </w:r>
                </w:p>
              </w:tc>
              <w:tc>
                <w:tcPr>
                  <w:tcW w:w="2790" w:type="dxa"/>
                  <w:vAlign w:val="center"/>
                </w:tcPr>
                <w:p>
                  <w:pPr>
                    <w:pStyle w:val="32"/>
                    <w:spacing w:line="240" w:lineRule="auto"/>
                    <w:ind w:firstLine="0"/>
                    <w:jc w:val="center"/>
                    <w:rPr>
                      <w:color w:val="auto"/>
                    </w:rPr>
                  </w:pPr>
                  <w:r>
                    <w:rPr>
                      <w:color w:val="auto"/>
                    </w:rPr>
                    <w:drawing>
                      <wp:inline distT="0" distB="0" distL="114300" distR="114300">
                        <wp:extent cx="1542415" cy="1102995"/>
                        <wp:effectExtent l="0" t="0" r="635" b="190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37"/>
                                <a:stretch>
                                  <a:fillRect/>
                                </a:stretch>
                              </pic:blipFill>
                              <pic:spPr>
                                <a:xfrm>
                                  <a:off x="0" y="0"/>
                                  <a:ext cx="1542415" cy="1102995"/>
                                </a:xfrm>
                                <a:prstGeom prst="rect">
                                  <a:avLst/>
                                </a:prstGeom>
                                <a:noFill/>
                                <a:ln>
                                  <a:noFill/>
                                </a:ln>
                              </pic:spPr>
                            </pic:pic>
                          </a:graphicData>
                        </a:graphic>
                      </wp:inline>
                    </w:drawing>
                  </w:r>
                </w:p>
              </w:tc>
              <w:tc>
                <w:tcPr>
                  <w:tcW w:w="2140"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5</w:t>
                  </w:r>
                </w:p>
              </w:tc>
              <w:tc>
                <w:tcPr>
                  <w:tcW w:w="2986" w:type="dxa"/>
                  <w:vAlign w:val="center"/>
                </w:tcPr>
                <w:p>
                  <w:pPr>
                    <w:pStyle w:val="32"/>
                    <w:spacing w:line="240" w:lineRule="auto"/>
                    <w:ind w:firstLine="0"/>
                    <w:jc w:val="center"/>
                    <w:rPr>
                      <w:rFonts w:hint="eastAsia"/>
                      <w:color w:val="auto"/>
                    </w:rPr>
                  </w:pPr>
                  <w:r>
                    <w:rPr>
                      <w:rFonts w:hint="eastAsia"/>
                      <w:color w:val="auto"/>
                    </w:rPr>
                    <w:t>/</w:t>
                  </w:r>
                </w:p>
              </w:tc>
              <w:tc>
                <w:tcPr>
                  <w:tcW w:w="2790" w:type="dxa"/>
                  <w:vAlign w:val="center"/>
                </w:tcPr>
                <w:p>
                  <w:pPr>
                    <w:pStyle w:val="32"/>
                    <w:spacing w:line="240" w:lineRule="auto"/>
                    <w:ind w:firstLine="0"/>
                    <w:jc w:val="center"/>
                    <w:rPr>
                      <w:color w:val="auto"/>
                    </w:rPr>
                  </w:pPr>
                  <w:r>
                    <w:rPr>
                      <w:color w:val="auto"/>
                    </w:rPr>
                    <w:drawing>
                      <wp:inline distT="0" distB="0" distL="114300" distR="114300">
                        <wp:extent cx="1295400" cy="1323975"/>
                        <wp:effectExtent l="0" t="0" r="0" b="9525"/>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38"/>
                                <a:srcRect t="3917" b="9209"/>
                                <a:stretch>
                                  <a:fillRect/>
                                </a:stretch>
                              </pic:blipFill>
                              <pic:spPr>
                                <a:xfrm>
                                  <a:off x="0" y="0"/>
                                  <a:ext cx="1295400" cy="1323975"/>
                                </a:xfrm>
                                <a:prstGeom prst="rect">
                                  <a:avLst/>
                                </a:prstGeom>
                                <a:noFill/>
                                <a:ln>
                                  <a:noFill/>
                                </a:ln>
                              </pic:spPr>
                            </pic:pic>
                          </a:graphicData>
                        </a:graphic>
                      </wp:inline>
                    </w:drawing>
                  </w:r>
                </w:p>
              </w:tc>
              <w:tc>
                <w:tcPr>
                  <w:tcW w:w="2140" w:type="dxa"/>
                  <w:vAlign w:val="center"/>
                </w:tcPr>
                <w:p>
                  <w:pPr>
                    <w:pStyle w:val="32"/>
                    <w:spacing w:line="240" w:lineRule="auto"/>
                    <w:ind w:firstLine="0"/>
                    <w:jc w:val="center"/>
                    <w:rPr>
                      <w:rFonts w:ascii="Times New Roman"/>
                      <w:color w:val="auto"/>
                      <w:sz w:val="21"/>
                      <w:szCs w:val="21"/>
                    </w:rPr>
                  </w:pPr>
                  <w:r>
                    <w:rPr>
                      <w:rFonts w:hint="eastAsia" w:ascii="Times New Roman"/>
                      <w:color w:val="auto"/>
                      <w:sz w:val="21"/>
                      <w:szCs w:val="21"/>
                    </w:rPr>
                    <w:t>危险废物</w:t>
                  </w:r>
                </w:p>
              </w:tc>
            </w:tr>
          </w:tbl>
          <w:p>
            <w:pPr>
              <w:spacing w:line="360" w:lineRule="auto"/>
              <w:rPr>
                <w:rFonts w:hint="eastAsia"/>
                <w:b/>
                <w:bCs/>
                <w:color w:val="auto"/>
                <w:sz w:val="24"/>
              </w:rPr>
            </w:pPr>
          </w:p>
          <w:p>
            <w:pPr>
              <w:spacing w:line="360" w:lineRule="auto"/>
              <w:ind w:firstLine="482" w:firstLineChars="200"/>
              <w:rPr>
                <w:b/>
                <w:bCs/>
                <w:color w:val="auto"/>
                <w:sz w:val="24"/>
              </w:rPr>
            </w:pPr>
            <w:r>
              <w:rPr>
                <w:rFonts w:hint="eastAsia"/>
                <w:b/>
                <w:bCs/>
                <w:color w:val="auto"/>
                <w:sz w:val="24"/>
              </w:rPr>
              <w:t>8</w:t>
            </w:r>
            <w:r>
              <w:rPr>
                <w:b/>
                <w:bCs/>
                <w:color w:val="auto"/>
                <w:sz w:val="24"/>
              </w:rPr>
              <w:t>环保投资估算</w:t>
            </w:r>
          </w:p>
          <w:p>
            <w:pPr>
              <w:spacing w:line="360" w:lineRule="auto"/>
              <w:ind w:firstLine="480" w:firstLineChars="200"/>
              <w:rPr>
                <w:color w:val="auto"/>
                <w:sz w:val="24"/>
              </w:rPr>
            </w:pPr>
            <w:r>
              <w:rPr>
                <w:rFonts w:hint="eastAsia"/>
                <w:color w:val="auto"/>
                <w:sz w:val="24"/>
              </w:rPr>
              <w:t>本项目</w:t>
            </w:r>
            <w:r>
              <w:rPr>
                <w:color w:val="auto"/>
                <w:sz w:val="24"/>
              </w:rPr>
              <w:t>总投资</w:t>
            </w:r>
            <w:r>
              <w:rPr>
                <w:rFonts w:hint="eastAsia"/>
                <w:color w:val="auto"/>
                <w:sz w:val="24"/>
                <w:lang w:val="en-US" w:eastAsia="zh-CN"/>
              </w:rPr>
              <w:t>2000</w:t>
            </w:r>
            <w:r>
              <w:rPr>
                <w:color w:val="auto"/>
                <w:sz w:val="24"/>
              </w:rPr>
              <w:t>万元，其中环保投资约</w:t>
            </w:r>
            <w:r>
              <w:rPr>
                <w:rFonts w:hint="eastAsia"/>
                <w:color w:val="auto"/>
                <w:sz w:val="24"/>
                <w:lang w:val="en-US" w:eastAsia="zh-CN"/>
              </w:rPr>
              <w:t>28</w:t>
            </w:r>
            <w:r>
              <w:rPr>
                <w:color w:val="auto"/>
                <w:sz w:val="24"/>
              </w:rPr>
              <w:t>万元，占项目总投资的</w:t>
            </w:r>
            <w:r>
              <w:rPr>
                <w:rFonts w:hint="eastAsia"/>
                <w:color w:val="auto"/>
                <w:sz w:val="24"/>
                <w:lang w:val="en-US" w:eastAsia="zh-CN"/>
              </w:rPr>
              <w:t>1.4</w:t>
            </w:r>
            <w:r>
              <w:rPr>
                <w:color w:val="auto"/>
                <w:sz w:val="24"/>
              </w:rPr>
              <w:t>%。具体如下表所示。</w:t>
            </w:r>
          </w:p>
          <w:p>
            <w:pPr>
              <w:autoSpaceDE w:val="0"/>
              <w:autoSpaceDN w:val="0"/>
              <w:adjustRightInd w:val="0"/>
              <w:jc w:val="center"/>
              <w:rPr>
                <w:b/>
                <w:color w:val="auto"/>
                <w:szCs w:val="21"/>
              </w:rPr>
            </w:pPr>
            <w:r>
              <w:rPr>
                <w:b/>
                <w:color w:val="auto"/>
                <w:szCs w:val="21"/>
              </w:rPr>
              <w:t>表</w:t>
            </w:r>
            <w:r>
              <w:rPr>
                <w:rFonts w:hint="eastAsia"/>
                <w:b/>
                <w:color w:val="auto"/>
                <w:szCs w:val="21"/>
              </w:rPr>
              <w:t>4-</w:t>
            </w:r>
            <w:r>
              <w:rPr>
                <w:rFonts w:hint="eastAsia"/>
                <w:b/>
                <w:color w:val="auto"/>
                <w:szCs w:val="21"/>
                <w:lang w:val="en-US" w:eastAsia="zh-CN"/>
              </w:rPr>
              <w:t>26</w:t>
            </w:r>
            <w:r>
              <w:rPr>
                <w:rFonts w:hint="eastAsia"/>
                <w:b/>
                <w:color w:val="auto"/>
                <w:szCs w:val="21"/>
              </w:rPr>
              <w:t xml:space="preserve"> </w:t>
            </w:r>
            <w:r>
              <w:rPr>
                <w:b/>
                <w:color w:val="auto"/>
                <w:szCs w:val="21"/>
              </w:rPr>
              <w:t>环保设施及环保投资一览表</w:t>
            </w:r>
          </w:p>
          <w:tbl>
            <w:tblPr>
              <w:tblStyle w:val="24"/>
              <w:tblW w:w="8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337"/>
              <w:gridCol w:w="4821"/>
              <w:gridCol w:w="1094"/>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497" w:type="dxa"/>
                  <w:vAlign w:val="center"/>
                </w:tcPr>
                <w:p>
                  <w:pPr>
                    <w:adjustRightInd w:val="0"/>
                    <w:snapToGrid w:val="0"/>
                    <w:jc w:val="center"/>
                    <w:rPr>
                      <w:b/>
                      <w:color w:val="auto"/>
                      <w:szCs w:val="21"/>
                    </w:rPr>
                  </w:pPr>
                  <w:r>
                    <w:rPr>
                      <w:rFonts w:hint="eastAsia"/>
                      <w:b/>
                      <w:color w:val="auto"/>
                      <w:szCs w:val="21"/>
                    </w:rPr>
                    <w:t>类别</w:t>
                  </w:r>
                </w:p>
              </w:tc>
              <w:tc>
                <w:tcPr>
                  <w:tcW w:w="1337" w:type="dxa"/>
                  <w:vAlign w:val="center"/>
                </w:tcPr>
                <w:p>
                  <w:pPr>
                    <w:adjustRightInd w:val="0"/>
                    <w:snapToGrid w:val="0"/>
                    <w:jc w:val="center"/>
                    <w:rPr>
                      <w:b/>
                      <w:color w:val="auto"/>
                      <w:szCs w:val="21"/>
                    </w:rPr>
                  </w:pPr>
                  <w:r>
                    <w:rPr>
                      <w:rFonts w:hint="eastAsia"/>
                      <w:b/>
                      <w:color w:val="auto"/>
                      <w:szCs w:val="21"/>
                    </w:rPr>
                    <w:t>污染源</w:t>
                  </w:r>
                </w:p>
              </w:tc>
              <w:tc>
                <w:tcPr>
                  <w:tcW w:w="4821" w:type="dxa"/>
                  <w:vAlign w:val="center"/>
                </w:tcPr>
                <w:p>
                  <w:pPr>
                    <w:adjustRightInd w:val="0"/>
                    <w:snapToGrid w:val="0"/>
                    <w:jc w:val="center"/>
                    <w:rPr>
                      <w:b/>
                      <w:color w:val="auto"/>
                      <w:szCs w:val="21"/>
                    </w:rPr>
                  </w:pPr>
                  <w:r>
                    <w:rPr>
                      <w:b/>
                      <w:color w:val="auto"/>
                      <w:szCs w:val="21"/>
                    </w:rPr>
                    <w:t>治理措施</w:t>
                  </w:r>
                </w:p>
              </w:tc>
              <w:tc>
                <w:tcPr>
                  <w:tcW w:w="1094" w:type="dxa"/>
                  <w:vAlign w:val="center"/>
                </w:tcPr>
                <w:p>
                  <w:pPr>
                    <w:adjustRightInd w:val="0"/>
                    <w:snapToGrid w:val="0"/>
                    <w:jc w:val="center"/>
                    <w:rPr>
                      <w:b/>
                      <w:color w:val="auto"/>
                      <w:szCs w:val="21"/>
                    </w:rPr>
                  </w:pPr>
                  <w:r>
                    <w:rPr>
                      <w:b/>
                      <w:color w:val="auto"/>
                      <w:szCs w:val="21"/>
                    </w:rPr>
                    <w:t>投资</w:t>
                  </w:r>
                </w:p>
                <w:p>
                  <w:pPr>
                    <w:adjustRightInd w:val="0"/>
                    <w:snapToGrid w:val="0"/>
                    <w:jc w:val="center"/>
                    <w:rPr>
                      <w:b/>
                      <w:color w:val="auto"/>
                      <w:szCs w:val="21"/>
                    </w:rPr>
                  </w:pPr>
                  <w:r>
                    <w:rPr>
                      <w:b/>
                      <w:color w:val="auto"/>
                      <w:szCs w:val="21"/>
                    </w:rPr>
                    <w:t>（万元）</w:t>
                  </w:r>
                </w:p>
              </w:tc>
              <w:tc>
                <w:tcPr>
                  <w:tcW w:w="925" w:type="dxa"/>
                  <w:vAlign w:val="center"/>
                </w:tcPr>
                <w:p>
                  <w:pPr>
                    <w:adjustRightInd w:val="0"/>
                    <w:snapToGrid w:val="0"/>
                    <w:jc w:val="center"/>
                    <w:rPr>
                      <w:rFonts w:hint="eastAsia"/>
                      <w:b/>
                      <w:color w:val="auto"/>
                      <w:szCs w:val="21"/>
                    </w:rPr>
                  </w:pPr>
                  <w:r>
                    <w:rPr>
                      <w:rFonts w:hint="eastAsia"/>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497" w:type="dxa"/>
                  <w:vMerge w:val="restart"/>
                  <w:vAlign w:val="center"/>
                </w:tcPr>
                <w:p>
                  <w:pPr>
                    <w:adjustRightInd w:val="0"/>
                    <w:snapToGrid w:val="0"/>
                    <w:jc w:val="center"/>
                    <w:rPr>
                      <w:color w:val="auto"/>
                      <w:szCs w:val="21"/>
                    </w:rPr>
                  </w:pPr>
                  <w:r>
                    <w:rPr>
                      <w:rFonts w:hint="eastAsia"/>
                      <w:color w:val="auto"/>
                      <w:szCs w:val="21"/>
                    </w:rPr>
                    <w:t>废气治理</w:t>
                  </w:r>
                </w:p>
              </w:tc>
              <w:tc>
                <w:tcPr>
                  <w:tcW w:w="1337" w:type="dxa"/>
                  <w:vAlign w:val="center"/>
                </w:tcPr>
                <w:p>
                  <w:pPr>
                    <w:adjustRightInd w:val="0"/>
                    <w:snapToGrid w:val="0"/>
                    <w:jc w:val="center"/>
                    <w:rPr>
                      <w:rFonts w:hint="eastAsia"/>
                      <w:color w:val="auto"/>
                      <w:szCs w:val="21"/>
                      <w:lang w:eastAsia="zh-CN"/>
                    </w:rPr>
                  </w:pPr>
                </w:p>
                <w:p>
                  <w:pPr>
                    <w:adjustRightInd w:val="0"/>
                    <w:snapToGrid w:val="0"/>
                    <w:jc w:val="center"/>
                    <w:rPr>
                      <w:rFonts w:hint="eastAsia"/>
                      <w:color w:val="auto"/>
                      <w:szCs w:val="21"/>
                      <w:lang w:eastAsia="zh-CN"/>
                    </w:rPr>
                  </w:pPr>
                  <w:r>
                    <w:rPr>
                      <w:rFonts w:hint="eastAsia"/>
                      <w:color w:val="auto"/>
                      <w:szCs w:val="21"/>
                      <w:lang w:eastAsia="zh-CN"/>
                    </w:rPr>
                    <w:t>原料堆场、卸料投料粉尘</w:t>
                  </w:r>
                </w:p>
              </w:tc>
              <w:tc>
                <w:tcPr>
                  <w:tcW w:w="4821" w:type="dxa"/>
                  <w:vAlign w:val="center"/>
                </w:tcPr>
                <w:p>
                  <w:pPr>
                    <w:jc w:val="center"/>
                    <w:rPr>
                      <w:rFonts w:hint="eastAsia" w:ascii="Times New Roman" w:hAnsi="Times New Roman"/>
                      <w:b w:val="0"/>
                      <w:bCs/>
                      <w:color w:val="auto"/>
                      <w:sz w:val="21"/>
                      <w:szCs w:val="21"/>
                    </w:rPr>
                  </w:pPr>
                  <w:r>
                    <w:rPr>
                      <w:rFonts w:hint="eastAsia"/>
                      <w:color w:val="auto"/>
                      <w:sz w:val="21"/>
                      <w:szCs w:val="21"/>
                    </w:rPr>
                    <w:t>项目原料堆场、生产厂房均为封闭式结构，仅保留必要车辆进出口，进出口设置柔性聚酯纤维防尘帘幕，尺寸为宽4m×高5m，共2处。厂房顶部及侧墙设置固定式防尘网，采用200目不锈钢丝网，总覆盖面积约300m²（主要位于卸料口、上料口、传送带进出口）。</w:t>
                  </w:r>
                  <w:r>
                    <w:rPr>
                      <w:rFonts w:hint="default" w:ascii="Times New Roman" w:hAnsi="Times New Roman" w:cs="Times New Roman"/>
                      <w:color w:val="auto"/>
                      <w:lang w:eastAsia="zh-CN"/>
                    </w:rPr>
                    <w:t>场内配置自动喷雾降尘系统，</w:t>
                  </w:r>
                  <w:r>
                    <w:rPr>
                      <w:rFonts w:hint="eastAsia" w:ascii="Times New Roman" w:hAnsi="Times New Roman" w:cs="Times New Roman"/>
                      <w:color w:val="auto"/>
                      <w:lang w:eastAsia="zh-CN"/>
                    </w:rPr>
                    <w:t>原料仓库内设置</w:t>
                  </w:r>
                  <w:r>
                    <w:rPr>
                      <w:rFonts w:hint="eastAsia" w:ascii="Times New Roman" w:hAnsi="Times New Roman" w:cs="Times New Roman"/>
                      <w:color w:val="auto"/>
                      <w:lang w:val="en-US" w:eastAsia="zh-CN"/>
                    </w:rPr>
                    <w:t>20个</w:t>
                  </w:r>
                  <w:r>
                    <w:rPr>
                      <w:rFonts w:hint="default" w:ascii="Times New Roman" w:hAnsi="Times New Roman" w:cs="Times New Roman"/>
                      <w:color w:val="auto"/>
                      <w:lang w:eastAsia="zh-CN"/>
                    </w:rPr>
                    <w:t>高压雾化喷头</w:t>
                  </w:r>
                  <w:r>
                    <w:rPr>
                      <w:rFonts w:hint="eastAsia" w:ascii="Times New Roman" w:hAnsi="Times New Roman" w:cs="Times New Roman"/>
                      <w:color w:val="auto"/>
                      <w:lang w:eastAsia="zh-CN"/>
                    </w:rPr>
                    <w:t>、投料口设置</w:t>
                  </w:r>
                  <w:r>
                    <w:rPr>
                      <w:rFonts w:hint="eastAsia" w:ascii="Times New Roman" w:hAnsi="Times New Roman" w:cs="Times New Roman"/>
                      <w:color w:val="auto"/>
                      <w:lang w:val="en-US" w:eastAsia="zh-CN"/>
                    </w:rPr>
                    <w:t>5个</w:t>
                  </w:r>
                  <w:r>
                    <w:rPr>
                      <w:rFonts w:hint="default" w:ascii="Times New Roman" w:hAnsi="Times New Roman" w:cs="Times New Roman"/>
                      <w:color w:val="auto"/>
                      <w:lang w:eastAsia="zh-CN"/>
                    </w:rPr>
                    <w:t>高压雾化喷头</w:t>
                  </w:r>
                  <w:r>
                    <w:rPr>
                      <w:rFonts w:hint="eastAsia" w:ascii="Times New Roman" w:hAnsi="Times New Roman" w:cs="Times New Roman"/>
                      <w:color w:val="auto"/>
                      <w:lang w:eastAsia="zh-CN"/>
                    </w:rPr>
                    <w:t>，单个喷头喷洒水量 0.</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L/min 。</w:t>
                  </w:r>
                </w:p>
              </w:tc>
              <w:tc>
                <w:tcPr>
                  <w:tcW w:w="1094" w:type="dxa"/>
                  <w:vAlign w:val="center"/>
                </w:tcPr>
                <w:p>
                  <w:pPr>
                    <w:adjustRightInd w:val="0"/>
                    <w:snapToGrid w:val="0"/>
                    <w:jc w:val="center"/>
                    <w:rPr>
                      <w:rFonts w:hint="eastAsia"/>
                      <w:color w:val="auto"/>
                      <w:szCs w:val="21"/>
                      <w:lang w:val="en-US" w:eastAsia="zh-CN"/>
                    </w:rPr>
                  </w:pPr>
                </w:p>
                <w:p>
                  <w:pPr>
                    <w:adjustRightInd w:val="0"/>
                    <w:snapToGrid w:val="0"/>
                    <w:jc w:val="center"/>
                    <w:rPr>
                      <w:rFonts w:hint="default"/>
                      <w:color w:val="auto"/>
                      <w:szCs w:val="21"/>
                      <w:lang w:val="en-US" w:eastAsia="zh-CN"/>
                    </w:rPr>
                  </w:pPr>
                  <w:r>
                    <w:rPr>
                      <w:rFonts w:hint="eastAsia"/>
                      <w:color w:val="auto"/>
                      <w:szCs w:val="21"/>
                      <w:lang w:val="en-US" w:eastAsia="zh-CN"/>
                    </w:rPr>
                    <w:t>3</w:t>
                  </w:r>
                </w:p>
              </w:tc>
              <w:tc>
                <w:tcPr>
                  <w:tcW w:w="925" w:type="dxa"/>
                  <w:vAlign w:val="center"/>
                </w:tcPr>
                <w:p>
                  <w:pPr>
                    <w:adjustRightInd w:val="0"/>
                    <w:snapToGrid w:val="0"/>
                    <w:jc w:val="center"/>
                    <w:rPr>
                      <w:rFonts w:hint="eastAsia"/>
                      <w:color w:val="auto"/>
                      <w:szCs w:val="21"/>
                    </w:rPr>
                  </w:pPr>
                </w:p>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497" w:type="dxa"/>
                  <w:vMerge w:val="continue"/>
                  <w:vAlign w:val="center"/>
                </w:tcPr>
                <w:p>
                  <w:pPr>
                    <w:adjustRightInd w:val="0"/>
                    <w:snapToGrid w:val="0"/>
                    <w:jc w:val="center"/>
                    <w:rPr>
                      <w:rFonts w:hint="eastAsia"/>
                      <w:color w:val="auto"/>
                      <w:szCs w:val="21"/>
                    </w:rPr>
                  </w:pPr>
                </w:p>
              </w:tc>
              <w:tc>
                <w:tcPr>
                  <w:tcW w:w="1337" w:type="dxa"/>
                  <w:vAlign w:val="center"/>
                </w:tcPr>
                <w:p>
                  <w:pPr>
                    <w:adjustRightInd w:val="0"/>
                    <w:snapToGrid w:val="0"/>
                    <w:jc w:val="center"/>
                    <w:rPr>
                      <w:rFonts w:hint="eastAsia"/>
                      <w:color w:val="auto"/>
                      <w:szCs w:val="21"/>
                      <w:lang w:eastAsia="zh-CN"/>
                    </w:rPr>
                  </w:pPr>
                  <w:r>
                    <w:rPr>
                      <w:rFonts w:hint="eastAsia"/>
                      <w:color w:val="auto"/>
                      <w:szCs w:val="21"/>
                      <w:lang w:eastAsia="zh-CN"/>
                    </w:rPr>
                    <w:t>碎石输送、计量粉尘</w:t>
                  </w:r>
                </w:p>
              </w:tc>
              <w:tc>
                <w:tcPr>
                  <w:tcW w:w="4821" w:type="dxa"/>
                  <w:vAlign w:val="center"/>
                </w:tcPr>
                <w:p>
                  <w:pPr>
                    <w:jc w:val="center"/>
                    <w:rPr>
                      <w:rFonts w:hint="default" w:eastAsia="宋体"/>
                      <w:b w:val="0"/>
                      <w:bCs/>
                      <w:color w:val="auto"/>
                      <w:sz w:val="21"/>
                      <w:szCs w:val="21"/>
                      <w:lang w:val="en-US" w:eastAsia="zh-CN"/>
                    </w:rPr>
                  </w:pPr>
                  <w:r>
                    <w:rPr>
                      <w:rFonts w:hint="eastAsia"/>
                      <w:color w:val="auto"/>
                      <w:sz w:val="21"/>
                      <w:szCs w:val="21"/>
                      <w:lang w:eastAsia="zh-CN"/>
                    </w:rPr>
                    <w:t>密闭围挡+喷雾抑尘：输送皮带采用全封闭彩钢板廊道（高度2m、长度120m），计量斗上方设置三面彩钢板围挡（高度3m、长度6m），仅保留一个侧面物料输送口；在输送廊道内设置20个高压雾化喷头，计量斗区域设置6个喷头，单个喷洒水量0.5L/min（水压0.3MPa）</w:t>
                  </w:r>
                </w:p>
              </w:tc>
              <w:tc>
                <w:tcPr>
                  <w:tcW w:w="1094"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3</w:t>
                  </w:r>
                </w:p>
              </w:tc>
              <w:tc>
                <w:tcPr>
                  <w:tcW w:w="925"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497" w:type="dxa"/>
                  <w:vMerge w:val="continue"/>
                  <w:vAlign w:val="center"/>
                </w:tcPr>
                <w:p>
                  <w:pPr>
                    <w:adjustRightInd w:val="0"/>
                    <w:snapToGrid w:val="0"/>
                    <w:jc w:val="center"/>
                    <w:rPr>
                      <w:rFonts w:hint="eastAsia"/>
                      <w:color w:val="auto"/>
                      <w:szCs w:val="21"/>
                    </w:rPr>
                  </w:pPr>
                </w:p>
              </w:tc>
              <w:tc>
                <w:tcPr>
                  <w:tcW w:w="1337" w:type="dxa"/>
                  <w:vAlign w:val="center"/>
                </w:tcPr>
                <w:p>
                  <w:pPr>
                    <w:adjustRightInd w:val="0"/>
                    <w:snapToGrid w:val="0"/>
                    <w:jc w:val="center"/>
                    <w:rPr>
                      <w:rFonts w:hint="eastAsia"/>
                      <w:color w:val="auto"/>
                      <w:szCs w:val="21"/>
                      <w:lang w:eastAsia="zh-CN"/>
                    </w:rPr>
                  </w:pPr>
                  <w:r>
                    <w:rPr>
                      <w:rFonts w:hint="eastAsia"/>
                      <w:color w:val="auto"/>
                      <w:szCs w:val="21"/>
                      <w:lang w:eastAsia="zh-CN"/>
                    </w:rPr>
                    <w:t>水泥罐粉尘</w:t>
                  </w:r>
                </w:p>
              </w:tc>
              <w:tc>
                <w:tcPr>
                  <w:tcW w:w="4821" w:type="dxa"/>
                  <w:vAlign w:val="center"/>
                </w:tcPr>
                <w:p>
                  <w:pPr>
                    <w:jc w:val="center"/>
                    <w:rPr>
                      <w:rFonts w:hint="default" w:eastAsia="宋体"/>
                      <w:color w:val="auto"/>
                      <w:sz w:val="21"/>
                      <w:szCs w:val="21"/>
                      <w:lang w:val="en-US" w:eastAsia="zh-CN"/>
                    </w:rPr>
                  </w:pPr>
                  <w:r>
                    <w:rPr>
                      <w:rFonts w:hint="eastAsia"/>
                      <w:color w:val="auto"/>
                      <w:sz w:val="21"/>
                      <w:szCs w:val="21"/>
                      <w:lang w:eastAsia="zh-CN"/>
                    </w:rPr>
                    <w:t>仓顶除尘器</w:t>
                  </w:r>
                  <w:r>
                    <w:rPr>
                      <w:rFonts w:hint="eastAsia"/>
                      <w:color w:val="auto"/>
                      <w:sz w:val="21"/>
                      <w:szCs w:val="21"/>
                      <w:lang w:val="en-US" w:eastAsia="zh-CN"/>
                    </w:rPr>
                    <w:t>+厂房密闭</w:t>
                  </w:r>
                </w:p>
              </w:tc>
              <w:tc>
                <w:tcPr>
                  <w:tcW w:w="1094"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2</w:t>
                  </w:r>
                </w:p>
              </w:tc>
              <w:tc>
                <w:tcPr>
                  <w:tcW w:w="925"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497" w:type="dxa"/>
                  <w:vMerge w:val="continue"/>
                  <w:vAlign w:val="center"/>
                </w:tcPr>
                <w:p>
                  <w:pPr>
                    <w:adjustRightInd w:val="0"/>
                    <w:snapToGrid w:val="0"/>
                    <w:jc w:val="center"/>
                    <w:rPr>
                      <w:rFonts w:hint="eastAsia"/>
                      <w:color w:val="auto"/>
                      <w:szCs w:val="21"/>
                    </w:rPr>
                  </w:pPr>
                </w:p>
              </w:tc>
              <w:tc>
                <w:tcPr>
                  <w:tcW w:w="1337" w:type="dxa"/>
                  <w:vAlign w:val="center"/>
                </w:tcPr>
                <w:p>
                  <w:pPr>
                    <w:adjustRightInd w:val="0"/>
                    <w:snapToGrid w:val="0"/>
                    <w:jc w:val="center"/>
                    <w:rPr>
                      <w:rFonts w:hint="eastAsia"/>
                      <w:color w:val="auto"/>
                      <w:szCs w:val="21"/>
                      <w:lang w:eastAsia="zh-CN"/>
                    </w:rPr>
                  </w:pPr>
                  <w:r>
                    <w:rPr>
                      <w:rFonts w:hint="eastAsia"/>
                      <w:color w:val="auto"/>
                      <w:szCs w:val="21"/>
                      <w:lang w:eastAsia="zh-CN"/>
                    </w:rPr>
                    <w:t>搅拌粉尘</w:t>
                  </w:r>
                </w:p>
              </w:tc>
              <w:tc>
                <w:tcPr>
                  <w:tcW w:w="4821" w:type="dxa"/>
                  <w:vAlign w:val="center"/>
                </w:tcPr>
                <w:p>
                  <w:pPr>
                    <w:jc w:val="center"/>
                    <w:rPr>
                      <w:rFonts w:hint="default"/>
                      <w:color w:val="auto"/>
                      <w:sz w:val="21"/>
                      <w:szCs w:val="21"/>
                      <w:lang w:val="en-US" w:eastAsia="zh-CN"/>
                    </w:rPr>
                  </w:pPr>
                  <w:r>
                    <w:rPr>
                      <w:rFonts w:hint="eastAsia"/>
                      <w:color w:val="auto"/>
                      <w:sz w:val="21"/>
                      <w:szCs w:val="21"/>
                      <w:lang w:eastAsia="zh-CN"/>
                    </w:rPr>
                    <w:t>集气罩、软帘</w:t>
                  </w:r>
                  <w:r>
                    <w:rPr>
                      <w:rFonts w:hint="eastAsia"/>
                      <w:color w:val="auto"/>
                      <w:sz w:val="21"/>
                      <w:szCs w:val="21"/>
                      <w:lang w:val="en-US" w:eastAsia="zh-CN"/>
                    </w:rPr>
                    <w:t>+脉冲布袋除尘器+1根15m高排气筒DA001，</w:t>
                  </w:r>
                  <w:r>
                    <w:rPr>
                      <w:rFonts w:hint="eastAsia"/>
                      <w:color w:val="auto"/>
                      <w:sz w:val="21"/>
                      <w:szCs w:val="21"/>
                      <w:lang w:eastAsia="zh-CN"/>
                    </w:rPr>
                    <w:t>在搅拌区域上方设置12个高压雾化喷头，单个喷头喷洒水量0.5L/min（水压0.3MPa）</w:t>
                  </w:r>
                </w:p>
              </w:tc>
              <w:tc>
                <w:tcPr>
                  <w:tcW w:w="1094"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5</w:t>
                  </w:r>
                </w:p>
              </w:tc>
              <w:tc>
                <w:tcPr>
                  <w:tcW w:w="925"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497" w:type="dxa"/>
                  <w:vMerge w:val="continue"/>
                  <w:vAlign w:val="center"/>
                </w:tcPr>
                <w:p>
                  <w:pPr>
                    <w:adjustRightInd w:val="0"/>
                    <w:snapToGrid w:val="0"/>
                    <w:jc w:val="center"/>
                    <w:rPr>
                      <w:rFonts w:hint="eastAsia"/>
                      <w:color w:val="auto"/>
                      <w:szCs w:val="21"/>
                    </w:rPr>
                  </w:pPr>
                </w:p>
              </w:tc>
              <w:tc>
                <w:tcPr>
                  <w:tcW w:w="1337" w:type="dxa"/>
                  <w:vAlign w:val="center"/>
                </w:tcPr>
                <w:p>
                  <w:pPr>
                    <w:adjustRightInd w:val="0"/>
                    <w:snapToGrid w:val="0"/>
                    <w:jc w:val="center"/>
                    <w:rPr>
                      <w:rFonts w:hint="eastAsia"/>
                      <w:color w:val="auto"/>
                      <w:szCs w:val="21"/>
                      <w:lang w:eastAsia="zh-CN"/>
                    </w:rPr>
                  </w:pPr>
                  <w:r>
                    <w:rPr>
                      <w:rFonts w:hint="eastAsia"/>
                      <w:color w:val="auto"/>
                      <w:szCs w:val="21"/>
                      <w:lang w:eastAsia="zh-CN"/>
                    </w:rPr>
                    <w:t>车辆运输扬尘</w:t>
                  </w:r>
                </w:p>
              </w:tc>
              <w:tc>
                <w:tcPr>
                  <w:tcW w:w="4821" w:type="dxa"/>
                  <w:vAlign w:val="center"/>
                </w:tcPr>
                <w:p>
                  <w:pPr>
                    <w:jc w:val="center"/>
                    <w:rPr>
                      <w:rFonts w:hint="eastAsia" w:ascii="Times New Roman" w:hAnsi="Times New Roman"/>
                      <w:b w:val="0"/>
                      <w:bCs/>
                      <w:color w:val="auto"/>
                      <w:sz w:val="21"/>
                      <w:szCs w:val="21"/>
                    </w:rPr>
                  </w:pPr>
                  <w:r>
                    <w:rPr>
                      <w:rFonts w:hint="eastAsia"/>
                      <w:color w:val="auto"/>
                      <w:kern w:val="0"/>
                      <w:lang w:eastAsia="zh-CN"/>
                    </w:rPr>
                    <w:t>路面硬化，</w:t>
                  </w:r>
                  <w:r>
                    <w:rPr>
                      <w:rFonts w:hint="eastAsia"/>
                      <w:color w:val="auto"/>
                      <w:kern w:val="0"/>
                    </w:rPr>
                    <w:t>定期路面洒水</w:t>
                  </w:r>
                </w:p>
              </w:tc>
              <w:tc>
                <w:tcPr>
                  <w:tcW w:w="1094"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1</w:t>
                  </w:r>
                </w:p>
              </w:tc>
              <w:tc>
                <w:tcPr>
                  <w:tcW w:w="925"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vMerge w:val="restart"/>
                  <w:vAlign w:val="center"/>
                </w:tcPr>
                <w:p>
                  <w:pPr>
                    <w:adjustRightInd w:val="0"/>
                    <w:snapToGrid w:val="0"/>
                    <w:jc w:val="center"/>
                    <w:rPr>
                      <w:color w:val="auto"/>
                      <w:szCs w:val="21"/>
                    </w:rPr>
                  </w:pPr>
                  <w:r>
                    <w:rPr>
                      <w:rFonts w:hint="eastAsia"/>
                      <w:color w:val="auto"/>
                      <w:szCs w:val="21"/>
                    </w:rPr>
                    <w:t>废水治理</w:t>
                  </w:r>
                </w:p>
              </w:tc>
              <w:tc>
                <w:tcPr>
                  <w:tcW w:w="1337" w:type="dxa"/>
                  <w:vAlign w:val="center"/>
                </w:tcPr>
                <w:p>
                  <w:pPr>
                    <w:adjustRightInd w:val="0"/>
                    <w:snapToGrid w:val="0"/>
                    <w:jc w:val="center"/>
                    <w:rPr>
                      <w:rFonts w:hint="eastAsia"/>
                      <w:color w:val="auto"/>
                      <w:szCs w:val="21"/>
                    </w:rPr>
                  </w:pPr>
                  <w:r>
                    <w:rPr>
                      <w:rFonts w:hint="eastAsia"/>
                      <w:color w:val="auto"/>
                      <w:szCs w:val="21"/>
                    </w:rPr>
                    <w:t>生活污水</w:t>
                  </w:r>
                </w:p>
              </w:tc>
              <w:tc>
                <w:tcPr>
                  <w:tcW w:w="4821" w:type="dxa"/>
                  <w:vAlign w:val="center"/>
                </w:tcPr>
                <w:p>
                  <w:pPr>
                    <w:pStyle w:val="32"/>
                    <w:spacing w:line="240" w:lineRule="auto"/>
                    <w:ind w:firstLine="0"/>
                    <w:jc w:val="center"/>
                    <w:rPr>
                      <w:color w:val="auto"/>
                      <w:szCs w:val="21"/>
                    </w:rPr>
                  </w:pPr>
                  <w:r>
                    <w:rPr>
                      <w:rFonts w:hint="eastAsia"/>
                      <w:color w:val="auto"/>
                      <w:sz w:val="21"/>
                      <w:szCs w:val="21"/>
                    </w:rPr>
                    <w:t>雨污管网、化粪池</w:t>
                  </w:r>
                </w:p>
              </w:tc>
              <w:tc>
                <w:tcPr>
                  <w:tcW w:w="1094" w:type="dxa"/>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0</w:t>
                  </w:r>
                </w:p>
              </w:tc>
              <w:tc>
                <w:tcPr>
                  <w:tcW w:w="925" w:type="dxa"/>
                  <w:vAlign w:val="center"/>
                </w:tcPr>
                <w:p>
                  <w:pPr>
                    <w:adjustRightInd w:val="0"/>
                    <w:snapToGrid w:val="0"/>
                    <w:jc w:val="center"/>
                    <w:rPr>
                      <w:rFonts w:hint="eastAsia" w:eastAsia="宋体"/>
                      <w:color w:val="auto"/>
                      <w:szCs w:val="21"/>
                      <w:lang w:eastAsia="zh-CN"/>
                    </w:rPr>
                  </w:pPr>
                  <w:r>
                    <w:rPr>
                      <w:rFonts w:hint="eastAsia"/>
                      <w:color w:val="auto"/>
                      <w:szCs w:val="21"/>
                      <w:lang w:eastAsia="zh-CN"/>
                    </w:rPr>
                    <w:t>依托厂区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vMerge w:val="continue"/>
                  <w:vAlign w:val="center"/>
                </w:tcPr>
                <w:p>
                  <w:pPr>
                    <w:adjustRightInd w:val="0"/>
                    <w:snapToGrid w:val="0"/>
                    <w:jc w:val="center"/>
                    <w:rPr>
                      <w:rFonts w:hint="eastAsia"/>
                      <w:color w:val="auto"/>
                      <w:szCs w:val="21"/>
                    </w:rPr>
                  </w:pPr>
                </w:p>
              </w:tc>
              <w:tc>
                <w:tcPr>
                  <w:tcW w:w="1337" w:type="dxa"/>
                  <w:vAlign w:val="center"/>
                </w:tcPr>
                <w:p>
                  <w:pPr>
                    <w:adjustRightInd w:val="0"/>
                    <w:snapToGrid w:val="0"/>
                    <w:jc w:val="center"/>
                    <w:rPr>
                      <w:rFonts w:hint="eastAsia" w:eastAsia="宋体"/>
                      <w:color w:val="auto"/>
                      <w:szCs w:val="21"/>
                      <w:lang w:eastAsia="zh-CN"/>
                    </w:rPr>
                  </w:pPr>
                  <w:r>
                    <w:rPr>
                      <w:rFonts w:hint="eastAsia"/>
                      <w:color w:val="auto"/>
                      <w:szCs w:val="21"/>
                      <w:lang w:eastAsia="zh-CN"/>
                    </w:rPr>
                    <w:t>养护废水、进出车辆冲洗废水、设备冲洗废水</w:t>
                  </w:r>
                </w:p>
              </w:tc>
              <w:tc>
                <w:tcPr>
                  <w:tcW w:w="4821" w:type="dxa"/>
                  <w:vAlign w:val="center"/>
                </w:tcPr>
                <w:p>
                  <w:pPr>
                    <w:pStyle w:val="32"/>
                    <w:spacing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三级沉淀池</w:t>
                  </w:r>
                  <w:r>
                    <w:rPr>
                      <w:rFonts w:hint="eastAsia" w:ascii="Times New Roman" w:cs="Times New Roman"/>
                      <w:color w:val="auto"/>
                      <w:sz w:val="21"/>
                      <w:szCs w:val="21"/>
                      <w:lang w:eastAsia="zh-CN"/>
                    </w:rPr>
                    <w:t>（</w:t>
                  </w:r>
                  <w:r>
                    <w:rPr>
                      <w:rFonts w:hint="eastAsia" w:ascii="Times New Roman" w:cs="Times New Roman"/>
                      <w:color w:val="auto"/>
                      <w:sz w:val="21"/>
                      <w:szCs w:val="21"/>
                      <w:lang w:val="en-US" w:eastAsia="zh-CN"/>
                    </w:rPr>
                    <w:t>40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eastAsia" w:ascii="Times New Roman" w:cs="Times New Roman"/>
                      <w:color w:val="auto"/>
                      <w:sz w:val="21"/>
                      <w:szCs w:val="21"/>
                      <w:lang w:eastAsia="zh-CN"/>
                    </w:rPr>
                    <w:t>）</w:t>
                  </w:r>
                </w:p>
              </w:tc>
              <w:tc>
                <w:tcPr>
                  <w:tcW w:w="1094"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4</w:t>
                  </w:r>
                </w:p>
              </w:tc>
              <w:tc>
                <w:tcPr>
                  <w:tcW w:w="925" w:type="dxa"/>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vMerge w:val="continue"/>
                  <w:vAlign w:val="center"/>
                </w:tcPr>
                <w:p>
                  <w:pPr>
                    <w:adjustRightInd w:val="0"/>
                    <w:snapToGrid w:val="0"/>
                    <w:jc w:val="center"/>
                    <w:rPr>
                      <w:rFonts w:hint="eastAsia"/>
                      <w:color w:val="auto"/>
                      <w:szCs w:val="21"/>
                    </w:rPr>
                  </w:pPr>
                </w:p>
              </w:tc>
              <w:tc>
                <w:tcPr>
                  <w:tcW w:w="1337" w:type="dxa"/>
                  <w:vAlign w:val="center"/>
                </w:tcPr>
                <w:p>
                  <w:pPr>
                    <w:adjustRightInd w:val="0"/>
                    <w:snapToGrid w:val="0"/>
                    <w:jc w:val="center"/>
                    <w:rPr>
                      <w:rFonts w:hint="eastAsia"/>
                      <w:color w:val="auto"/>
                      <w:szCs w:val="21"/>
                      <w:lang w:eastAsia="zh-CN"/>
                    </w:rPr>
                  </w:pPr>
                  <w:r>
                    <w:rPr>
                      <w:rFonts w:hint="eastAsia"/>
                      <w:color w:val="auto"/>
                      <w:szCs w:val="21"/>
                      <w:lang w:eastAsia="zh-CN"/>
                    </w:rPr>
                    <w:t>初级雨水</w:t>
                  </w:r>
                </w:p>
              </w:tc>
              <w:tc>
                <w:tcPr>
                  <w:tcW w:w="4821" w:type="dxa"/>
                  <w:vAlign w:val="center"/>
                </w:tcPr>
                <w:p>
                  <w:pPr>
                    <w:pStyle w:val="32"/>
                    <w:spacing w:line="240" w:lineRule="auto"/>
                    <w:ind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初级雨水池（</w:t>
                  </w: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val="en-US" w:eastAsia="zh-CN"/>
                    </w:rPr>
                    <w:t>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eastAsia="zh-CN"/>
                    </w:rPr>
                    <w:t>）</w:t>
                  </w:r>
                </w:p>
              </w:tc>
              <w:tc>
                <w:tcPr>
                  <w:tcW w:w="1094" w:type="dxa"/>
                  <w:vAlign w:val="center"/>
                </w:tcPr>
                <w:p>
                  <w:pPr>
                    <w:adjustRightInd w:val="0"/>
                    <w:snapToGrid w:val="0"/>
                    <w:jc w:val="center"/>
                    <w:rPr>
                      <w:rFonts w:hint="default"/>
                      <w:color w:val="auto"/>
                      <w:szCs w:val="21"/>
                      <w:lang w:val="en-US" w:eastAsia="zh-CN"/>
                    </w:rPr>
                  </w:pPr>
                  <w:r>
                    <w:rPr>
                      <w:rFonts w:hint="eastAsia"/>
                      <w:color w:val="auto"/>
                      <w:szCs w:val="21"/>
                      <w:lang w:val="en-US" w:eastAsia="zh-CN"/>
                    </w:rPr>
                    <w:t>1</w:t>
                  </w:r>
                </w:p>
              </w:tc>
              <w:tc>
                <w:tcPr>
                  <w:tcW w:w="925" w:type="dxa"/>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97" w:type="dxa"/>
                  <w:vAlign w:val="center"/>
                </w:tcPr>
                <w:p>
                  <w:pPr>
                    <w:adjustRightInd w:val="0"/>
                    <w:snapToGrid w:val="0"/>
                    <w:jc w:val="center"/>
                    <w:rPr>
                      <w:rFonts w:hint="eastAsia"/>
                      <w:color w:val="auto"/>
                      <w:szCs w:val="21"/>
                    </w:rPr>
                  </w:pPr>
                  <w:r>
                    <w:rPr>
                      <w:rFonts w:hint="eastAsia"/>
                      <w:color w:val="auto"/>
                      <w:szCs w:val="21"/>
                    </w:rPr>
                    <w:t>噪声</w:t>
                  </w:r>
                </w:p>
              </w:tc>
              <w:tc>
                <w:tcPr>
                  <w:tcW w:w="1337" w:type="dxa"/>
                  <w:vAlign w:val="center"/>
                </w:tcPr>
                <w:p>
                  <w:pPr>
                    <w:adjustRightInd w:val="0"/>
                    <w:snapToGrid w:val="0"/>
                    <w:jc w:val="center"/>
                    <w:rPr>
                      <w:color w:val="auto"/>
                      <w:szCs w:val="21"/>
                    </w:rPr>
                  </w:pPr>
                  <w:r>
                    <w:rPr>
                      <w:rFonts w:hint="eastAsia"/>
                      <w:color w:val="auto"/>
                      <w:szCs w:val="21"/>
                    </w:rPr>
                    <w:t>设备噪声</w:t>
                  </w:r>
                </w:p>
              </w:tc>
              <w:tc>
                <w:tcPr>
                  <w:tcW w:w="4821" w:type="dxa"/>
                  <w:vAlign w:val="center"/>
                </w:tcPr>
                <w:p>
                  <w:pPr>
                    <w:adjustRightInd w:val="0"/>
                    <w:snapToGrid w:val="0"/>
                    <w:jc w:val="center"/>
                    <w:rPr>
                      <w:color w:val="auto"/>
                      <w:kern w:val="0"/>
                    </w:rPr>
                  </w:pPr>
                  <w:r>
                    <w:rPr>
                      <w:rFonts w:hint="eastAsia"/>
                      <w:color w:val="auto"/>
                      <w:kern w:val="0"/>
                    </w:rPr>
                    <w:t>基础减振，厂房隔声</w:t>
                  </w:r>
                </w:p>
              </w:tc>
              <w:tc>
                <w:tcPr>
                  <w:tcW w:w="1094" w:type="dxa"/>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5</w:t>
                  </w:r>
                </w:p>
              </w:tc>
              <w:tc>
                <w:tcPr>
                  <w:tcW w:w="925" w:type="dxa"/>
                  <w:vAlign w:val="center"/>
                </w:tcPr>
                <w:p>
                  <w:pPr>
                    <w:adjustRightInd w:val="0"/>
                    <w:snapToGrid w:val="0"/>
                    <w:jc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497" w:type="dxa"/>
                  <w:vMerge w:val="restart"/>
                  <w:vAlign w:val="center"/>
                </w:tcPr>
                <w:p>
                  <w:pPr>
                    <w:adjustRightInd w:val="0"/>
                    <w:snapToGrid w:val="0"/>
                    <w:jc w:val="center"/>
                    <w:rPr>
                      <w:color w:val="auto"/>
                      <w:szCs w:val="21"/>
                    </w:rPr>
                  </w:pPr>
                  <w:r>
                    <w:rPr>
                      <w:rFonts w:hint="eastAsia"/>
                      <w:color w:val="auto"/>
                      <w:szCs w:val="21"/>
                    </w:rPr>
                    <w:t>固废处理</w:t>
                  </w:r>
                </w:p>
              </w:tc>
              <w:tc>
                <w:tcPr>
                  <w:tcW w:w="1337" w:type="dxa"/>
                  <w:vMerge w:val="restart"/>
                  <w:vAlign w:val="center"/>
                </w:tcPr>
                <w:p>
                  <w:pPr>
                    <w:adjustRightInd w:val="0"/>
                    <w:snapToGrid w:val="0"/>
                    <w:jc w:val="center"/>
                    <w:rPr>
                      <w:rFonts w:hint="eastAsia"/>
                      <w:color w:val="auto"/>
                      <w:szCs w:val="21"/>
                    </w:rPr>
                  </w:pPr>
                  <w:r>
                    <w:rPr>
                      <w:rFonts w:hint="eastAsia"/>
                      <w:color w:val="auto"/>
                      <w:szCs w:val="21"/>
                    </w:rPr>
                    <w:t>固废处理</w:t>
                  </w:r>
                </w:p>
              </w:tc>
              <w:tc>
                <w:tcPr>
                  <w:tcW w:w="4821" w:type="dxa"/>
                  <w:vAlign w:val="center"/>
                </w:tcPr>
                <w:p>
                  <w:pPr>
                    <w:adjustRightInd w:val="0"/>
                    <w:snapToGrid w:val="0"/>
                    <w:jc w:val="center"/>
                    <w:rPr>
                      <w:rFonts w:hint="eastAsia" w:eastAsia="宋体"/>
                      <w:color w:val="auto"/>
                      <w:lang w:eastAsia="zh-CN"/>
                    </w:rPr>
                  </w:pPr>
                  <w:r>
                    <w:rPr>
                      <w:rFonts w:hint="eastAsia"/>
                      <w:color w:val="auto"/>
                    </w:rPr>
                    <w:t>在</w:t>
                  </w:r>
                  <w:r>
                    <w:rPr>
                      <w:rFonts w:hint="eastAsia"/>
                      <w:color w:val="auto"/>
                      <w:lang w:eastAsia="zh-CN"/>
                    </w:rPr>
                    <w:t>厂房北侧</w:t>
                  </w:r>
                  <w:r>
                    <w:rPr>
                      <w:rFonts w:hint="eastAsia"/>
                      <w:color w:val="auto"/>
                    </w:rPr>
                    <w:t>设置一般固废暂存区</w:t>
                  </w:r>
                  <w:r>
                    <w:rPr>
                      <w:rFonts w:hint="eastAsia"/>
                      <w:color w:val="auto"/>
                      <w:lang w:eastAsia="zh-CN"/>
                    </w:rPr>
                    <w:t>，</w:t>
                  </w:r>
                  <w:r>
                    <w:rPr>
                      <w:rFonts w:hint="eastAsia"/>
                      <w:color w:val="auto"/>
                    </w:rPr>
                    <w:t>面积约</w:t>
                  </w:r>
                  <w:r>
                    <w:rPr>
                      <w:rFonts w:hint="eastAsia"/>
                      <w:color w:val="auto"/>
                      <w:lang w:val="en-US" w:eastAsia="zh-CN"/>
                    </w:rPr>
                    <w:t>2</w:t>
                  </w:r>
                  <w:r>
                    <w:rPr>
                      <w:rFonts w:hint="eastAsia"/>
                      <w:color w:val="auto"/>
                    </w:rPr>
                    <w:t>0m</w:t>
                  </w:r>
                  <w:r>
                    <w:rPr>
                      <w:rFonts w:hint="eastAsia"/>
                      <w:color w:val="auto"/>
                      <w:vertAlign w:val="superscript"/>
                    </w:rPr>
                    <w:t>2</w:t>
                  </w:r>
                  <w:r>
                    <w:rPr>
                      <w:rFonts w:hint="eastAsia"/>
                      <w:color w:val="auto"/>
                    </w:rPr>
                    <w:t>，暂存一般固废</w:t>
                  </w:r>
                  <w:r>
                    <w:rPr>
                      <w:rFonts w:hint="eastAsia"/>
                      <w:color w:val="auto"/>
                      <w:lang w:eastAsia="zh-CN"/>
                    </w:rPr>
                    <w:t>。</w:t>
                  </w:r>
                </w:p>
              </w:tc>
              <w:tc>
                <w:tcPr>
                  <w:tcW w:w="1094" w:type="dxa"/>
                  <w:vAlign w:val="center"/>
                </w:tcPr>
                <w:p>
                  <w:pPr>
                    <w:adjustRightInd w:val="0"/>
                    <w:snapToGrid w:val="0"/>
                    <w:jc w:val="center"/>
                    <w:rPr>
                      <w:color w:val="auto"/>
                      <w:szCs w:val="21"/>
                    </w:rPr>
                  </w:pPr>
                  <w:r>
                    <w:rPr>
                      <w:rFonts w:hint="eastAsia"/>
                      <w:color w:val="auto"/>
                      <w:szCs w:val="21"/>
                    </w:rPr>
                    <w:t>0.8</w:t>
                  </w:r>
                </w:p>
              </w:tc>
              <w:tc>
                <w:tcPr>
                  <w:tcW w:w="925" w:type="dxa"/>
                  <w:vAlign w:val="center"/>
                </w:tcPr>
                <w:p>
                  <w:pPr>
                    <w:adjustRightInd w:val="0"/>
                    <w:snapToGrid w:val="0"/>
                    <w:jc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vMerge w:val="continue"/>
                  <w:vAlign w:val="center"/>
                </w:tcPr>
                <w:p>
                  <w:pPr>
                    <w:adjustRightInd w:val="0"/>
                    <w:snapToGrid w:val="0"/>
                    <w:jc w:val="center"/>
                    <w:rPr>
                      <w:color w:val="auto"/>
                      <w:szCs w:val="21"/>
                    </w:rPr>
                  </w:pPr>
                </w:p>
              </w:tc>
              <w:tc>
                <w:tcPr>
                  <w:tcW w:w="1337" w:type="dxa"/>
                  <w:vMerge w:val="continue"/>
                  <w:vAlign w:val="center"/>
                </w:tcPr>
                <w:p>
                  <w:pPr>
                    <w:adjustRightInd w:val="0"/>
                    <w:snapToGrid w:val="0"/>
                    <w:jc w:val="center"/>
                    <w:rPr>
                      <w:color w:val="auto"/>
                      <w:szCs w:val="21"/>
                    </w:rPr>
                  </w:pPr>
                </w:p>
              </w:tc>
              <w:tc>
                <w:tcPr>
                  <w:tcW w:w="4821" w:type="dxa"/>
                  <w:vAlign w:val="center"/>
                </w:tcPr>
                <w:p>
                  <w:pPr>
                    <w:pStyle w:val="26"/>
                    <w:spacing w:line="240" w:lineRule="auto"/>
                    <w:jc w:val="center"/>
                    <w:rPr>
                      <w:rFonts w:hint="eastAsia" w:eastAsia="宋体"/>
                      <w:color w:val="auto"/>
                      <w:lang w:val="en-US" w:eastAsia="zh-CN"/>
                    </w:rPr>
                  </w:pPr>
                  <w:r>
                    <w:rPr>
                      <w:rFonts w:hint="eastAsia"/>
                      <w:b w:val="0"/>
                      <w:bCs w:val="0"/>
                      <w:color w:val="auto"/>
                      <w:sz w:val="21"/>
                      <w:szCs w:val="21"/>
                    </w:rPr>
                    <w:t>危废废物：</w:t>
                  </w:r>
                  <w:r>
                    <w:rPr>
                      <w:rFonts w:ascii="Times New Roman" w:hAnsi="Times New Roman"/>
                      <w:b w:val="0"/>
                      <w:bCs w:val="0"/>
                      <w:color w:val="auto"/>
                      <w:sz w:val="21"/>
                      <w:szCs w:val="21"/>
                    </w:rPr>
                    <w:t>在</w:t>
                  </w:r>
                  <w:r>
                    <w:rPr>
                      <w:rFonts w:hint="eastAsia" w:ascii="Times New Roman" w:hAnsi="Times New Roman"/>
                      <w:b w:val="0"/>
                      <w:bCs w:val="0"/>
                      <w:color w:val="auto"/>
                      <w:sz w:val="21"/>
                      <w:szCs w:val="21"/>
                      <w:lang w:eastAsia="zh-CN"/>
                    </w:rPr>
                    <w:t>厂房外南侧设置</w:t>
                  </w:r>
                  <w:r>
                    <w:rPr>
                      <w:rFonts w:hint="eastAsia" w:ascii="Times New Roman" w:hAnsi="Times New Roman"/>
                      <w:b w:val="0"/>
                      <w:bCs w:val="0"/>
                      <w:color w:val="auto"/>
                      <w:sz w:val="21"/>
                      <w:szCs w:val="21"/>
                      <w:lang w:val="en-US" w:eastAsia="zh-CN"/>
                    </w:rPr>
                    <w:t>7</w:t>
                  </w:r>
                  <w:r>
                    <w:rPr>
                      <w:rFonts w:ascii="Times New Roman" w:hAnsi="Times New Roman"/>
                      <w:b w:val="0"/>
                      <w:bCs w:val="0"/>
                      <w:color w:val="auto"/>
                      <w:sz w:val="21"/>
                      <w:szCs w:val="21"/>
                    </w:rPr>
                    <w:t>m</w:t>
                  </w:r>
                  <w:r>
                    <w:rPr>
                      <w:rFonts w:ascii="Times New Roman" w:hAnsi="Times New Roman"/>
                      <w:b w:val="0"/>
                      <w:bCs w:val="0"/>
                      <w:color w:val="auto"/>
                      <w:sz w:val="21"/>
                      <w:szCs w:val="21"/>
                      <w:vertAlign w:val="superscript"/>
                    </w:rPr>
                    <w:t>2</w:t>
                  </w:r>
                  <w:r>
                    <w:rPr>
                      <w:rFonts w:ascii="Times New Roman" w:hAnsi="Times New Roman"/>
                      <w:b w:val="0"/>
                      <w:bCs w:val="0"/>
                      <w:color w:val="auto"/>
                      <w:sz w:val="21"/>
                      <w:szCs w:val="21"/>
                    </w:rPr>
                    <w:t>的危废</w:t>
                  </w:r>
                  <w:r>
                    <w:rPr>
                      <w:rFonts w:hint="eastAsia" w:ascii="Times New Roman" w:hAnsi="Times New Roman"/>
                      <w:b w:val="0"/>
                      <w:bCs w:val="0"/>
                      <w:color w:val="auto"/>
                      <w:sz w:val="21"/>
                      <w:szCs w:val="21"/>
                    </w:rPr>
                    <w:t>贮存库</w:t>
                  </w:r>
                  <w:r>
                    <w:rPr>
                      <w:rFonts w:ascii="Times New Roman" w:hAnsi="Times New Roman"/>
                      <w:b w:val="0"/>
                      <w:bCs w:val="0"/>
                      <w:color w:val="auto"/>
                      <w:sz w:val="21"/>
                      <w:szCs w:val="21"/>
                    </w:rPr>
                    <w:t>，暂存产生的危险固废，</w:t>
                  </w:r>
                  <w:r>
                    <w:rPr>
                      <w:rFonts w:hint="eastAsia" w:ascii="Times New Roman" w:hAnsi="Times New Roman"/>
                      <w:b w:val="0"/>
                      <w:bCs w:val="0"/>
                      <w:color w:val="auto"/>
                      <w:sz w:val="21"/>
                      <w:szCs w:val="21"/>
                      <w:lang w:eastAsia="zh-CN"/>
                    </w:rPr>
                    <w:t>交由</w:t>
                  </w:r>
                  <w:r>
                    <w:rPr>
                      <w:rFonts w:ascii="Times New Roman" w:hAnsi="Times New Roman"/>
                      <w:b w:val="0"/>
                      <w:bCs w:val="0"/>
                      <w:color w:val="auto"/>
                      <w:sz w:val="21"/>
                      <w:szCs w:val="21"/>
                    </w:rPr>
                    <w:t>资质单位进行处理</w:t>
                  </w:r>
                </w:p>
              </w:tc>
              <w:tc>
                <w:tcPr>
                  <w:tcW w:w="1094" w:type="dxa"/>
                  <w:vAlign w:val="center"/>
                </w:tcPr>
                <w:p>
                  <w:pPr>
                    <w:adjustRightInd w:val="0"/>
                    <w:snapToGrid w:val="0"/>
                    <w:jc w:val="center"/>
                    <w:rPr>
                      <w:rFonts w:hint="eastAsia"/>
                      <w:color w:val="auto"/>
                      <w:szCs w:val="21"/>
                    </w:rPr>
                  </w:pPr>
                  <w:r>
                    <w:rPr>
                      <w:rFonts w:hint="eastAsia"/>
                      <w:color w:val="auto"/>
                      <w:szCs w:val="21"/>
                    </w:rPr>
                    <w:t>2</w:t>
                  </w:r>
                </w:p>
              </w:tc>
              <w:tc>
                <w:tcPr>
                  <w:tcW w:w="925" w:type="dxa"/>
                  <w:vAlign w:val="center"/>
                </w:tcPr>
                <w:p>
                  <w:pPr>
                    <w:adjustRightInd w:val="0"/>
                    <w:snapToGrid w:val="0"/>
                    <w:jc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7" w:type="dxa"/>
                  <w:vMerge w:val="continue"/>
                  <w:vAlign w:val="center"/>
                </w:tcPr>
                <w:p>
                  <w:pPr>
                    <w:adjustRightInd w:val="0"/>
                    <w:snapToGrid w:val="0"/>
                    <w:jc w:val="center"/>
                    <w:rPr>
                      <w:color w:val="auto"/>
                      <w:szCs w:val="21"/>
                    </w:rPr>
                  </w:pPr>
                </w:p>
              </w:tc>
              <w:tc>
                <w:tcPr>
                  <w:tcW w:w="1337" w:type="dxa"/>
                  <w:vMerge w:val="continue"/>
                  <w:vAlign w:val="center"/>
                </w:tcPr>
                <w:p>
                  <w:pPr>
                    <w:adjustRightInd w:val="0"/>
                    <w:snapToGrid w:val="0"/>
                    <w:jc w:val="center"/>
                    <w:rPr>
                      <w:color w:val="auto"/>
                      <w:szCs w:val="21"/>
                    </w:rPr>
                  </w:pPr>
                </w:p>
              </w:tc>
              <w:tc>
                <w:tcPr>
                  <w:tcW w:w="4821" w:type="dxa"/>
                  <w:vAlign w:val="center"/>
                </w:tcPr>
                <w:p>
                  <w:pPr>
                    <w:adjustRightInd w:val="0"/>
                    <w:snapToGrid w:val="0"/>
                    <w:jc w:val="center"/>
                    <w:rPr>
                      <w:rFonts w:hint="eastAsia"/>
                      <w:color w:val="auto"/>
                      <w:szCs w:val="21"/>
                    </w:rPr>
                  </w:pPr>
                  <w:r>
                    <w:rPr>
                      <w:rFonts w:hint="eastAsia"/>
                      <w:color w:val="auto"/>
                      <w:szCs w:val="21"/>
                    </w:rPr>
                    <w:t>生活垃圾设置垃圾桶进行分类收集</w:t>
                  </w:r>
                </w:p>
              </w:tc>
              <w:tc>
                <w:tcPr>
                  <w:tcW w:w="1094" w:type="dxa"/>
                  <w:vAlign w:val="center"/>
                </w:tcPr>
                <w:p>
                  <w:pPr>
                    <w:adjustRightInd w:val="0"/>
                    <w:snapToGrid w:val="0"/>
                    <w:jc w:val="center"/>
                    <w:rPr>
                      <w:color w:val="auto"/>
                      <w:szCs w:val="21"/>
                    </w:rPr>
                  </w:pPr>
                  <w:r>
                    <w:rPr>
                      <w:rFonts w:hint="eastAsia"/>
                      <w:color w:val="auto"/>
                      <w:szCs w:val="21"/>
                    </w:rPr>
                    <w:t>0.2</w:t>
                  </w:r>
                </w:p>
              </w:tc>
              <w:tc>
                <w:tcPr>
                  <w:tcW w:w="925" w:type="dxa"/>
                  <w:vAlign w:val="center"/>
                </w:tcPr>
                <w:p>
                  <w:pPr>
                    <w:adjustRightInd w:val="0"/>
                    <w:snapToGrid w:val="0"/>
                    <w:jc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4" w:type="dxa"/>
                  <w:gridSpan w:val="2"/>
                  <w:vAlign w:val="center"/>
                </w:tcPr>
                <w:p>
                  <w:pPr>
                    <w:adjustRightInd w:val="0"/>
                    <w:snapToGrid w:val="0"/>
                    <w:jc w:val="center"/>
                    <w:rPr>
                      <w:color w:val="auto"/>
                      <w:szCs w:val="21"/>
                    </w:rPr>
                  </w:pPr>
                  <w:r>
                    <w:rPr>
                      <w:rFonts w:hint="eastAsia"/>
                      <w:color w:val="auto"/>
                      <w:szCs w:val="21"/>
                    </w:rPr>
                    <w:t>环境风险</w:t>
                  </w:r>
                </w:p>
              </w:tc>
              <w:tc>
                <w:tcPr>
                  <w:tcW w:w="4821" w:type="dxa"/>
                  <w:vAlign w:val="center"/>
                </w:tcPr>
                <w:p>
                  <w:pPr>
                    <w:adjustRightInd w:val="0"/>
                    <w:snapToGrid w:val="0"/>
                    <w:jc w:val="center"/>
                    <w:rPr>
                      <w:rFonts w:hint="eastAsia"/>
                      <w:color w:val="auto"/>
                      <w:szCs w:val="21"/>
                    </w:rPr>
                  </w:pPr>
                  <w:r>
                    <w:rPr>
                      <w:rFonts w:hint="eastAsia"/>
                      <w:bCs/>
                      <w:color w:val="auto"/>
                      <w:szCs w:val="21"/>
                    </w:rPr>
                    <w:t>设置灭火器等防火器材，加强员工风险意识</w:t>
                  </w:r>
                </w:p>
              </w:tc>
              <w:tc>
                <w:tcPr>
                  <w:tcW w:w="1094" w:type="dxa"/>
                  <w:vAlign w:val="center"/>
                </w:tcPr>
                <w:p>
                  <w:pPr>
                    <w:adjustRightInd w:val="0"/>
                    <w:snapToGrid w:val="0"/>
                    <w:jc w:val="center"/>
                    <w:rPr>
                      <w:color w:val="auto"/>
                      <w:szCs w:val="21"/>
                    </w:rPr>
                  </w:pPr>
                  <w:r>
                    <w:rPr>
                      <w:rFonts w:hint="eastAsia"/>
                      <w:color w:val="auto"/>
                      <w:szCs w:val="21"/>
                    </w:rPr>
                    <w:t>1</w:t>
                  </w:r>
                </w:p>
              </w:tc>
              <w:tc>
                <w:tcPr>
                  <w:tcW w:w="925" w:type="dxa"/>
                  <w:vAlign w:val="center"/>
                </w:tcPr>
                <w:p>
                  <w:pPr>
                    <w:adjustRightInd w:val="0"/>
                    <w:snapToGrid w:val="0"/>
                    <w:jc w:val="center"/>
                    <w:rPr>
                      <w:rFonts w:hint="eastAsia"/>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55" w:type="dxa"/>
                  <w:gridSpan w:val="3"/>
                  <w:vAlign w:val="center"/>
                </w:tcPr>
                <w:p>
                  <w:pPr>
                    <w:adjustRightInd w:val="0"/>
                    <w:snapToGrid w:val="0"/>
                    <w:jc w:val="center"/>
                    <w:rPr>
                      <w:color w:val="auto"/>
                      <w:szCs w:val="21"/>
                    </w:rPr>
                  </w:pPr>
                  <w:r>
                    <w:rPr>
                      <w:rFonts w:hint="eastAsia"/>
                      <w:color w:val="auto"/>
                      <w:szCs w:val="21"/>
                    </w:rPr>
                    <w:t>总计</w:t>
                  </w:r>
                </w:p>
              </w:tc>
              <w:tc>
                <w:tcPr>
                  <w:tcW w:w="1094"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28</w:t>
                  </w:r>
                </w:p>
              </w:tc>
              <w:tc>
                <w:tcPr>
                  <w:tcW w:w="925" w:type="dxa"/>
                  <w:vAlign w:val="center"/>
                </w:tcPr>
                <w:p>
                  <w:pPr>
                    <w:adjustRightInd w:val="0"/>
                    <w:snapToGrid w:val="0"/>
                    <w:jc w:val="center"/>
                    <w:rPr>
                      <w:rFonts w:hint="eastAsia"/>
                      <w:color w:val="auto"/>
                      <w:szCs w:val="21"/>
                    </w:rPr>
                  </w:pPr>
                  <w:r>
                    <w:rPr>
                      <w:rFonts w:hint="eastAsia"/>
                      <w:color w:val="auto"/>
                      <w:szCs w:val="21"/>
                    </w:rPr>
                    <w:t>/</w:t>
                  </w:r>
                </w:p>
              </w:tc>
            </w:tr>
          </w:tbl>
          <w:p>
            <w:pPr>
              <w:spacing w:line="360" w:lineRule="auto"/>
              <w:rPr>
                <w:rFonts w:hint="eastAsia"/>
                <w:b/>
                <w:bCs/>
                <w:color w:val="auto"/>
                <w:sz w:val="24"/>
              </w:rPr>
            </w:pPr>
          </w:p>
          <w:p>
            <w:pPr>
              <w:pStyle w:val="32"/>
              <w:ind w:firstLine="0"/>
              <w:rPr>
                <w:rFonts w:ascii="Times New Roman"/>
                <w:color w:val="auto"/>
                <w:sz w:val="24"/>
                <w:szCs w:val="24"/>
              </w:rPr>
            </w:pPr>
          </w:p>
        </w:tc>
      </w:tr>
    </w:tbl>
    <w:p>
      <w:pPr>
        <w:pStyle w:val="19"/>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5" w:name="_Hlk54167917"/>
      <w:r>
        <w:rPr>
          <w:rFonts w:hint="eastAsia" w:ascii="黑体" w:hAnsi="黑体" w:eastAsia="黑体"/>
          <w:snapToGrid w:val="0"/>
          <w:color w:val="auto"/>
          <w:sz w:val="30"/>
          <w:szCs w:val="30"/>
        </w:rPr>
        <w:t>环境保护措施监督检查清单</w:t>
      </w:r>
      <w:bookmarkEnd w:id="5"/>
    </w:p>
    <w:tbl>
      <w:tblPr>
        <w:tblStyle w:val="24"/>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658"/>
        <w:gridCol w:w="885"/>
        <w:gridCol w:w="3795"/>
        <w:gridCol w:w="11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8" w:type="dxa"/>
            <w:tcBorders>
              <w:tl2br w:val="single" w:color="auto" w:sz="4" w:space="0"/>
            </w:tcBorders>
            <w:vAlign w:val="top"/>
          </w:tcPr>
          <w:p>
            <w:pPr>
              <w:adjustRightInd w:val="0"/>
              <w:snapToGrid w:val="0"/>
              <w:ind w:firstLine="630" w:firstLineChars="300"/>
              <w:rPr>
                <w:rFonts w:hint="eastAsia" w:ascii="宋体" w:hAnsi="宋体" w:cs="宋体"/>
                <w:color w:val="auto"/>
                <w:szCs w:val="21"/>
              </w:rPr>
            </w:pPr>
            <w:r>
              <w:rPr>
                <w:rFonts w:hint="eastAsia" w:ascii="宋体" w:hAnsi="宋体" w:cs="宋体"/>
                <w:color w:val="auto"/>
                <w:szCs w:val="21"/>
              </w:rPr>
              <w:t>内容</w:t>
            </w:r>
          </w:p>
          <w:p>
            <w:pPr>
              <w:adjustRightInd w:val="0"/>
              <w:snapToGrid w:val="0"/>
              <w:rPr>
                <w:rFonts w:hint="eastAsia" w:ascii="宋体" w:hAnsi="宋体" w:cs="宋体"/>
                <w:color w:val="auto"/>
                <w:szCs w:val="21"/>
              </w:rPr>
            </w:pPr>
            <w:r>
              <w:rPr>
                <w:rFonts w:hint="eastAsia" w:ascii="宋体" w:hAnsi="宋体" w:cs="宋体"/>
                <w:color w:val="auto"/>
                <w:szCs w:val="21"/>
              </w:rPr>
              <w:t>要素</w:t>
            </w:r>
          </w:p>
        </w:tc>
        <w:tc>
          <w:tcPr>
            <w:tcW w:w="165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排放口(编号、</w:t>
            </w:r>
          </w:p>
          <w:p>
            <w:pPr>
              <w:adjustRightInd w:val="0"/>
              <w:snapToGrid w:val="0"/>
              <w:jc w:val="center"/>
              <w:rPr>
                <w:rFonts w:hint="eastAsia" w:ascii="宋体" w:hAnsi="宋体" w:cs="宋体"/>
                <w:color w:val="auto"/>
                <w:szCs w:val="21"/>
              </w:rPr>
            </w:pPr>
            <w:r>
              <w:rPr>
                <w:rFonts w:hint="eastAsia" w:ascii="宋体" w:hAnsi="宋体" w:cs="宋体"/>
                <w:color w:val="auto"/>
                <w:szCs w:val="21"/>
              </w:rPr>
              <w:t>名称)/污染源</w:t>
            </w:r>
          </w:p>
        </w:tc>
        <w:tc>
          <w:tcPr>
            <w:tcW w:w="88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污染物项目</w:t>
            </w:r>
          </w:p>
        </w:tc>
        <w:tc>
          <w:tcPr>
            <w:tcW w:w="379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环境保护措施</w:t>
            </w:r>
          </w:p>
        </w:tc>
        <w:tc>
          <w:tcPr>
            <w:tcW w:w="11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6" w:hRule="atLeast"/>
          <w:jc w:val="center"/>
        </w:trPr>
        <w:tc>
          <w:tcPr>
            <w:tcW w:w="1288" w:type="dxa"/>
            <w:vMerge w:val="restart"/>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大气环境</w:t>
            </w:r>
          </w:p>
        </w:tc>
        <w:tc>
          <w:tcPr>
            <w:tcW w:w="1658" w:type="dxa"/>
            <w:vAlign w:val="center"/>
          </w:tcPr>
          <w:p>
            <w:pPr>
              <w:adjustRightInd w:val="0"/>
              <w:snapToGrid w:val="0"/>
              <w:jc w:val="center"/>
              <w:rPr>
                <w:rFonts w:hint="eastAsia"/>
                <w:color w:val="auto"/>
                <w:szCs w:val="21"/>
                <w:lang w:eastAsia="zh-CN"/>
              </w:rPr>
            </w:pPr>
            <w:r>
              <w:rPr>
                <w:rFonts w:hint="eastAsia"/>
                <w:color w:val="auto"/>
                <w:szCs w:val="21"/>
                <w:lang w:eastAsia="zh-CN"/>
              </w:rPr>
              <w:t>原料堆场、卸料投料粉尘</w:t>
            </w:r>
          </w:p>
        </w:tc>
        <w:tc>
          <w:tcPr>
            <w:tcW w:w="885" w:type="dxa"/>
            <w:vAlign w:val="center"/>
          </w:tcPr>
          <w:p>
            <w:pPr>
              <w:jc w:val="center"/>
              <w:rPr>
                <w:rFonts w:hint="eastAsia"/>
                <w:color w:val="auto"/>
                <w:szCs w:val="21"/>
                <w:lang w:eastAsia="zh-CN"/>
              </w:rPr>
            </w:pPr>
          </w:p>
          <w:p>
            <w:pPr>
              <w:jc w:val="center"/>
              <w:rPr>
                <w:rFonts w:hint="eastAsia"/>
                <w:color w:val="auto"/>
                <w:szCs w:val="21"/>
                <w:lang w:eastAsia="zh-CN"/>
              </w:rPr>
            </w:pPr>
            <w:r>
              <w:rPr>
                <w:rFonts w:hint="eastAsia"/>
                <w:color w:val="auto"/>
                <w:szCs w:val="21"/>
                <w:lang w:eastAsia="zh-CN"/>
              </w:rPr>
              <w:t>颗粒物</w:t>
            </w:r>
          </w:p>
        </w:tc>
        <w:tc>
          <w:tcPr>
            <w:tcW w:w="3795" w:type="dxa"/>
            <w:vAlign w:val="center"/>
          </w:tcPr>
          <w:p>
            <w:pPr>
              <w:jc w:val="center"/>
              <w:rPr>
                <w:rFonts w:hint="eastAsia" w:ascii="Times New Roman" w:hAnsi="Times New Roman"/>
                <w:b w:val="0"/>
                <w:bCs/>
                <w:color w:val="auto"/>
                <w:sz w:val="21"/>
                <w:szCs w:val="21"/>
              </w:rPr>
            </w:pPr>
            <w:r>
              <w:rPr>
                <w:rFonts w:hint="eastAsia"/>
                <w:color w:val="auto"/>
                <w:sz w:val="21"/>
                <w:szCs w:val="21"/>
              </w:rPr>
              <w:t>项目原料堆场、生产厂房均为封闭式结构，仅保留必要车辆进出口，进出口设置柔性聚酯纤维防尘帘幕，尺寸为宽4m×高5m，共2处。厂房顶部及侧墙设置固定式防尘网，采用200目不锈钢丝网，总覆盖面积约300m²（主要位于卸料口、上料口、传送带进出口）。</w:t>
            </w:r>
            <w:r>
              <w:rPr>
                <w:rFonts w:hint="default" w:ascii="Times New Roman" w:hAnsi="Times New Roman" w:cs="Times New Roman"/>
                <w:color w:val="auto"/>
                <w:lang w:eastAsia="zh-CN"/>
              </w:rPr>
              <w:t>场内配置自动喷雾降尘系统，</w:t>
            </w:r>
            <w:r>
              <w:rPr>
                <w:rFonts w:hint="eastAsia" w:ascii="Times New Roman" w:hAnsi="Times New Roman" w:cs="Times New Roman"/>
                <w:color w:val="auto"/>
                <w:lang w:eastAsia="zh-CN"/>
              </w:rPr>
              <w:t>原料仓库内设置</w:t>
            </w:r>
            <w:r>
              <w:rPr>
                <w:rFonts w:hint="eastAsia" w:ascii="Times New Roman" w:hAnsi="Times New Roman" w:cs="Times New Roman"/>
                <w:color w:val="auto"/>
                <w:lang w:val="en-US" w:eastAsia="zh-CN"/>
              </w:rPr>
              <w:t>20个</w:t>
            </w:r>
            <w:r>
              <w:rPr>
                <w:rFonts w:hint="default" w:ascii="Times New Roman" w:hAnsi="Times New Roman" w:cs="Times New Roman"/>
                <w:color w:val="auto"/>
                <w:lang w:eastAsia="zh-CN"/>
              </w:rPr>
              <w:t>高压雾化喷头</w:t>
            </w:r>
            <w:r>
              <w:rPr>
                <w:rFonts w:hint="eastAsia" w:ascii="Times New Roman" w:hAnsi="Times New Roman" w:cs="Times New Roman"/>
                <w:color w:val="auto"/>
                <w:lang w:eastAsia="zh-CN"/>
              </w:rPr>
              <w:t>、投料口设置</w:t>
            </w:r>
            <w:r>
              <w:rPr>
                <w:rFonts w:hint="eastAsia" w:ascii="Times New Roman" w:hAnsi="Times New Roman" w:cs="Times New Roman"/>
                <w:color w:val="auto"/>
                <w:lang w:val="en-US" w:eastAsia="zh-CN"/>
              </w:rPr>
              <w:t>5个</w:t>
            </w:r>
            <w:r>
              <w:rPr>
                <w:rFonts w:hint="default" w:ascii="Times New Roman" w:hAnsi="Times New Roman" w:cs="Times New Roman"/>
                <w:color w:val="auto"/>
                <w:lang w:eastAsia="zh-CN"/>
              </w:rPr>
              <w:t>高压雾化喷头</w:t>
            </w:r>
            <w:r>
              <w:rPr>
                <w:rFonts w:hint="eastAsia" w:ascii="Times New Roman" w:hAnsi="Times New Roman" w:cs="Times New Roman"/>
                <w:color w:val="auto"/>
                <w:lang w:eastAsia="zh-CN"/>
              </w:rPr>
              <w:t>，单个喷头喷洒水量 0.</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L/min 。</w:t>
            </w:r>
          </w:p>
        </w:tc>
        <w:tc>
          <w:tcPr>
            <w:tcW w:w="1174" w:type="dxa"/>
            <w:vMerge w:val="restart"/>
            <w:vAlign w:val="center"/>
          </w:tcPr>
          <w:p>
            <w:pPr>
              <w:jc w:val="center"/>
              <w:rPr>
                <w:rFonts w:hint="eastAsia" w:ascii="宋体" w:hAnsi="宋体" w:cs="宋体"/>
                <w:color w:val="auto"/>
                <w:szCs w:val="21"/>
              </w:rPr>
            </w:pPr>
            <w:r>
              <w:rPr>
                <w:rFonts w:hint="eastAsia" w:ascii="宋体" w:hAnsi="宋体" w:cs="宋体"/>
                <w:color w:val="auto"/>
                <w:szCs w:val="21"/>
              </w:rPr>
              <w:t>《水泥工业大气污染物排放标准》</w:t>
            </w:r>
            <w:r>
              <w:rPr>
                <w:rFonts w:hint="default" w:ascii="Times New Roman" w:hAnsi="Times New Roman" w:cs="Times New Roman"/>
                <w:color w:val="auto"/>
                <w:szCs w:val="21"/>
              </w:rPr>
              <w:t>（DB34/3576-2020）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rFonts w:hint="eastAsia"/>
                <w:color w:val="auto"/>
                <w:szCs w:val="21"/>
                <w:lang w:eastAsia="zh-CN"/>
              </w:rPr>
            </w:pPr>
            <w:r>
              <w:rPr>
                <w:rFonts w:hint="eastAsia"/>
                <w:color w:val="auto"/>
                <w:szCs w:val="21"/>
                <w:lang w:eastAsia="zh-CN"/>
              </w:rPr>
              <w:t>碎石输送、计量粉尘</w:t>
            </w:r>
          </w:p>
        </w:tc>
        <w:tc>
          <w:tcPr>
            <w:tcW w:w="885" w:type="dxa"/>
            <w:vAlign w:val="center"/>
          </w:tcPr>
          <w:p>
            <w:pPr>
              <w:jc w:val="center"/>
              <w:rPr>
                <w:rFonts w:hint="eastAsia"/>
                <w:color w:val="auto"/>
                <w:szCs w:val="21"/>
                <w:lang w:eastAsia="zh-CN"/>
              </w:rPr>
            </w:pPr>
            <w:r>
              <w:rPr>
                <w:rFonts w:hint="eastAsia"/>
                <w:color w:val="auto"/>
                <w:szCs w:val="21"/>
                <w:lang w:eastAsia="zh-CN"/>
              </w:rPr>
              <w:t>颗粒物</w:t>
            </w:r>
          </w:p>
        </w:tc>
        <w:tc>
          <w:tcPr>
            <w:tcW w:w="3795" w:type="dxa"/>
            <w:vAlign w:val="center"/>
          </w:tcPr>
          <w:p>
            <w:pPr>
              <w:jc w:val="center"/>
              <w:rPr>
                <w:rFonts w:hint="eastAsia" w:ascii="Times New Roman" w:hAnsi="Times New Roman"/>
                <w:b w:val="0"/>
                <w:bCs/>
                <w:color w:val="auto"/>
                <w:sz w:val="21"/>
                <w:szCs w:val="21"/>
              </w:rPr>
            </w:pPr>
            <w:r>
              <w:rPr>
                <w:rFonts w:hint="eastAsia"/>
                <w:color w:val="auto"/>
                <w:sz w:val="21"/>
                <w:szCs w:val="21"/>
                <w:lang w:eastAsia="zh-CN"/>
              </w:rPr>
              <w:t>密闭围挡+喷雾抑尘：输送皮带采用全封闭彩钢板廊道（高度2m、长度120m），计量斗上方设置三面彩钢板围挡（高度3m、长度6m），仅保留一个侧面物料输送口；在输送廊道内设置20个高压雾化喷头，计量斗区域设置6个喷头，单个喷洒水量0.5L/min（水压0.3MPa）</w:t>
            </w:r>
          </w:p>
        </w:tc>
        <w:tc>
          <w:tcPr>
            <w:tcW w:w="1174" w:type="dxa"/>
            <w:vMerge w:val="continue"/>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rFonts w:hint="eastAsia"/>
                <w:color w:val="auto"/>
                <w:szCs w:val="21"/>
                <w:lang w:eastAsia="zh-CN"/>
              </w:rPr>
            </w:pPr>
            <w:r>
              <w:rPr>
                <w:rFonts w:hint="eastAsia"/>
                <w:color w:val="auto"/>
                <w:szCs w:val="21"/>
                <w:lang w:eastAsia="zh-CN"/>
              </w:rPr>
              <w:t>水泥罐粉尘</w:t>
            </w:r>
          </w:p>
        </w:tc>
        <w:tc>
          <w:tcPr>
            <w:tcW w:w="885" w:type="dxa"/>
            <w:vAlign w:val="center"/>
          </w:tcPr>
          <w:p>
            <w:pPr>
              <w:jc w:val="center"/>
              <w:rPr>
                <w:rFonts w:hint="eastAsia"/>
                <w:color w:val="auto"/>
                <w:szCs w:val="21"/>
                <w:lang w:eastAsia="zh-CN"/>
              </w:rPr>
            </w:pPr>
            <w:r>
              <w:rPr>
                <w:rFonts w:hint="eastAsia"/>
                <w:color w:val="auto"/>
                <w:szCs w:val="21"/>
                <w:lang w:eastAsia="zh-CN"/>
              </w:rPr>
              <w:t>颗粒物</w:t>
            </w:r>
          </w:p>
        </w:tc>
        <w:tc>
          <w:tcPr>
            <w:tcW w:w="3795" w:type="dxa"/>
            <w:vAlign w:val="center"/>
          </w:tcPr>
          <w:p>
            <w:pPr>
              <w:jc w:val="center"/>
              <w:rPr>
                <w:rFonts w:hint="eastAsia" w:ascii="Times New Roman" w:hAnsi="Times New Roman"/>
                <w:b w:val="0"/>
                <w:bCs/>
                <w:color w:val="auto"/>
                <w:sz w:val="21"/>
                <w:szCs w:val="21"/>
                <w:lang w:eastAsia="zh-CN"/>
              </w:rPr>
            </w:pPr>
            <w:r>
              <w:rPr>
                <w:rFonts w:hint="eastAsia"/>
                <w:color w:val="auto"/>
                <w:sz w:val="21"/>
                <w:szCs w:val="21"/>
                <w:lang w:eastAsia="zh-CN"/>
              </w:rPr>
              <w:t>仓顶除尘器</w:t>
            </w:r>
            <w:r>
              <w:rPr>
                <w:rFonts w:hint="eastAsia"/>
                <w:color w:val="auto"/>
                <w:sz w:val="21"/>
                <w:szCs w:val="21"/>
                <w:lang w:val="en-US" w:eastAsia="zh-CN"/>
              </w:rPr>
              <w:t>+厂房密闭</w:t>
            </w:r>
          </w:p>
        </w:tc>
        <w:tc>
          <w:tcPr>
            <w:tcW w:w="1174" w:type="dxa"/>
            <w:vMerge w:val="continue"/>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rFonts w:hint="eastAsia"/>
                <w:color w:val="auto"/>
                <w:szCs w:val="21"/>
                <w:lang w:eastAsia="zh-CN"/>
              </w:rPr>
            </w:pPr>
            <w:r>
              <w:rPr>
                <w:rFonts w:hint="eastAsia"/>
                <w:color w:val="auto"/>
                <w:szCs w:val="21"/>
                <w:lang w:eastAsia="zh-CN"/>
              </w:rPr>
              <w:t>搅拌粉尘</w:t>
            </w:r>
          </w:p>
        </w:tc>
        <w:tc>
          <w:tcPr>
            <w:tcW w:w="885" w:type="dxa"/>
            <w:vAlign w:val="center"/>
          </w:tcPr>
          <w:p>
            <w:pPr>
              <w:jc w:val="center"/>
              <w:rPr>
                <w:rFonts w:hint="eastAsia"/>
                <w:color w:val="auto"/>
                <w:szCs w:val="21"/>
                <w:lang w:eastAsia="zh-CN"/>
              </w:rPr>
            </w:pPr>
            <w:r>
              <w:rPr>
                <w:rFonts w:hint="eastAsia"/>
                <w:color w:val="auto"/>
                <w:szCs w:val="21"/>
                <w:lang w:eastAsia="zh-CN"/>
              </w:rPr>
              <w:t>颗粒物</w:t>
            </w:r>
          </w:p>
        </w:tc>
        <w:tc>
          <w:tcPr>
            <w:tcW w:w="3795" w:type="dxa"/>
            <w:vAlign w:val="center"/>
          </w:tcPr>
          <w:p>
            <w:pPr>
              <w:jc w:val="center"/>
              <w:rPr>
                <w:rFonts w:hint="eastAsia" w:ascii="Times New Roman" w:hAnsi="Times New Roman"/>
                <w:b w:val="0"/>
                <w:bCs/>
                <w:color w:val="auto"/>
                <w:sz w:val="21"/>
                <w:szCs w:val="21"/>
                <w:lang w:eastAsia="zh-CN"/>
              </w:rPr>
            </w:pPr>
            <w:r>
              <w:rPr>
                <w:rFonts w:hint="eastAsia"/>
                <w:color w:val="auto"/>
                <w:sz w:val="21"/>
                <w:szCs w:val="21"/>
                <w:lang w:eastAsia="zh-CN"/>
              </w:rPr>
              <w:t>集气罩、软帘</w:t>
            </w:r>
            <w:r>
              <w:rPr>
                <w:rFonts w:hint="eastAsia"/>
                <w:color w:val="auto"/>
                <w:sz w:val="21"/>
                <w:szCs w:val="21"/>
                <w:lang w:val="en-US" w:eastAsia="zh-CN"/>
              </w:rPr>
              <w:t>+脉冲布袋除尘器+1根15m高排气筒DA001，并</w:t>
            </w:r>
            <w:r>
              <w:rPr>
                <w:rFonts w:hint="eastAsia"/>
                <w:color w:val="auto"/>
                <w:sz w:val="21"/>
                <w:szCs w:val="21"/>
                <w:lang w:eastAsia="zh-CN"/>
              </w:rPr>
              <w:t>在搅拌区域上方设置12个高压雾化喷头，单个喷头喷洒水量0.5L/min（水压0.3MPa）</w:t>
            </w:r>
          </w:p>
        </w:tc>
        <w:tc>
          <w:tcPr>
            <w:tcW w:w="1174" w:type="dxa"/>
            <w:vMerge w:val="continue"/>
            <w:vAlign w:val="center"/>
          </w:tcPr>
          <w:p>
            <w:pPr>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color w:val="auto"/>
                <w:szCs w:val="21"/>
              </w:rPr>
            </w:pPr>
            <w:r>
              <w:rPr>
                <w:rFonts w:hint="eastAsia"/>
                <w:color w:val="auto"/>
                <w:szCs w:val="21"/>
                <w:lang w:eastAsia="zh-CN"/>
              </w:rPr>
              <w:t>车辆运输扬尘</w:t>
            </w:r>
          </w:p>
        </w:tc>
        <w:tc>
          <w:tcPr>
            <w:tcW w:w="885" w:type="dxa"/>
            <w:vAlign w:val="center"/>
          </w:tcPr>
          <w:p>
            <w:pPr>
              <w:jc w:val="center"/>
              <w:rPr>
                <w:rFonts w:hint="eastAsia"/>
                <w:color w:val="auto"/>
                <w:szCs w:val="21"/>
              </w:rPr>
            </w:pPr>
            <w:r>
              <w:rPr>
                <w:rFonts w:hint="eastAsia"/>
                <w:color w:val="auto"/>
                <w:szCs w:val="21"/>
              </w:rPr>
              <w:t>颗粒物</w:t>
            </w:r>
          </w:p>
        </w:tc>
        <w:tc>
          <w:tcPr>
            <w:tcW w:w="3795" w:type="dxa"/>
            <w:vAlign w:val="center"/>
          </w:tcPr>
          <w:p>
            <w:pPr>
              <w:jc w:val="center"/>
              <w:rPr>
                <w:rFonts w:hint="eastAsia" w:eastAsia="宋体"/>
                <w:color w:val="auto"/>
                <w:szCs w:val="21"/>
                <w:lang w:eastAsia="zh-CN"/>
              </w:rPr>
            </w:pPr>
            <w:r>
              <w:rPr>
                <w:rFonts w:hint="eastAsia"/>
                <w:color w:val="auto"/>
                <w:szCs w:val="21"/>
                <w:lang w:eastAsia="zh-CN"/>
              </w:rPr>
              <w:t>路面硬化，定期路面洒水</w:t>
            </w:r>
          </w:p>
        </w:tc>
        <w:tc>
          <w:tcPr>
            <w:tcW w:w="1174" w:type="dxa"/>
            <w:vMerge w:val="continue"/>
            <w:vAlign w:val="center"/>
          </w:tcPr>
          <w:p>
            <w:pPr>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1288" w:type="dxa"/>
            <w:vMerge w:val="restart"/>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地表水环境</w:t>
            </w:r>
          </w:p>
        </w:tc>
        <w:tc>
          <w:tcPr>
            <w:tcW w:w="1658" w:type="dxa"/>
            <w:vAlign w:val="center"/>
          </w:tcPr>
          <w:p>
            <w:pPr>
              <w:adjustRightInd w:val="0"/>
              <w:snapToGrid w:val="0"/>
              <w:ind w:firstLine="210" w:firstLineChars="100"/>
              <w:jc w:val="both"/>
              <w:rPr>
                <w:rFonts w:hint="eastAsia" w:ascii="宋体" w:hAnsi="宋体" w:cs="宋体"/>
                <w:color w:val="auto"/>
                <w:szCs w:val="21"/>
              </w:rPr>
            </w:pPr>
            <w:r>
              <w:rPr>
                <w:rFonts w:hint="eastAsia" w:ascii="宋体" w:hAnsi="宋体" w:cs="宋体"/>
                <w:color w:val="auto"/>
                <w:szCs w:val="21"/>
              </w:rPr>
              <w:t>生活污水</w:t>
            </w:r>
          </w:p>
        </w:tc>
        <w:tc>
          <w:tcPr>
            <w:tcW w:w="885" w:type="dxa"/>
            <w:vAlign w:val="center"/>
          </w:tcPr>
          <w:p>
            <w:pPr>
              <w:widowControl/>
              <w:textAlignment w:val="center"/>
              <w:rPr>
                <w:rFonts w:hint="eastAsia"/>
                <w:b/>
                <w:color w:val="auto"/>
                <w:szCs w:val="21"/>
              </w:rPr>
            </w:pPr>
            <w:r>
              <w:rPr>
                <w:color w:val="auto"/>
                <w:kern w:val="0"/>
                <w:szCs w:val="21"/>
                <w:lang w:bidi="ar"/>
              </w:rPr>
              <w:t>COD</w:t>
            </w:r>
            <w:r>
              <w:rPr>
                <w:rFonts w:hint="eastAsia"/>
                <w:color w:val="auto"/>
                <w:kern w:val="0"/>
                <w:szCs w:val="21"/>
                <w:lang w:bidi="ar"/>
              </w:rPr>
              <w:t>、</w:t>
            </w:r>
            <w:r>
              <w:rPr>
                <w:color w:val="auto"/>
                <w:kern w:val="0"/>
                <w:szCs w:val="21"/>
                <w:lang w:bidi="ar"/>
              </w:rPr>
              <w:t>BOD</w:t>
            </w:r>
            <w:r>
              <w:rPr>
                <w:color w:val="auto"/>
                <w:kern w:val="0"/>
                <w:szCs w:val="21"/>
                <w:vertAlign w:val="subscript"/>
                <w:lang w:bidi="ar"/>
              </w:rPr>
              <w:t>5</w:t>
            </w:r>
            <w:r>
              <w:rPr>
                <w:rFonts w:hint="eastAsia"/>
                <w:color w:val="auto"/>
                <w:kern w:val="0"/>
                <w:szCs w:val="21"/>
                <w:lang w:bidi="ar"/>
              </w:rPr>
              <w:t>、</w:t>
            </w:r>
            <w:r>
              <w:rPr>
                <w:color w:val="auto"/>
                <w:kern w:val="0"/>
                <w:szCs w:val="21"/>
                <w:lang w:bidi="ar"/>
              </w:rPr>
              <w:t>SS</w:t>
            </w:r>
            <w:r>
              <w:rPr>
                <w:rFonts w:hint="eastAsia"/>
                <w:color w:val="auto"/>
                <w:kern w:val="0"/>
                <w:szCs w:val="21"/>
                <w:lang w:bidi="ar"/>
              </w:rPr>
              <w:t>、</w:t>
            </w: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795" w:type="dxa"/>
            <w:vAlign w:val="center"/>
          </w:tcPr>
          <w:p>
            <w:pPr>
              <w:jc w:val="center"/>
              <w:rPr>
                <w:rFonts w:ascii="宋体" w:hAnsi="宋体" w:cs="宋体"/>
                <w:color w:val="auto"/>
                <w:szCs w:val="21"/>
              </w:rPr>
            </w:pPr>
            <w:r>
              <w:rPr>
                <w:rFonts w:hint="eastAsia"/>
                <w:color w:val="auto"/>
                <w:szCs w:val="21"/>
              </w:rPr>
              <w:t>雨污分流管网、化粪池。</w:t>
            </w:r>
          </w:p>
        </w:tc>
        <w:tc>
          <w:tcPr>
            <w:tcW w:w="1174" w:type="dxa"/>
            <w:vAlign w:val="center"/>
          </w:tcPr>
          <w:p>
            <w:pPr>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经化粪池预处理后定期由吸污车转运至丰庄镇新村街污水处理站处理。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rFonts w:hint="eastAsia" w:ascii="宋体" w:hAnsi="宋体" w:cs="宋体"/>
                <w:color w:val="auto"/>
                <w:szCs w:val="21"/>
              </w:rPr>
            </w:pPr>
            <w:r>
              <w:rPr>
                <w:rFonts w:hint="eastAsia"/>
                <w:color w:val="auto"/>
                <w:szCs w:val="21"/>
                <w:lang w:eastAsia="zh-CN"/>
              </w:rPr>
              <w:t>养护废水、进出车辆冲洗废水、设备冲洗废水</w:t>
            </w:r>
          </w:p>
        </w:tc>
        <w:tc>
          <w:tcPr>
            <w:tcW w:w="885" w:type="dxa"/>
            <w:vAlign w:val="center"/>
          </w:tcPr>
          <w:p>
            <w:pPr>
              <w:widowControl/>
              <w:textAlignment w:val="center"/>
              <w:rPr>
                <w:rFonts w:hint="default" w:eastAsia="宋体"/>
                <w:color w:val="auto"/>
                <w:kern w:val="0"/>
                <w:szCs w:val="21"/>
                <w:lang w:val="en-US" w:eastAsia="zh-CN" w:bidi="ar"/>
              </w:rPr>
            </w:pPr>
            <w:r>
              <w:rPr>
                <w:rFonts w:hint="eastAsia"/>
                <w:color w:val="auto"/>
                <w:kern w:val="0"/>
                <w:szCs w:val="21"/>
                <w:lang w:val="en-US" w:eastAsia="zh-CN" w:bidi="ar"/>
              </w:rPr>
              <w:t>SS、石油类</w:t>
            </w:r>
          </w:p>
        </w:tc>
        <w:tc>
          <w:tcPr>
            <w:tcW w:w="3795" w:type="dxa"/>
            <w:vAlign w:val="center"/>
          </w:tcPr>
          <w:p>
            <w:pPr>
              <w:jc w:val="center"/>
              <w:rPr>
                <w:rFonts w:hint="eastAsia" w:eastAsia="宋体"/>
                <w:color w:val="auto"/>
                <w:szCs w:val="21"/>
                <w:lang w:eastAsia="zh-CN"/>
              </w:rPr>
            </w:pPr>
            <w:r>
              <w:rPr>
                <w:rFonts w:hint="default" w:ascii="Times New Roman" w:hAnsi="Times New Roman" w:cs="Times New Roman"/>
                <w:color w:val="auto"/>
                <w:sz w:val="21"/>
                <w:szCs w:val="21"/>
                <w:lang w:eastAsia="zh-CN"/>
              </w:rPr>
              <w:t>三级沉淀池</w:t>
            </w:r>
            <w:r>
              <w:rPr>
                <w:rFonts w:hint="eastAsia" w:cs="Times New Roman"/>
                <w:color w:val="auto"/>
                <w:sz w:val="21"/>
                <w:szCs w:val="21"/>
                <w:lang w:eastAsia="zh-CN"/>
              </w:rPr>
              <w:t>（</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0m</w:t>
            </w:r>
            <w:r>
              <w:rPr>
                <w:rFonts w:hint="default" w:ascii="Times New Roman" w:hAnsi="Times New Roman" w:cs="Times New Roman"/>
                <w:color w:val="auto"/>
                <w:sz w:val="21"/>
                <w:szCs w:val="21"/>
                <w:vertAlign w:val="superscript"/>
                <w:lang w:val="en-US" w:eastAsia="zh-CN"/>
              </w:rPr>
              <w:t>3</w:t>
            </w:r>
            <w:r>
              <w:rPr>
                <w:rFonts w:hint="eastAsia" w:cs="Times New Roman"/>
                <w:color w:val="auto"/>
                <w:sz w:val="21"/>
                <w:szCs w:val="21"/>
                <w:lang w:eastAsia="zh-CN"/>
              </w:rPr>
              <w:t>）</w:t>
            </w:r>
          </w:p>
        </w:tc>
        <w:tc>
          <w:tcPr>
            <w:tcW w:w="1174" w:type="dxa"/>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eastAsia="zh-CN"/>
              </w:rPr>
              <w:t>回用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1288" w:type="dxa"/>
            <w:vMerge w:val="continue"/>
            <w:vAlign w:val="center"/>
          </w:tcPr>
          <w:p>
            <w:pPr>
              <w:adjustRightInd w:val="0"/>
              <w:snapToGrid w:val="0"/>
              <w:jc w:val="center"/>
              <w:rPr>
                <w:rFonts w:hint="eastAsia" w:ascii="宋体" w:hAnsi="宋体" w:cs="宋体"/>
                <w:color w:val="auto"/>
                <w:szCs w:val="21"/>
              </w:rPr>
            </w:pPr>
          </w:p>
        </w:tc>
        <w:tc>
          <w:tcPr>
            <w:tcW w:w="1658" w:type="dxa"/>
            <w:vAlign w:val="center"/>
          </w:tcPr>
          <w:p>
            <w:pPr>
              <w:adjustRightInd w:val="0"/>
              <w:snapToGrid w:val="0"/>
              <w:jc w:val="center"/>
              <w:rPr>
                <w:rFonts w:hint="eastAsia" w:ascii="宋体" w:hAnsi="宋体" w:cs="宋体"/>
                <w:color w:val="auto"/>
                <w:szCs w:val="21"/>
              </w:rPr>
            </w:pPr>
            <w:r>
              <w:rPr>
                <w:rFonts w:hint="eastAsia"/>
                <w:color w:val="auto"/>
                <w:szCs w:val="21"/>
                <w:lang w:eastAsia="zh-CN"/>
              </w:rPr>
              <w:t>初级雨水</w:t>
            </w:r>
          </w:p>
        </w:tc>
        <w:tc>
          <w:tcPr>
            <w:tcW w:w="885" w:type="dxa"/>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SS</w:t>
            </w:r>
          </w:p>
        </w:tc>
        <w:tc>
          <w:tcPr>
            <w:tcW w:w="3795" w:type="dxa"/>
            <w:vAlign w:val="center"/>
          </w:tcPr>
          <w:p>
            <w:pPr>
              <w:jc w:val="center"/>
              <w:rPr>
                <w:rFonts w:hint="eastAsia"/>
                <w:color w:val="auto"/>
                <w:szCs w:val="21"/>
              </w:rPr>
            </w:pPr>
            <w:r>
              <w:rPr>
                <w:rFonts w:hint="default" w:ascii="Times New Roman" w:hAnsi="Times New Roman" w:cs="Times New Roman"/>
                <w:color w:val="auto"/>
                <w:sz w:val="21"/>
                <w:szCs w:val="21"/>
                <w:lang w:eastAsia="zh-CN"/>
              </w:rPr>
              <w:t>初级雨水池（</w:t>
            </w: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val="en-US" w:eastAsia="zh-CN"/>
              </w:rPr>
              <w:t>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eastAsia="zh-CN"/>
              </w:rPr>
              <w:t>）</w:t>
            </w:r>
          </w:p>
        </w:tc>
        <w:tc>
          <w:tcPr>
            <w:tcW w:w="1174" w:type="dxa"/>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eastAsia="zh-CN"/>
              </w:rPr>
              <w:t>回用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声环境</w:t>
            </w:r>
          </w:p>
        </w:tc>
        <w:tc>
          <w:tcPr>
            <w:tcW w:w="1658"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设备运行</w:t>
            </w:r>
          </w:p>
        </w:tc>
        <w:tc>
          <w:tcPr>
            <w:tcW w:w="88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机械噪声</w:t>
            </w:r>
          </w:p>
        </w:tc>
        <w:tc>
          <w:tcPr>
            <w:tcW w:w="3795" w:type="dxa"/>
            <w:vAlign w:val="center"/>
          </w:tcPr>
          <w:p>
            <w:pPr>
              <w:adjustRightInd w:val="0"/>
              <w:snapToGrid w:val="0"/>
              <w:jc w:val="center"/>
              <w:rPr>
                <w:rFonts w:hint="eastAsia" w:ascii="宋体" w:hAnsi="宋体" w:cs="宋体"/>
                <w:color w:val="auto"/>
                <w:szCs w:val="21"/>
              </w:rPr>
            </w:pPr>
            <w:r>
              <w:rPr>
                <w:color w:val="auto"/>
                <w:szCs w:val="21"/>
              </w:rPr>
              <w:t>减</w:t>
            </w:r>
            <w:r>
              <w:rPr>
                <w:rFonts w:hint="eastAsia"/>
                <w:color w:val="auto"/>
                <w:szCs w:val="21"/>
              </w:rPr>
              <w:t>振</w:t>
            </w:r>
            <w:r>
              <w:rPr>
                <w:color w:val="auto"/>
                <w:szCs w:val="21"/>
              </w:rPr>
              <w:t>、厂房隔声、距离衰减</w:t>
            </w:r>
          </w:p>
        </w:tc>
        <w:tc>
          <w:tcPr>
            <w:tcW w:w="11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《工业企业厂界环境噪</w:t>
            </w:r>
            <w:r>
              <w:rPr>
                <w:color w:val="auto"/>
                <w:szCs w:val="21"/>
              </w:rPr>
              <w:t>声排放标准》（GB12348-2008）标准中</w:t>
            </w:r>
            <w:r>
              <w:rPr>
                <w:rFonts w:hint="eastAsia"/>
                <w:color w:val="auto"/>
                <w:szCs w:val="21"/>
                <w:lang w:val="en-US" w:eastAsia="zh-CN"/>
              </w:rPr>
              <w:t>2</w:t>
            </w:r>
            <w:r>
              <w:rPr>
                <w:color w:val="auto"/>
                <w:szCs w:val="21"/>
              </w:rPr>
              <w:t>类标准</w:t>
            </w: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电磁辐射</w:t>
            </w:r>
          </w:p>
        </w:tc>
        <w:tc>
          <w:tcPr>
            <w:tcW w:w="165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88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3795"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1174"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59"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固体废物</w:t>
            </w:r>
          </w:p>
        </w:tc>
        <w:tc>
          <w:tcPr>
            <w:tcW w:w="7512" w:type="dxa"/>
            <w:gridSpan w:val="4"/>
            <w:vAlign w:val="center"/>
          </w:tcPr>
          <w:p>
            <w:pPr>
              <w:adjustRightInd w:val="0"/>
              <w:snapToGrid w:val="0"/>
              <w:jc w:val="center"/>
              <w:rPr>
                <w:color w:val="auto"/>
              </w:rPr>
            </w:pPr>
          </w:p>
          <w:p>
            <w:pPr>
              <w:adjustRightInd w:val="0"/>
              <w:snapToGrid w:val="0"/>
              <w:jc w:val="center"/>
              <w:rPr>
                <w:color w:val="auto"/>
              </w:rPr>
            </w:pPr>
            <w:r>
              <w:rPr>
                <w:color w:val="auto"/>
              </w:rPr>
              <w:t>一</w:t>
            </w:r>
            <w:r>
              <w:rPr>
                <w:color w:val="auto"/>
                <w:szCs w:val="21"/>
              </w:rPr>
              <w:t>般固废：</w:t>
            </w:r>
            <w:r>
              <w:rPr>
                <w:rFonts w:hint="eastAsia"/>
                <w:color w:val="auto"/>
              </w:rPr>
              <w:t>在</w:t>
            </w:r>
            <w:r>
              <w:rPr>
                <w:rFonts w:hint="eastAsia"/>
                <w:color w:val="auto"/>
                <w:lang w:eastAsia="zh-CN"/>
              </w:rPr>
              <w:t>厂房北侧</w:t>
            </w:r>
            <w:r>
              <w:rPr>
                <w:rFonts w:hint="eastAsia"/>
                <w:color w:val="auto"/>
              </w:rPr>
              <w:t>设置固废暂存区，面积约30m</w:t>
            </w:r>
            <w:r>
              <w:rPr>
                <w:rFonts w:hint="eastAsia"/>
                <w:color w:val="auto"/>
                <w:vertAlign w:val="superscript"/>
              </w:rPr>
              <w:t>2</w:t>
            </w:r>
            <w:r>
              <w:rPr>
                <w:rFonts w:hint="eastAsia"/>
                <w:color w:val="auto"/>
              </w:rPr>
              <w:t>，暂存一般固废，进行综合利用，</w:t>
            </w:r>
            <w:r>
              <w:rPr>
                <w:color w:val="auto"/>
                <w:szCs w:val="21"/>
              </w:rPr>
              <w:t>不产生二次污染，满足《</w:t>
            </w:r>
            <w:r>
              <w:rPr>
                <w:rFonts w:hint="eastAsia"/>
                <w:color w:val="auto"/>
                <w:szCs w:val="21"/>
              </w:rPr>
              <w:t>一般工业固体废物贮存和填埋污染控制标准</w:t>
            </w:r>
            <w:r>
              <w:rPr>
                <w:color w:val="auto"/>
                <w:szCs w:val="21"/>
              </w:rPr>
              <w:t>》（</w:t>
            </w:r>
            <w:r>
              <w:rPr>
                <w:rFonts w:hint="eastAsia"/>
                <w:color w:val="auto"/>
                <w:szCs w:val="21"/>
              </w:rPr>
              <w:t>GB 18599-2020</w:t>
            </w:r>
            <w:r>
              <w:rPr>
                <w:color w:val="auto"/>
                <w:szCs w:val="21"/>
              </w:rPr>
              <w:t>）要求</w:t>
            </w:r>
            <w:r>
              <w:rPr>
                <w:rFonts w:hint="eastAsia"/>
                <w:color w:val="auto"/>
                <w:szCs w:val="21"/>
              </w:rPr>
              <w:t>；</w:t>
            </w:r>
            <w:r>
              <w:rPr>
                <w:rFonts w:ascii="Times New Roman" w:hAnsi="Times New Roman"/>
                <w:b w:val="0"/>
                <w:bCs w:val="0"/>
                <w:color w:val="auto"/>
                <w:sz w:val="21"/>
                <w:szCs w:val="21"/>
              </w:rPr>
              <w:t>在</w:t>
            </w:r>
            <w:r>
              <w:rPr>
                <w:rFonts w:hint="eastAsia" w:ascii="Times New Roman" w:hAnsi="Times New Roman"/>
                <w:b w:val="0"/>
                <w:bCs w:val="0"/>
                <w:color w:val="auto"/>
                <w:sz w:val="21"/>
                <w:szCs w:val="21"/>
                <w:lang w:eastAsia="zh-CN"/>
              </w:rPr>
              <w:t>厂房</w:t>
            </w:r>
            <w:r>
              <w:rPr>
                <w:rFonts w:hint="eastAsia"/>
                <w:b w:val="0"/>
                <w:bCs w:val="0"/>
                <w:color w:val="auto"/>
                <w:sz w:val="21"/>
                <w:szCs w:val="21"/>
                <w:lang w:eastAsia="zh-CN"/>
              </w:rPr>
              <w:t>外南</w:t>
            </w:r>
            <w:r>
              <w:rPr>
                <w:rFonts w:hint="eastAsia" w:ascii="Times New Roman" w:hAnsi="Times New Roman"/>
                <w:b w:val="0"/>
                <w:bCs w:val="0"/>
                <w:color w:val="auto"/>
                <w:sz w:val="21"/>
                <w:szCs w:val="21"/>
                <w:lang w:eastAsia="zh-CN"/>
              </w:rPr>
              <w:t>侧设置</w:t>
            </w:r>
            <w:r>
              <w:rPr>
                <w:rFonts w:hint="eastAsia" w:ascii="Times New Roman" w:hAnsi="Times New Roman"/>
                <w:b w:val="0"/>
                <w:bCs w:val="0"/>
                <w:color w:val="auto"/>
                <w:sz w:val="21"/>
                <w:szCs w:val="21"/>
                <w:lang w:val="en-US" w:eastAsia="zh-CN"/>
              </w:rPr>
              <w:t>7</w:t>
            </w:r>
            <w:r>
              <w:rPr>
                <w:rFonts w:ascii="Times New Roman" w:hAnsi="Times New Roman"/>
                <w:b w:val="0"/>
                <w:bCs w:val="0"/>
                <w:color w:val="auto"/>
                <w:sz w:val="21"/>
                <w:szCs w:val="21"/>
              </w:rPr>
              <w:t>m</w:t>
            </w:r>
            <w:r>
              <w:rPr>
                <w:rFonts w:ascii="Times New Roman" w:hAnsi="Times New Roman"/>
                <w:b w:val="0"/>
                <w:bCs w:val="0"/>
                <w:color w:val="auto"/>
                <w:sz w:val="21"/>
                <w:szCs w:val="21"/>
                <w:vertAlign w:val="superscript"/>
              </w:rPr>
              <w:t>2</w:t>
            </w:r>
            <w:r>
              <w:rPr>
                <w:rFonts w:ascii="Times New Roman" w:hAnsi="Times New Roman"/>
                <w:b w:val="0"/>
                <w:bCs w:val="0"/>
                <w:color w:val="auto"/>
                <w:sz w:val="21"/>
                <w:szCs w:val="21"/>
              </w:rPr>
              <w:t>的危废</w:t>
            </w:r>
            <w:r>
              <w:rPr>
                <w:rFonts w:hint="eastAsia" w:ascii="Times New Roman" w:hAnsi="Times New Roman"/>
                <w:b w:val="0"/>
                <w:bCs w:val="0"/>
                <w:color w:val="auto"/>
                <w:sz w:val="21"/>
                <w:szCs w:val="21"/>
              </w:rPr>
              <w:t>贮存库</w:t>
            </w:r>
            <w:r>
              <w:rPr>
                <w:rFonts w:hint="eastAsia" w:ascii="Times New Roman" w:hAnsi="Times New Roman"/>
                <w:b w:val="0"/>
                <w:bCs w:val="0"/>
                <w:color w:val="auto"/>
                <w:sz w:val="21"/>
                <w:szCs w:val="21"/>
                <w:lang w:eastAsia="zh-CN"/>
              </w:rPr>
              <w:t>，</w:t>
            </w:r>
            <w:r>
              <w:rPr>
                <w:rFonts w:hint="eastAsia"/>
                <w:color w:val="auto"/>
                <w:szCs w:val="21"/>
              </w:rPr>
              <w:t>危险废物暂存执行《危险废物贮存污染控制标准》（GB18597-2023）。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土壤及地下水污染防治措施</w:t>
            </w:r>
          </w:p>
        </w:tc>
        <w:tc>
          <w:tcPr>
            <w:tcW w:w="7512" w:type="dxa"/>
            <w:gridSpan w:val="4"/>
            <w:vAlign w:val="center"/>
          </w:tcPr>
          <w:p>
            <w:pPr>
              <w:adjustRightInd w:val="0"/>
              <w:snapToGrid w:val="0"/>
              <w:ind w:firstLine="420" w:firstLineChars="200"/>
              <w:rPr>
                <w:b w:val="0"/>
                <w:bCs w:val="0"/>
                <w:color w:val="auto"/>
                <w:szCs w:val="21"/>
              </w:rPr>
            </w:pPr>
            <w:r>
              <w:rPr>
                <w:b w:val="0"/>
                <w:bCs w:val="0"/>
                <w:color w:val="auto"/>
                <w:szCs w:val="21"/>
              </w:rPr>
              <w:t>分区防渗。</w:t>
            </w:r>
          </w:p>
          <w:p>
            <w:pPr>
              <w:pStyle w:val="26"/>
              <w:spacing w:line="240" w:lineRule="auto"/>
              <w:ind w:firstLine="420" w:firstLineChars="200"/>
              <w:rPr>
                <w:rFonts w:hint="eastAsia" w:ascii="Times New Roman" w:hAnsi="Times New Roman"/>
                <w:b w:val="0"/>
                <w:bCs w:val="0"/>
                <w:color w:val="auto"/>
                <w:sz w:val="21"/>
                <w:szCs w:val="21"/>
              </w:rPr>
            </w:pPr>
            <w:r>
              <w:rPr>
                <w:rFonts w:hint="eastAsia" w:ascii="Times New Roman" w:hAnsi="Times New Roman"/>
                <w:b w:val="0"/>
                <w:bCs w:val="0"/>
                <w:color w:val="auto"/>
                <w:sz w:val="21"/>
                <w:szCs w:val="21"/>
              </w:rPr>
              <w:t>简单</w:t>
            </w:r>
            <w:r>
              <w:rPr>
                <w:rFonts w:ascii="Times New Roman" w:hAnsi="Times New Roman"/>
                <w:b w:val="0"/>
                <w:bCs w:val="0"/>
                <w:color w:val="auto"/>
                <w:sz w:val="21"/>
                <w:szCs w:val="21"/>
              </w:rPr>
              <w:t>防渗区：</w:t>
            </w:r>
            <w:r>
              <w:rPr>
                <w:rFonts w:hint="eastAsia" w:ascii="Times New Roman" w:hAnsi="Times New Roman"/>
                <w:b w:val="0"/>
                <w:bCs w:val="0"/>
                <w:color w:val="auto"/>
                <w:sz w:val="21"/>
                <w:szCs w:val="21"/>
              </w:rPr>
              <w:t>厂区其他区域</w:t>
            </w:r>
          </w:p>
          <w:p>
            <w:pPr>
              <w:pStyle w:val="17"/>
              <w:ind w:left="0" w:firstLine="420" w:firstLineChars="200"/>
              <w:rPr>
                <w:rFonts w:hint="eastAsia" w:eastAsia="宋体"/>
                <w:b w:val="0"/>
                <w:bCs w:val="0"/>
                <w:color w:val="auto"/>
                <w:lang w:eastAsia="zh-CN"/>
              </w:rPr>
            </w:pPr>
            <w:r>
              <w:rPr>
                <w:rFonts w:hint="eastAsia" w:ascii="Times New Roman" w:hAnsi="Times New Roman"/>
                <w:b w:val="0"/>
                <w:bCs w:val="0"/>
                <w:color w:val="auto"/>
                <w:sz w:val="21"/>
                <w:szCs w:val="21"/>
                <w:lang w:eastAsia="zh-CN"/>
              </w:rPr>
              <w:t>一般防渗区：</w:t>
            </w:r>
            <w:r>
              <w:rPr>
                <w:rFonts w:hint="eastAsia" w:ascii="Times New Roman"/>
                <w:b w:val="0"/>
                <w:bCs w:val="0"/>
                <w:color w:val="auto"/>
                <w:sz w:val="21"/>
                <w:szCs w:val="21"/>
                <w:lang w:eastAsia="zh-CN"/>
              </w:rPr>
              <w:t>三级沉淀池、初期雨水池</w:t>
            </w:r>
            <w:r>
              <w:rPr>
                <w:rFonts w:hint="eastAsia" w:ascii="Times New Roman" w:hAnsi="Times New Roman"/>
                <w:b w:val="0"/>
                <w:bCs w:val="0"/>
                <w:color w:val="auto"/>
                <w:sz w:val="21"/>
                <w:szCs w:val="21"/>
                <w:lang w:eastAsia="zh-CN"/>
              </w:rPr>
              <w:t>，</w:t>
            </w:r>
            <w:r>
              <w:rPr>
                <w:rFonts w:hint="eastAsia" w:ascii="Times New Roman"/>
                <w:b w:val="0"/>
                <w:bCs w:val="0"/>
                <w:color w:val="auto"/>
                <w:sz w:val="21"/>
                <w:szCs w:val="21"/>
              </w:rPr>
              <w:t>等效黏土防渗层Mb≥1.5m，渗透系数K≤1×10</w:t>
            </w:r>
            <w:r>
              <w:rPr>
                <w:rFonts w:hint="eastAsia" w:ascii="Times New Roman"/>
                <w:b w:val="0"/>
                <w:bCs w:val="0"/>
                <w:color w:val="auto"/>
                <w:sz w:val="21"/>
                <w:szCs w:val="21"/>
                <w:vertAlign w:val="superscript"/>
              </w:rPr>
              <w:t>-7</w:t>
            </w:r>
            <w:r>
              <w:rPr>
                <w:rFonts w:hint="eastAsia" w:ascii="Times New Roman"/>
                <w:b w:val="0"/>
                <w:bCs w:val="0"/>
                <w:color w:val="auto"/>
                <w:sz w:val="21"/>
                <w:szCs w:val="21"/>
              </w:rPr>
              <w:t>cm/s。</w:t>
            </w:r>
          </w:p>
          <w:p>
            <w:pPr>
              <w:pStyle w:val="26"/>
              <w:spacing w:line="240" w:lineRule="auto"/>
              <w:ind w:firstLine="420" w:firstLineChars="200"/>
              <w:rPr>
                <w:b/>
                <w:color w:val="auto"/>
              </w:rPr>
            </w:pPr>
            <w:r>
              <w:rPr>
                <w:rFonts w:ascii="Times New Roman" w:hAnsi="Times New Roman"/>
                <w:b w:val="0"/>
                <w:bCs w:val="0"/>
                <w:color w:val="auto"/>
                <w:sz w:val="21"/>
                <w:szCs w:val="21"/>
              </w:rPr>
              <w:t>重点防渗区：</w:t>
            </w:r>
            <w:r>
              <w:rPr>
                <w:rFonts w:hint="eastAsia" w:ascii="Times New Roman" w:hAnsi="Times New Roman"/>
                <w:b w:val="0"/>
                <w:bCs w:val="0"/>
                <w:color w:val="auto"/>
                <w:sz w:val="21"/>
                <w:szCs w:val="21"/>
              </w:rPr>
              <w:t>危险贮存库，</w:t>
            </w:r>
            <w:r>
              <w:rPr>
                <w:rFonts w:ascii="Times New Roman" w:hAnsi="Times New Roman"/>
                <w:b w:val="0"/>
                <w:bCs w:val="0"/>
                <w:color w:val="auto"/>
                <w:kern w:val="0"/>
                <w:sz w:val="21"/>
                <w:szCs w:val="21"/>
              </w:rPr>
              <w:t>等效黏土防渗层 Mb≥6.0m、渗透系数K≤1.0×10</w:t>
            </w:r>
            <w:r>
              <w:rPr>
                <w:rFonts w:ascii="Times New Roman" w:hAnsi="Times New Roman"/>
                <w:b w:val="0"/>
                <w:bCs w:val="0"/>
                <w:color w:val="auto"/>
                <w:kern w:val="0"/>
                <w:sz w:val="21"/>
                <w:szCs w:val="21"/>
                <w:vertAlign w:val="superscript"/>
              </w:rPr>
              <w:t>-7</w:t>
            </w:r>
            <w:r>
              <w:rPr>
                <w:rFonts w:ascii="Times New Roman" w:hAnsi="Times New Roman"/>
                <w:b w:val="0"/>
                <w:bCs w:val="0"/>
                <w:color w:val="auto"/>
                <w:kern w:val="0"/>
                <w:sz w:val="21"/>
                <w:szCs w:val="21"/>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jc w:val="center"/>
        </w:trPr>
        <w:tc>
          <w:tcPr>
            <w:tcW w:w="1288" w:type="dxa"/>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生态保护措施</w:t>
            </w:r>
          </w:p>
        </w:tc>
        <w:tc>
          <w:tcPr>
            <w:tcW w:w="7512" w:type="dxa"/>
            <w:gridSpan w:val="4"/>
            <w:vAlign w:val="center"/>
          </w:tcPr>
          <w:p>
            <w:pPr>
              <w:adjustRightInd w:val="0"/>
              <w:snapToGrid w:val="0"/>
              <w:jc w:val="center"/>
              <w:rPr>
                <w:rFonts w:hint="eastAsia"/>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6" w:hRule="atLeast"/>
          <w:jc w:val="center"/>
        </w:trPr>
        <w:tc>
          <w:tcPr>
            <w:tcW w:w="1288" w:type="dxa"/>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防范措施</w:t>
            </w:r>
          </w:p>
        </w:tc>
        <w:tc>
          <w:tcPr>
            <w:tcW w:w="7512" w:type="dxa"/>
            <w:gridSpan w:val="4"/>
            <w:vAlign w:val="center"/>
          </w:tcPr>
          <w:p>
            <w:pPr>
              <w:adjustRightInd w:val="0"/>
              <w:snapToGrid w:val="0"/>
              <w:ind w:firstLine="420" w:firstLineChars="200"/>
              <w:rPr>
                <w:rFonts w:hint="eastAsia"/>
                <w:color w:val="auto"/>
              </w:rPr>
            </w:pPr>
            <w:r>
              <w:rPr>
                <w:rFonts w:hint="eastAsia"/>
                <w:bCs/>
                <w:color w:val="auto"/>
                <w:szCs w:val="21"/>
              </w:rPr>
              <w:t>设置灭火器等防火器材，加强员工风险意识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1288" w:type="dxa"/>
            <w:vAlign w:val="center"/>
          </w:tcPr>
          <w:p>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管理要求</w:t>
            </w:r>
          </w:p>
        </w:tc>
        <w:tc>
          <w:tcPr>
            <w:tcW w:w="7512" w:type="dxa"/>
            <w:gridSpan w:val="4"/>
            <w:vAlign w:val="center"/>
          </w:tcPr>
          <w:p>
            <w:pPr>
              <w:adjustRightInd w:val="0"/>
              <w:snapToGrid w:val="0"/>
              <w:ind w:firstLine="420" w:firstLineChars="200"/>
              <w:jc w:val="center"/>
              <w:rPr>
                <w:rFonts w:hint="eastAsia"/>
                <w:color w:val="auto"/>
              </w:rPr>
            </w:pPr>
            <w:r>
              <w:rPr>
                <w:rFonts w:hint="eastAsia"/>
                <w:color w:val="auto"/>
                <w:szCs w:val="21"/>
              </w:rPr>
              <w:t>/</w:t>
            </w:r>
          </w:p>
        </w:tc>
      </w:tr>
    </w:tbl>
    <w:p>
      <w:pPr>
        <w:pStyle w:val="19"/>
        <w:jc w:val="center"/>
        <w:outlineLvl w:val="0"/>
        <w:rPr>
          <w:rFonts w:hint="eastAsia" w:ascii="黑体" w:hAnsi="黑体" w:eastAsia="黑体"/>
          <w:snapToGrid w:val="0"/>
          <w:color w:val="auto"/>
          <w:sz w:val="30"/>
          <w:szCs w:val="30"/>
        </w:rPr>
      </w:pPr>
    </w:p>
    <w:p>
      <w:pPr>
        <w:pStyle w:val="19"/>
        <w:jc w:val="center"/>
        <w:outlineLvl w:val="0"/>
        <w:rPr>
          <w:rFonts w:hint="eastAsia" w:ascii="黑体" w:hAnsi="黑体" w:eastAsia="黑体"/>
          <w:snapToGrid w:val="0"/>
          <w:color w:val="auto"/>
          <w:sz w:val="30"/>
          <w:szCs w:val="30"/>
        </w:rPr>
      </w:pPr>
    </w:p>
    <w:p>
      <w:pPr>
        <w:pStyle w:val="19"/>
        <w:jc w:val="center"/>
        <w:outlineLvl w:val="0"/>
        <w:rPr>
          <w:rFonts w:hint="eastAsia" w:ascii="黑体" w:hAnsi="黑体" w:eastAsia="黑体"/>
          <w:snapToGrid w:val="0"/>
          <w:color w:val="auto"/>
          <w:sz w:val="30"/>
          <w:szCs w:val="30"/>
        </w:rPr>
      </w:pPr>
    </w:p>
    <w:p>
      <w:pPr>
        <w:pStyle w:val="19"/>
        <w:jc w:val="center"/>
        <w:outlineLvl w:val="0"/>
        <w:rPr>
          <w:rFonts w:hint="eastAsia" w:ascii="黑体" w:hAnsi="黑体" w:eastAsia="黑体"/>
          <w:snapToGrid w:val="0"/>
          <w:color w:val="auto"/>
          <w:sz w:val="30"/>
          <w:szCs w:val="30"/>
        </w:rPr>
      </w:pPr>
    </w:p>
    <w:p>
      <w:pPr>
        <w:pStyle w:val="19"/>
        <w:jc w:val="center"/>
        <w:outlineLvl w:val="0"/>
        <w:rPr>
          <w:rFonts w:hint="eastAsia" w:ascii="黑体" w:hAnsi="黑体" w:eastAsia="黑体"/>
          <w:snapToGrid w:val="0"/>
          <w:color w:val="auto"/>
          <w:sz w:val="30"/>
          <w:szCs w:val="30"/>
        </w:rPr>
      </w:pPr>
    </w:p>
    <w:p>
      <w:pPr>
        <w:pStyle w:val="19"/>
        <w:jc w:val="center"/>
        <w:outlineLvl w:val="0"/>
        <w:rPr>
          <w:rFonts w:hint="eastAsia" w:ascii="黑体" w:hAnsi="黑体" w:eastAsia="黑体"/>
          <w:snapToGrid w:val="0"/>
          <w:color w:val="auto"/>
          <w:sz w:val="30"/>
          <w:szCs w:val="30"/>
        </w:rPr>
      </w:pPr>
    </w:p>
    <w:p>
      <w:pPr>
        <w:pStyle w:val="19"/>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24"/>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top"/>
          </w:tcPr>
          <w:p>
            <w:pPr>
              <w:pStyle w:val="6"/>
              <w:spacing w:before="0" w:after="0" w:line="360" w:lineRule="auto"/>
              <w:ind w:right="0" w:firstLine="480" w:firstLineChars="200"/>
              <w:rPr>
                <w:color w:val="auto"/>
              </w:rPr>
            </w:pPr>
            <w:r>
              <w:rPr>
                <w:rFonts w:hint="eastAsia" w:ascii="宋体" w:cs="宋体"/>
                <w:color w:val="auto"/>
                <w:sz w:val="24"/>
              </w:rPr>
              <w:t>综上所述，项目建设符合国家和地方相关产业政策，选址符合“三线一单”，所采取的污染治理技术可行，可确保污染物稳定达标排放，处理达标后排放的污染物对周围环境影响较小，不会改变当地环境功能区划，项目的环境风险较小且可接受，在落实本报告表提出的各项污染物防治措施，严格执行“三同时”制度的情况下，从环保角度考虑，本项目建设可行。</w:t>
            </w:r>
          </w:p>
        </w:tc>
      </w:tr>
    </w:tbl>
    <w:p>
      <w:pPr>
        <w:adjustRightInd w:val="0"/>
        <w:snapToGrid w:val="0"/>
        <w:spacing w:line="360" w:lineRule="auto"/>
        <w:rPr>
          <w:rFonts w:hint="eastAsia" w:ascii="宋体" w:cs="宋体"/>
          <w:b/>
          <w:color w:val="auto"/>
          <w:kern w:val="0"/>
          <w:sz w:val="28"/>
          <w:szCs w:val="28"/>
        </w:rPr>
        <w:sectPr>
          <w:pgSz w:w="11905" w:h="16838"/>
          <w:pgMar w:top="1701" w:right="1531" w:bottom="2126" w:left="1531" w:header="851" w:footer="850" w:gutter="0"/>
          <w:cols w:space="720" w:num="1"/>
          <w:docGrid w:linePitch="312" w:charSpace="0"/>
        </w:sectPr>
      </w:pPr>
    </w:p>
    <w:p>
      <w:pPr>
        <w:pStyle w:val="19"/>
        <w:adjustRightInd w:val="0"/>
        <w:snapToGrid w:val="0"/>
        <w:spacing w:before="0" w:beforeAutospacing="0" w:after="0" w:afterAutospacing="0" w:line="360"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19"/>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4"/>
        <w:tblW w:w="130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548"/>
        <w:gridCol w:w="1563"/>
        <w:gridCol w:w="1195"/>
        <w:gridCol w:w="1506"/>
        <w:gridCol w:w="1563"/>
        <w:gridCol w:w="1663"/>
        <w:gridCol w:w="1493"/>
        <w:gridCol w:w="1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234" w:type="dxa"/>
            <w:tcBorders>
              <w:tl2br w:val="single" w:color="auto" w:sz="4" w:space="0"/>
            </w:tcBorders>
            <w:tcMar>
              <w:left w:w="28" w:type="dxa"/>
              <w:right w:w="28" w:type="dxa"/>
            </w:tcMar>
            <w:vAlign w:val="center"/>
          </w:tcPr>
          <w:p>
            <w:pPr>
              <w:pStyle w:val="47"/>
              <w:spacing w:beforeLines="0" w:afterLines="0" w:line="240" w:lineRule="auto"/>
              <w:jc w:val="right"/>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项目</w:t>
            </w:r>
          </w:p>
          <w:p>
            <w:pPr>
              <w:pStyle w:val="47"/>
              <w:spacing w:beforeLines="0" w:afterLines="0" w:line="240" w:lineRule="auto"/>
              <w:jc w:val="left"/>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分类</w:t>
            </w:r>
          </w:p>
        </w:tc>
        <w:tc>
          <w:tcPr>
            <w:tcW w:w="1548" w:type="dxa"/>
            <w:tcMar>
              <w:left w:w="28" w:type="dxa"/>
              <w:right w:w="28" w:type="dxa"/>
            </w:tcMar>
            <w:vAlign w:val="center"/>
          </w:tcPr>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污染物名称</w:t>
            </w:r>
          </w:p>
        </w:tc>
        <w:tc>
          <w:tcPr>
            <w:tcW w:w="1563" w:type="dxa"/>
            <w:tcMar>
              <w:left w:w="28" w:type="dxa"/>
              <w:right w:w="28" w:type="dxa"/>
            </w:tcMar>
            <w:vAlign w:val="center"/>
          </w:tcPr>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现有工程</w:t>
            </w:r>
          </w:p>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1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color w:val="auto"/>
                <w:kern w:val="2"/>
                <w:sz w:val="21"/>
                <w:szCs w:val="21"/>
                <w:highlight w:val="none"/>
              </w:rPr>
              <w:t>①</w:t>
            </w:r>
            <w:r>
              <w:rPr>
                <w:rFonts w:ascii="Times New Roman" w:eastAsia="黑体"/>
                <w:snapToGrid w:val="0"/>
                <w:color w:val="auto"/>
                <w:spacing w:val="-6"/>
                <w:kern w:val="21"/>
                <w:sz w:val="21"/>
                <w:szCs w:val="21"/>
                <w:highlight w:val="none"/>
              </w:rPr>
              <w:fldChar w:fldCharType="end"/>
            </w:r>
          </w:p>
        </w:tc>
        <w:tc>
          <w:tcPr>
            <w:tcW w:w="1195" w:type="dxa"/>
            <w:tcMar>
              <w:left w:w="28" w:type="dxa"/>
              <w:right w:w="28" w:type="dxa"/>
            </w:tcMar>
            <w:vAlign w:val="center"/>
          </w:tcPr>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现有工程</w:t>
            </w:r>
          </w:p>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许可排放量</w:t>
            </w:r>
          </w:p>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2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snapToGrid w:val="0"/>
                <w:color w:val="auto"/>
                <w:spacing w:val="-6"/>
                <w:kern w:val="21"/>
                <w:sz w:val="21"/>
                <w:szCs w:val="21"/>
                <w:highlight w:val="none"/>
              </w:rPr>
              <w:t>②</w:t>
            </w:r>
            <w:r>
              <w:rPr>
                <w:rFonts w:ascii="Times New Roman" w:eastAsia="黑体"/>
                <w:snapToGrid w:val="0"/>
                <w:color w:val="auto"/>
                <w:spacing w:val="-6"/>
                <w:kern w:val="21"/>
                <w:sz w:val="21"/>
                <w:szCs w:val="21"/>
                <w:highlight w:val="none"/>
              </w:rPr>
              <w:fldChar w:fldCharType="end"/>
            </w:r>
          </w:p>
        </w:tc>
        <w:tc>
          <w:tcPr>
            <w:tcW w:w="1506" w:type="dxa"/>
            <w:tcMar>
              <w:left w:w="28" w:type="dxa"/>
              <w:right w:w="28" w:type="dxa"/>
            </w:tcMar>
            <w:vAlign w:val="center"/>
          </w:tcPr>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在建工程</w:t>
            </w:r>
          </w:p>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3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color w:val="auto"/>
                <w:kern w:val="2"/>
                <w:sz w:val="21"/>
                <w:szCs w:val="21"/>
                <w:highlight w:val="none"/>
              </w:rPr>
              <w:t>③</w:t>
            </w:r>
            <w:r>
              <w:rPr>
                <w:rFonts w:ascii="Times New Roman" w:eastAsia="黑体"/>
                <w:snapToGrid w:val="0"/>
                <w:color w:val="auto"/>
                <w:spacing w:val="-6"/>
                <w:kern w:val="21"/>
                <w:sz w:val="21"/>
                <w:szCs w:val="21"/>
                <w:highlight w:val="none"/>
              </w:rPr>
              <w:fldChar w:fldCharType="end"/>
            </w:r>
          </w:p>
        </w:tc>
        <w:tc>
          <w:tcPr>
            <w:tcW w:w="1563" w:type="dxa"/>
            <w:tcMar>
              <w:left w:w="28" w:type="dxa"/>
              <w:right w:w="28" w:type="dxa"/>
            </w:tcMar>
            <w:vAlign w:val="center"/>
          </w:tcPr>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本项目</w:t>
            </w:r>
          </w:p>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排放量（固体废物产生量）</w:t>
            </w: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4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color w:val="auto"/>
                <w:kern w:val="2"/>
                <w:sz w:val="21"/>
                <w:szCs w:val="21"/>
                <w:highlight w:val="none"/>
              </w:rPr>
              <w:t>④</w:t>
            </w:r>
            <w:r>
              <w:rPr>
                <w:rFonts w:ascii="Times New Roman" w:eastAsia="黑体"/>
                <w:snapToGrid w:val="0"/>
                <w:color w:val="auto"/>
                <w:spacing w:val="-6"/>
                <w:kern w:val="21"/>
                <w:sz w:val="21"/>
                <w:szCs w:val="21"/>
                <w:highlight w:val="none"/>
              </w:rPr>
              <w:fldChar w:fldCharType="end"/>
            </w:r>
          </w:p>
        </w:tc>
        <w:tc>
          <w:tcPr>
            <w:tcW w:w="1663" w:type="dxa"/>
            <w:tcMar>
              <w:left w:w="28" w:type="dxa"/>
              <w:right w:w="28" w:type="dxa"/>
            </w:tcMar>
            <w:vAlign w:val="center"/>
          </w:tcPr>
          <w:p>
            <w:pPr>
              <w:pStyle w:val="47"/>
              <w:spacing w:beforeLines="0" w:afterLines="0" w:line="240" w:lineRule="auto"/>
              <w:rPr>
                <w:rFonts w:ascii="Times New Roman" w:eastAsia="黑体"/>
                <w:snapToGrid w:val="0"/>
                <w:color w:val="auto"/>
                <w:spacing w:val="-16"/>
                <w:kern w:val="21"/>
                <w:sz w:val="21"/>
                <w:szCs w:val="21"/>
                <w:highlight w:val="none"/>
              </w:rPr>
            </w:pPr>
            <w:r>
              <w:rPr>
                <w:rFonts w:ascii="Times New Roman" w:eastAsia="黑体"/>
                <w:snapToGrid w:val="0"/>
                <w:color w:val="auto"/>
                <w:spacing w:val="-16"/>
                <w:kern w:val="21"/>
                <w:sz w:val="21"/>
                <w:szCs w:val="21"/>
                <w:highlight w:val="none"/>
              </w:rPr>
              <w:t>以新带老削减量</w:t>
            </w:r>
          </w:p>
          <w:p>
            <w:pPr>
              <w:pStyle w:val="47"/>
              <w:spacing w:beforeLines="0" w:afterLines="0" w:line="240" w:lineRule="auto"/>
              <w:rPr>
                <w:rFonts w:ascii="Times New Roman" w:eastAsia="黑体"/>
                <w:snapToGrid w:val="0"/>
                <w:color w:val="auto"/>
                <w:spacing w:val="-16"/>
                <w:kern w:val="21"/>
                <w:sz w:val="21"/>
                <w:szCs w:val="21"/>
                <w:highlight w:val="none"/>
              </w:rPr>
            </w:pPr>
            <w:r>
              <w:rPr>
                <w:rFonts w:ascii="Times New Roman" w:eastAsia="黑体"/>
                <w:snapToGrid w:val="0"/>
                <w:color w:val="auto"/>
                <w:spacing w:val="-16"/>
                <w:kern w:val="21"/>
                <w:sz w:val="21"/>
                <w:szCs w:val="21"/>
                <w:highlight w:val="none"/>
              </w:rPr>
              <w:t>（新建项目不填）</w:t>
            </w:r>
            <w:r>
              <w:rPr>
                <w:rFonts w:ascii="Times New Roman" w:eastAsia="黑体"/>
                <w:snapToGrid w:val="0"/>
                <w:color w:val="auto"/>
                <w:spacing w:val="-16"/>
                <w:kern w:val="21"/>
                <w:sz w:val="21"/>
                <w:szCs w:val="21"/>
                <w:highlight w:val="none"/>
              </w:rPr>
              <w:fldChar w:fldCharType="begin"/>
            </w:r>
            <w:r>
              <w:rPr>
                <w:rFonts w:ascii="Times New Roman" w:eastAsia="黑体"/>
                <w:snapToGrid w:val="0"/>
                <w:color w:val="auto"/>
                <w:spacing w:val="-16"/>
                <w:kern w:val="21"/>
                <w:sz w:val="21"/>
                <w:szCs w:val="21"/>
                <w:highlight w:val="none"/>
              </w:rPr>
              <w:instrText xml:space="preserve"> = 5 \* GB3 \* MERGEFORMAT </w:instrText>
            </w:r>
            <w:r>
              <w:rPr>
                <w:rFonts w:ascii="Times New Roman" w:eastAsia="黑体"/>
                <w:snapToGrid w:val="0"/>
                <w:color w:val="auto"/>
                <w:spacing w:val="-16"/>
                <w:kern w:val="21"/>
                <w:sz w:val="21"/>
                <w:szCs w:val="21"/>
                <w:highlight w:val="none"/>
              </w:rPr>
              <w:fldChar w:fldCharType="separate"/>
            </w:r>
            <w:r>
              <w:rPr>
                <w:rFonts w:ascii="Times New Roman" w:eastAsia="黑体"/>
                <w:color w:val="auto"/>
                <w:kern w:val="2"/>
                <w:sz w:val="21"/>
                <w:szCs w:val="21"/>
                <w:highlight w:val="none"/>
              </w:rPr>
              <w:t>⑤</w:t>
            </w:r>
            <w:r>
              <w:rPr>
                <w:rFonts w:ascii="Times New Roman" w:eastAsia="黑体"/>
                <w:snapToGrid w:val="0"/>
                <w:color w:val="auto"/>
                <w:spacing w:val="-16"/>
                <w:kern w:val="21"/>
                <w:sz w:val="21"/>
                <w:szCs w:val="21"/>
                <w:highlight w:val="none"/>
              </w:rPr>
              <w:fldChar w:fldCharType="end"/>
            </w:r>
          </w:p>
        </w:tc>
        <w:tc>
          <w:tcPr>
            <w:tcW w:w="1493" w:type="dxa"/>
            <w:tcMar>
              <w:left w:w="28" w:type="dxa"/>
              <w:right w:w="28" w:type="dxa"/>
            </w:tcMar>
            <w:vAlign w:val="center"/>
          </w:tcPr>
          <w:p>
            <w:pPr>
              <w:pStyle w:val="47"/>
              <w:spacing w:beforeLines="0" w:afterLines="0" w:line="240" w:lineRule="auto"/>
              <w:rPr>
                <w:rFonts w:ascii="Times New Roman" w:eastAsia="黑体"/>
                <w:snapToGrid w:val="0"/>
                <w:color w:val="auto"/>
                <w:spacing w:val="-16"/>
                <w:kern w:val="21"/>
                <w:sz w:val="21"/>
                <w:szCs w:val="21"/>
                <w:highlight w:val="none"/>
              </w:rPr>
            </w:pPr>
            <w:r>
              <w:rPr>
                <w:rFonts w:ascii="Times New Roman" w:eastAsia="黑体"/>
                <w:snapToGrid w:val="0"/>
                <w:color w:val="auto"/>
                <w:spacing w:val="-16"/>
                <w:kern w:val="21"/>
                <w:sz w:val="21"/>
                <w:szCs w:val="21"/>
                <w:highlight w:val="none"/>
              </w:rPr>
              <w:t>本项目建成后</w:t>
            </w:r>
          </w:p>
          <w:p>
            <w:pPr>
              <w:pStyle w:val="47"/>
              <w:spacing w:beforeLines="0" w:afterLines="0" w:line="240" w:lineRule="auto"/>
              <w:rPr>
                <w:rFonts w:ascii="Times New Roman" w:eastAsia="黑体"/>
                <w:snapToGrid w:val="0"/>
                <w:color w:val="auto"/>
                <w:spacing w:val="-16"/>
                <w:kern w:val="21"/>
                <w:sz w:val="21"/>
                <w:szCs w:val="21"/>
                <w:highlight w:val="none"/>
              </w:rPr>
            </w:pPr>
            <w:r>
              <w:rPr>
                <w:rFonts w:ascii="Times New Roman" w:eastAsia="黑体"/>
                <w:snapToGrid w:val="0"/>
                <w:color w:val="auto"/>
                <w:spacing w:val="-16"/>
                <w:kern w:val="21"/>
                <w:sz w:val="21"/>
                <w:szCs w:val="21"/>
                <w:highlight w:val="none"/>
              </w:rPr>
              <w:t>全厂排放量（固体废物产生量）</w:t>
            </w:r>
            <w:r>
              <w:rPr>
                <w:rFonts w:ascii="Times New Roman" w:eastAsia="黑体"/>
                <w:snapToGrid w:val="0"/>
                <w:color w:val="auto"/>
                <w:spacing w:val="-16"/>
                <w:kern w:val="21"/>
                <w:sz w:val="21"/>
                <w:szCs w:val="21"/>
                <w:highlight w:val="none"/>
              </w:rPr>
              <w:fldChar w:fldCharType="begin"/>
            </w:r>
            <w:r>
              <w:rPr>
                <w:rFonts w:ascii="Times New Roman" w:eastAsia="黑体"/>
                <w:snapToGrid w:val="0"/>
                <w:color w:val="auto"/>
                <w:spacing w:val="-16"/>
                <w:kern w:val="21"/>
                <w:sz w:val="21"/>
                <w:szCs w:val="21"/>
                <w:highlight w:val="none"/>
              </w:rPr>
              <w:instrText xml:space="preserve"> = 6 \* GB3 \* MERGEFORMAT </w:instrText>
            </w:r>
            <w:r>
              <w:rPr>
                <w:rFonts w:ascii="Times New Roman" w:eastAsia="黑体"/>
                <w:snapToGrid w:val="0"/>
                <w:color w:val="auto"/>
                <w:spacing w:val="-16"/>
                <w:kern w:val="21"/>
                <w:sz w:val="21"/>
                <w:szCs w:val="21"/>
                <w:highlight w:val="none"/>
              </w:rPr>
              <w:fldChar w:fldCharType="separate"/>
            </w:r>
            <w:r>
              <w:rPr>
                <w:rFonts w:ascii="Times New Roman" w:eastAsia="黑体"/>
                <w:color w:val="auto"/>
                <w:kern w:val="2"/>
                <w:sz w:val="21"/>
                <w:szCs w:val="21"/>
                <w:highlight w:val="none"/>
              </w:rPr>
              <w:t>⑥</w:t>
            </w:r>
            <w:r>
              <w:rPr>
                <w:rFonts w:ascii="Times New Roman" w:eastAsia="黑体"/>
                <w:snapToGrid w:val="0"/>
                <w:color w:val="auto"/>
                <w:spacing w:val="-16"/>
                <w:kern w:val="21"/>
                <w:sz w:val="21"/>
                <w:szCs w:val="21"/>
                <w:highlight w:val="none"/>
              </w:rPr>
              <w:fldChar w:fldCharType="end"/>
            </w:r>
          </w:p>
        </w:tc>
        <w:tc>
          <w:tcPr>
            <w:tcW w:w="1297" w:type="dxa"/>
            <w:tcMar>
              <w:left w:w="28" w:type="dxa"/>
              <w:right w:w="28" w:type="dxa"/>
            </w:tcMar>
            <w:vAlign w:val="center"/>
          </w:tcPr>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t>变化量</w:t>
            </w:r>
          </w:p>
          <w:p>
            <w:pPr>
              <w:pStyle w:val="47"/>
              <w:spacing w:beforeLines="0" w:afterLines="0" w:line="240" w:lineRule="auto"/>
              <w:rPr>
                <w:rFonts w:ascii="Times New Roman" w:eastAsia="黑体"/>
                <w:snapToGrid w:val="0"/>
                <w:color w:val="auto"/>
                <w:spacing w:val="-6"/>
                <w:kern w:val="21"/>
                <w:sz w:val="21"/>
                <w:szCs w:val="21"/>
                <w:highlight w:val="none"/>
              </w:rPr>
            </w:pPr>
            <w:r>
              <w:rPr>
                <w:rFonts w:ascii="Times New Roman" w:eastAsia="黑体"/>
                <w:snapToGrid w:val="0"/>
                <w:color w:val="auto"/>
                <w:spacing w:val="-6"/>
                <w:kern w:val="21"/>
                <w:sz w:val="21"/>
                <w:szCs w:val="21"/>
                <w:highlight w:val="none"/>
              </w:rPr>
              <w:fldChar w:fldCharType="begin"/>
            </w:r>
            <w:r>
              <w:rPr>
                <w:rFonts w:ascii="Times New Roman" w:eastAsia="黑体"/>
                <w:snapToGrid w:val="0"/>
                <w:color w:val="auto"/>
                <w:spacing w:val="-6"/>
                <w:kern w:val="21"/>
                <w:sz w:val="21"/>
                <w:szCs w:val="21"/>
                <w:highlight w:val="none"/>
              </w:rPr>
              <w:instrText xml:space="preserve"> = 7 \* GB3 \* MERGEFORMAT </w:instrText>
            </w:r>
            <w:r>
              <w:rPr>
                <w:rFonts w:ascii="Times New Roman" w:eastAsia="黑体"/>
                <w:snapToGrid w:val="0"/>
                <w:color w:val="auto"/>
                <w:spacing w:val="-6"/>
                <w:kern w:val="21"/>
                <w:sz w:val="21"/>
                <w:szCs w:val="21"/>
                <w:highlight w:val="none"/>
              </w:rPr>
              <w:fldChar w:fldCharType="separate"/>
            </w:r>
            <w:r>
              <w:rPr>
                <w:rFonts w:ascii="Times New Roman" w:eastAsia="黑体"/>
                <w:color w:val="auto"/>
                <w:kern w:val="2"/>
                <w:sz w:val="21"/>
                <w:szCs w:val="21"/>
                <w:highlight w:val="none"/>
              </w:rPr>
              <w:t>⑦</w:t>
            </w:r>
            <w:r>
              <w:rPr>
                <w:rFonts w:ascii="Times New Roman" w:eastAsia="黑体"/>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4" w:type="dxa"/>
            <w:vMerge w:val="restart"/>
            <w:vAlign w:val="center"/>
          </w:tcPr>
          <w:p>
            <w:pPr>
              <w:pStyle w:val="47"/>
              <w:spacing w:beforeLines="0" w:afterLines="0" w:line="240" w:lineRule="auto"/>
              <w:rPr>
                <w:rFonts w:ascii="Times New Roman"/>
                <w:snapToGrid w:val="0"/>
                <w:color w:val="auto"/>
                <w:kern w:val="21"/>
                <w:sz w:val="21"/>
                <w:szCs w:val="21"/>
                <w:highlight w:val="none"/>
              </w:rPr>
            </w:pPr>
            <w:r>
              <w:rPr>
                <w:rFonts w:ascii="Times New Roman"/>
                <w:snapToGrid w:val="0"/>
                <w:color w:val="auto"/>
                <w:kern w:val="21"/>
                <w:sz w:val="21"/>
                <w:szCs w:val="21"/>
                <w:highlight w:val="none"/>
              </w:rPr>
              <w:t>废气</w:t>
            </w:r>
          </w:p>
          <w:p>
            <w:pPr>
              <w:rPr>
                <w:rFonts w:hint="eastAsia" w:eastAsia="宋体"/>
                <w:color w:val="auto"/>
                <w:highlight w:val="none"/>
                <w:lang w:eastAsia="zh-CN"/>
              </w:rPr>
            </w:pPr>
            <w:r>
              <w:rPr>
                <w:rFonts w:hint="eastAsia" w:ascii="Times New Roman"/>
                <w:snapToGrid w:val="0"/>
                <w:color w:val="auto"/>
                <w:kern w:val="21"/>
                <w:sz w:val="21"/>
                <w:szCs w:val="21"/>
                <w:highlight w:val="none"/>
                <w:lang w:eastAsia="zh-CN"/>
              </w:rPr>
              <w:t>（有组织）</w:t>
            </w:r>
          </w:p>
        </w:tc>
        <w:tc>
          <w:tcPr>
            <w:tcW w:w="1548" w:type="dxa"/>
            <w:vAlign w:val="center"/>
          </w:tcPr>
          <w:p>
            <w:pPr>
              <w:pStyle w:val="47"/>
              <w:spacing w:beforeLines="0" w:afterLines="0" w:line="240" w:lineRule="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颗粒物</w:t>
            </w:r>
          </w:p>
        </w:tc>
        <w:tc>
          <w:tcPr>
            <w:tcW w:w="1563" w:type="dxa"/>
            <w:vAlign w:val="center"/>
          </w:tcPr>
          <w:p>
            <w:pPr>
              <w:widowControl/>
              <w:jc w:val="center"/>
              <w:textAlignment w:val="center"/>
              <w:rPr>
                <w:snapToGrid w:val="0"/>
                <w:color w:val="auto"/>
                <w:kern w:val="21"/>
                <w:szCs w:val="21"/>
                <w:highlight w:val="none"/>
              </w:rPr>
            </w:pPr>
            <w:r>
              <w:rPr>
                <w:rFonts w:hint="eastAsia"/>
                <w:color w:val="auto"/>
                <w:kern w:val="0"/>
                <w:szCs w:val="21"/>
                <w:highlight w:val="none"/>
                <w:lang w:bidi="ar"/>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0.07</w:t>
            </w:r>
            <w:r>
              <w:rPr>
                <w:rFonts w:hint="eastAsia" w:ascii="Times New Roman" w:hAnsi="Times New Roman" w:cs="Times New Roman"/>
                <w:color w:val="auto"/>
                <w:szCs w:val="21"/>
                <w:highlight w:val="none"/>
              </w:rPr>
              <w:t>t/a</w:t>
            </w:r>
          </w:p>
        </w:tc>
        <w:tc>
          <w:tcPr>
            <w:tcW w:w="1663"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0.07</w:t>
            </w:r>
            <w:r>
              <w:rPr>
                <w:rFonts w:hint="eastAsia" w:ascii="Times New Roman" w:hAnsi="Times New Roman" w:cs="Times New Roman"/>
                <w:color w:val="auto"/>
                <w:szCs w:val="21"/>
                <w:highlight w:val="none"/>
              </w:rPr>
              <w:t>t/a</w:t>
            </w:r>
          </w:p>
        </w:tc>
        <w:tc>
          <w:tcPr>
            <w:tcW w:w="1297"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+0.07</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234" w:type="dxa"/>
            <w:vMerge w:val="restart"/>
            <w:vAlign w:val="center"/>
          </w:tcPr>
          <w:p>
            <w:pPr>
              <w:pStyle w:val="47"/>
              <w:spacing w:beforeLines="0" w:afterLines="0" w:line="240" w:lineRule="auto"/>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废水</w:t>
            </w:r>
          </w:p>
        </w:tc>
        <w:tc>
          <w:tcPr>
            <w:tcW w:w="1548" w:type="dxa"/>
            <w:vAlign w:val="center"/>
          </w:tcPr>
          <w:p>
            <w:pPr>
              <w:pStyle w:val="47"/>
              <w:spacing w:beforeLines="0" w:afterLines="0" w:line="240" w:lineRule="auto"/>
              <w:rPr>
                <w:rFonts w:hint="eastAsia" w:ascii="Times New Roman"/>
                <w:snapToGrid w:val="0"/>
                <w:color w:val="auto"/>
                <w:kern w:val="21"/>
                <w:sz w:val="21"/>
                <w:szCs w:val="21"/>
                <w:highlight w:val="none"/>
              </w:rPr>
            </w:pPr>
            <w:r>
              <w:rPr>
                <w:rFonts w:hint="eastAsia" w:ascii="Times New Roman"/>
                <w:snapToGrid w:val="0"/>
                <w:color w:val="auto"/>
                <w:kern w:val="21"/>
                <w:sz w:val="21"/>
                <w:szCs w:val="21"/>
                <w:highlight w:val="none"/>
              </w:rPr>
              <w:t>水量</w:t>
            </w:r>
          </w:p>
        </w:tc>
        <w:tc>
          <w:tcPr>
            <w:tcW w:w="1563"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rPr>
              <w:t>/</w:t>
            </w:r>
          </w:p>
        </w:tc>
        <w:tc>
          <w:tcPr>
            <w:tcW w:w="1195" w:type="dxa"/>
            <w:vAlign w:val="center"/>
          </w:tcPr>
          <w:p>
            <w:pPr>
              <w:tabs>
                <w:tab w:val="left" w:pos="313"/>
              </w:tabs>
              <w:jc w:val="left"/>
              <w:rPr>
                <w:snapToGrid w:val="0"/>
                <w:color w:val="auto"/>
                <w:kern w:val="21"/>
                <w:szCs w:val="21"/>
                <w:highlight w:val="none"/>
              </w:rPr>
            </w:pPr>
            <w:r>
              <w:rPr>
                <w:rFonts w:hint="eastAsia"/>
                <w:snapToGrid w:val="0"/>
                <w:color w:val="auto"/>
                <w:kern w:val="21"/>
                <w:szCs w:val="21"/>
                <w:highlight w:val="none"/>
              </w:rPr>
              <w:tab/>
            </w:r>
            <w:r>
              <w:rPr>
                <w:rFonts w:hint="eastAsia"/>
                <w:snapToGrid w:val="0"/>
                <w:color w:val="auto"/>
                <w:kern w:val="21"/>
                <w:szCs w:val="21"/>
                <w:highlight w:val="none"/>
              </w:rPr>
              <w:t>/</w:t>
            </w:r>
          </w:p>
        </w:tc>
        <w:tc>
          <w:tcPr>
            <w:tcW w:w="1506"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63" w:type="dxa"/>
            <w:vAlign w:val="center"/>
          </w:tcPr>
          <w:p>
            <w:pPr>
              <w:pStyle w:val="46"/>
              <w:jc w:val="center"/>
              <w:rPr>
                <w:rFonts w:hint="default"/>
                <w:color w:val="auto"/>
                <w:szCs w:val="21"/>
                <w:highlight w:val="none"/>
                <w:lang w:val="en-US"/>
              </w:rPr>
            </w:pPr>
            <w:r>
              <w:rPr>
                <w:rFonts w:hint="eastAsia" w:ascii="Times New Roman" w:hAnsi="Times New Roman" w:cs="Times New Roman"/>
                <w:color w:val="auto"/>
                <w:szCs w:val="21"/>
                <w:highlight w:val="none"/>
                <w:lang w:val="en-US" w:eastAsia="zh-CN"/>
              </w:rPr>
              <w:t>144t/a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color w:val="auto"/>
                <w:szCs w:val="21"/>
                <w:highlight w:val="none"/>
              </w:rPr>
            </w:pPr>
            <w:r>
              <w:rPr>
                <w:rFonts w:hint="eastAsia" w:ascii="Times New Roman" w:hAnsi="Times New Roman" w:cs="Times New Roman"/>
                <w:color w:val="auto"/>
                <w:szCs w:val="21"/>
                <w:highlight w:val="none"/>
                <w:lang w:val="en-US" w:eastAsia="zh-CN"/>
              </w:rPr>
              <w:t>144t/a</w:t>
            </w:r>
          </w:p>
        </w:tc>
        <w:tc>
          <w:tcPr>
            <w:tcW w:w="1297" w:type="dxa"/>
            <w:vAlign w:val="center"/>
          </w:tcPr>
          <w:p>
            <w:pPr>
              <w:pStyle w:val="46"/>
              <w:jc w:val="center"/>
              <w:rPr>
                <w:rFonts w:hint="eastAsia" w:eastAsia="宋体"/>
                <w:color w:val="auto"/>
                <w:szCs w:val="21"/>
                <w:highlight w:val="none"/>
                <w:lang w:eastAsia="zh-CN"/>
              </w:rPr>
            </w:pPr>
            <w:r>
              <w:rPr>
                <w:rFonts w:hint="eastAsia" w:ascii="Times New Roman" w:hAnsi="Times New Roman" w:cs="Times New Roman"/>
                <w:color w:val="auto"/>
                <w:szCs w:val="21"/>
                <w:highlight w:val="none"/>
                <w:lang w:val="en-US" w:eastAsia="zh-CN"/>
              </w:rPr>
              <w:t>+144t/a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234" w:type="dxa"/>
            <w:vMerge w:val="continue"/>
            <w:vAlign w:val="center"/>
          </w:tcPr>
          <w:p>
            <w:pPr>
              <w:pStyle w:val="47"/>
              <w:spacing w:beforeLines="0" w:afterLines="0" w:line="240" w:lineRule="auto"/>
              <w:rPr>
                <w:rFonts w:hint="eastAsia" w:ascii="Times New Roman"/>
                <w:snapToGrid w:val="0"/>
                <w:color w:val="auto"/>
                <w:kern w:val="21"/>
                <w:sz w:val="21"/>
                <w:szCs w:val="21"/>
                <w:highlight w:val="none"/>
              </w:rPr>
            </w:pPr>
          </w:p>
        </w:tc>
        <w:tc>
          <w:tcPr>
            <w:tcW w:w="1548" w:type="dxa"/>
            <w:vAlign w:val="center"/>
          </w:tcPr>
          <w:p>
            <w:pPr>
              <w:pStyle w:val="47"/>
              <w:spacing w:beforeLines="0" w:afterLines="0" w:line="240" w:lineRule="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COD</w:t>
            </w:r>
          </w:p>
        </w:tc>
        <w:tc>
          <w:tcPr>
            <w:tcW w:w="1563" w:type="dxa"/>
            <w:vAlign w:val="center"/>
          </w:tcPr>
          <w:p>
            <w:pPr>
              <w:pStyle w:val="46"/>
              <w:jc w:val="center"/>
              <w:rPr>
                <w:rFonts w:hint="eastAsia"/>
                <w:snapToGrid w:val="0"/>
                <w:color w:val="auto"/>
                <w:kern w:val="21"/>
                <w:szCs w:val="21"/>
                <w:highlight w:val="none"/>
              </w:rPr>
            </w:pPr>
            <w:r>
              <w:rPr>
                <w:rFonts w:hint="eastAsia" w:ascii="Times New Roman" w:hAnsi="Times New Roman" w:cs="Times New Roman"/>
                <w:color w:val="auto"/>
                <w:szCs w:val="21"/>
                <w:highlight w:val="none"/>
              </w:rPr>
              <w:t>/</w:t>
            </w:r>
          </w:p>
        </w:tc>
        <w:tc>
          <w:tcPr>
            <w:tcW w:w="1195"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06"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63" w:type="dxa"/>
            <w:vAlign w:val="center"/>
          </w:tcPr>
          <w:p>
            <w:pPr>
              <w:pStyle w:val="46"/>
              <w:jc w:val="center"/>
              <w:rPr>
                <w:rFonts w:hint="default"/>
                <w:color w:val="auto"/>
                <w:szCs w:val="21"/>
                <w:highlight w:val="none"/>
                <w:lang w:val="en-US"/>
              </w:rPr>
            </w:pPr>
            <w:r>
              <w:rPr>
                <w:rFonts w:hint="eastAsia" w:ascii="Times New Roman" w:hAnsi="Times New Roman" w:cs="Times New Roman"/>
                <w:color w:val="auto"/>
                <w:szCs w:val="21"/>
                <w:highlight w:val="none"/>
                <w:lang w:val="en-US" w:eastAsia="zh-CN"/>
              </w:rPr>
              <w:t>0.046t/a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0.046t/a</w:t>
            </w:r>
          </w:p>
        </w:tc>
        <w:tc>
          <w:tcPr>
            <w:tcW w:w="1297"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+0.046t/a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4" w:type="dxa"/>
            <w:vMerge w:val="continue"/>
            <w:vAlign w:val="center"/>
          </w:tcPr>
          <w:p>
            <w:pPr>
              <w:pStyle w:val="47"/>
              <w:spacing w:beforeLines="0" w:afterLines="0" w:line="240" w:lineRule="auto"/>
              <w:rPr>
                <w:rFonts w:ascii="Times New Roman"/>
                <w:snapToGrid w:val="0"/>
                <w:color w:val="auto"/>
                <w:kern w:val="21"/>
                <w:sz w:val="21"/>
                <w:szCs w:val="21"/>
                <w:highlight w:val="none"/>
              </w:rPr>
            </w:pPr>
          </w:p>
        </w:tc>
        <w:tc>
          <w:tcPr>
            <w:tcW w:w="1548" w:type="dxa"/>
            <w:vAlign w:val="center"/>
          </w:tcPr>
          <w:p>
            <w:pPr>
              <w:pStyle w:val="47"/>
              <w:spacing w:beforeLines="0" w:afterLines="0" w:line="240" w:lineRule="auto"/>
              <w:rPr>
                <w:rFonts w:ascii="Times New Roman"/>
                <w:snapToGrid w:val="0"/>
                <w:color w:val="auto"/>
                <w:kern w:val="21"/>
                <w:sz w:val="21"/>
                <w:szCs w:val="21"/>
                <w:highlight w:val="none"/>
              </w:rPr>
            </w:pPr>
            <w:r>
              <w:rPr>
                <w:rFonts w:hint="eastAsia" w:ascii="Times New Roman"/>
                <w:snapToGrid w:val="0"/>
                <w:color w:val="auto"/>
                <w:kern w:val="21"/>
                <w:sz w:val="21"/>
                <w:szCs w:val="21"/>
                <w:highlight w:val="none"/>
              </w:rPr>
              <w:t>氨氮</w:t>
            </w:r>
          </w:p>
        </w:tc>
        <w:tc>
          <w:tcPr>
            <w:tcW w:w="1563" w:type="dxa"/>
            <w:vAlign w:val="center"/>
          </w:tcPr>
          <w:p>
            <w:pPr>
              <w:pStyle w:val="46"/>
              <w:jc w:val="center"/>
              <w:rPr>
                <w:rFonts w:hint="eastAsia"/>
                <w:snapToGrid w:val="0"/>
                <w:color w:val="auto"/>
                <w:kern w:val="21"/>
                <w:szCs w:val="21"/>
                <w:highlight w:val="none"/>
              </w:rPr>
            </w:pPr>
            <w:r>
              <w:rPr>
                <w:rFonts w:hint="eastAsia" w:ascii="Times New Roman" w:hAnsi="Times New Roman" w:cs="Times New Roman"/>
                <w:color w:val="auto"/>
                <w:szCs w:val="21"/>
                <w:highlight w:val="none"/>
              </w:rPr>
              <w:t>/</w:t>
            </w:r>
          </w:p>
        </w:tc>
        <w:tc>
          <w:tcPr>
            <w:tcW w:w="1195"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06"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63" w:type="dxa"/>
            <w:vAlign w:val="center"/>
          </w:tcPr>
          <w:p>
            <w:pPr>
              <w:pStyle w:val="46"/>
              <w:tabs>
                <w:tab w:val="left" w:pos="357"/>
              </w:tabs>
              <w:jc w:val="center"/>
              <w:rPr>
                <w:rFonts w:hint="default"/>
                <w:color w:val="auto"/>
                <w:szCs w:val="21"/>
                <w:highlight w:val="none"/>
                <w:lang w:val="en-US"/>
              </w:rPr>
            </w:pPr>
            <w:r>
              <w:rPr>
                <w:rFonts w:hint="eastAsia" w:ascii="Times New Roman" w:hAnsi="Times New Roman" w:cs="Times New Roman"/>
                <w:color w:val="auto"/>
                <w:szCs w:val="21"/>
                <w:highlight w:val="none"/>
                <w:lang w:val="en-US" w:eastAsia="zh-CN"/>
              </w:rPr>
              <w:t>0.005t/a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tabs>
                <w:tab w:val="left" w:pos="357"/>
              </w:tabs>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0.005t/a</w:t>
            </w:r>
          </w:p>
        </w:tc>
        <w:tc>
          <w:tcPr>
            <w:tcW w:w="1297" w:type="dxa"/>
            <w:vAlign w:val="center"/>
          </w:tcPr>
          <w:p>
            <w:pPr>
              <w:pStyle w:val="46"/>
              <w:tabs>
                <w:tab w:val="left" w:pos="357"/>
              </w:tabs>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+0.005t/a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234" w:type="dxa"/>
            <w:vMerge w:val="restart"/>
            <w:vAlign w:val="center"/>
          </w:tcPr>
          <w:p>
            <w:pPr>
              <w:pStyle w:val="47"/>
              <w:spacing w:beforeLines="0" w:afterLines="0" w:line="240" w:lineRule="auto"/>
              <w:rPr>
                <w:rFonts w:ascii="Times New Roman"/>
                <w:snapToGrid w:val="0"/>
                <w:color w:val="auto"/>
                <w:kern w:val="21"/>
                <w:sz w:val="21"/>
                <w:szCs w:val="21"/>
                <w:highlight w:val="none"/>
              </w:rPr>
            </w:pPr>
            <w:r>
              <w:rPr>
                <w:rFonts w:ascii="Times New Roman"/>
                <w:snapToGrid w:val="0"/>
                <w:color w:val="auto"/>
                <w:kern w:val="21"/>
                <w:sz w:val="21"/>
                <w:szCs w:val="21"/>
                <w:highlight w:val="none"/>
              </w:rPr>
              <w:t>工业</w:t>
            </w:r>
          </w:p>
          <w:p>
            <w:pPr>
              <w:pStyle w:val="47"/>
              <w:spacing w:beforeLines="0" w:afterLines="0" w:line="240" w:lineRule="auto"/>
              <w:rPr>
                <w:rFonts w:ascii="Times New Roman"/>
                <w:snapToGrid w:val="0"/>
                <w:color w:val="auto"/>
                <w:kern w:val="21"/>
                <w:sz w:val="21"/>
                <w:szCs w:val="21"/>
                <w:highlight w:val="none"/>
              </w:rPr>
            </w:pPr>
            <w:r>
              <w:rPr>
                <w:rFonts w:ascii="Times New Roman"/>
                <w:snapToGrid w:val="0"/>
                <w:color w:val="auto"/>
                <w:kern w:val="21"/>
                <w:sz w:val="21"/>
                <w:szCs w:val="21"/>
                <w:highlight w:val="none"/>
              </w:rPr>
              <w:t>固体废物</w:t>
            </w:r>
          </w:p>
        </w:tc>
        <w:tc>
          <w:tcPr>
            <w:tcW w:w="1548" w:type="dxa"/>
            <w:vAlign w:val="center"/>
          </w:tcPr>
          <w:p>
            <w:pPr>
              <w:pStyle w:val="47"/>
              <w:spacing w:beforeLines="0" w:afterLines="0" w:line="240" w:lineRule="auto"/>
              <w:rPr>
                <w:rFonts w:ascii="Times New Roman"/>
                <w:snapToGrid w:val="0"/>
                <w:color w:val="auto"/>
                <w:kern w:val="21"/>
                <w:sz w:val="21"/>
                <w:szCs w:val="21"/>
                <w:highlight w:val="none"/>
              </w:rPr>
            </w:pPr>
            <w:r>
              <w:rPr>
                <w:rFonts w:hint="eastAsia" w:ascii="Times New Roman"/>
                <w:color w:val="auto"/>
                <w:sz w:val="21"/>
                <w:szCs w:val="21"/>
                <w:highlight w:val="none"/>
              </w:rPr>
              <w:t>生活垃圾</w:t>
            </w:r>
          </w:p>
        </w:tc>
        <w:tc>
          <w:tcPr>
            <w:tcW w:w="1563" w:type="dxa"/>
            <w:vAlign w:val="center"/>
          </w:tcPr>
          <w:p>
            <w:pPr>
              <w:pStyle w:val="46"/>
              <w:jc w:val="center"/>
              <w:rPr>
                <w:rFonts w:hint="eastAsia"/>
                <w:snapToGrid w:val="0"/>
                <w:color w:val="auto"/>
                <w:kern w:val="21"/>
                <w:szCs w:val="21"/>
                <w:highlight w:val="none"/>
              </w:rPr>
            </w:pPr>
            <w:r>
              <w:rPr>
                <w:rFonts w:hint="eastAsia" w:ascii="Times New Roman" w:hAnsi="Times New Roman" w:cs="Times New Roman"/>
                <w:color w:val="auto"/>
                <w:szCs w:val="21"/>
                <w:highlight w:val="none"/>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1.5</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1.5</w:t>
            </w:r>
            <w:r>
              <w:rPr>
                <w:rFonts w:hint="eastAsia" w:ascii="Times New Roman" w:hAnsi="Times New Roman" w:cs="Times New Roman"/>
                <w:color w:val="auto"/>
                <w:szCs w:val="21"/>
                <w:highlight w:val="none"/>
              </w:rPr>
              <w:t>t/a</w:t>
            </w:r>
          </w:p>
        </w:tc>
        <w:tc>
          <w:tcPr>
            <w:tcW w:w="1297"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+1.5</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34" w:type="dxa"/>
            <w:vMerge w:val="continue"/>
            <w:vAlign w:val="center"/>
          </w:tcPr>
          <w:p>
            <w:pPr>
              <w:pStyle w:val="47"/>
              <w:spacing w:beforeLines="0" w:afterLines="0" w:line="240" w:lineRule="auto"/>
              <w:rPr>
                <w:rFonts w:ascii="Times New Roman"/>
                <w:snapToGrid w:val="0"/>
                <w:color w:val="auto"/>
                <w:kern w:val="21"/>
                <w:sz w:val="21"/>
                <w:szCs w:val="21"/>
                <w:highlight w:val="none"/>
              </w:rPr>
            </w:pPr>
          </w:p>
        </w:tc>
        <w:tc>
          <w:tcPr>
            <w:tcW w:w="1548" w:type="dxa"/>
            <w:vAlign w:val="center"/>
          </w:tcPr>
          <w:p>
            <w:pPr>
              <w:pStyle w:val="48"/>
              <w:tabs>
                <w:tab w:val="left" w:pos="636"/>
              </w:tabs>
              <w:spacing w:line="240" w:lineRule="auto"/>
              <w:ind w:firstLine="0"/>
              <w:jc w:val="center"/>
              <w:rPr>
                <w:snapToGrid w:val="0"/>
                <w:color w:val="auto"/>
                <w:kern w:val="21"/>
                <w:szCs w:val="21"/>
                <w:highlight w:val="none"/>
                <w:lang w:val="en-US"/>
              </w:rPr>
            </w:pPr>
            <w:r>
              <w:rPr>
                <w:rFonts w:hint="eastAsia" w:ascii="Times New Roman"/>
                <w:color w:val="auto"/>
                <w:sz w:val="21"/>
                <w:szCs w:val="21"/>
                <w:highlight w:val="none"/>
                <w:lang w:val="en-US" w:eastAsia="zh-CN"/>
              </w:rPr>
              <w:t>沉淀池沉渣</w:t>
            </w:r>
          </w:p>
        </w:tc>
        <w:tc>
          <w:tcPr>
            <w:tcW w:w="1563" w:type="dxa"/>
            <w:vAlign w:val="center"/>
          </w:tcPr>
          <w:p>
            <w:pPr>
              <w:pStyle w:val="48"/>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4.62</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4.62</w:t>
            </w:r>
            <w:r>
              <w:rPr>
                <w:rFonts w:hint="eastAsia" w:ascii="Times New Roman" w:hAnsi="Times New Roman" w:cs="Times New Roman"/>
                <w:color w:val="auto"/>
                <w:szCs w:val="21"/>
                <w:highlight w:val="none"/>
              </w:rPr>
              <w:t>t/a</w:t>
            </w:r>
          </w:p>
        </w:tc>
        <w:tc>
          <w:tcPr>
            <w:tcW w:w="1297" w:type="dxa"/>
            <w:vAlign w:val="center"/>
          </w:tcPr>
          <w:p>
            <w:pPr>
              <w:pStyle w:val="46"/>
              <w:jc w:val="center"/>
              <w:rPr>
                <w:snapToGrid w:val="0"/>
                <w:color w:val="auto"/>
                <w:kern w:val="21"/>
                <w:szCs w:val="21"/>
                <w:highlight w:val="none"/>
              </w:rPr>
            </w:pPr>
            <w:r>
              <w:rPr>
                <w:rFonts w:hint="eastAsia" w:ascii="Times New Roman" w:hAnsi="Times New Roman" w:cs="Times New Roman"/>
                <w:color w:val="auto"/>
                <w:szCs w:val="21"/>
                <w:highlight w:val="none"/>
                <w:lang w:val="en-US" w:eastAsia="zh-CN"/>
              </w:rPr>
              <w:t>+4.62</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34" w:type="dxa"/>
            <w:vMerge w:val="continue"/>
            <w:vAlign w:val="center"/>
          </w:tcPr>
          <w:p>
            <w:pPr>
              <w:pStyle w:val="47"/>
              <w:spacing w:beforeLines="0" w:afterLines="0" w:line="240" w:lineRule="auto"/>
              <w:rPr>
                <w:rFonts w:ascii="Times New Roman"/>
                <w:snapToGrid w:val="0"/>
                <w:color w:val="auto"/>
                <w:kern w:val="21"/>
                <w:sz w:val="21"/>
                <w:szCs w:val="21"/>
                <w:highlight w:val="none"/>
              </w:rPr>
            </w:pPr>
          </w:p>
        </w:tc>
        <w:tc>
          <w:tcPr>
            <w:tcW w:w="1548" w:type="dxa"/>
            <w:vAlign w:val="center"/>
          </w:tcPr>
          <w:p>
            <w:pPr>
              <w:pStyle w:val="48"/>
              <w:spacing w:line="240" w:lineRule="auto"/>
              <w:ind w:firstLine="0"/>
              <w:jc w:val="center"/>
              <w:rPr>
                <w:snapToGrid w:val="0"/>
                <w:color w:val="auto"/>
                <w:kern w:val="21"/>
                <w:szCs w:val="21"/>
                <w:highlight w:val="none"/>
                <w:lang w:val="en-US"/>
              </w:rPr>
            </w:pPr>
            <w:r>
              <w:rPr>
                <w:rFonts w:hint="eastAsia" w:ascii="Times New Roman"/>
                <w:color w:val="auto"/>
                <w:sz w:val="21"/>
                <w:szCs w:val="21"/>
                <w:highlight w:val="none"/>
                <w:lang w:eastAsia="zh-CN"/>
              </w:rPr>
              <w:t>除尘器收集的粉尘</w:t>
            </w:r>
          </w:p>
        </w:tc>
        <w:tc>
          <w:tcPr>
            <w:tcW w:w="1563" w:type="dxa"/>
            <w:vAlign w:val="center"/>
          </w:tcPr>
          <w:p>
            <w:pPr>
              <w:pStyle w:val="48"/>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26.752</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26.752</w:t>
            </w:r>
            <w:r>
              <w:rPr>
                <w:rFonts w:hint="eastAsia" w:ascii="Times New Roman" w:hAnsi="Times New Roman" w:cs="Times New Roman"/>
                <w:color w:val="auto"/>
                <w:szCs w:val="21"/>
                <w:highlight w:val="none"/>
              </w:rPr>
              <w:t>t/a</w:t>
            </w:r>
          </w:p>
        </w:tc>
        <w:tc>
          <w:tcPr>
            <w:tcW w:w="1297"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+26.752</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34" w:type="dxa"/>
            <w:vMerge w:val="continue"/>
            <w:vAlign w:val="center"/>
          </w:tcPr>
          <w:p>
            <w:pPr>
              <w:pStyle w:val="47"/>
              <w:spacing w:beforeLines="0" w:afterLines="0" w:line="240" w:lineRule="auto"/>
              <w:rPr>
                <w:rFonts w:ascii="Times New Roman"/>
                <w:snapToGrid w:val="0"/>
                <w:color w:val="auto"/>
                <w:kern w:val="21"/>
                <w:sz w:val="21"/>
                <w:szCs w:val="21"/>
                <w:highlight w:val="none"/>
              </w:rPr>
            </w:pPr>
          </w:p>
        </w:tc>
        <w:tc>
          <w:tcPr>
            <w:tcW w:w="1548" w:type="dxa"/>
            <w:vAlign w:val="center"/>
          </w:tcPr>
          <w:p>
            <w:pPr>
              <w:pStyle w:val="48"/>
              <w:spacing w:line="240" w:lineRule="auto"/>
              <w:ind w:firstLine="0"/>
              <w:jc w:val="center"/>
              <w:rPr>
                <w:rFonts w:hint="eastAsia" w:eastAsia="宋体"/>
                <w:snapToGrid w:val="0"/>
                <w:color w:val="auto"/>
                <w:kern w:val="21"/>
                <w:szCs w:val="21"/>
                <w:highlight w:val="none"/>
                <w:lang w:eastAsia="zh-CN"/>
              </w:rPr>
            </w:pPr>
            <w:r>
              <w:rPr>
                <w:rFonts w:hint="eastAsia"/>
                <w:color w:val="auto"/>
                <w:szCs w:val="21"/>
                <w:highlight w:val="none"/>
                <w:lang w:val="en-US" w:eastAsia="zh-CN" w:bidi="ar"/>
              </w:rPr>
              <w:t>车间沉降粉尘</w:t>
            </w:r>
          </w:p>
        </w:tc>
        <w:tc>
          <w:tcPr>
            <w:tcW w:w="1563" w:type="dxa"/>
            <w:vAlign w:val="center"/>
          </w:tcPr>
          <w:p>
            <w:pPr>
              <w:pStyle w:val="48"/>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5.233</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5.233</w:t>
            </w:r>
            <w:r>
              <w:rPr>
                <w:rFonts w:hint="eastAsia" w:ascii="Times New Roman" w:hAnsi="Times New Roman" w:cs="Times New Roman"/>
                <w:color w:val="auto"/>
                <w:szCs w:val="21"/>
                <w:highlight w:val="none"/>
              </w:rPr>
              <w:t>t/a</w:t>
            </w:r>
          </w:p>
        </w:tc>
        <w:tc>
          <w:tcPr>
            <w:tcW w:w="1297"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+5.233</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234" w:type="dxa"/>
            <w:vMerge w:val="continue"/>
            <w:vAlign w:val="center"/>
          </w:tcPr>
          <w:p>
            <w:pPr>
              <w:pStyle w:val="47"/>
              <w:spacing w:beforeLines="0" w:afterLines="0" w:line="240" w:lineRule="auto"/>
              <w:rPr>
                <w:rFonts w:ascii="Times New Roman"/>
                <w:snapToGrid w:val="0"/>
                <w:color w:val="auto"/>
                <w:kern w:val="21"/>
                <w:sz w:val="21"/>
                <w:szCs w:val="21"/>
                <w:highlight w:val="none"/>
              </w:rPr>
            </w:pPr>
          </w:p>
        </w:tc>
        <w:tc>
          <w:tcPr>
            <w:tcW w:w="1548" w:type="dxa"/>
            <w:vAlign w:val="center"/>
          </w:tcPr>
          <w:p>
            <w:pPr>
              <w:jc w:val="center"/>
              <w:rPr>
                <w:snapToGrid w:val="0"/>
                <w:color w:val="auto"/>
                <w:kern w:val="21"/>
                <w:szCs w:val="21"/>
                <w:highlight w:val="none"/>
              </w:rPr>
            </w:pPr>
            <w:r>
              <w:rPr>
                <w:rFonts w:hint="eastAsia"/>
                <w:color w:val="auto"/>
                <w:szCs w:val="21"/>
                <w:highlight w:val="none"/>
              </w:rPr>
              <w:t>废弃的含油抹布、劳保用品</w:t>
            </w:r>
          </w:p>
        </w:tc>
        <w:tc>
          <w:tcPr>
            <w:tcW w:w="1563" w:type="dxa"/>
            <w:vAlign w:val="center"/>
          </w:tcPr>
          <w:p>
            <w:pPr>
              <w:pStyle w:val="48"/>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06" w:type="dxa"/>
            <w:vAlign w:val="center"/>
          </w:tcPr>
          <w:p>
            <w:pPr>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563" w:type="dxa"/>
            <w:vAlign w:val="center"/>
          </w:tcPr>
          <w:p>
            <w:pPr>
              <w:pStyle w:val="46"/>
              <w:jc w:val="center"/>
              <w:rPr>
                <w:color w:val="auto"/>
                <w:szCs w:val="21"/>
                <w:highlight w:val="none"/>
              </w:rPr>
            </w:pPr>
            <w:r>
              <w:rPr>
                <w:rFonts w:hint="eastAsia" w:ascii="Times New Roman" w:hAnsi="Times New Roman" w:cs="Times New Roman"/>
                <w:color w:val="auto"/>
                <w:szCs w:val="21"/>
                <w:highlight w:val="none"/>
              </w:rPr>
              <w:t>0.05t/a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color w:val="auto"/>
                <w:szCs w:val="21"/>
                <w:highlight w:val="none"/>
              </w:rPr>
            </w:pPr>
            <w:r>
              <w:rPr>
                <w:rFonts w:hint="eastAsia" w:ascii="Times New Roman" w:hAnsi="Times New Roman" w:cs="Times New Roman"/>
                <w:color w:val="auto"/>
                <w:szCs w:val="21"/>
                <w:highlight w:val="none"/>
              </w:rPr>
              <w:t>0.05t/a</w:t>
            </w:r>
          </w:p>
        </w:tc>
        <w:tc>
          <w:tcPr>
            <w:tcW w:w="1297" w:type="dxa"/>
            <w:vAlign w:val="center"/>
          </w:tcPr>
          <w:p>
            <w:pPr>
              <w:pStyle w:val="46"/>
              <w:jc w:val="center"/>
              <w:rPr>
                <w:color w:val="auto"/>
                <w:szCs w:val="21"/>
                <w:highlight w:val="none"/>
              </w:rPr>
            </w:pPr>
            <w:r>
              <w:rPr>
                <w:rFonts w:hint="eastAsia"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1234" w:type="dxa"/>
            <w:vMerge w:val="continue"/>
            <w:vAlign w:val="center"/>
          </w:tcPr>
          <w:p>
            <w:pPr>
              <w:pStyle w:val="47"/>
              <w:spacing w:beforeLines="0" w:afterLines="0" w:line="240" w:lineRule="auto"/>
              <w:rPr>
                <w:rFonts w:ascii="Times New Roman"/>
                <w:snapToGrid w:val="0"/>
                <w:color w:val="auto"/>
                <w:kern w:val="21"/>
                <w:szCs w:val="21"/>
                <w:highlight w:val="none"/>
              </w:rPr>
            </w:pPr>
          </w:p>
        </w:tc>
        <w:tc>
          <w:tcPr>
            <w:tcW w:w="1548" w:type="dxa"/>
            <w:vAlign w:val="center"/>
          </w:tcPr>
          <w:p>
            <w:pPr>
              <w:jc w:val="center"/>
              <w:rPr>
                <w:snapToGrid w:val="0"/>
                <w:color w:val="auto"/>
                <w:kern w:val="21"/>
                <w:szCs w:val="21"/>
                <w:highlight w:val="none"/>
              </w:rPr>
            </w:pPr>
            <w:r>
              <w:rPr>
                <w:rFonts w:hint="eastAsia"/>
                <w:color w:val="auto"/>
                <w:szCs w:val="21"/>
                <w:highlight w:val="none"/>
              </w:rPr>
              <w:t>废润滑油</w:t>
            </w:r>
          </w:p>
        </w:tc>
        <w:tc>
          <w:tcPr>
            <w:tcW w:w="1563" w:type="dxa"/>
            <w:vAlign w:val="center"/>
          </w:tcPr>
          <w:p>
            <w:pPr>
              <w:pStyle w:val="48"/>
              <w:spacing w:line="240" w:lineRule="auto"/>
              <w:ind w:firstLine="0"/>
              <w:jc w:val="center"/>
              <w:rPr>
                <w:rFonts w:hint="eastAsia"/>
                <w:snapToGrid w:val="0"/>
                <w:color w:val="auto"/>
                <w:kern w:val="21"/>
                <w:szCs w:val="21"/>
                <w:highlight w:val="none"/>
              </w:rPr>
            </w:pPr>
            <w:r>
              <w:rPr>
                <w:rFonts w:hint="eastAsia"/>
                <w:color w:val="auto"/>
                <w:szCs w:val="21"/>
                <w:highlight w:val="none"/>
                <w:lang w:val="en-US"/>
              </w:rPr>
              <w:t>/</w:t>
            </w:r>
          </w:p>
        </w:tc>
        <w:tc>
          <w:tcPr>
            <w:tcW w:w="1195"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06" w:type="dxa"/>
            <w:vAlign w:val="center"/>
          </w:tcPr>
          <w:p>
            <w:pPr>
              <w:jc w:val="center"/>
              <w:rPr>
                <w:snapToGrid w:val="0"/>
                <w:color w:val="auto"/>
                <w:kern w:val="21"/>
                <w:szCs w:val="21"/>
                <w:highlight w:val="none"/>
              </w:rPr>
            </w:pPr>
            <w:r>
              <w:rPr>
                <w:snapToGrid w:val="0"/>
                <w:color w:val="auto"/>
                <w:kern w:val="21"/>
                <w:szCs w:val="21"/>
                <w:highlight w:val="none"/>
              </w:rPr>
              <w:t>/</w:t>
            </w:r>
          </w:p>
        </w:tc>
        <w:tc>
          <w:tcPr>
            <w:tcW w:w="1563"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48</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snapToGrid w:val="0"/>
                <w:color w:val="auto"/>
                <w:kern w:val="21"/>
                <w:szCs w:val="21"/>
                <w:highlight w:val="none"/>
              </w:rPr>
            </w:pPr>
            <w:r>
              <w:rPr>
                <w:rFonts w:hint="eastAsia"/>
                <w:snapToGrid w:val="0"/>
                <w:color w:val="auto"/>
                <w:kern w:val="21"/>
                <w:szCs w:val="21"/>
                <w:highlight w:val="none"/>
              </w:rPr>
              <w:t>/</w:t>
            </w:r>
          </w:p>
        </w:tc>
        <w:tc>
          <w:tcPr>
            <w:tcW w:w="1493"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48</w:t>
            </w:r>
            <w:r>
              <w:rPr>
                <w:rFonts w:hint="eastAsia" w:ascii="Times New Roman" w:hAnsi="Times New Roman" w:cs="Times New Roman"/>
                <w:color w:val="auto"/>
                <w:szCs w:val="21"/>
                <w:highlight w:val="none"/>
              </w:rPr>
              <w:t>t/a</w:t>
            </w:r>
          </w:p>
        </w:tc>
        <w:tc>
          <w:tcPr>
            <w:tcW w:w="1297" w:type="dxa"/>
            <w:vAlign w:val="center"/>
          </w:tcPr>
          <w:p>
            <w:pPr>
              <w:pStyle w:val="46"/>
              <w:jc w:val="center"/>
              <w:rPr>
                <w:rFonts w:hint="eastAsia"/>
                <w:color w:val="auto"/>
                <w:szCs w:val="21"/>
                <w:highlight w:val="none"/>
              </w:rPr>
            </w:pPr>
            <w:r>
              <w:rPr>
                <w:rFonts w:hint="eastAsia"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48</w:t>
            </w:r>
            <w:r>
              <w:rPr>
                <w:rFonts w:hint="eastAsia" w:ascii="Times New Roman" w:hAnsi="Times New Roman" w:cs="Times New Roman"/>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34" w:type="dxa"/>
            <w:vMerge w:val="continue"/>
            <w:vAlign w:val="center"/>
          </w:tcPr>
          <w:p>
            <w:pPr>
              <w:pStyle w:val="47"/>
              <w:spacing w:beforeLines="0" w:afterLines="0" w:line="240" w:lineRule="auto"/>
              <w:rPr>
                <w:rFonts w:ascii="Times New Roman"/>
                <w:snapToGrid w:val="0"/>
                <w:color w:val="auto"/>
                <w:kern w:val="21"/>
                <w:szCs w:val="21"/>
                <w:highlight w:val="none"/>
              </w:rPr>
            </w:pPr>
          </w:p>
        </w:tc>
        <w:tc>
          <w:tcPr>
            <w:tcW w:w="1548" w:type="dxa"/>
            <w:vAlign w:val="center"/>
          </w:tcPr>
          <w:p>
            <w:pPr>
              <w:jc w:val="center"/>
              <w:rPr>
                <w:rFonts w:hint="eastAsia"/>
                <w:color w:val="auto"/>
                <w:szCs w:val="21"/>
                <w:highlight w:val="none"/>
              </w:rPr>
            </w:pPr>
            <w:r>
              <w:rPr>
                <w:rFonts w:hint="eastAsia"/>
                <w:color w:val="auto"/>
                <w:szCs w:val="21"/>
                <w:highlight w:val="none"/>
              </w:rPr>
              <w:t>废润滑油桶</w:t>
            </w:r>
          </w:p>
        </w:tc>
        <w:tc>
          <w:tcPr>
            <w:tcW w:w="1563" w:type="dxa"/>
            <w:vAlign w:val="center"/>
          </w:tcPr>
          <w:p>
            <w:pPr>
              <w:pStyle w:val="48"/>
              <w:spacing w:line="240" w:lineRule="auto"/>
              <w:ind w:firstLine="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195" w:type="dxa"/>
            <w:vAlign w:val="center"/>
          </w:tcPr>
          <w:p>
            <w:pPr>
              <w:jc w:val="center"/>
              <w:rPr>
                <w:rFonts w:hint="eastAsia"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w:t>
            </w:r>
          </w:p>
        </w:tc>
        <w:tc>
          <w:tcPr>
            <w:tcW w:w="1506" w:type="dxa"/>
            <w:vAlign w:val="center"/>
          </w:tcPr>
          <w:p>
            <w:pPr>
              <w:jc w:val="center"/>
              <w:rPr>
                <w:rFonts w:hint="eastAsia"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w:t>
            </w:r>
          </w:p>
        </w:tc>
        <w:tc>
          <w:tcPr>
            <w:tcW w:w="1563" w:type="dxa"/>
            <w:vAlign w:val="center"/>
          </w:tcPr>
          <w:p>
            <w:pPr>
              <w:pStyle w:val="46"/>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0.04</w:t>
            </w:r>
            <w:r>
              <w:rPr>
                <w:rFonts w:hint="eastAsia" w:ascii="Times New Roman" w:hAnsi="Times New Roman" w:cs="Times New Roman"/>
                <w:color w:val="auto"/>
                <w:szCs w:val="21"/>
                <w:highlight w:val="none"/>
              </w:rPr>
              <w:t>t/a</w:t>
            </w:r>
          </w:p>
        </w:tc>
        <w:tc>
          <w:tcPr>
            <w:tcW w:w="1663" w:type="dxa"/>
            <w:vAlign w:val="center"/>
          </w:tcPr>
          <w:p>
            <w:pPr>
              <w:adjustRightInd w:val="0"/>
              <w:jc w:val="center"/>
              <w:rPr>
                <w:rFonts w:hint="eastAsia"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w:t>
            </w:r>
          </w:p>
        </w:tc>
        <w:tc>
          <w:tcPr>
            <w:tcW w:w="1493" w:type="dxa"/>
            <w:vAlign w:val="center"/>
          </w:tcPr>
          <w:p>
            <w:pPr>
              <w:pStyle w:val="46"/>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0.04</w:t>
            </w:r>
            <w:r>
              <w:rPr>
                <w:rFonts w:hint="eastAsia" w:ascii="Times New Roman" w:hAnsi="Times New Roman" w:cs="Times New Roman"/>
                <w:color w:val="auto"/>
                <w:szCs w:val="21"/>
                <w:highlight w:val="none"/>
              </w:rPr>
              <w:t>t/a</w:t>
            </w:r>
          </w:p>
        </w:tc>
        <w:tc>
          <w:tcPr>
            <w:tcW w:w="1297" w:type="dxa"/>
            <w:vAlign w:val="center"/>
          </w:tcPr>
          <w:p>
            <w:pPr>
              <w:pStyle w:val="46"/>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+0.04</w:t>
            </w:r>
            <w:r>
              <w:rPr>
                <w:rFonts w:hint="eastAsia" w:ascii="Times New Roman" w:hAnsi="Times New Roman" w:cs="Times New Roman"/>
                <w:color w:val="auto"/>
                <w:szCs w:val="21"/>
                <w:highlight w:val="none"/>
              </w:rPr>
              <w:t>t/a</w:t>
            </w:r>
          </w:p>
        </w:tc>
      </w:tr>
    </w:tbl>
    <w:p>
      <w:pPr>
        <w:pStyle w:val="47"/>
        <w:spacing w:before="192" w:beforeLines="80" w:after="24"/>
        <w:jc w:val="left"/>
        <w:rPr>
          <w:color w:val="auto"/>
        </w:rPr>
      </w:pPr>
      <w:r>
        <w:rPr>
          <w:rFonts w:hAnsi="宋体"/>
          <w:snapToGrid w:val="0"/>
          <w:color w:val="auto"/>
          <w:kern w:val="21"/>
          <w:sz w:val="24"/>
          <w:szCs w:val="24"/>
        </w:rPr>
        <w:t>注：</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3 \* GB3 \* MERGEFORMAT </w:instrText>
      </w:r>
      <w:r>
        <w:rPr>
          <w:rFonts w:hAnsi="宋体"/>
          <w:snapToGrid w:val="0"/>
          <w:color w:val="auto"/>
          <w:spacing w:val="-6"/>
          <w:kern w:val="21"/>
          <w:sz w:val="24"/>
          <w:szCs w:val="24"/>
        </w:rPr>
        <w:fldChar w:fldCharType="separate"/>
      </w:r>
      <w:r>
        <w:rPr>
          <w:rFonts w:hint="eastAsia" w:hAnsi="宋体"/>
          <w:color w:val="auto"/>
          <w:sz w:val="24"/>
          <w:szCs w:val="24"/>
        </w:rPr>
        <w:t>③</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4 \* GB3 \* MERGEFORMAT </w:instrText>
      </w:r>
      <w:r>
        <w:rPr>
          <w:rFonts w:hAnsi="宋体"/>
          <w:snapToGrid w:val="0"/>
          <w:color w:val="auto"/>
          <w:spacing w:val="-6"/>
          <w:kern w:val="21"/>
          <w:sz w:val="24"/>
          <w:szCs w:val="24"/>
        </w:rPr>
        <w:fldChar w:fldCharType="separate"/>
      </w:r>
      <w:r>
        <w:rPr>
          <w:rFonts w:hint="eastAsia" w:hAnsi="宋体"/>
          <w:color w:val="auto"/>
          <w:sz w:val="24"/>
          <w:szCs w:val="24"/>
        </w:rPr>
        <w:t>④</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5 \* GB3 \* MERGEFORMAT </w:instrText>
      </w:r>
      <w:r>
        <w:rPr>
          <w:rFonts w:hAnsi="宋体"/>
          <w:snapToGrid w:val="0"/>
          <w:color w:val="auto"/>
          <w:spacing w:val="-16"/>
          <w:kern w:val="21"/>
          <w:sz w:val="24"/>
          <w:szCs w:val="24"/>
        </w:rPr>
        <w:fldChar w:fldCharType="separate"/>
      </w:r>
      <w:r>
        <w:rPr>
          <w:rFonts w:hint="eastAsia" w:hAnsi="宋体"/>
          <w:color w:val="auto"/>
          <w:sz w:val="24"/>
          <w:szCs w:val="24"/>
        </w:rPr>
        <w:t>⑤</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7 \* GB3 \* MERGEFORMAT </w:instrText>
      </w:r>
      <w:r>
        <w:rPr>
          <w:rFonts w:hAnsi="宋体"/>
          <w:snapToGrid w:val="0"/>
          <w:color w:val="auto"/>
          <w:spacing w:val="-6"/>
          <w:kern w:val="21"/>
          <w:sz w:val="24"/>
          <w:szCs w:val="24"/>
        </w:rPr>
        <w:fldChar w:fldCharType="separate"/>
      </w:r>
      <w:r>
        <w:rPr>
          <w:rFonts w:hint="eastAsia" w:hAnsi="宋体"/>
          <w:color w:val="auto"/>
          <w:sz w:val="24"/>
          <w:szCs w:val="24"/>
        </w:rPr>
        <w:t>⑦</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p>
    <w:p>
      <w:pPr>
        <w:rPr>
          <w:color w:val="auto"/>
        </w:rPr>
      </w:pPr>
    </w:p>
    <w:p>
      <w:pPr>
        <w:rPr>
          <w:color w:val="auto"/>
        </w:rPr>
      </w:pPr>
    </w:p>
    <w:p>
      <w:pPr>
        <w:rPr>
          <w:color w:val="auto"/>
        </w:rPr>
      </w:pPr>
    </w:p>
    <w:sectPr>
      <w:footerReference r:id="rId5" w:type="default"/>
      <w:pgSz w:w="16838" w:h="11905" w:orient="landscape"/>
      <w:pgMar w:top="1531" w:right="1701" w:bottom="1531" w:left="2126" w:header="851"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1413CDC-E1AF-403B-89EC-E39307F605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4002EFF" w:usb1="C000247B" w:usb2="00000009" w:usb3="00000000" w:csb0="200001FF"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000247B" w:usb2="00000009" w:usb3="00000000" w:csb0="200001FF" w:csb1="00000000"/>
    <w:embedRegular r:id="rId2" w:fontKey="{1660F781-3032-4372-B69B-2B97F52489A6}"/>
  </w:font>
  <w:font w:name="Arial">
    <w:panose1 w:val="020B0604020202020204"/>
    <w:charset w:val="01"/>
    <w:family w:val="roman"/>
    <w:pitch w:val="default"/>
    <w:sig w:usb0="E0002EFF" w:usb1="C000785B"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TimesNewRomanPS-BoldMT">
    <w:altName w:val="Times New Roman"/>
    <w:panose1 w:val="00000000000000000000"/>
    <w:charset w:val="00"/>
    <w:family w:val="swiss"/>
    <w:pitch w:val="default"/>
    <w:sig w:usb0="00000000" w:usb1="00000000" w:usb2="00000000" w:usb3="00000000" w:csb0="00040001" w:csb1="00000000"/>
  </w:font>
  <w:font w:name="Tahoma">
    <w:panose1 w:val="020B0604030504040204"/>
    <w:charset w:val="00"/>
    <w:family w:val="roman"/>
    <w:pitch w:val="default"/>
    <w:sig w:usb0="E1002EFF" w:usb1="C000605B" w:usb2="00000029" w:usb3="00000000" w:csb0="200101FF" w:csb1="20280000"/>
  </w:font>
  <w:font w:name="TimesNewRomanPSMT">
    <w:altName w:val="Times New Roman"/>
    <w:panose1 w:val="00000000000000000000"/>
    <w:charset w:val="00"/>
    <w:family w:val="swiss"/>
    <w:pitch w:val="default"/>
    <w:sig w:usb0="00000000" w:usb1="00000000" w:usb2="00000000" w:usb3="00000000" w:csb0="00000001" w:csb1="00000000"/>
  </w:font>
  <w:font w:name="仿宋_GB2312">
    <w:panose1 w:val="02010609030101010101"/>
    <w:charset w:val="86"/>
    <w:family w:val="decorative"/>
    <w:pitch w:val="default"/>
    <w:sig w:usb0="00000001" w:usb1="080E0000" w:usb2="00000000" w:usb3="00000000" w:csb0="00040000" w:csb1="00000000"/>
    <w:embedRegular r:id="rId3" w:fontKey="{D1D20CF5-2DE0-4B49-AA26-473DC05F4215}"/>
  </w:font>
  <w:font w:name="方正小标宋_GBK">
    <w:panose1 w:val="02000000000000000000"/>
    <w:charset w:val="86"/>
    <w:family w:val="script"/>
    <w:pitch w:val="default"/>
    <w:sig w:usb0="00000000" w:usb1="00000000" w:usb2="00000000" w:usb3="00000000" w:csb0="00000000" w:csb1="00000000"/>
    <w:embedRegular r:id="rId4" w:fontKey="{92D8CE12-FE40-477E-B3C4-B0773A963A82}"/>
  </w:font>
  <w:font w:name="楷体_GB2312">
    <w:panose1 w:val="02010609030101010101"/>
    <w:charset w:val="86"/>
    <w:family w:val="decorative"/>
    <w:pitch w:val="default"/>
    <w:sig w:usb0="00000000" w:usb1="00000000" w:usb2="00000000" w:usb3="00000000" w:csb0="00000000" w:csb1="00000000"/>
    <w:embedRegular r:id="rId5" w:fontKey="{F33945C7-4333-4D51-BCFE-B0AC0961DD57}"/>
  </w:font>
  <w:font w:name="仿宋">
    <w:panose1 w:val="02010609060101010101"/>
    <w:charset w:val="86"/>
    <w:family w:val="decorative"/>
    <w:pitch w:val="default"/>
    <w:sig w:usb0="800002BF" w:usb1="38CF7CFA" w:usb2="00000016" w:usb3="00000000" w:csb0="00040001" w:csb1="00000000"/>
    <w:embedRegular r:id="rId6" w:fontKey="{2B6EED57-6BDE-40B3-AF82-CB97F5D2D557}"/>
  </w:font>
  <w:font w:name="MS Gothic">
    <w:panose1 w:val="020B0609070205080204"/>
    <w:charset w:val="80"/>
    <w:family w:val="decorative"/>
    <w:pitch w:val="default"/>
    <w:sig w:usb0="E00002FF" w:usb1="6AC7FDFB" w:usb2="08000012" w:usb3="00000000" w:csb0="4002009F" w:csb1="DFD70000"/>
    <w:embedRegular r:id="rId7" w:fontKey="{7DF14685-C62A-4D44-B880-CDB2B5C43F0F}"/>
  </w:font>
  <w:font w:name="Segoe UI">
    <w:panose1 w:val="020B0502040204020203"/>
    <w:charset w:val="00"/>
    <w:family w:val="auto"/>
    <w:pitch w:val="default"/>
    <w:sig w:usb0="E4002EFF" w:usb1="C000E47F" w:usb2="00000009" w:usb3="00000000" w:csb0="200001FF" w:csb1="00000000"/>
    <w:embedRegular r:id="rId8" w:fontKey="{060C74DD-1036-4A20-B720-9D5623F4C4C6}"/>
  </w:font>
  <w:font w:name="Times">
    <w:altName w:val="Times New Roman"/>
    <w:panose1 w:val="02020603050405020304"/>
    <w:charset w:val="00"/>
    <w:family w:val="swiss"/>
    <w:pitch w:val="default"/>
    <w:sig w:usb0="00000000" w:usb1="00000000" w:usb2="00000009" w:usb3="00000000" w:csb0="000001FF" w:csb1="00000000"/>
    <w:embedRegular r:id="rId9" w:fontKey="{0B926B74-979D-49F8-95D9-A3722790D553}"/>
  </w:font>
  <w:font w:name="Cambria Math">
    <w:panose1 w:val="02040503050406030204"/>
    <w:charset w:val="00"/>
    <w:family w:val="auto"/>
    <w:pitch w:val="default"/>
    <w:sig w:usb0="E00006FF" w:usb1="420024FF" w:usb2="02000000" w:usb3="00000000" w:csb0="2000019F" w:csb1="00000000"/>
    <w:embedRegular r:id="rId10" w:fontKey="{87FEFFAF-7A0B-4303-BC4C-BEE3C68F2396}"/>
  </w:font>
  <w:font w:name="新宋体">
    <w:panose1 w:val="02010609030101010101"/>
    <w:charset w:val="86"/>
    <w:family w:val="decorative"/>
    <w:pitch w:val="default"/>
    <w:sig w:usb0="00000283" w:usb1="288F0000" w:usb2="00000006" w:usb3="00000000" w:csb0="00040001" w:csb1="00000000"/>
    <w:embedRegular r:id="rId11" w:fontKey="{6B645D4E-EE5A-420D-A3C8-991320F8DE9A}"/>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mc:AlternateContent>
        <mc:Choice Requires="wps">
          <w:drawing>
            <wp:anchor distT="0" distB="0" distL="114300" distR="114300" simplePos="0" relativeHeight="251660288" behindDoc="0" locked="0" layoutInCell="1" allowOverlap="1">
              <wp:simplePos x="0" y="0"/>
              <wp:positionH relativeFrom="page">
                <wp:posOffset>3418840</wp:posOffset>
              </wp:positionH>
              <wp:positionV relativeFrom="paragraph">
                <wp:posOffset>-28575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2</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
                      </w:txbxContent>
                    </wps:txbx>
                    <wps:bodyPr wrap="none" lIns="0" tIns="0" rIns="0" bIns="0" upright="0">
                      <a:spAutoFit/>
                    </wps:bodyPr>
                  </wps:wsp>
                </a:graphicData>
              </a:graphic>
            </wp:anchor>
          </w:drawing>
        </mc:Choice>
        <mc:Fallback>
          <w:pict>
            <v:shape id="_x0000_s1026" o:spid="_x0000_s1026" o:spt="202" type="#_x0000_t202" style="position:absolute;left:0pt;margin-left:269.2pt;margin-top:-2.25pt;height:144pt;width:144pt;mso-position-horizontal-relative:page;mso-wrap-style:none;z-index:251660288;mso-width-relative:page;mso-height-relative:page;" filled="f" stroked="f" coordsize="21600,21600" o:gfxdata="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FxwgtcA&#10;AAAKAQAADwAAAAAAAAABACAAAAAiAAAAZHJzL2Rvd25yZXYueG1sUEsBAhQAFAAAAAgAh07iQKwD&#10;VG6uAQAATQMAAA4AAAAAAAAAAQAgAAAAJgEAAGRycy9lMm9Eb2MueG1sUEsFBgAAAAAGAAYAWQEA&#10;AEYFAAAAAA==&#10;">
              <v:fill on="f" focussize="0,0"/>
              <v:stroke on="f"/>
              <v:imagedata o:title=""/>
              <o:lock v:ext="edit" aspectratio="f"/>
              <v:textbox inset="0mm,0mm,0mm,0mm" style="mso-fit-shape-to-text:t;">
                <w:txbxContent>
                  <w:p>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2</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mc:AlternateContent>
        <mc:Choice Requires="wps">
          <w:drawing>
            <wp:anchor distT="0" distB="0" distL="114300" distR="114300" simplePos="0" relativeHeight="251659264" behindDoc="0" locked="0" layoutInCell="1" allowOverlap="1">
              <wp:simplePos x="0" y="0"/>
              <wp:positionH relativeFrom="page">
                <wp:posOffset>3418840</wp:posOffset>
              </wp:positionH>
              <wp:positionV relativeFrom="paragraph">
                <wp:posOffset>-28575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53</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
                      </w:txbxContent>
                    </wps:txbx>
                    <wps:bodyPr wrap="none" lIns="0" tIns="0" rIns="0" bIns="0" upright="0">
                      <a:spAutoFit/>
                    </wps:bodyPr>
                  </wps:wsp>
                </a:graphicData>
              </a:graphic>
            </wp:anchor>
          </w:drawing>
        </mc:Choice>
        <mc:Fallback>
          <w:pict>
            <v:shape id="_x0000_s1026" o:spid="_x0000_s1026" o:spt="202" type="#_x0000_t202" style="position:absolute;left:0pt;margin-left:269.2pt;margin-top:-2.25pt;height:144pt;width:144pt;mso-position-horizontal-relative:page;mso-wrap-style:none;z-index:251659264;mso-width-relative:page;mso-height-relative:page;" filled="f" stroked="f" coordsize="21600,21600" o:gfxdata="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FxwgtcA&#10;AAAKAQAADwAAAAAAAAABACAAAAAiAAAAZHJzL2Rvd25yZXYueG1sUEsBAhQAFAAAAAgAh07iQDcj&#10;nTauAQAATQMAAA4AAAAAAAAAAQAgAAAAJgEAAGRycy9lMm9Eb2MueG1sUEsFBgAAAAAGAAYAWQEA&#10;AEYFAAAAAA==&#10;">
              <v:fill on="f" focussize="0,0"/>
              <v:stroke on="f"/>
              <v:imagedata o:title=""/>
              <o:lock v:ext="edit" aspectratio="f"/>
              <v:textbox inset="0mm,0mm,0mm,0mm" style="mso-fit-shape-to-text:t;">
                <w:txbxContent>
                  <w:p>
                    <w:pPr>
                      <w:pStyle w:val="13"/>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53</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99312297">
    <w:nsid w:val="41862CA9"/>
    <w:multiLevelType w:val="multilevel"/>
    <w:tmpl w:val="41862CA9"/>
    <w:lvl w:ilvl="0" w:tentative="1">
      <w:start w:val="1"/>
      <w:numFmt w:val="decimal"/>
      <w:suff w:val="space"/>
      <w:lvlText w:val="%1"/>
      <w:lvlJc w:val="left"/>
      <w:pPr>
        <w:ind w:left="0" w:firstLine="0"/>
      </w:pPr>
      <w:rPr>
        <w:rFonts w:hint="eastAsia"/>
        <w:sz w:val="30"/>
        <w:szCs w:val="30"/>
      </w:rPr>
    </w:lvl>
    <w:lvl w:ilvl="1" w:tentative="1">
      <w:start w:val="1"/>
      <w:numFmt w:val="decimal"/>
      <w:pStyle w:val="43"/>
      <w:suff w:val="space"/>
      <w:lvlText w:val="%1.%2"/>
      <w:lvlJc w:val="left"/>
      <w:pPr>
        <w:ind w:left="1560" w:firstLine="0"/>
      </w:pPr>
      <w:rPr>
        <w:rFonts w:hint="default" w:ascii="Arial" w:hAnsi="Arial"/>
      </w:rPr>
    </w:lvl>
    <w:lvl w:ilvl="2" w:tentative="1">
      <w:start w:val="1"/>
      <w:numFmt w:val="decimal"/>
      <w:suff w:val="space"/>
      <w:lvlText w:val="%1.%2.%3"/>
      <w:lvlJc w:val="left"/>
      <w:pPr>
        <w:ind w:left="994" w:hanging="426"/>
      </w:pPr>
      <w:rPr>
        <w:rFonts w:hint="default" w:ascii="Arial" w:hAnsi="Arial"/>
      </w:rPr>
    </w:lvl>
    <w:lvl w:ilvl="3" w:tentative="1">
      <w:start w:val="1"/>
      <w:numFmt w:val="decimal"/>
      <w:suff w:val="nothing"/>
      <w:lvlText w:val="%1.%2.%3.%4"/>
      <w:lvlJc w:val="left"/>
      <w:pPr>
        <w:ind w:left="851" w:hanging="851"/>
      </w:pPr>
      <w:rPr>
        <w:rFonts w:hint="eastAsia" w:ascii="Arial" w:hAnsi="Arial"/>
      </w:rPr>
    </w:lvl>
    <w:lvl w:ilvl="4" w:tentative="1">
      <w:start w:val="1"/>
      <w:numFmt w:val="decimal"/>
      <w:lvlText w:val="%1.%2.%3.%4.%5."/>
      <w:lvlJc w:val="left"/>
      <w:pPr>
        <w:tabs>
          <w:tab w:val="left" w:pos="992"/>
        </w:tabs>
        <w:ind w:left="992" w:hanging="992"/>
      </w:pPr>
      <w:rPr>
        <w:rFonts w:hint="eastAsia"/>
      </w:rPr>
    </w:lvl>
    <w:lvl w:ilvl="5" w:tentative="1">
      <w:start w:val="1"/>
      <w:numFmt w:val="decimal"/>
      <w:lvlText w:val="%1.%2.%3.%4.%5.%6."/>
      <w:lvlJc w:val="left"/>
      <w:pPr>
        <w:tabs>
          <w:tab w:val="left" w:pos="1134"/>
        </w:tabs>
        <w:ind w:left="1134" w:hanging="1134"/>
      </w:pPr>
      <w:rPr>
        <w:rFonts w:hint="eastAsia"/>
      </w:rPr>
    </w:lvl>
    <w:lvl w:ilvl="6" w:tentative="1">
      <w:start w:val="1"/>
      <w:numFmt w:val="decimal"/>
      <w:lvlText w:val="%1.%2.%3.%4.%5.%6.%7."/>
      <w:lvlJc w:val="left"/>
      <w:pPr>
        <w:tabs>
          <w:tab w:val="left" w:pos="1276"/>
        </w:tabs>
        <w:ind w:left="1276" w:hanging="1276"/>
      </w:pPr>
      <w:rPr>
        <w:rFonts w:hint="eastAsia"/>
      </w:rPr>
    </w:lvl>
    <w:lvl w:ilvl="7" w:tentative="1">
      <w:start w:val="1"/>
      <w:numFmt w:val="decimal"/>
      <w:lvlText w:val="%1.%2.%3.%4.%5.%6.%7.%8."/>
      <w:lvlJc w:val="left"/>
      <w:pPr>
        <w:tabs>
          <w:tab w:val="left" w:pos="1418"/>
        </w:tabs>
        <w:ind w:left="1418" w:hanging="1418"/>
      </w:pPr>
      <w:rPr>
        <w:rFonts w:hint="eastAsia"/>
      </w:rPr>
    </w:lvl>
    <w:lvl w:ilvl="8" w:tentative="1">
      <w:start w:val="1"/>
      <w:numFmt w:val="decimal"/>
      <w:lvlText w:val="%1.%2.%3.%4.%5.%6.%7.%8.%9."/>
      <w:lvlJc w:val="left"/>
      <w:pPr>
        <w:tabs>
          <w:tab w:val="left" w:pos="1559"/>
        </w:tabs>
        <w:ind w:left="1559" w:hanging="1559"/>
      </w:pPr>
      <w:rPr>
        <w:rFonts w:hint="eastAsia"/>
      </w:rPr>
    </w:lvl>
  </w:abstractNum>
  <w:abstractNum w:abstractNumId="1730331428">
    <w:nsid w:val="6722C324"/>
    <w:multiLevelType w:val="singleLevel"/>
    <w:tmpl w:val="6722C324"/>
    <w:lvl w:ilvl="0" w:tentative="1">
      <w:start w:val="1"/>
      <w:numFmt w:val="decimal"/>
      <w:suff w:val="nothing"/>
      <w:lvlText w:val="%1、"/>
      <w:lvlJc w:val="left"/>
    </w:lvl>
  </w:abstractNum>
  <w:abstractNum w:abstractNumId="2371569072">
    <w:nsid w:val="8D5B45B0"/>
    <w:multiLevelType w:val="singleLevel"/>
    <w:tmpl w:val="8D5B45B0"/>
    <w:lvl w:ilvl="0" w:tentative="1">
      <w:start w:val="1"/>
      <w:numFmt w:val="decimal"/>
      <w:suff w:val="nothing"/>
      <w:lvlText w:val="（%1）"/>
      <w:lvlJc w:val="left"/>
    </w:lvl>
  </w:abstractNum>
  <w:abstractNum w:abstractNumId="1703214112">
    <w:nsid w:val="6584FC20"/>
    <w:multiLevelType w:val="singleLevel"/>
    <w:tmpl w:val="6584FC20"/>
    <w:lvl w:ilvl="0" w:tentative="1">
      <w:start w:val="1"/>
      <w:numFmt w:val="decimal"/>
      <w:suff w:val="nothing"/>
      <w:lvlText w:val="（%1）"/>
      <w:lvlJc w:val="left"/>
    </w:lvl>
  </w:abstractNum>
  <w:abstractNum w:abstractNumId="4090684605">
    <w:nsid w:val="F3D2E4BD"/>
    <w:multiLevelType w:val="singleLevel"/>
    <w:tmpl w:val="F3D2E4BD"/>
    <w:lvl w:ilvl="0" w:tentative="1">
      <w:start w:val="1"/>
      <w:numFmt w:val="decimal"/>
      <w:suff w:val="nothing"/>
      <w:lvlText w:val="（%1）"/>
      <w:lvlJc w:val="left"/>
    </w:lvl>
  </w:abstractNum>
  <w:abstractNum w:abstractNumId="12642675">
    <w:nsid w:val="00C0E973"/>
    <w:multiLevelType w:val="singleLevel"/>
    <w:tmpl w:val="00C0E973"/>
    <w:lvl w:ilvl="0" w:tentative="1">
      <w:start w:val="2"/>
      <w:numFmt w:val="upperLetter"/>
      <w:suff w:val="nothing"/>
      <w:lvlText w:val="%1、"/>
      <w:lvlJc w:val="left"/>
    </w:lvl>
  </w:abstractNum>
  <w:abstractNum w:abstractNumId="3842801765">
    <w:nsid w:val="E50C8065"/>
    <w:multiLevelType w:val="singleLevel"/>
    <w:tmpl w:val="E50C8065"/>
    <w:lvl w:ilvl="0" w:tentative="1">
      <w:start w:val="1"/>
      <w:numFmt w:val="decimal"/>
      <w:suff w:val="nothing"/>
      <w:lvlText w:val="（%1）"/>
      <w:lvlJc w:val="left"/>
    </w:lvl>
  </w:abstractNum>
  <w:abstractNum w:abstractNumId="1954588766">
    <w:nsid w:val="7480A85E"/>
    <w:multiLevelType w:val="singleLevel"/>
    <w:tmpl w:val="7480A85E"/>
    <w:lvl w:ilvl="0" w:tentative="1">
      <w:start w:val="1"/>
      <w:numFmt w:val="chineseCounting"/>
      <w:suff w:val="nothing"/>
      <w:lvlText w:val="%1、"/>
      <w:lvlJc w:val="left"/>
      <w:rPr>
        <w:rFonts w:hint="eastAsia"/>
      </w:rPr>
    </w:lvl>
  </w:abstractNum>
  <w:abstractNum w:abstractNumId="3284971782">
    <w:nsid w:val="C3CCB106"/>
    <w:multiLevelType w:val="singleLevel"/>
    <w:tmpl w:val="C3CCB106"/>
    <w:lvl w:ilvl="0" w:tentative="1">
      <w:start w:val="7"/>
      <w:numFmt w:val="decimal"/>
      <w:suff w:val="nothing"/>
      <w:lvlText w:val="%1、"/>
      <w:lvlJc w:val="left"/>
    </w:lvl>
  </w:abstractNum>
  <w:abstractNum w:abstractNumId="2833689195">
    <w:nsid w:val="A8E6AA6B"/>
    <w:multiLevelType w:val="singleLevel"/>
    <w:tmpl w:val="A8E6AA6B"/>
    <w:lvl w:ilvl="0" w:tentative="1">
      <w:start w:val="1"/>
      <w:numFmt w:val="decimal"/>
      <w:suff w:val="nothing"/>
      <w:lvlText w:val="（%1）"/>
      <w:lvlJc w:val="left"/>
    </w:lvl>
  </w:abstractNum>
  <w:num w:numId="1">
    <w:abstractNumId w:val="1099312297"/>
  </w:num>
  <w:num w:numId="2">
    <w:abstractNumId w:val="2833689195"/>
  </w:num>
  <w:num w:numId="3">
    <w:abstractNumId w:val="3284971782"/>
  </w:num>
  <w:num w:numId="4">
    <w:abstractNumId w:val="1954588766"/>
  </w:num>
  <w:num w:numId="5">
    <w:abstractNumId w:val="1730331428"/>
  </w:num>
  <w:num w:numId="6">
    <w:abstractNumId w:val="12642675"/>
  </w:num>
  <w:num w:numId="7">
    <w:abstractNumId w:val="3842801765"/>
  </w:num>
  <w:num w:numId="8">
    <w:abstractNumId w:val="1703214112"/>
  </w:num>
  <w:num w:numId="9">
    <w:abstractNumId w:val="4090684605"/>
  </w:num>
  <w:num w:numId="10">
    <w:abstractNumId w:val="23715690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7586"/>
    <w:rsid w:val="01401F5A"/>
    <w:rsid w:val="01B34A6A"/>
    <w:rsid w:val="02171028"/>
    <w:rsid w:val="045E77C5"/>
    <w:rsid w:val="04667B52"/>
    <w:rsid w:val="06B34F7C"/>
    <w:rsid w:val="06E25862"/>
    <w:rsid w:val="078A03D3"/>
    <w:rsid w:val="07921036"/>
    <w:rsid w:val="080D18B7"/>
    <w:rsid w:val="08B82D1E"/>
    <w:rsid w:val="0ADA51CD"/>
    <w:rsid w:val="0B4942B0"/>
    <w:rsid w:val="0DBA7538"/>
    <w:rsid w:val="0F423341"/>
    <w:rsid w:val="108D20E9"/>
    <w:rsid w:val="10DB1CAF"/>
    <w:rsid w:val="14B7657F"/>
    <w:rsid w:val="14F52C04"/>
    <w:rsid w:val="1534372C"/>
    <w:rsid w:val="15D1525F"/>
    <w:rsid w:val="19B7492C"/>
    <w:rsid w:val="1C8A66C6"/>
    <w:rsid w:val="1CF554E4"/>
    <w:rsid w:val="1D306ECF"/>
    <w:rsid w:val="1DC11182"/>
    <w:rsid w:val="1E202492"/>
    <w:rsid w:val="21020B82"/>
    <w:rsid w:val="21110DC5"/>
    <w:rsid w:val="21222FD3"/>
    <w:rsid w:val="237E2FD4"/>
    <w:rsid w:val="25B14925"/>
    <w:rsid w:val="25E62821"/>
    <w:rsid w:val="26F86CAF"/>
    <w:rsid w:val="271902F9"/>
    <w:rsid w:val="28664026"/>
    <w:rsid w:val="28B73E93"/>
    <w:rsid w:val="2C9A503F"/>
    <w:rsid w:val="2EC55B60"/>
    <w:rsid w:val="2F984B68"/>
    <w:rsid w:val="30670A02"/>
    <w:rsid w:val="31E77CF6"/>
    <w:rsid w:val="31F44517"/>
    <w:rsid w:val="32296FE2"/>
    <w:rsid w:val="33F6144D"/>
    <w:rsid w:val="35504114"/>
    <w:rsid w:val="35775243"/>
    <w:rsid w:val="359A37AB"/>
    <w:rsid w:val="376F3967"/>
    <w:rsid w:val="388E474A"/>
    <w:rsid w:val="3BC95F76"/>
    <w:rsid w:val="3C58089F"/>
    <w:rsid w:val="3CA1704A"/>
    <w:rsid w:val="3CD967E3"/>
    <w:rsid w:val="3CDC4526"/>
    <w:rsid w:val="3DC026B4"/>
    <w:rsid w:val="3F1955BD"/>
    <w:rsid w:val="3FF11314"/>
    <w:rsid w:val="40521AD4"/>
    <w:rsid w:val="40B27A77"/>
    <w:rsid w:val="41634D42"/>
    <w:rsid w:val="41B4781F"/>
    <w:rsid w:val="41F145CF"/>
    <w:rsid w:val="42D27F5D"/>
    <w:rsid w:val="434D3A87"/>
    <w:rsid w:val="44760DBC"/>
    <w:rsid w:val="45611A6C"/>
    <w:rsid w:val="46DD199C"/>
    <w:rsid w:val="481C3611"/>
    <w:rsid w:val="48E22EC4"/>
    <w:rsid w:val="4C8D1398"/>
    <w:rsid w:val="4D587BF8"/>
    <w:rsid w:val="50A6606A"/>
    <w:rsid w:val="50E24F84"/>
    <w:rsid w:val="52650DED"/>
    <w:rsid w:val="52FB266F"/>
    <w:rsid w:val="53424C8B"/>
    <w:rsid w:val="54EB07F2"/>
    <w:rsid w:val="564B3174"/>
    <w:rsid w:val="57EF3B87"/>
    <w:rsid w:val="59A16DF5"/>
    <w:rsid w:val="59C75EEA"/>
    <w:rsid w:val="59DB7EFC"/>
    <w:rsid w:val="5A053E9D"/>
    <w:rsid w:val="5AFF37A1"/>
    <w:rsid w:val="5B9067AF"/>
    <w:rsid w:val="5D6677C8"/>
    <w:rsid w:val="5DF9063C"/>
    <w:rsid w:val="5FE61094"/>
    <w:rsid w:val="60315ADA"/>
    <w:rsid w:val="60B66CB8"/>
    <w:rsid w:val="6175733E"/>
    <w:rsid w:val="630602B6"/>
    <w:rsid w:val="636C0562"/>
    <w:rsid w:val="645B696A"/>
    <w:rsid w:val="64CE0EDE"/>
    <w:rsid w:val="65442AE4"/>
    <w:rsid w:val="659B4E8A"/>
    <w:rsid w:val="665B4BDE"/>
    <w:rsid w:val="68127FCE"/>
    <w:rsid w:val="6844104D"/>
    <w:rsid w:val="68A815DC"/>
    <w:rsid w:val="69214F10"/>
    <w:rsid w:val="697F058F"/>
    <w:rsid w:val="6A575068"/>
    <w:rsid w:val="6F4C4E73"/>
    <w:rsid w:val="70313297"/>
    <w:rsid w:val="70875F7B"/>
    <w:rsid w:val="7114565F"/>
    <w:rsid w:val="72D817E1"/>
    <w:rsid w:val="72E54E0C"/>
    <w:rsid w:val="74196B18"/>
    <w:rsid w:val="74B135C7"/>
    <w:rsid w:val="76A26BA2"/>
    <w:rsid w:val="76C24E9F"/>
    <w:rsid w:val="76D65A20"/>
    <w:rsid w:val="77436BAC"/>
    <w:rsid w:val="78E26538"/>
    <w:rsid w:val="79075C8C"/>
    <w:rsid w:val="79116D2A"/>
    <w:rsid w:val="79377D0E"/>
    <w:rsid w:val="79876FEC"/>
    <w:rsid w:val="7C1D1542"/>
    <w:rsid w:val="7CA26617"/>
    <w:rsid w:val="7CA37C99"/>
    <w:rsid w:val="7CAC30B2"/>
    <w:rsid w:val="7CEA3B1A"/>
    <w:rsid w:val="7D3948D1"/>
    <w:rsid w:val="7E6609F7"/>
    <w:rsid w:val="7E885398"/>
    <w:rsid w:val="7FAD6012"/>
    <w:rsid w:val="7FFA22C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99"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tabs>
        <w:tab w:val="left" w:pos="576"/>
        <w:tab w:val="left" w:pos="720"/>
        <w:tab w:val="left" w:pos="888"/>
      </w:tabs>
      <w:spacing w:before="120" w:after="120" w:line="360" w:lineRule="auto"/>
      <w:ind w:left="576" w:hanging="576"/>
      <w:jc w:val="left"/>
      <w:outlineLvl w:val="1"/>
    </w:pPr>
    <w:rPr>
      <w:b/>
      <w:bCs/>
      <w:sz w:val="30"/>
      <w:szCs w:val="30"/>
    </w:rPr>
  </w:style>
  <w:style w:type="paragraph" w:styleId="3">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0">
    <w:name w:val="Default Paragraph Font"/>
    <w:semiHidden/>
    <w:qFormat/>
    <w:uiPriority w:val="0"/>
  </w:style>
  <w:style w:type="table" w:default="1" w:styleId="24">
    <w:name w:val="Normal Table"/>
    <w:semiHidden/>
    <w:qFormat/>
    <w:uiPriority w:val="0"/>
    <w:tblPr>
      <w:tblLayout w:type="fixed"/>
      <w:tblCellMar>
        <w:top w:w="0" w:type="dxa"/>
        <w:left w:w="108" w:type="dxa"/>
        <w:bottom w:w="0" w:type="dxa"/>
        <w:right w:w="108" w:type="dxa"/>
      </w:tblCellMar>
    </w:tblPr>
  </w:style>
  <w:style w:type="paragraph" w:styleId="4">
    <w:name w:val="List 3"/>
    <w:basedOn w:val="1"/>
    <w:qFormat/>
    <w:uiPriority w:val="0"/>
    <w:pPr>
      <w:adjustRightInd/>
      <w:spacing w:line="240" w:lineRule="auto"/>
      <w:ind w:left="0" w:leftChars="0" w:firstLine="0" w:firstLineChars="0"/>
      <w:textAlignment w:val="auto"/>
    </w:pPr>
    <w:rPr>
      <w:sz w:val="21"/>
    </w:rPr>
  </w:style>
  <w:style w:type="paragraph" w:styleId="5">
    <w:name w:val="Body Text First Indent"/>
    <w:basedOn w:val="6"/>
    <w:next w:val="1"/>
    <w:qFormat/>
    <w:uiPriority w:val="0"/>
    <w:pPr>
      <w:ind w:firstLine="420" w:firstLineChars="100"/>
    </w:pPr>
  </w:style>
  <w:style w:type="paragraph" w:styleId="6">
    <w:name w:val="Body Text"/>
    <w:basedOn w:val="1"/>
    <w:next w:val="1"/>
    <w:qFormat/>
    <w:uiPriority w:val="0"/>
    <w:pPr>
      <w:widowControl/>
      <w:snapToGrid w:val="0"/>
      <w:spacing w:before="60" w:after="160" w:line="259" w:lineRule="auto"/>
      <w:ind w:right="113"/>
    </w:pPr>
    <w:rPr>
      <w:kern w:val="0"/>
      <w:sz w:val="18"/>
      <w:szCs w:val="20"/>
    </w:rPr>
  </w:style>
  <w:style w:type="paragraph" w:styleId="7">
    <w:name w:val="Normal Indent"/>
    <w:basedOn w:val="1"/>
    <w:next w:val="1"/>
    <w:qFormat/>
    <w:uiPriority w:val="0"/>
    <w:pPr>
      <w:ind w:firstLine="420"/>
    </w:pPr>
  </w:style>
  <w:style w:type="paragraph" w:styleId="8">
    <w:name w:val="annotation text"/>
    <w:basedOn w:val="1"/>
    <w:semiHidden/>
    <w:qFormat/>
    <w:uiPriority w:val="0"/>
    <w:pPr>
      <w:jc w:val="left"/>
    </w:pPr>
    <w:rPr>
      <w:kern w:val="0"/>
      <w:sz w:val="24"/>
      <w:szCs w:val="20"/>
    </w:rPr>
  </w:style>
  <w:style w:type="paragraph" w:styleId="9">
    <w:name w:val="Body Text Indent"/>
    <w:basedOn w:val="1"/>
    <w:next w:val="10"/>
    <w:qFormat/>
    <w:uiPriority w:val="0"/>
    <w:pPr>
      <w:spacing w:after="120"/>
      <w:ind w:left="420" w:leftChars="200"/>
    </w:pPr>
    <w:rPr>
      <w:kern w:val="0"/>
      <w:sz w:val="24"/>
      <w:szCs w:val="20"/>
    </w:rPr>
  </w:style>
  <w:style w:type="paragraph" w:styleId="10">
    <w:name w:val="Body Text Indent 2"/>
    <w:basedOn w:val="1"/>
    <w:next w:val="11"/>
    <w:qFormat/>
    <w:uiPriority w:val="0"/>
    <w:pPr>
      <w:spacing w:after="120" w:line="480" w:lineRule="auto"/>
      <w:ind w:left="420" w:leftChars="200"/>
    </w:pPr>
    <w:rPr>
      <w:rFonts w:ascii="Calibri" w:hAnsi="Calibri" w:eastAsia="宋体"/>
      <w:bCs/>
      <w:kern w:val="2"/>
      <w:sz w:val="21"/>
      <w:szCs w:val="24"/>
    </w:rPr>
  </w:style>
  <w:style w:type="paragraph" w:styleId="11">
    <w:name w:val="Body Text First Indent 2"/>
    <w:basedOn w:val="9"/>
    <w:next w:val="1"/>
    <w:qFormat/>
    <w:uiPriority w:val="0"/>
    <w:pPr>
      <w:spacing w:line="360" w:lineRule="auto"/>
      <w:ind w:firstLine="420" w:firstLineChars="200"/>
      <w:jc w:val="left"/>
    </w:pPr>
    <w:rPr>
      <w:rFonts w:hAnsi="Times New Roman" w:eastAsia="宋体"/>
      <w:kern w:val="2"/>
      <w:szCs w:val="24"/>
    </w:rPr>
  </w:style>
  <w:style w:type="paragraph" w:styleId="12">
    <w:name w:val="Block Text"/>
    <w:basedOn w:val="1"/>
    <w:unhideWhenUsed/>
    <w:qFormat/>
    <w:uiPriority w:val="0"/>
    <w:pPr>
      <w:spacing w:after="120" w:afterLines="0"/>
      <w:ind w:left="1440" w:leftChars="700" w:right="1440" w:rightChars="700"/>
    </w:p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index heading"/>
    <w:basedOn w:val="1"/>
    <w:next w:val="15"/>
    <w:semiHidden/>
    <w:qFormat/>
    <w:uiPriority w:val="0"/>
    <w:rPr>
      <w:rFonts w:ascii="Arial" w:hAnsi="Arial" w:cs="Arial"/>
      <w:b/>
      <w:bCs/>
    </w:rPr>
  </w:style>
  <w:style w:type="paragraph" w:styleId="15">
    <w:name w:val="index 1"/>
    <w:basedOn w:val="1"/>
    <w:next w:val="1"/>
    <w:qFormat/>
    <w:uiPriority w:val="0"/>
    <w:pPr>
      <w:tabs>
        <w:tab w:val="left" w:pos="932"/>
        <w:tab w:val="center" w:pos="4535"/>
      </w:tabs>
      <w:spacing w:line="400" w:lineRule="exact"/>
      <w:jc w:val="center"/>
    </w:pPr>
    <w:rPr>
      <w:rFonts w:ascii="宋体" w:hAnsi="宋体"/>
      <w:bCs/>
      <w:sz w:val="24"/>
    </w:rPr>
  </w:style>
  <w:style w:type="paragraph" w:styleId="16">
    <w:name w:val="List"/>
    <w:basedOn w:val="1"/>
    <w:qFormat/>
    <w:uiPriority w:val="99"/>
    <w:pPr>
      <w:widowControl/>
      <w:tabs>
        <w:tab w:val="center" w:pos="426"/>
      </w:tabs>
      <w:autoSpaceDE w:val="0"/>
      <w:autoSpaceDN w:val="0"/>
      <w:adjustRightInd w:val="0"/>
      <w:snapToGrid w:val="0"/>
      <w:jc w:val="center"/>
    </w:pPr>
    <w:rPr>
      <w:rFonts w:ascii="Times New Roman" w:hAnsi="Times New Roman" w:eastAsia="宋体" w:cs="Times New Roman"/>
      <w:bCs/>
      <w:kern w:val="0"/>
      <w:sz w:val="28"/>
      <w:szCs w:val="20"/>
    </w:rPr>
  </w:style>
  <w:style w:type="paragraph" w:styleId="17">
    <w:name w:val="toc 9"/>
    <w:basedOn w:val="1"/>
    <w:next w:val="1"/>
    <w:qFormat/>
    <w:uiPriority w:val="0"/>
    <w:pPr>
      <w:wordWrap w:val="0"/>
      <w:spacing w:line="240" w:lineRule="auto"/>
      <w:ind w:left="2975"/>
    </w:pPr>
    <w:rPr>
      <w:rFonts w:cs="Times New Roman"/>
      <w:sz w:val="21"/>
      <w:szCs w:val="22"/>
    </w:rPr>
  </w:style>
  <w:style w:type="paragraph" w:styleId="18">
    <w:name w:val="Body Text 2"/>
    <w:basedOn w:val="1"/>
    <w:qFormat/>
    <w:uiPriority w:val="0"/>
    <w:pPr>
      <w:spacing w:line="420" w:lineRule="exact"/>
    </w:pPr>
    <w:rPr>
      <w:sz w:val="28"/>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character" w:styleId="21">
    <w:name w:val="Strong"/>
    <w:qFormat/>
    <w:uiPriority w:val="0"/>
    <w:rPr>
      <w:b/>
      <w:bCs/>
    </w:rPr>
  </w:style>
  <w:style w:type="character" w:styleId="22">
    <w:name w:val="page number"/>
    <w:qFormat/>
    <w:uiPriority w:val="0"/>
  </w:style>
  <w:style w:type="character" w:styleId="23">
    <w:name w:val="annotation reference"/>
    <w:semiHidden/>
    <w:qFormat/>
    <w:uiPriority w:val="0"/>
    <w:rPr>
      <w:sz w:val="21"/>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Default"/>
    <w:basedOn w:val="27"/>
    <w:qFormat/>
    <w:uiPriority w:val="0"/>
    <w:pPr>
      <w:widowControl w:val="0"/>
      <w:tabs>
        <w:tab w:val="left" w:pos="576"/>
        <w:tab w:val="left" w:pos="720"/>
        <w:tab w:val="left" w:pos="888"/>
      </w:tabs>
      <w:autoSpaceDE w:val="0"/>
      <w:autoSpaceDN w:val="0"/>
      <w:adjustRightInd w:val="0"/>
    </w:pPr>
    <w:rPr>
      <w:rFonts w:ascii="Calibri" w:hAnsi="Calibri"/>
      <w:color w:val="000000"/>
      <w:sz w:val="24"/>
      <w:szCs w:val="24"/>
      <w:lang w:val="en-US" w:eastAsia="zh-CN" w:bidi="ar-SA"/>
    </w:rPr>
  </w:style>
  <w:style w:type="paragraph" w:customStyle="1" w:styleId="27">
    <w:name w:val="纯文本1"/>
    <w:basedOn w:val="1"/>
    <w:qFormat/>
    <w:uiPriority w:val="99"/>
    <w:pPr>
      <w:adjustRightInd w:val="0"/>
    </w:pPr>
    <w:rPr>
      <w:rFonts w:hAnsi="Courier New"/>
    </w:rPr>
  </w:style>
  <w:style w:type="paragraph" w:customStyle="1" w:styleId="28">
    <w:name w:val="样式小4"/>
    <w:basedOn w:val="1"/>
    <w:qFormat/>
    <w:uiPriority w:val="0"/>
    <w:pPr>
      <w:spacing w:afterLines="0" w:line="360" w:lineRule="auto"/>
      <w:ind w:firstLine="480" w:firstLineChars="200"/>
    </w:pPr>
    <w:rPr>
      <w:rFonts w:hint="default" w:ascii="Times New Roman" w:hAnsi="Times New Roman" w:eastAsia="宋体" w:cs="Times New Roman"/>
      <w:sz w:val="24"/>
    </w:rPr>
  </w:style>
  <w:style w:type="character" w:customStyle="1" w:styleId="29">
    <w:name w:val="fontstyle01"/>
    <w:basedOn w:val="20"/>
    <w:qFormat/>
    <w:uiPriority w:val="0"/>
    <w:rPr>
      <w:rFonts w:hint="eastAsia" w:ascii="宋体" w:hAnsi="宋体" w:eastAsia="宋体"/>
      <w:color w:val="000000"/>
      <w:szCs w:val="24"/>
    </w:rPr>
  </w:style>
  <w:style w:type="character" w:customStyle="1" w:styleId="30">
    <w:name w:val="fontstyle11"/>
    <w:basedOn w:val="20"/>
    <w:qFormat/>
    <w:uiPriority w:val="0"/>
    <w:rPr>
      <w:rFonts w:hint="default" w:ascii="TimesNewRomanPS-BoldMT" w:hAnsi="TimesNewRomanPS-BoldMT"/>
      <w:b/>
      <w:bCs/>
      <w:color w:val="000000"/>
      <w:szCs w:val="24"/>
    </w:rPr>
  </w:style>
  <w:style w:type="paragraph" w:customStyle="1" w:styleId="31">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paragraph" w:customStyle="1" w:styleId="32">
    <w:name w:val="样式35"/>
    <w:basedOn w:val="1"/>
    <w:qFormat/>
    <w:uiPriority w:val="0"/>
    <w:pPr>
      <w:adjustRightInd w:val="0"/>
      <w:spacing w:line="312" w:lineRule="auto"/>
      <w:ind w:firstLine="567"/>
    </w:pPr>
    <w:rPr>
      <w:rFonts w:ascii="宋体"/>
      <w:kern w:val="0"/>
      <w:sz w:val="28"/>
      <w:szCs w:val="20"/>
    </w:rPr>
  </w:style>
  <w:style w:type="paragraph" w:customStyle="1" w:styleId="33">
    <w:name w:val="Normal_144"/>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34">
    <w:name w:val="正本文字"/>
    <w:basedOn w:val="1"/>
    <w:qFormat/>
    <w:uiPriority w:val="0"/>
    <w:pPr>
      <w:adjustRightInd w:val="0"/>
      <w:snapToGrid w:val="0"/>
      <w:spacing w:line="360" w:lineRule="auto"/>
      <w:ind w:firstLine="480" w:firstLineChars="200"/>
      <w:jc w:val="left"/>
    </w:pPr>
    <w:rPr>
      <w:rFonts w:ascii="宋体" w:hAnsi="宋体"/>
      <w:kern w:val="18"/>
      <w:sz w:val="24"/>
      <w:szCs w:val="20"/>
    </w:rPr>
  </w:style>
  <w:style w:type="paragraph" w:customStyle="1" w:styleId="35">
    <w:name w:val="xl24"/>
    <w:basedOn w:val="1"/>
    <w:qFormat/>
    <w:uiPriority w:val="0"/>
    <w:pPr>
      <w:widowControl/>
      <w:pBdr>
        <w:left w:val="single" w:color="auto" w:sz="4" w:space="0"/>
        <w:bottom w:val="single" w:color="auto" w:sz="4" w:space="0"/>
        <w:right w:val="single" w:color="auto" w:sz="4" w:space="0"/>
      </w:pBdr>
      <w:spacing w:before="100" w:beforeLines="0" w:after="100" w:afterLines="0"/>
      <w:jc w:val="center"/>
      <w:textAlignment w:val="center"/>
    </w:pPr>
    <w:rPr>
      <w:rFonts w:ascii="宋体" w:hAnsi="宋体"/>
      <w:kern w:val="0"/>
      <w:sz w:val="24"/>
      <w:szCs w:val="24"/>
    </w:rPr>
  </w:style>
  <w:style w:type="paragraph" w:customStyle="1" w:styleId="36">
    <w:name w:val="Default1"/>
    <w:basedOn w:val="37"/>
    <w:next w:val="1"/>
    <w:qFormat/>
    <w:uiPriority w:val="0"/>
    <w:pPr>
      <w:widowControl w:val="0"/>
      <w:autoSpaceDE w:val="0"/>
      <w:autoSpaceDN w:val="0"/>
      <w:adjustRightInd w:val="0"/>
      <w:spacing w:line="360" w:lineRule="auto"/>
      <w:ind w:firstLine="720" w:firstLineChars="200"/>
      <w:jc w:val="left"/>
    </w:pPr>
    <w:rPr>
      <w:rFonts w:ascii="Times New Roman" w:hAnsi="Times New Roman" w:eastAsia="宋体" w:cs="宋体"/>
      <w:bCs/>
      <w:color w:val="000000"/>
      <w:sz w:val="24"/>
      <w:szCs w:val="21"/>
      <w:lang w:val="en-US" w:eastAsia="zh-CN" w:bidi="ar-SA"/>
    </w:rPr>
  </w:style>
  <w:style w:type="paragraph" w:customStyle="1" w:styleId="37">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38">
    <w:name w:val="reader-word-layer reader-word-s46-2"/>
    <w:basedOn w:val="1"/>
    <w:next w:val="39"/>
    <w:qFormat/>
    <w:uiPriority w:val="0"/>
    <w:pPr>
      <w:widowControl/>
      <w:spacing w:before="280" w:after="280" w:line="240" w:lineRule="auto"/>
      <w:jc w:val="both"/>
    </w:pPr>
    <w:rPr>
      <w:rFonts w:ascii="宋体"/>
      <w:sz w:val="24"/>
    </w:rPr>
  </w:style>
  <w:style w:type="paragraph" w:customStyle="1" w:styleId="39">
    <w:name w:val="xl35"/>
    <w:basedOn w:val="1"/>
    <w:next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jc w:val="right"/>
    </w:pPr>
    <w:rPr>
      <w:rFonts w:ascii="宋体" w:hAnsi="宋体" w:cs="宋体"/>
      <w:kern w:val="0"/>
      <w:sz w:val="24"/>
    </w:rPr>
  </w:style>
  <w:style w:type="paragraph" w:customStyle="1" w:styleId="40">
    <w:name w:val="环评正文"/>
    <w:basedOn w:val="1"/>
    <w:qFormat/>
    <w:uiPriority w:val="0"/>
    <w:pPr>
      <w:spacing w:beforeLines="30"/>
      <w:ind w:firstLine="480" w:firstLineChars="200"/>
    </w:pPr>
    <w:rPr>
      <w:rFonts w:ascii="Tahoma" w:hAnsi="Tahoma" w:cs="Tahoma"/>
      <w:kern w:val="0"/>
      <w:sz w:val="24"/>
    </w:rPr>
  </w:style>
  <w:style w:type="paragraph" w:customStyle="1" w:styleId="41">
    <w:name w:val="文本"/>
    <w:basedOn w:val="7"/>
    <w:next w:val="1"/>
    <w:qFormat/>
    <w:uiPriority w:val="0"/>
    <w:pPr>
      <w:autoSpaceDE w:val="0"/>
      <w:autoSpaceDN w:val="0"/>
      <w:ind w:firstLine="480"/>
    </w:pPr>
    <w:rPr>
      <w:rFonts w:cs="Times New Roman"/>
      <w:szCs w:val="24"/>
      <w:lang w:val="zh-CN"/>
    </w:rPr>
  </w:style>
  <w:style w:type="paragraph" w:customStyle="1" w:styleId="42">
    <w:name w:val="样式1"/>
    <w:basedOn w:val="14"/>
    <w:next w:val="12"/>
    <w:qFormat/>
    <w:uiPriority w:val="0"/>
    <w:pPr>
      <w:adjustRightInd w:val="0"/>
      <w:snapToGrid w:val="0"/>
      <w:ind w:firstLine="960" w:firstLineChars="200"/>
    </w:pPr>
    <w:rPr>
      <w:rFonts w:ascii="Arial" w:hAnsi="Arial" w:cs="Arial"/>
      <w:color w:val="006600"/>
    </w:rPr>
  </w:style>
  <w:style w:type="paragraph" w:customStyle="1" w:styleId="43">
    <w:name w:val="标题2"/>
    <w:basedOn w:val="2"/>
    <w:next w:val="1"/>
    <w:qFormat/>
    <w:uiPriority w:val="0"/>
    <w:pPr>
      <w:numPr>
        <w:ilvl w:val="1"/>
        <w:numId w:val="1"/>
      </w:numPr>
      <w:spacing w:before="0" w:after="0" w:line="440" w:lineRule="exact"/>
    </w:pPr>
    <w:rPr>
      <w:kern w:val="0"/>
      <w:sz w:val="28"/>
    </w:rPr>
  </w:style>
  <w:style w:type="paragraph" w:customStyle="1" w:styleId="44">
    <w:name w:val="11正文"/>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45">
    <w:name w:val="1正文"/>
    <w:basedOn w:val="1"/>
    <w:qFormat/>
    <w:uiPriority w:val="0"/>
    <w:pPr>
      <w:spacing w:line="360" w:lineRule="auto"/>
      <w:ind w:firstLine="200" w:firstLineChars="200"/>
    </w:pPr>
    <w:rPr>
      <w:rFonts w:ascii="Calibri" w:hAnsi="Calibri"/>
      <w:sz w:val="24"/>
      <w:szCs w:val="22"/>
    </w:rPr>
  </w:style>
  <w:style w:type="paragraph" w:customStyle="1" w:styleId="46">
    <w:name w:val="Table Paragraph"/>
    <w:basedOn w:val="1"/>
    <w:qFormat/>
    <w:uiPriority w:val="1"/>
    <w:rPr>
      <w:rFonts w:ascii="宋体" w:hAnsi="宋体" w:eastAsia="宋体" w:cs="宋体"/>
    </w:rPr>
  </w:style>
  <w:style w:type="paragraph" w:customStyle="1" w:styleId="47">
    <w:name w:val="表格"/>
    <w:basedOn w:val="16"/>
    <w:next w:val="1"/>
    <w:qFormat/>
    <w:uiPriority w:val="0"/>
    <w:pPr>
      <w:adjustRightInd w:val="0"/>
      <w:snapToGrid w:val="0"/>
      <w:spacing w:beforeLines="10" w:afterLines="10" w:line="259" w:lineRule="auto"/>
      <w:jc w:val="center"/>
    </w:pPr>
    <w:rPr>
      <w:rFonts w:ascii="宋体"/>
      <w:kern w:val="0"/>
      <w:szCs w:val="20"/>
    </w:rPr>
  </w:style>
  <w:style w:type="paragraph" w:customStyle="1" w:styleId="48">
    <w:name w:val="报告表正文"/>
    <w:basedOn w:val="1"/>
    <w:qFormat/>
    <w:uiPriority w:val="99"/>
    <w:pPr>
      <w:spacing w:line="360" w:lineRule="auto"/>
      <w:ind w:firstLine="200"/>
    </w:pPr>
    <w:rPr>
      <w:szCs w:val="20"/>
      <w:lang w:val="zh-CN"/>
    </w:rPr>
  </w:style>
  <w:style w:type="character" w:customStyle="1" w:styleId="49">
    <w:name w:val="font11"/>
    <w:basedOn w:val="20"/>
    <w:qFormat/>
    <w:uiPriority w:val="0"/>
    <w:rPr>
      <w:rFonts w:hint="eastAsia" w:ascii="宋体" w:hAnsi="宋体" w:eastAsia="宋体" w:cs="宋体"/>
      <w:color w:val="000000"/>
      <w:sz w:val="21"/>
      <w:szCs w:val="21"/>
      <w:u w:val="none"/>
    </w:rPr>
  </w:style>
  <w:style w:type="character" w:customStyle="1" w:styleId="50">
    <w:name w:val="font21"/>
    <w:basedOn w:val="20"/>
    <w:qFormat/>
    <w:uiPriority w:val="0"/>
    <w:rPr>
      <w:rFonts w:hint="default" w:ascii="Times New Roman" w:hAnsi="Times New Roman" w:cs="Times New Roman"/>
      <w:color w:val="000000"/>
      <w:sz w:val="21"/>
      <w:szCs w:val="21"/>
      <w:u w:val="none"/>
    </w:rPr>
  </w:style>
  <w:style w:type="paragraph" w:customStyle="1" w:styleId="51">
    <w:name w:val="Table Text"/>
    <w:basedOn w:val="1"/>
    <w:semiHidden/>
    <w:qFormat/>
    <w:uiPriority w:val="0"/>
    <w:rPr>
      <w:rFonts w:ascii="宋体" w:hAnsi="宋体" w:eastAsia="宋体" w:cs="宋体"/>
      <w:sz w:val="20"/>
      <w:szCs w:val="20"/>
      <w:lang w:val="en-US" w:eastAsia="en-US" w:bidi="ar-SA"/>
    </w:rPr>
  </w:style>
  <w:style w:type="paragraph" w:customStyle="1" w:styleId="52">
    <w:name w:val="表格正文"/>
    <w:basedOn w:val="7"/>
    <w:qFormat/>
    <w:uiPriority w:val="0"/>
    <w:pPr>
      <w:widowControl/>
      <w:spacing w:line="360" w:lineRule="exact"/>
      <w:ind w:firstLine="0" w:firstLineChars="0"/>
      <w:jc w:val="center"/>
    </w:pPr>
    <w:rPr>
      <w:sz w:val="21"/>
    </w:rPr>
  </w:style>
  <w:style w:type="character" w:customStyle="1" w:styleId="53">
    <w:name w:val="font41"/>
    <w:basedOn w:val="20"/>
    <w:qFormat/>
    <w:uiPriority w:val="0"/>
    <w:rPr>
      <w:rFonts w:hint="default" w:ascii="Times New Roman" w:hAnsi="Times New Roman" w:cs="Times New Roman"/>
      <w:color w:val="000000"/>
      <w:sz w:val="21"/>
      <w:szCs w:val="21"/>
      <w:u w:val="none"/>
      <w:vertAlign w:val="subscript"/>
    </w:rPr>
  </w:style>
  <w:style w:type="character" w:customStyle="1" w:styleId="54">
    <w:name w:val="fontstyle21"/>
    <w:basedOn w:val="20"/>
    <w:qFormat/>
    <w:uiPriority w:val="0"/>
    <w:rPr>
      <w:rFonts w:hint="default" w:ascii="TimesNewRomanPSMT" w:hAnsi="TimesNewRomanPSMT"/>
      <w:color w:val="00000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oleObject" Target="embeddings/oleObject3.bin"/><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3c44178b-05aa-4a7c-8f59-86780a8da88c</errorID>
      <errorWord>上线</errorWord>
      <group>L1_Word</group>
      <groupName>字词问题</groupName>
      <ability>L2_Typo</ability>
      <abilityName>字词错误</abilityName>
      <candidateList>
        <item>上限</item>
      </candidateList>
      <explain/>
      <paraID>191B0FB8</paraID>
      <start>93</start>
      <end>95</end>
      <status>ignored</status>
      <modifiedWord/>
      <trackRevisions>false</trackRevisions>
    </reviewItem>
    <reviewItem>
      <errorID>87d228a4-cf08-46cd-a1fe-16f47182a0d7</errorID>
      <errorWord>（</errorWord>
      <group>L1_Format</group>
      <groupName>格式问题</groupName>
      <ability>L2_HalfPunc</ability>
      <abilityName>全半角检查</abilityName>
      <candidateList>
        <item>(</item>
      </candidateList>
      <explain>文本全半角错误。</explain>
      <paraID>530C32EF</paraID>
      <start>7</start>
      <end>8</end>
      <status>ignored</status>
      <modifiedWord/>
      <trackRevisions>false</trackRevisions>
    </reviewItem>
    <reviewItem>
      <errorID>e1d700ab-ac44-4972-8623-4ca74368f567</errorID>
      <errorWord>）</errorWord>
      <group>L1_Format</group>
      <groupName>格式问题</groupName>
      <ability>L2_HalfPunc</ability>
      <abilityName>全半角检查</abilityName>
      <candidateList>
        <item>)</item>
      </candidateList>
      <explain>文本全半角错误。</explain>
      <paraID>530C32EF</paraID>
      <start>21</start>
      <end>22</end>
      <status>ignored</status>
      <modifiedWord/>
      <trackRevisions>false</trackRevisions>
    </reviewItem>
    <reviewItem>
      <errorID>e520096e-122c-4836-af29-ed2f8f5b3d93</errorID>
      <errorWord>）</errorWord>
      <group>L1_Format</group>
      <groupName>格式问题</groupName>
      <ability>L2_HalfPunc</ability>
      <abilityName>全半角检查</abilityName>
      <candidateList>
        <item>)</item>
      </candidateList>
      <explain>文本全半角错误。</explain>
      <paraID>530C32EF</paraID>
      <start>31</start>
      <end>32</end>
      <status>ignored</status>
      <modifiedWord/>
      <trackRevisions>false</trackRevisions>
    </reviewItem>
    <reviewItem>
      <errorID>81e52801-e49d-4c09-a18a-43cccb06f97d</errorID>
      <errorWord>拌合</errorWord>
      <group>L1_Word</group>
      <groupName>字词问题</groupName>
      <ability>L2_Typo</ability>
      <abilityName>字词错误</abilityName>
      <candidateList>
        <item>拌和</item>
      </candidateList>
      <explain/>
      <paraID>3B03D0F8</paraID>
      <start>114</start>
      <end>116</end>
      <status>ignored</status>
      <modifiedWord/>
      <trackRevisions>false</trackRevisions>
    </reviewItem>
    <reviewItem>
      <errorID>dd3edcf6-9f8c-4d78-ad24-f04a8560e80a</errorID>
      <errorWord>拌合</errorWord>
      <group>L1_Word</group>
      <groupName>字词问题</groupName>
      <ability>L2_Typo</ability>
      <abilityName>字词错误</abilityName>
      <candidateList>
        <item>拌和</item>
      </candidateList>
      <explain/>
      <paraID>3B03D0F8</paraID>
      <start>150</start>
      <end>152</end>
      <status>ignored</status>
      <modifiedWord/>
      <trackRevisions>false</trackRevisions>
    </reviewItem>
    <reviewItem>
      <errorID>c5a8078b-fd64-434c-adb4-34a821518a8b</errorID>
      <errorWord>制成型</errorWord>
      <group>L1_Word</group>
      <groupName>字词问题</groupName>
      <ability>L2_Typo</ability>
      <abilityName>字词错误</abilityName>
      <candidateList>
        <item>制成形</item>
      </candidateList>
      <explain/>
      <paraID> 920A3B0</paraID>
      <start>8</start>
      <end>11</end>
      <status>ignored</status>
      <modifiedWord/>
      <trackRevisions>false</trackRevisions>
    </reviewItem>
    <reviewItem>
      <errorID>1c2d6195-359c-4254-9bb5-8cbf678d2992</errorID>
      <errorWord>（</errorWord>
      <group>L1_Format</group>
      <groupName>格式问题</groupName>
      <ability>L2_HalfPunc</ability>
      <abilityName>全半角检查</abilityName>
      <candidateList>
        <item>(</item>
      </candidateList>
      <explain>文本全半角错误。</explain>
      <paraID>1B52AA49</paraID>
      <start>0</start>
      <end>1</end>
      <status>ignored</status>
      <modifiedWord/>
      <trackRevisions>false</trackRevisions>
    </reviewItem>
    <reviewItem>
      <errorID>d7140ce8-1763-4091-a147-2467d1cd7e4c</errorID>
      <errorWord>）</errorWord>
      <group>L1_Format</group>
      <groupName>格式问题</groupName>
      <ability>L2_HalfPunc</ability>
      <abilityName>全半角检查</abilityName>
      <candidateList>
        <item>)</item>
      </candidateList>
      <explain>文本全半角错误。</explain>
      <paraID>1B52AA49</paraID>
      <start>6</start>
      <end>7</end>
      <status>ignored</status>
      <modifiedWord/>
      <trackRevisions>false</trackRevisions>
    </reviewItem>
    <reviewItem>
      <errorID>e6e62c67-532e-4964-ac60-bbf4ad703db4</errorID>
      <errorWord>（</errorWord>
      <group>L1_Format</group>
      <groupName>格式问题</groupName>
      <ability>L2_HalfPunc</ability>
      <abilityName>全半角检查</abilityName>
      <candidateList>
        <item>(</item>
      </candidateList>
      <explain>文本全半角错误。</explain>
      <paraID> 15CA0E2</paraID>
      <start>0</start>
      <end>1</end>
      <status>ignored</status>
      <modifiedWord/>
      <trackRevisions>false</trackRevisions>
    </reviewItem>
    <reviewItem>
      <errorID>5c6ae6cb-2810-4c23-bbc2-8b3c19fb2a84</errorID>
      <errorWord>）</errorWord>
      <group>L1_Format</group>
      <groupName>格式问题</groupName>
      <ability>L2_HalfPunc</ability>
      <abilityName>全半角检查</abilityName>
      <candidateList>
        <item>)</item>
      </candidateList>
      <explain>文本全半角错误。</explain>
      <paraID> 15CA0E2</paraID>
      <start>6</start>
      <end>7</end>
      <status>ignored</status>
      <modifiedWord/>
      <trackRevisions>false</trackRevisions>
    </reviewItem>
    <reviewItem>
      <errorID>ee7049d6-4945-4c72-ad8a-f68a329d5be1</errorID>
      <errorWord>《</errorWord>
      <group>L1_Punc</group>
      <groupName>标点问题</groupName>
      <ability>L2_Punc</ability>
      <abilityName>标点符号检查</abilityName>
      <candidateList/>
      <explain>同一形式括号套用。</explain>
      <paraID>692CC6D6</paraID>
      <start>7</start>
      <end>8</end>
      <status>ignored</status>
      <modifiedWord/>
      <trackRevisions>false</trackRevisions>
    </reviewItem>
    <reviewItem>
      <errorID>50922392-bb47-45e0-9f4e-b548ac1129c5</errorID>
      <errorWord>》</errorWord>
      <group>L1_Punc</group>
      <groupName>标点问题</groupName>
      <ability>L2_Punc</ability>
      <abilityName>标点符号检查</abilityName>
      <candidateList/>
      <explain>同一形式括号套用。</explain>
      <paraID>692CC6D6</paraID>
      <start>19</start>
      <end>20</end>
      <status>ignored</status>
      <modifiedWord/>
      <trackRevisions>false</trackRevisions>
    </reviewItem>
    <reviewItem>
      <errorID>c66a43af-30db-4aee-89c8-388ef034e6d1</errorID>
      <errorWord>）</errorWord>
      <group>L1_Format</group>
      <groupName>格式问题</groupName>
      <ability>L2_HalfPunc</ability>
      <abilityName>全半角检查</abilityName>
      <candidateList>
        <item>)</item>
      </candidateList>
      <explain>文本全半角错误。</explain>
      <paraID> FDB1BEA</paraID>
      <start>15</start>
      <end>16</end>
      <status>ignored</status>
      <modifiedWord/>
      <trackRevisions>false</trackRevisions>
    </reviewItem>
    <reviewItem>
      <errorID>49de3cd5-0883-42a3-b8e9-9f8d45aaf0a6</errorID>
      <errorWord>&lt;</errorWord>
      <group>L1_Format</group>
      <groupName>格式问题</groupName>
      <ability>L2_HalfPunc</ability>
      <abilityName>全半角检查</abilityName>
      <candidateList>
        <item>〈</item>
      </candidateList>
      <explain>文本全半角错误。</explain>
      <paraID>3AD8683A</paraID>
      <start>10</start>
      <end>11</end>
      <status>ignored</status>
      <modifiedWord/>
      <trackRevisions>false</trackRevisions>
    </reviewItem>
    <reviewItem>
      <errorID>5c05f990-aa93-429b-8ea6-bf2fb0a60ddb</errorID>
      <errorWord>&gt;的通知》</errorWord>
      <group>L1_Punc</group>
      <groupName>标点问题</groupName>
      <ability>L2_Punc</ability>
      <abilityName>标点符号检查</abilityName>
      <candidateList>
        <item>〉的通知》</item>
      </candidateList>
      <explain/>
      <paraID>3AD8683A</paraID>
      <start>27</start>
      <end>32</end>
      <status>ignored</status>
      <modifiedWord/>
      <trackRevisions>false</trackRevisions>
    </reviewItem>
    <reviewItem>
      <errorID>b0fcf0e0-dc9f-4da4-b775-7edda93645fe</errorID>
      <errorWord>，</errorWord>
      <group>L1_Word</group>
      <groupName>字词问题</groupName>
      <ability>L2_Typo</ability>
      <abilityName>字词错误</abilityName>
      <candidateList>
        <item>，以</item>
      </candidateList>
      <explain/>
      <paraID>67802D82</paraID>
      <start>47</start>
      <end>48</end>
      <status>ignored</status>
      <modifiedWord/>
      <trackRevisions>false</trackRevisions>
    </reviewItem>
    <reviewItem>
      <errorID>99b85c86-236a-4738-b815-84ea377a0c1c</errorID>
      <errorWord>计</errorWord>
      <group>L1_Word</group>
      <groupName>字词问题</groupName>
      <ability>L2_Typo</ability>
      <abilityName>字词错误</abilityName>
      <candidateList>
        <item>计算</item>
      </candidateList>
      <explain/>
      <paraID>47ACABBB</paraID>
      <start>119</start>
      <end>120</end>
      <status>ignored</status>
      <modifiedWord/>
      <trackRevisions>false</trackRevisions>
    </reviewItem>
    <reviewItem>
      <errorID>5d00a452-81db-4551-9084-5543df367e67</errorID>
      <errorWord>（</errorWord>
      <group>L1_Format</group>
      <groupName>格式问题</groupName>
      <ability>L2_HalfPunc</ability>
      <abilityName>全半角检查</abilityName>
      <candidateList>
        <item>(</item>
      </candidateList>
      <explain>文本全半角错误。</explain>
      <paraID> D1F09EC</paraID>
      <start>2</start>
      <end>3</end>
      <status>ignored</status>
      <modifiedWord/>
      <trackRevisions>false</trackRevisions>
    </reviewItem>
    <reviewItem>
      <errorID>1f80832e-2236-44fc-91ec-920e8bbb46fe</errorID>
      <errorWord>）</errorWord>
      <group>L1_Format</group>
      <groupName>格式问题</groupName>
      <ability>L2_HalfPunc</ability>
      <abilityName>全半角检查</abilityName>
      <candidateList>
        <item>)</item>
      </candidateList>
      <explain>文本全半角错误。</explain>
      <paraID> D1F09EC</paraID>
      <start>4</start>
      <end>5</end>
      <status>ignored</status>
      <modifiedWord/>
      <trackRevisions>false</trackRevisions>
    </reviewItem>
    <reviewItem>
      <errorID>a33063db-5c47-4419-ab53-85811cb37fd0</errorID>
      <errorWord>（</errorWord>
      <group>L1_Format</group>
      <groupName>格式问题</groupName>
      <ability>L2_HalfPunc</ability>
      <abilityName>全半角检查</abilityName>
      <candidateList>
        <item>(</item>
      </candidateList>
      <explain>文本全半角错误。</explain>
      <paraID> D1F09EC</paraID>
      <start>8</start>
      <end>9</end>
      <status>ignored</status>
      <modifiedWord/>
      <trackRevisions>false</trackRevisions>
    </reviewItem>
    <reviewItem>
      <errorID>1b9f54a2-0f43-4c85-92be-0af27088ee36</errorID>
      <errorWord>）</errorWord>
      <group>L1_Format</group>
      <groupName>格式问题</groupName>
      <ability>L2_HalfPunc</ability>
      <abilityName>全半角检查</abilityName>
      <candidateList>
        <item>)</item>
      </candidateList>
      <explain>文本全半角错误。</explain>
      <paraID> D1F09EC</paraID>
      <start>11</start>
      <end>12</end>
      <status>ignored</status>
      <modifiedWord/>
      <trackRevisions>false</trackRevisions>
    </reviewItem>
    <reviewItem>
      <errorID>28fb8812-c6a8-4321-b9b6-2bc4fe6dbee5</errorID>
      <errorWord>（</errorWord>
      <group>L1_Format</group>
      <groupName>格式问题</groupName>
      <ability>L2_HalfPunc</ability>
      <abilityName>全半角检查</abilityName>
      <candidateList>
        <item>(</item>
      </candidateList>
      <explain>文本全半角错误。</explain>
      <paraID> D1F09EC</paraID>
      <start>17</start>
      <end>18</end>
      <status>ignored</status>
      <modifiedWord/>
      <trackRevisions>false</trackRevisions>
    </reviewItem>
    <reviewItem>
      <errorID>2377ed78-f576-4483-84ac-3ce20e137d54</errorID>
      <errorWord>）</errorWord>
      <group>L1_Format</group>
      <groupName>格式问题</groupName>
      <ability>L2_HalfPunc</ability>
      <abilityName>全半角检查</abilityName>
      <candidateList>
        <item>)</item>
      </candidateList>
      <explain>文本全半角错误。</explain>
      <paraID> D1F09EC</paraID>
      <start>22</start>
      <end>23</end>
      <status>ignored</status>
      <modifiedWord/>
      <trackRevisions>false</trackRevisions>
    </reviewItem>
    <reviewItem>
      <errorID>9bf6ec2f-0ed9-4751-bbf1-0c2b4676150c</errorID>
      <errorWord>)</errorWord>
      <group>L1_Format</group>
      <groupName>格式问题</groupName>
      <ability>L2_HalfPunc</ability>
      <abilityName>全半角检查</abilityName>
      <candidateList>
        <item>）</item>
      </candidateList>
      <explain>文本全半角错误。</explain>
      <paraID>6EDC4AAB</paraID>
      <start>96</start>
      <end>97</end>
      <status>ignored</status>
      <modifiedWord/>
      <trackRevisions>false</trackRevisions>
    </reviewItem>
    <reviewItem>
      <errorID>b9d1ae8e-019a-44cc-831e-d6e6a11aa561</errorID>
      <errorWord>（</errorWord>
      <group>L1_Punc</group>
      <groupName>标点问题</groupName>
      <ability>L2_Punc</ability>
      <abilityName>标点符号检查</abilityName>
      <candidateList>
        <item/>
      </candidateList>
      <explain>同一形式括号套用。</explain>
      <paraID>6EDC4AAB</paraID>
      <start>108</start>
      <end>109</end>
      <status>ignored</status>
      <modifiedWord/>
      <trackRevisions>false</trackRevisions>
    </reviewItem>
    <reviewItem>
      <errorID>6fe3d0fd-01ea-4b9e-afd8-c5a590b3fe3f</errorID>
      <errorWord>(</errorWord>
      <group>L1_Punc</group>
      <groupName>标点问题</groupName>
      <ability>L2_Punc</ability>
      <abilityName>标点符号检查</abilityName>
      <candidateList/>
      <explain>同一形式括号套用。</explain>
      <paraID>6EDC4AAB</paraID>
      <start>117</start>
      <end>118</end>
      <status>ignored</status>
      <modifiedWord/>
      <trackRevisions>false</trackRevisions>
    </reviewItem>
    <reviewItem>
      <errorID>0bb9551d-c92f-45ce-aae6-1c940be03c9e</errorID>
      <errorWord>)</errorWord>
      <group>L1_Punc</group>
      <groupName>标点问题</groupName>
      <ability>L2_Punc</ability>
      <abilityName>标点符号检查</abilityName>
      <candidateList/>
      <explain>同一形式括号套用。</explain>
      <paraID>6EDC4AAB</paraID>
      <start>123</start>
      <end>124</end>
      <status>ignored</status>
      <modifiedWord/>
      <trackRevisions>false</trackRevisions>
    </reviewItem>
    <reviewItem>
      <errorID>ecf3d7a4-d7d0-40e8-b602-afc11ddd32eb</errorID>
      <errorWord>）</errorWord>
      <group>L1_Punc</group>
      <groupName>标点问题</groupName>
      <ability>L2_Punc</ability>
      <abilityName>标点符号检查</abilityName>
      <candidateList/>
      <explain>同一形式括号套用。</explain>
      <paraID>6EDC4AAB</paraID>
      <start>124</start>
      <end>125</end>
      <status>ignored</status>
      <modifiedWord/>
      <trackRevisions>false</trackRevisions>
    </reviewItem>
    <reviewItem>
      <errorID>e4349117-10b3-43c9-adca-1ecce8737b13</errorID>
      <errorWord>（</errorWord>
      <group>L1_Punc</group>
      <groupName>标点问题</groupName>
      <ability>L2_Punc</ability>
      <abilityName>标点符号检查</abilityName>
      <candidateList/>
      <explain>同一形式括号套用。</explain>
      <paraID> FA535E6</paraID>
      <start>94</start>
      <end>95</end>
      <status>ignored</status>
      <modifiedWord/>
      <trackRevisions>false</trackRevisions>
    </reviewItem>
    <reviewItem>
      <errorID>3c0028ee-9733-4b02-aa93-1c3285ee8280</errorID>
      <errorWord>）</errorWord>
      <group>L1_Punc</group>
      <groupName>标点问题</groupName>
      <ability>L2_Punc</ability>
      <abilityName>标点符号检查</abilityName>
      <candidateList/>
      <explain>同一形式括号套用。</explain>
      <paraID> FA535E6</paraID>
      <start>96</start>
      <end>97</end>
      <status>ignored</status>
      <modifiedWord/>
      <trackRevisions>false</trackRevisions>
    </reviewItem>
    <reviewItem>
      <errorID>b4f11311-2e01-4875-a7aa-1848cffeb8a7</errorID>
      <errorWord>为例为例</errorWord>
      <group>L1_Word</group>
      <groupName>字词问题</groupName>
      <ability>L2_Typo</ability>
      <abilityName>字词错误</abilityName>
      <candidateList>
        <item>为例</item>
      </candidateList>
      <explain/>
      <paraID>4209B6F2</paraID>
      <start>17</start>
      <end>19</end>
      <status>modified</status>
      <modifiedWord>为例</modifiedWord>
      <trackRevisions>false</trackRevisions>
    </reviewItem>
    <reviewItem>
      <errorID>0b781c06-92d3-4072-ad0c-6db29e657491</errorID>
      <errorWord>（</errorWord>
      <group>L1_Punc</group>
      <groupName>标点问题</groupName>
      <ability>L2_Punc</ability>
      <abilityName>标点符号检查</abilityName>
      <candidateList/>
      <explain>同一形式括号套用。</explain>
      <paraID>4209B6F2</paraID>
      <start>92</start>
      <end>93</end>
      <status>ignored</status>
      <modifiedWord/>
      <trackRevisions>false</trackRevisions>
    </reviewItem>
    <reviewItem>
      <errorID>92825140-5b53-466c-a3b0-61b45f25da28</errorID>
      <errorWord>）</errorWord>
      <group>L1_Punc</group>
      <groupName>标点问题</groupName>
      <ability>L2_Punc</ability>
      <abilityName>标点符号检查</abilityName>
      <candidateList/>
      <explain>同一形式括号套用。</explain>
      <paraID>4209B6F2</paraID>
      <start>94</start>
      <end>95</end>
      <status>ignored</status>
      <modifiedWord/>
      <trackRevisions>false</trackRevisions>
    </reviewItem>
    <reviewItem>
      <errorID>436167fc-c448-4a7a-a259-745719896804</errorID>
      <errorWord>（</errorWord>
      <group>L1_Punc</group>
      <groupName>标点问题</groupName>
      <ability>L2_Punc</ability>
      <abilityName>标点符号检查</abilityName>
      <candidateList/>
      <explain>同一形式括号套用。</explain>
      <paraID>4209B6F2</paraID>
      <start>102</start>
      <end>103</end>
      <status>ignored</status>
      <modifiedWord/>
      <trackRevisions>false</trackRevisions>
    </reviewItem>
    <reviewItem>
      <errorID>c03503c6-75ec-4d2e-b737-643f16f39050</errorID>
      <errorWord>）</errorWord>
      <group>L1_Punc</group>
      <groupName>标点问题</groupName>
      <ability>L2_Punc</ability>
      <abilityName>标点符号检查</abilityName>
      <candidateList/>
      <explain>同一形式括号套用。</explain>
      <paraID>4209B6F2</paraID>
      <start>104</start>
      <end>105</end>
      <status>ignored</status>
      <modifiedWord/>
      <trackRevisions>false</trackRevisions>
    </reviewItem>
    <reviewItem>
      <errorID>ec4311ac-221b-4ee9-8c9f-d9c250b381cd</errorID>
      <errorWord>采取的</errorWord>
      <group>L1_Word</group>
      <groupName>字词问题</groupName>
      <ability>L2_Typo</ability>
      <abilityName>字词错误</abilityName>
      <candidateList>
        <item>采取</item>
      </candidateList>
      <explain>〈动〉❶选择施行（某种方针、政策、措施、手段、形式、态度等）：～守势｜～紧急措施。❷取：～指纹。</explain>
      <paraID>27D750E6</paraID>
      <start>39</start>
      <end>42</end>
      <status>ignored</status>
      <modifiedWord/>
      <trackRevisions>false</trackRevisions>
    </reviewItem>
    <reviewItem>
      <errorID>7efeaedb-0f4e-4922-972e-b9840ca3c42d</errorID>
      <errorWord>传送带</errorWord>
      <group>L1_Word</group>
      <groupName>字词问题</groupName>
      <ability>L2_Typo</ability>
      <abilityName>字词错误</abilityName>
      <candidateList>
        <item>传送到</item>
      </candidateList>
      <explain/>
      <paraID>3C1CCF72</paraID>
      <start>15</start>
      <end>18</end>
      <status>ignored</status>
      <modifiedWord/>
      <trackRevisions>false</trackRevisions>
    </reviewItem>
    <reviewItem>
      <errorID>d7af8c9a-ba09-44c1-8d2a-7848b021be37</errorID>
      <errorWord>计</errorWord>
      <group>L1_Word</group>
      <groupName>字词问题</groupName>
      <ability>L2_Typo</ability>
      <abilityName>字词错误</abilityName>
      <candidateList>
        <item>计算</item>
      </candidateList>
      <explain/>
      <paraID>231A4641</paraID>
      <start>327</start>
      <end>328</end>
      <status>ignored</status>
      <modifiedWord/>
      <trackRevisions>false</trackRevisions>
    </reviewItem>
    <reviewItem>
      <errorID>fad9c5e5-3ffa-4a87-b760-567e20a15b11</errorID>
      <errorWord>产生的</errorWord>
      <group>L1_Word</group>
      <groupName>字词问题</groupName>
      <ability>L2_Typo</ability>
      <abilityName>字词错误</abilityName>
      <candidateList>
        <item>产生</item>
      </candidateList>
      <explain/>
      <paraID>42B3E05B</paraID>
      <start>23</start>
      <end>26</end>
      <status>ignored</status>
      <modifiedWord/>
      <trackRevisions>false</trackRevisions>
    </reviewItem>
    <reviewItem>
      <errorID>e263f358-d9d5-42e9-afd6-b35f620e0946</errorID>
      <errorWord>往返为</errorWord>
      <group>L1_Word</group>
      <groupName>字词问题</groupName>
      <ability>L2_Typo</ability>
      <abilityName>字词错误</abilityName>
      <candidateList>
        <item>往返</item>
      </candidateList>
      <explain/>
      <paraID> 17FFFD8</paraID>
      <start>6</start>
      <end>8</end>
      <status>modified</status>
      <modifiedWord>往返</modifiedWord>
      <trackRevisions>false</trackRevisions>
    </reviewItem>
    <reviewItem>
      <errorID>b4f4cbdb-ec5f-4929-b72a-5dd07be73b18</errorID>
      <errorWord>（</errorWord>
      <group>L1_Format</group>
      <groupName>格式问题</groupName>
      <ability>L2_HalfPunc</ability>
      <abilityName>全半角检查</abilityName>
      <candidateList>
        <item>(</item>
      </candidateList>
      <explain>文本全半角错误。</explain>
      <paraID>298B25C9</paraID>
      <start>2</start>
      <end>3</end>
      <status>ignored</status>
      <modifiedWord/>
      <trackRevisions>false</trackRevisions>
    </reviewItem>
    <reviewItem>
      <errorID>4b016559-80d7-450b-b098-eb9953b5d7e9</errorID>
      <errorWord>）</errorWord>
      <group>L1_Format</group>
      <groupName>格式问题</groupName>
      <ability>L2_HalfPunc</ability>
      <abilityName>全半角检查</abilityName>
      <candidateList>
        <item>)</item>
      </candidateList>
      <explain>文本全半角错误。</explain>
      <paraID>298B25C9</paraID>
      <start>4</start>
      <end>5</end>
      <status>ignored</status>
      <modifiedWord/>
      <trackRevisions>false</trackRevisions>
    </reviewItem>
    <reviewItem>
      <errorID>6a3daf2f-1200-47cb-a79a-998206295311</errorID>
      <errorWord>（</errorWord>
      <group>L1_Format</group>
      <groupName>格式问题</groupName>
      <ability>L2_HalfPunc</ability>
      <abilityName>全半角检查</abilityName>
      <candidateList>
        <item>(</item>
      </candidateList>
      <explain>文本全半角错误。</explain>
      <paraID>298B25C9</paraID>
      <start>8</start>
      <end>9</end>
      <status>ignored</status>
      <modifiedWord/>
      <trackRevisions>false</trackRevisions>
    </reviewItem>
    <reviewItem>
      <errorID>ed260544-1661-4eed-ab79-60ae546aaa3c</errorID>
      <errorWord>）</errorWord>
      <group>L1_Format</group>
      <groupName>格式问题</groupName>
      <ability>L2_HalfPunc</ability>
      <abilityName>全半角检查</abilityName>
      <candidateList>
        <item>)</item>
      </candidateList>
      <explain>文本全半角错误。</explain>
      <paraID>298B25C9</paraID>
      <start>11</start>
      <end>12</end>
      <status>ignored</status>
      <modifiedWord/>
      <trackRevisions>false</trackRevisions>
    </reviewItem>
    <reviewItem>
      <errorID>ddfe29f2-f6c9-4ece-9f23-4e31c7f37b6e</errorID>
      <errorWord>（</errorWord>
      <group>L1_Format</group>
      <groupName>格式问题</groupName>
      <ability>L2_HalfPunc</ability>
      <abilityName>全半角检查</abilityName>
      <candidateList>
        <item>(</item>
      </candidateList>
      <explain>文本全半角错误。</explain>
      <paraID>298B25C9</paraID>
      <start>17</start>
      <end>18</end>
      <status>ignored</status>
      <modifiedWord/>
      <trackRevisions>false</trackRevisions>
    </reviewItem>
    <reviewItem>
      <errorID>67df9c2f-84fb-416d-8eca-93db52f9f976</errorID>
      <errorWord>）</errorWord>
      <group>L1_Format</group>
      <groupName>格式问题</groupName>
      <ability>L2_HalfPunc</ability>
      <abilityName>全半角检查</abilityName>
      <candidateList>
        <item>)</item>
      </candidateList>
      <explain>文本全半角错误。</explain>
      <paraID>298B25C9</paraID>
      <start>22</start>
      <end>23</end>
      <status>ignored</status>
      <modifiedWord/>
      <trackRevisions>false</trackRevisions>
    </reviewItem>
    <reviewItem>
      <errorID>b5c95e07-3dca-4a83-bc49-62f9c25faf6b</errorID>
      <errorWord>（</errorWord>
      <group>L1_Format</group>
      <groupName>格式问题</groupName>
      <ability>L2_HalfPunc</ability>
      <abilityName>全半角检查</abilityName>
      <candidateList>
        <item>(</item>
      </candidateList>
      <explain>文本全半角错误。</explain>
      <paraID>5EB68482</paraID>
      <start>2</start>
      <end>3</end>
      <status>ignored</status>
      <modifiedWord/>
      <trackRevisions>false</trackRevisions>
    </reviewItem>
    <reviewItem>
      <errorID>5ee54374-4792-4246-8f5a-679f8612adb3</errorID>
      <errorWord>）</errorWord>
      <group>L1_Format</group>
      <groupName>格式问题</groupName>
      <ability>L2_HalfPunc</ability>
      <abilityName>全半角检查</abilityName>
      <candidateList>
        <item>)</item>
      </candidateList>
      <explain>文本全半角错误。</explain>
      <paraID>5EB68482</paraID>
      <start>4</start>
      <end>5</end>
      <status>ignored</status>
      <modifiedWord/>
      <trackRevisions>false</trackRevisions>
    </reviewItem>
    <reviewItem>
      <errorID>fd6ecd8a-b2d6-4c4e-8150-7a2937f0cb44</errorID>
      <errorWord>（</errorWord>
      <group>L1_Format</group>
      <groupName>格式问题</groupName>
      <ability>L2_HalfPunc</ability>
      <abilityName>全半角检查</abilityName>
      <candidateList>
        <item>(</item>
      </candidateList>
      <explain>文本全半角错误。</explain>
      <paraID>5EB68482</paraID>
      <start>9</start>
      <end>10</end>
      <status>ignored</status>
      <modifiedWord/>
      <trackRevisions>false</trackRevisions>
    </reviewItem>
    <reviewItem>
      <errorID>6db62f97-50b3-4ec9-9fe8-22f2b5a79495</errorID>
      <errorWord>）</errorWord>
      <group>L1_Format</group>
      <groupName>格式问题</groupName>
      <ability>L2_HalfPunc</ability>
      <abilityName>全半角检查</abilityName>
      <candidateList>
        <item>)</item>
      </candidateList>
      <explain>文本全半角错误。</explain>
      <paraID>5EB68482</paraID>
      <start>12</start>
      <end>13</end>
      <status>ignored</status>
      <modifiedWord/>
      <trackRevisions>false</trackRevisions>
    </reviewItem>
    <reviewItem>
      <errorID>45cb82b2-7e5c-4180-a443-02a6d5852e67</errorID>
      <errorWord>（</errorWord>
      <group>L1_Format</group>
      <groupName>格式问题</groupName>
      <ability>L2_HalfPunc</ability>
      <abilityName>全半角检查</abilityName>
      <candidateList>
        <item>(</item>
      </candidateList>
      <explain>文本全半角错误。</explain>
      <paraID>5EB68482</paraID>
      <start>14</start>
      <end>15</end>
      <status>ignored</status>
      <modifiedWord/>
      <trackRevisions>false</trackRevisions>
    </reviewItem>
    <reviewItem>
      <errorID>fbaaca3b-85d9-4492-b00b-f4018ad78fb4</errorID>
      <errorWord>）</errorWord>
      <group>L1_Format</group>
      <groupName>格式问题</groupName>
      <ability>L2_HalfPunc</ability>
      <abilityName>全半角检查</abilityName>
      <candidateList>
        <item>)</item>
      </candidateList>
      <explain>文本全半角错误。</explain>
      <paraID>5EB68482</paraID>
      <start>39</start>
      <end>40</end>
      <status>ignored</status>
      <modifiedWord/>
      <trackRevisions>false</trackRevisions>
    </reviewItem>
    <reviewItem>
      <errorID>cc5b6326-4546-4e3f-b9ea-09c3d7ae7bf2</errorID>
      <errorWord>（</errorWord>
      <group>L1_Format</group>
      <groupName>格式问题</groupName>
      <ability>L2_HalfPunc</ability>
      <abilityName>全半角检查</abilityName>
      <candidateList>
        <item>(</item>
      </candidateList>
      <explain>文本全半角错误。</explain>
      <paraID> F2D05F9</paraID>
      <start>2</start>
      <end>3</end>
      <status>ignored</status>
      <modifiedWord/>
      <trackRevisions>false</trackRevisions>
    </reviewItem>
    <reviewItem>
      <errorID>28eed82f-a99f-4204-b9e4-01d62b4fb394</errorID>
      <errorWord>）</errorWord>
      <group>L1_Format</group>
      <groupName>格式问题</groupName>
      <ability>L2_HalfPunc</ability>
      <abilityName>全半角检查</abilityName>
      <candidateList>
        <item>)</item>
      </candidateList>
      <explain>文本全半角错误。</explain>
      <paraID> F2D05F9</paraID>
      <start>4</start>
      <end>5</end>
      <status>ignored</status>
      <modifiedWord/>
      <trackRevisions>false</trackRevisions>
    </reviewItem>
    <reviewItem>
      <errorID>61278dc0-d68e-4091-acf6-290eb1978ae9</errorID>
      <errorWord>（</errorWord>
      <group>L1_Format</group>
      <groupName>格式问题</groupName>
      <ability>L2_HalfPunc</ability>
      <abilityName>全半角检查</abilityName>
      <candidateList>
        <item>(</item>
      </candidateList>
      <explain>文本全半角错误。</explain>
      <paraID> F2D05F9</paraID>
      <start>8</start>
      <end>9</end>
      <status>ignored</status>
      <modifiedWord/>
      <trackRevisions>false</trackRevisions>
    </reviewItem>
    <reviewItem>
      <errorID>e36c3ff4-f66d-45e9-a0b5-b7b6d9e842a7</errorID>
      <errorWord>）</errorWord>
      <group>L1_Format</group>
      <groupName>格式问题</groupName>
      <ability>L2_HalfPunc</ability>
      <abilityName>全半角检查</abilityName>
      <candidateList>
        <item>)</item>
      </candidateList>
      <explain>文本全半角错误。</explain>
      <paraID> F2D05F9</paraID>
      <start>11</start>
      <end>12</end>
      <status>ignored</status>
      <modifiedWord/>
      <trackRevisions>false</trackRevisions>
    </reviewItem>
    <reviewItem>
      <errorID>dd12cc26-b27f-4c8f-a98e-e019b6429b5f</errorID>
      <errorWord>（</errorWord>
      <group>L1_Format</group>
      <groupName>格式问题</groupName>
      <ability>L2_HalfPunc</ability>
      <abilityName>全半角检查</abilityName>
      <candidateList>
        <item>(</item>
      </candidateList>
      <explain>文本全半角错误。</explain>
      <paraID> F2D05F9</paraID>
      <start>13</start>
      <end>14</end>
      <status>ignored</status>
      <modifiedWord/>
      <trackRevisions>false</trackRevisions>
    </reviewItem>
    <reviewItem>
      <errorID>406ded65-0bce-4bfd-a749-eba6ad7e44a3</errorID>
      <errorWord>）</errorWord>
      <group>L1_Format</group>
      <groupName>格式问题</groupName>
      <ability>L2_HalfPunc</ability>
      <abilityName>全半角检查</abilityName>
      <candidateList>
        <item>)</item>
      </candidateList>
      <explain>文本全半角错误。</explain>
      <paraID> F2D05F9</paraID>
      <start>23</start>
      <end>24</end>
      <status>ignored</status>
      <modifiedWord/>
      <trackRevisions>false</trackRevisions>
    </reviewItem>
    <reviewItem>
      <errorID>37ad952e-f3b8-4aa3-ab66-53597d5e7202</errorID>
      <errorWord>目</errorWord>
      <group>L1_Word</group>
      <groupName>字词问题</groupName>
      <ability>L2_Typo</ability>
      <abilityName>字词错误</abilityName>
      <candidateList>
        <item>目在</item>
      </candidateList>
      <explain/>
      <paraID>3A4A19B9</paraID>
      <start>147</start>
      <end>148</end>
      <status>ignored</status>
      <modifiedWord/>
      <trackRevisions>false</trackRevisions>
    </reviewItem>
    <reviewItem>
      <errorID>e22ccdfc-9f2f-400c-a9ff-0865b2bca793</errorID>
      <errorWord>程</errorWord>
      <group>L1_Word</group>
      <groupName>字词问题</groupName>
      <ability>L2_Typo</ability>
      <abilityName>字词错误</abilityName>
      <candidateList>
        <item>程中</item>
      </candidateList>
      <explain/>
      <paraID> 4651ECE</paraID>
      <start>19</start>
      <end>20</end>
      <status>ignored</status>
      <modifiedWord/>
      <trackRevisions>false</trackRevisions>
    </reviewItem>
    <reviewItem>
      <errorID>ed3f43c1-5729-42a8-a643-8e7e8f36dad4</errorID>
      <errorWord>的其</errorWord>
      <group>L1_Word</group>
      <groupName>字词问题</groupName>
      <ability>L2_Typo</ability>
      <abilityName>字词错误</abilityName>
      <candidateList>
        <item>的</item>
      </candidateList>
      <explain>置于形容词、名词后，用于修饰事物的形态。</explain>
      <paraID>5DBA4C72</paraID>
      <start>10</start>
      <end>11</end>
      <status>modified</status>
      <modifiedWord>的</modifiedWord>
      <trackRevisions>false</trackRevisions>
    </reviewItem>
    <reviewItem>
      <errorID>2b22725b-2848-4e19-a356-a3152dfe975d</errorID>
      <errorWord>的其</errorWord>
      <group>L1_Word</group>
      <groupName>字词问题</groupName>
      <ability>L2_Typo</ability>
      <abilityName>字词错误</abilityName>
      <candidateList>
        <item>的</item>
      </candidateList>
      <explain>置于形容词、名词后，用于修饰事物的形态。</explain>
      <paraID>24456D73</paraID>
      <start>10</start>
      <end>11</end>
      <status>modified</status>
      <modifiedWord>的</modifiedWord>
      <trackRevisions>false</trackRevisions>
    </reviewItem>
    <reviewItem>
      <errorID>19c5e60f-31c9-4275-8117-f114a4a510f2</errorID>
      <errorWord>其他有</errorWord>
      <group>L1_Word</group>
      <groupName>字词问题</groupName>
      <ability>L2_Typo</ability>
      <abilityName>字词错误</abilityName>
      <candidateList>
        <item>其他</item>
      </candidateList>
      <explain>〈代〉指示代词。别的：今天的文娱晚会，除了京剧、曲艺以外，还有～精彩节目。</explain>
      <paraID> 826BE16</paraID>
      <start>15</start>
      <end>17</end>
      <status>modified</status>
      <modifiedWord>其他</modifiedWord>
      <trackRevisions>false</trackRevisions>
    </reviewItem>
    <reviewItem>
      <errorID>a43185cc-90a3-4df8-a53c-c836de241058</errorID>
      <errorWord>，</errorWord>
      <group>L1_Word</group>
      <groupName>字词问题</groupName>
      <ability>L2_Typo</ability>
      <abilityName>字词错误</abilityName>
      <candidateList>
        <item>，在</item>
      </candidateList>
      <explain/>
      <paraID>5B391048</paraID>
      <start>15</start>
      <end>16</end>
      <status>ignored</status>
      <modifiedWord/>
      <trackRevisions>false</trackRevisions>
    </reviewItem>
    <reviewItem>
      <errorID>1da76c66-38c0-406e-89c0-0c759a0bddeb</errorID>
      <errorWord>属</errorWord>
      <group>L1_Word</group>
      <groupName>字词问题</groupName>
      <ability>L2_Typo</ability>
      <abilityName>字词错误</abilityName>
      <candidateList>
        <item>属于</item>
      </candidateList>
      <explain/>
      <paraID>55AFBCCA</paraID>
      <start>30</start>
      <end>32</end>
      <status>modified</status>
      <modifiedWord>属于</modifiedWord>
      <trackRevisions>false</trackRevisions>
    </reviewItem>
    <reviewItem>
      <errorID>7f657db4-279e-4b67-8dd4-35f952fa500e</errorID>
      <errorWord>(</errorWord>
      <group>L1_Format</group>
      <groupName>格式问题</groupName>
      <ability>L2_HalfPunc</ability>
      <abilityName>全半角检查</abilityName>
      <candidateList>
        <item>（</item>
      </candidateList>
      <explain>文本全半角错误。</explain>
      <paraID>12A6E69C</paraID>
      <start>3</start>
      <end>4</end>
      <status>ignored</status>
      <modifiedWord/>
      <trackRevisions>false</trackRevisions>
    </reviewItem>
    <reviewItem>
      <errorID>80aff2a4-81b8-47af-adad-368d0063af0c</errorID>
      <errorWord>)</errorWord>
      <group>L1_Format</group>
      <groupName>格式问题</groupName>
      <ability>L2_HalfPunc</ability>
      <abilityName>全半角检查</abilityName>
      <candidateList>
        <item>）</item>
      </candidateList>
      <explain>文本全半角错误。</explain>
      <paraID>202E62A6</paraID>
      <start>2</start>
      <end>3</end>
      <status>ignored</status>
      <modifiedWord/>
      <trackRevisions>false</trackRevisions>
    </reviewItem>
    <reviewItem>
      <errorID>6827c530-0f8c-457c-9605-7a5ec8733abc</errorID>
      <errorWord>(</errorWord>
      <group>L1_Format</group>
      <groupName>格式问题</groupName>
      <ability>L2_HalfPunc</ability>
      <abilityName>全半角检查</abilityName>
      <candidateList>
        <item>（</item>
      </candidateList>
      <explain>文本全半角错误。</explain>
      <paraID>682FD538</paraID>
      <start>5</start>
      <end>6</end>
      <status>ignored</status>
      <modifiedWord/>
      <trackRevisions>false</trackRevisions>
    </reviewItem>
    <reviewItem>
      <errorID>529ce6cf-a1ef-4da2-bcfd-876baf2927e9</errorID>
      <errorWord>)</errorWord>
      <group>L1_Format</group>
      <groupName>格式问题</groupName>
      <ability>L2_HalfPunc</ability>
      <abilityName>全半角检查</abilityName>
      <candidateList>
        <item>）</item>
      </candidateList>
      <explain>文本全半角错误。</explain>
      <paraID>682FD538</paraID>
      <start>10</start>
      <end>11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5de24-b602-4c54-b0de-a447c3ee5649}">
  <ds:schemaRefs/>
</ds:datastoreItem>
</file>

<file path=docProps/app.xml><?xml version="1.0" encoding="utf-8"?>
<Properties xmlns="http://schemas.openxmlformats.org/officeDocument/2006/extended-properties" xmlns:vt="http://schemas.openxmlformats.org/officeDocument/2006/docPropsVTypes">
  <Template>Normal.dotm</Template>
  <Pages>62</Pages>
  <Words>3745</Words>
  <Characters>3937</Characters>
  <Lines>0</Lines>
  <Paragraphs>0</Paragraphs>
  <ScaleCrop>false</ScaleCrop>
  <LinksUpToDate>false</LinksUpToDate>
  <CharactersWithSpaces>4065</CharactersWithSpaces>
  <Application>WPS Office_10.8.0.5562_F1E327BC-269C-435d-A152-05C5408002CA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2024-09-09T00:01:00Z</dcterms:created>
  <dc:creator>Administrator</dc:creator>
  <cp:lastModifiedBy>JUS01</cp:lastModifiedBy>
  <dcterms:modified xsi:type="dcterms:W3CDTF">2026-03-06T01:31:05Z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2052-10.8.0.5562</vt:lpwstr>
  </property>
  <property fmtid="{D5CDD505-2E9C-101B-9397-08002B2CF9AE}" pid="3" name="ICV">
    <vt:lpwstr>097D44A4832A46DC846FFD8B1FDEAAD3_13</vt:lpwstr>
  </property>
  <property fmtid="{D5CDD505-2E9C-101B-9397-08002B2CF9AE}" pid="4" name="KSOTemplateDocerSaveRecord">
    <vt:lpwstr>eyJoZGlkIjoiNDY0M2EyYjQwNzU3NTBjZjg1OWM0NDQwMjMwZTVjMzQiLCJ1c2VySWQiOiIxMzk1Njc4MDk3In0=</vt:lpwstr>
  </property>
</Properties>
</file>