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95712">
      <w:pPr>
        <w:adjustRightInd w:val="0"/>
        <w:snapToGrid w:val="0"/>
        <w:spacing w:line="360" w:lineRule="auto"/>
        <w:jc w:val="center"/>
        <w:rPr>
          <w:rFonts w:ascii="方正小标宋简体" w:eastAsia="方正小标宋简体" w:cs="华文中宋"/>
          <w:b/>
          <w:sz w:val="44"/>
          <w:szCs w:val="44"/>
        </w:rPr>
      </w:pPr>
      <w:r>
        <w:rPr>
          <w:rFonts w:hint="eastAsia" w:ascii="方正小标宋简体" w:eastAsia="方正小标宋简体" w:cs="华文中宋"/>
          <w:b/>
          <w:sz w:val="44"/>
          <w:szCs w:val="44"/>
          <w:lang w:eastAsia="zh-CN"/>
        </w:rPr>
        <w:t>寿县农业科学研究所</w:t>
      </w:r>
      <w:r>
        <w:rPr>
          <w:rFonts w:hint="eastAsia" w:ascii="方正小标宋简体" w:eastAsia="方正小标宋简体" w:cs="华文中宋"/>
          <w:b/>
          <w:sz w:val="44"/>
          <w:szCs w:val="44"/>
        </w:rPr>
        <w:t>2026年预算</w:t>
      </w:r>
    </w:p>
    <w:p w14:paraId="7DDA23C7">
      <w:pPr>
        <w:pStyle w:val="3"/>
        <w:adjustRightInd w:val="0"/>
        <w:snapToGrid w:val="0"/>
        <w:spacing w:before="0" w:beforeAutospacing="0" w:after="0" w:afterAutospacing="0" w:line="360" w:lineRule="auto"/>
        <w:jc w:val="center"/>
        <w:rPr>
          <w:rFonts w:hint="eastAsia" w:ascii="仿宋_GB2312" w:hAnsi="黑体" w:eastAsia="仿宋_GB2312"/>
          <w:bCs/>
          <w:sz w:val="32"/>
          <w:szCs w:val="32"/>
        </w:rPr>
      </w:pPr>
      <w:r>
        <w:rPr>
          <w:rFonts w:hint="eastAsia" w:ascii="仿宋_GB2312" w:hAnsi="黑体" w:eastAsia="仿宋_GB2312"/>
          <w:bCs/>
          <w:sz w:val="32"/>
          <w:szCs w:val="32"/>
        </w:rPr>
        <w:t xml:space="preserve"> </w:t>
      </w:r>
    </w:p>
    <w:p w14:paraId="54BB0375">
      <w:pPr>
        <w:pStyle w:val="3"/>
        <w:adjustRightInd w:val="0"/>
        <w:snapToGrid w:val="0"/>
        <w:spacing w:before="0" w:beforeAutospacing="0" w:after="0" w:afterAutospacing="0" w:line="360" w:lineRule="auto"/>
        <w:jc w:val="center"/>
        <w:rPr>
          <w:rFonts w:hint="eastAsia" w:ascii="仿宋_GB2312" w:hAnsi="黑体" w:eastAsia="仿宋_GB2312"/>
          <w:bCs/>
          <w:sz w:val="32"/>
          <w:szCs w:val="32"/>
        </w:rPr>
      </w:pPr>
      <w:r>
        <w:rPr>
          <w:rFonts w:hint="eastAsia" w:ascii="仿宋_GB2312" w:hAnsi="黑体" w:eastAsia="仿宋_GB2312"/>
          <w:bCs/>
          <w:sz w:val="32"/>
          <w:szCs w:val="32"/>
        </w:rPr>
        <w:t xml:space="preserve"> </w:t>
      </w:r>
    </w:p>
    <w:p w14:paraId="16635B84">
      <w:pPr>
        <w:pStyle w:val="3"/>
        <w:adjustRightInd w:val="0"/>
        <w:snapToGrid w:val="0"/>
        <w:spacing w:before="0" w:beforeAutospacing="0" w:after="0" w:afterAutospacing="0" w:line="360" w:lineRule="auto"/>
        <w:jc w:val="center"/>
        <w:rPr>
          <w:rFonts w:hint="eastAsia" w:ascii="仿宋_GB2312" w:hAnsi="黑体" w:eastAsia="仿宋_GB2312"/>
          <w:bCs/>
          <w:sz w:val="32"/>
          <w:szCs w:val="32"/>
        </w:rPr>
      </w:pPr>
      <w:r>
        <w:rPr>
          <w:rFonts w:hint="eastAsia" w:ascii="仿宋_GB2312" w:hAnsi="黑体" w:eastAsia="仿宋_GB2312"/>
          <w:bCs/>
          <w:sz w:val="32"/>
          <w:szCs w:val="32"/>
        </w:rPr>
        <w:t xml:space="preserve"> </w:t>
      </w:r>
    </w:p>
    <w:p w14:paraId="2B006469">
      <w:pPr>
        <w:pStyle w:val="3"/>
        <w:adjustRightInd w:val="0"/>
        <w:snapToGrid w:val="0"/>
        <w:spacing w:before="0" w:beforeAutospacing="0" w:after="0" w:afterAutospacing="0" w:line="360" w:lineRule="auto"/>
        <w:jc w:val="center"/>
        <w:rPr>
          <w:rFonts w:hint="eastAsia" w:ascii="仿宋_GB2312" w:hAnsi="黑体" w:eastAsia="仿宋_GB2312"/>
          <w:bCs/>
          <w:sz w:val="32"/>
          <w:szCs w:val="32"/>
        </w:rPr>
      </w:pPr>
      <w:r>
        <w:rPr>
          <w:rFonts w:hint="eastAsia" w:ascii="仿宋_GB2312" w:hAnsi="黑体" w:eastAsia="仿宋_GB2312"/>
          <w:bCs/>
          <w:sz w:val="32"/>
          <w:szCs w:val="32"/>
        </w:rPr>
        <w:t xml:space="preserve"> </w:t>
      </w:r>
    </w:p>
    <w:p w14:paraId="06658390">
      <w:pPr>
        <w:pStyle w:val="3"/>
        <w:adjustRightInd w:val="0"/>
        <w:snapToGrid w:val="0"/>
        <w:spacing w:before="0" w:beforeAutospacing="0" w:after="0" w:afterAutospacing="0" w:line="360" w:lineRule="auto"/>
        <w:jc w:val="both"/>
        <w:rPr>
          <w:rFonts w:hint="eastAsia" w:ascii="仿宋_GB2312" w:hAnsi="黑体" w:eastAsia="仿宋_GB2312"/>
          <w:bCs/>
          <w:sz w:val="32"/>
          <w:szCs w:val="32"/>
        </w:rPr>
      </w:pPr>
      <w:r>
        <w:rPr>
          <w:rFonts w:hint="eastAsia" w:ascii="仿宋_GB2312" w:hAnsi="黑体" w:eastAsia="仿宋_GB2312"/>
          <w:bCs/>
          <w:sz w:val="32"/>
          <w:szCs w:val="32"/>
        </w:rPr>
        <w:t xml:space="preserve"> </w:t>
      </w:r>
    </w:p>
    <w:p w14:paraId="71EFA24C">
      <w:pPr>
        <w:pStyle w:val="3"/>
        <w:adjustRightInd w:val="0"/>
        <w:snapToGrid w:val="0"/>
        <w:spacing w:before="0" w:beforeAutospacing="0" w:after="0" w:afterAutospacing="0" w:line="360" w:lineRule="auto"/>
        <w:jc w:val="center"/>
        <w:rPr>
          <w:rFonts w:hint="eastAsia" w:ascii="仿宋_GB2312" w:hAnsi="黑体" w:eastAsia="仿宋_GB2312"/>
          <w:bCs/>
          <w:sz w:val="32"/>
          <w:szCs w:val="32"/>
        </w:rPr>
      </w:pPr>
      <w:r>
        <w:rPr>
          <w:rFonts w:hint="eastAsia" w:ascii="仿宋_GB2312" w:hAnsi="黑体" w:eastAsia="仿宋_GB2312"/>
          <w:bCs/>
          <w:sz w:val="32"/>
          <w:szCs w:val="32"/>
        </w:rPr>
        <w:t xml:space="preserve"> </w:t>
      </w:r>
    </w:p>
    <w:p w14:paraId="5163A7F4">
      <w:pPr>
        <w:pStyle w:val="3"/>
        <w:adjustRightInd w:val="0"/>
        <w:snapToGrid w:val="0"/>
        <w:spacing w:before="0" w:beforeAutospacing="0" w:after="0" w:afterAutospacing="0" w:line="360" w:lineRule="auto"/>
        <w:jc w:val="center"/>
        <w:rPr>
          <w:rFonts w:hint="eastAsia" w:ascii="仿宋_GB2312" w:hAnsi="黑体" w:eastAsia="仿宋_GB2312"/>
          <w:bCs/>
          <w:sz w:val="32"/>
          <w:szCs w:val="32"/>
        </w:rPr>
      </w:pPr>
      <w:r>
        <w:rPr>
          <w:rFonts w:hint="eastAsia" w:ascii="仿宋_GB2312" w:hAnsi="黑体" w:eastAsia="仿宋_GB2312"/>
          <w:bCs/>
          <w:sz w:val="32"/>
          <w:szCs w:val="32"/>
        </w:rPr>
        <w:t xml:space="preserve"> </w:t>
      </w:r>
    </w:p>
    <w:p w14:paraId="32E536A5">
      <w:pPr>
        <w:pStyle w:val="3"/>
        <w:adjustRightInd w:val="0"/>
        <w:snapToGrid w:val="0"/>
        <w:spacing w:before="0" w:beforeAutospacing="0" w:after="0" w:afterAutospacing="0" w:line="360" w:lineRule="auto"/>
        <w:jc w:val="center"/>
        <w:rPr>
          <w:rFonts w:hint="eastAsia" w:ascii="仿宋_GB2312" w:hAnsi="黑体" w:eastAsia="仿宋_GB2312"/>
          <w:bCs/>
          <w:sz w:val="32"/>
          <w:szCs w:val="32"/>
        </w:rPr>
      </w:pPr>
      <w:r>
        <w:rPr>
          <w:rFonts w:hint="eastAsia" w:ascii="仿宋_GB2312" w:hAnsi="黑体" w:eastAsia="仿宋_GB2312"/>
          <w:bCs/>
          <w:sz w:val="32"/>
          <w:szCs w:val="32"/>
        </w:rPr>
        <w:t xml:space="preserve"> </w:t>
      </w:r>
    </w:p>
    <w:p w14:paraId="36E4CFC2">
      <w:pPr>
        <w:pStyle w:val="3"/>
        <w:adjustRightInd w:val="0"/>
        <w:snapToGrid w:val="0"/>
        <w:spacing w:before="0" w:beforeAutospacing="0" w:after="0" w:afterAutospacing="0" w:line="360" w:lineRule="auto"/>
        <w:jc w:val="center"/>
        <w:rPr>
          <w:rFonts w:hint="eastAsia" w:ascii="仿宋_GB2312" w:hAnsi="黑体" w:eastAsia="仿宋_GB2312"/>
          <w:bCs/>
          <w:sz w:val="32"/>
          <w:szCs w:val="32"/>
        </w:rPr>
      </w:pPr>
      <w:r>
        <w:rPr>
          <w:rFonts w:hint="eastAsia" w:ascii="仿宋_GB2312" w:hAnsi="黑体" w:eastAsia="仿宋_GB2312"/>
          <w:bCs/>
          <w:sz w:val="32"/>
          <w:szCs w:val="32"/>
        </w:rPr>
        <w:t xml:space="preserve"> </w:t>
      </w:r>
    </w:p>
    <w:p w14:paraId="1A580565">
      <w:pPr>
        <w:pStyle w:val="3"/>
        <w:adjustRightInd w:val="0"/>
        <w:snapToGrid w:val="0"/>
        <w:spacing w:before="0" w:beforeAutospacing="0" w:after="0" w:afterAutospacing="0" w:line="360" w:lineRule="auto"/>
        <w:jc w:val="center"/>
        <w:rPr>
          <w:rFonts w:hint="eastAsia" w:ascii="方正小标宋简体" w:eastAsia="方正小标宋简体"/>
          <w:bCs/>
          <w:sz w:val="44"/>
          <w:szCs w:val="44"/>
        </w:rPr>
      </w:pPr>
      <w:r>
        <w:rPr>
          <w:rFonts w:hint="eastAsia" w:ascii="方正小标宋简体" w:eastAsia="方正小标宋简体"/>
          <w:bCs/>
          <w:sz w:val="44"/>
          <w:szCs w:val="44"/>
        </w:rPr>
        <w:t xml:space="preserve"> </w:t>
      </w:r>
    </w:p>
    <w:p w14:paraId="75ED05DA">
      <w:pPr>
        <w:pStyle w:val="3"/>
        <w:adjustRightInd w:val="0"/>
        <w:snapToGrid w:val="0"/>
        <w:spacing w:before="0" w:beforeAutospacing="0" w:after="0" w:afterAutospacing="0" w:line="360" w:lineRule="auto"/>
        <w:jc w:val="center"/>
        <w:rPr>
          <w:rFonts w:hint="eastAsia" w:ascii="方正小标宋简体" w:eastAsia="方正小标宋简体"/>
          <w:bCs/>
          <w:sz w:val="44"/>
          <w:szCs w:val="44"/>
        </w:rPr>
      </w:pPr>
      <w:r>
        <w:rPr>
          <w:rFonts w:hint="eastAsia" w:ascii="方正小标宋简体" w:eastAsia="方正小标宋简体"/>
          <w:bCs/>
          <w:sz w:val="44"/>
          <w:szCs w:val="44"/>
        </w:rPr>
        <w:t xml:space="preserve"> </w:t>
      </w:r>
    </w:p>
    <w:p w14:paraId="55487EC0">
      <w:pPr>
        <w:pStyle w:val="3"/>
        <w:adjustRightInd w:val="0"/>
        <w:snapToGrid w:val="0"/>
        <w:spacing w:before="0" w:beforeAutospacing="0" w:after="0" w:afterAutospacing="0" w:line="360" w:lineRule="auto"/>
        <w:jc w:val="center"/>
        <w:rPr>
          <w:rFonts w:hint="eastAsia" w:ascii="仿宋_GB2312" w:hAnsi="黑体" w:eastAsia="仿宋_GB2312"/>
          <w:bCs/>
          <w:sz w:val="32"/>
          <w:szCs w:val="32"/>
        </w:rPr>
      </w:pPr>
      <w:r>
        <w:rPr>
          <w:rFonts w:hint="eastAsia" w:ascii="方正小标宋简体" w:eastAsia="方正小标宋简体"/>
          <w:bCs/>
          <w:sz w:val="44"/>
          <w:szCs w:val="44"/>
        </w:rPr>
        <w:t>2026年1月</w:t>
      </w:r>
    </w:p>
    <w:p w14:paraId="0E7D72A1">
      <w:pPr>
        <w:spacing w:line="240" w:lineRule="exact"/>
        <w:ind w:firstLine="449"/>
        <w:rPr>
          <w:rFonts w:hint="eastAsia" w:ascii="宋体" w:hAnsi="宋体"/>
          <w:color w:val="000000"/>
        </w:rPr>
      </w:pPr>
      <w:r>
        <w:rPr>
          <w:rFonts w:hint="eastAsia" w:ascii="宋体" w:hAnsi="宋体"/>
          <w:color w:val="000000"/>
        </w:rPr>
        <w:t xml:space="preserve"> </w:t>
      </w:r>
    </w:p>
    <w:p w14:paraId="28AFCB43">
      <w:pPr>
        <w:spacing w:line="240" w:lineRule="exact"/>
        <w:rPr>
          <w:rFonts w:hint="eastAsia" w:ascii="宋体" w:hAnsi="宋体"/>
          <w:color w:val="000000"/>
          <w:sz w:val="44"/>
          <w:szCs w:val="44"/>
        </w:rPr>
      </w:pPr>
      <w:r>
        <w:rPr>
          <w:rFonts w:hint="eastAsia" w:ascii="宋体" w:hAnsi="宋体"/>
          <w:color w:val="000000"/>
          <w:sz w:val="44"/>
          <w:szCs w:val="44"/>
        </w:rPr>
        <w:t xml:space="preserve"> </w:t>
      </w:r>
    </w:p>
    <w:p w14:paraId="679A03A5">
      <w:pPr>
        <w:spacing w:line="160" w:lineRule="exact"/>
        <w:rPr>
          <w:rFonts w:hint="eastAsia" w:ascii="宋体" w:hAnsi="宋体"/>
          <w:color w:val="000000"/>
          <w:sz w:val="44"/>
          <w:szCs w:val="44"/>
        </w:rPr>
      </w:pPr>
      <w:r>
        <w:rPr>
          <w:rFonts w:hint="eastAsia" w:ascii="宋体" w:hAnsi="宋体"/>
          <w:color w:val="000000"/>
          <w:sz w:val="44"/>
          <w:szCs w:val="44"/>
        </w:rPr>
        <w:t xml:space="preserve"> </w:t>
      </w:r>
    </w:p>
    <w:p w14:paraId="2B736C66">
      <w:pPr>
        <w:spacing w:line="500" w:lineRule="exact"/>
        <w:ind w:firstLine="3580" w:firstLineChars="668"/>
        <w:rPr>
          <w:rFonts w:hint="eastAsia" w:ascii="宋体" w:hAnsi="宋体"/>
          <w:color w:val="000000"/>
          <w:spacing w:val="48"/>
          <w:sz w:val="44"/>
          <w:szCs w:val="44"/>
        </w:rPr>
      </w:pPr>
      <w:r>
        <w:rPr>
          <w:rFonts w:hint="eastAsia" w:ascii="宋体" w:hAnsi="宋体"/>
          <w:color w:val="000000"/>
          <w:spacing w:val="48"/>
          <w:sz w:val="44"/>
          <w:szCs w:val="44"/>
        </w:rPr>
        <w:t xml:space="preserve"> </w:t>
      </w:r>
    </w:p>
    <w:p w14:paraId="671F965E">
      <w:pPr>
        <w:spacing w:line="500" w:lineRule="exact"/>
        <w:ind w:firstLine="3580" w:firstLineChars="668"/>
        <w:rPr>
          <w:rFonts w:hint="eastAsia" w:ascii="宋体" w:hAnsi="宋体"/>
          <w:color w:val="000000"/>
        </w:rPr>
      </w:pPr>
      <w:r>
        <w:rPr>
          <w:rFonts w:hint="eastAsia" w:ascii="宋体" w:hAnsi="宋体"/>
          <w:color w:val="000000"/>
          <w:spacing w:val="48"/>
          <w:sz w:val="44"/>
          <w:szCs w:val="44"/>
        </w:rPr>
        <w:t xml:space="preserve"> </w:t>
      </w:r>
    </w:p>
    <w:p w14:paraId="6AEA6755">
      <w:pPr>
        <w:rPr>
          <w:rFonts w:hint="eastAsia" w:ascii="宋体" w:hAnsi="宋体"/>
          <w:color w:val="000000"/>
        </w:rPr>
      </w:pPr>
      <w:r>
        <w:rPr>
          <w:rFonts w:hint="eastAsia" w:ascii="宋体" w:hAnsi="宋体"/>
          <w:color w:val="000000"/>
        </w:rPr>
        <w:t xml:space="preserve"> </w:t>
      </w:r>
    </w:p>
    <w:p w14:paraId="1899193E">
      <w:pPr>
        <w:pStyle w:val="3"/>
        <w:adjustRightInd w:val="0"/>
        <w:snapToGrid w:val="0"/>
        <w:spacing w:line="560" w:lineRule="exact"/>
        <w:ind w:firstLine="4000" w:firstLineChars="1000"/>
        <w:jc w:val="both"/>
        <w:rPr>
          <w:rFonts w:ascii="方正小标宋_GBK" w:hAnsi="方正小标宋_GBK" w:cs="TimesNewRoman"/>
          <w:bCs/>
          <w:sz w:val="40"/>
          <w:szCs w:val="40"/>
        </w:rPr>
      </w:pPr>
    </w:p>
    <w:p w14:paraId="3EAA37C5">
      <w:pPr>
        <w:pStyle w:val="3"/>
        <w:adjustRightInd w:val="0"/>
        <w:snapToGrid w:val="0"/>
        <w:spacing w:line="560" w:lineRule="exact"/>
        <w:ind w:firstLine="4000" w:firstLineChars="1000"/>
        <w:jc w:val="both"/>
        <w:rPr>
          <w:rFonts w:hint="eastAsia" w:ascii="方正小标宋_GBK" w:hAnsi="TimesNewRoman" w:cs="TimesNewRoman"/>
          <w:bCs/>
          <w:sz w:val="40"/>
          <w:szCs w:val="40"/>
        </w:rPr>
      </w:pPr>
      <w:r>
        <w:rPr>
          <w:rFonts w:ascii="方正小标宋_GBK" w:hAnsi="方正小标宋_GBK" w:cs="TimesNewRoman"/>
          <w:bCs/>
          <w:sz w:val="40"/>
          <w:szCs w:val="40"/>
        </w:rPr>
        <w:t>目</w:t>
      </w:r>
      <w:r>
        <w:rPr>
          <w:rFonts w:ascii="方正小标宋_GBK" w:hAnsi="TimesNewRoman" w:cs="TimesNewRoman"/>
          <w:bCs/>
          <w:sz w:val="40"/>
          <w:szCs w:val="40"/>
        </w:rPr>
        <w:t xml:space="preserve">  </w:t>
      </w:r>
      <w:r>
        <w:rPr>
          <w:rFonts w:ascii="方正小标宋_GBK" w:hAnsi="方正小标宋_GBK" w:cs="TimesNewRoman"/>
          <w:bCs/>
          <w:sz w:val="40"/>
          <w:szCs w:val="40"/>
        </w:rPr>
        <w:t>录</w:t>
      </w:r>
    </w:p>
    <w:p w14:paraId="2B268075">
      <w:pPr>
        <w:pStyle w:val="3"/>
        <w:topLinePunct/>
        <w:adjustRightInd w:val="0"/>
        <w:snapToGrid w:val="0"/>
        <w:spacing w:line="560" w:lineRule="exact"/>
        <w:ind w:firstLine="640" w:firstLineChars="200"/>
        <w:jc w:val="both"/>
        <w:rPr>
          <w:rFonts w:ascii="黑体" w:hAnsi="黑体" w:eastAsia="黑体" w:cs="TimesNewRoman"/>
          <w:sz w:val="32"/>
          <w:szCs w:val="32"/>
        </w:rPr>
      </w:pPr>
      <w:r>
        <w:rPr>
          <w:rFonts w:hint="eastAsia" w:ascii="黑体" w:hAnsi="黑体" w:eastAsia="黑体" w:cs="TimesNewRoman"/>
          <w:sz w:val="32"/>
          <w:szCs w:val="32"/>
        </w:rPr>
        <w:t xml:space="preserve"> </w:t>
      </w:r>
    </w:p>
    <w:p w14:paraId="14C39B21">
      <w:pPr>
        <w:pStyle w:val="3"/>
        <w:topLinePunct/>
        <w:adjustRightInd w:val="0"/>
        <w:snapToGrid w:val="0"/>
        <w:spacing w:line="560" w:lineRule="exact"/>
        <w:ind w:firstLine="640" w:firstLineChars="200"/>
        <w:jc w:val="both"/>
        <w:rPr>
          <w:rFonts w:hint="eastAsia" w:ascii="黑体" w:hAnsi="黑体" w:eastAsia="黑体" w:cs="TimesNewRoman"/>
          <w:sz w:val="32"/>
          <w:szCs w:val="32"/>
        </w:rPr>
      </w:pPr>
      <w:r>
        <w:rPr>
          <w:rFonts w:hint="eastAsia" w:ascii="黑体" w:hAnsi="黑体" w:eastAsia="黑体" w:cs="TimesNewRoman"/>
          <w:sz w:val="32"/>
          <w:szCs w:val="32"/>
        </w:rPr>
        <w:t>第一部分 单位概况</w:t>
      </w:r>
    </w:p>
    <w:p w14:paraId="703BA466">
      <w:pPr>
        <w:pStyle w:val="3"/>
        <w:topLinePunct/>
        <w:adjustRightInd w:val="0"/>
        <w:snapToGrid w:val="0"/>
        <w:spacing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1.主要职责</w:t>
      </w:r>
    </w:p>
    <w:p w14:paraId="5A7922AE">
      <w:pPr>
        <w:pStyle w:val="3"/>
        <w:topLinePunct/>
        <w:adjustRightInd w:val="0"/>
        <w:snapToGrid w:val="0"/>
        <w:spacing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2.预算构成</w:t>
      </w:r>
    </w:p>
    <w:p w14:paraId="1E72BA17">
      <w:pPr>
        <w:pStyle w:val="3"/>
        <w:topLinePunct/>
        <w:adjustRightInd w:val="0"/>
        <w:snapToGrid w:val="0"/>
        <w:spacing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3.2026年度主要工作任务</w:t>
      </w:r>
    </w:p>
    <w:p w14:paraId="54A50E54">
      <w:pPr>
        <w:pStyle w:val="3"/>
        <w:topLinePunct/>
        <w:adjustRightInd w:val="0"/>
        <w:snapToGrid w:val="0"/>
        <w:spacing w:line="560" w:lineRule="exact"/>
        <w:ind w:firstLine="640" w:firstLineChars="200"/>
        <w:jc w:val="both"/>
        <w:rPr>
          <w:rFonts w:hint="eastAsia" w:ascii="黑体" w:hAnsi="黑体" w:eastAsia="黑体" w:cs="TimesNewRoman"/>
          <w:sz w:val="32"/>
          <w:szCs w:val="32"/>
        </w:rPr>
      </w:pPr>
      <w:r>
        <w:rPr>
          <w:rFonts w:hint="eastAsia" w:ascii="黑体" w:hAnsi="黑体" w:eastAsia="黑体" w:cs="TimesNewRoman"/>
          <w:sz w:val="32"/>
          <w:szCs w:val="32"/>
        </w:rPr>
        <w:t>第二部分 2026年部门预算情况说明</w:t>
      </w:r>
    </w:p>
    <w:p w14:paraId="1663904C">
      <w:pPr>
        <w:pStyle w:val="3"/>
        <w:topLinePunct/>
        <w:adjustRightInd w:val="0"/>
        <w:snapToGrid w:val="0"/>
        <w:spacing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1.关于2026年收支总表的说明</w:t>
      </w:r>
    </w:p>
    <w:p w14:paraId="2567AFF0">
      <w:pPr>
        <w:pStyle w:val="3"/>
        <w:topLinePunct/>
        <w:adjustRightInd w:val="0"/>
        <w:snapToGrid w:val="0"/>
        <w:spacing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2.关于2026年收入总表的说明</w:t>
      </w:r>
    </w:p>
    <w:p w14:paraId="5B7966C1">
      <w:pPr>
        <w:pStyle w:val="3"/>
        <w:topLinePunct/>
        <w:adjustRightInd w:val="0"/>
        <w:snapToGrid w:val="0"/>
        <w:spacing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3.关于2026年支出总表的说明</w:t>
      </w:r>
    </w:p>
    <w:p w14:paraId="7911B910">
      <w:pPr>
        <w:pStyle w:val="3"/>
        <w:topLinePunct/>
        <w:adjustRightInd w:val="0"/>
        <w:snapToGrid w:val="0"/>
        <w:spacing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4.关于2026年财政拨款收支总表的说明</w:t>
      </w:r>
    </w:p>
    <w:p w14:paraId="591C14AF">
      <w:pPr>
        <w:pStyle w:val="3"/>
        <w:topLinePunct/>
        <w:adjustRightInd w:val="0"/>
        <w:snapToGrid w:val="0"/>
        <w:spacing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5.关于2026年一般公共预算支出表的说明</w:t>
      </w:r>
    </w:p>
    <w:p w14:paraId="7CCDFFC2">
      <w:pPr>
        <w:pStyle w:val="3"/>
        <w:topLinePunct/>
        <w:adjustRightInd w:val="0"/>
        <w:snapToGrid w:val="0"/>
        <w:spacing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6.关于2026年一般公共预算基本支出表的说明</w:t>
      </w:r>
    </w:p>
    <w:p w14:paraId="4716E834">
      <w:pPr>
        <w:pStyle w:val="3"/>
        <w:topLinePunct/>
        <w:adjustRightInd w:val="0"/>
        <w:snapToGrid w:val="0"/>
        <w:spacing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7.关于2026年政府性基金预算支出表的说明</w:t>
      </w:r>
    </w:p>
    <w:p w14:paraId="04F5380E">
      <w:pPr>
        <w:pStyle w:val="3"/>
        <w:topLinePunct/>
        <w:adjustRightInd w:val="0"/>
        <w:snapToGrid w:val="0"/>
        <w:spacing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8.关于2026年国有资本经营预算支出表的说明</w:t>
      </w:r>
    </w:p>
    <w:p w14:paraId="3FBADE8E">
      <w:pPr>
        <w:pStyle w:val="3"/>
        <w:topLinePunct/>
        <w:adjustRightInd w:val="0"/>
        <w:snapToGrid w:val="0"/>
        <w:spacing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9.关于2026年项目支出表的说明</w:t>
      </w:r>
    </w:p>
    <w:p w14:paraId="15867DD2">
      <w:pPr>
        <w:pStyle w:val="3"/>
        <w:topLinePunct/>
        <w:adjustRightInd w:val="0"/>
        <w:snapToGrid w:val="0"/>
        <w:spacing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10.关于2026年政府采购支出表的说明</w:t>
      </w:r>
    </w:p>
    <w:p w14:paraId="7C336A72">
      <w:pPr>
        <w:pStyle w:val="3"/>
        <w:topLinePunct/>
        <w:adjustRightInd w:val="0"/>
        <w:snapToGrid w:val="0"/>
        <w:spacing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11.关于2026年政府购买服务支出表的说明</w:t>
      </w:r>
    </w:p>
    <w:p w14:paraId="3F50E2E6">
      <w:pPr>
        <w:pStyle w:val="3"/>
        <w:topLinePunct/>
        <w:adjustRightInd w:val="0"/>
        <w:snapToGrid w:val="0"/>
        <w:spacing w:line="560" w:lineRule="exact"/>
        <w:ind w:firstLine="643" w:firstLineChars="200"/>
        <w:jc w:val="both"/>
        <w:rPr>
          <w:rFonts w:hint="eastAsia" w:ascii="仿宋_GB2312" w:hAnsi="TimesNewRoman" w:eastAsia="仿宋_GB2312" w:cs="TimesNewRoman"/>
          <w:bCs/>
          <w:sz w:val="32"/>
          <w:szCs w:val="32"/>
        </w:rPr>
      </w:pPr>
      <w:r>
        <w:rPr>
          <w:rFonts w:hint="eastAsia" w:ascii="楷体_GB2312" w:hAnsi="TimesNewRoman" w:eastAsia="楷体_GB2312" w:cs="TimesNewRoman"/>
          <w:b/>
          <w:sz w:val="32"/>
          <w:szCs w:val="32"/>
        </w:rPr>
        <w:t>1</w:t>
      </w:r>
      <w:r>
        <w:rPr>
          <w:rFonts w:hint="eastAsia" w:ascii="楷体_GB2312" w:hAnsi="TimesNewRoman" w:eastAsia="楷体_GB2312" w:cs="TimesNewRoman"/>
          <w:bCs/>
          <w:sz w:val="32"/>
          <w:szCs w:val="32"/>
        </w:rPr>
        <w:t>2、2026年一般公共预算</w:t>
      </w:r>
      <w:r>
        <w:rPr>
          <w:rFonts w:hint="eastAsia" w:ascii="TimesNewRoman" w:hAnsi="TimesNewRoman" w:eastAsia="楷体_GB2312" w:cs="TimesNewRoman"/>
          <w:bCs/>
          <w:sz w:val="32"/>
          <w:szCs w:val="32"/>
        </w:rPr>
        <w:t>“</w:t>
      </w:r>
      <w:r>
        <w:rPr>
          <w:rFonts w:hint="eastAsia" w:ascii="楷体_GB2312" w:hAnsi="TimesNewRoman" w:eastAsia="楷体_GB2312" w:cs="TimesNewRoman"/>
          <w:bCs/>
          <w:sz w:val="32"/>
          <w:szCs w:val="32"/>
        </w:rPr>
        <w:t>三公</w:t>
      </w:r>
      <w:r>
        <w:rPr>
          <w:rFonts w:hint="eastAsia" w:ascii="TimesNewRoman" w:hAnsi="TimesNewRoman" w:eastAsia="楷体_GB2312" w:cs="TimesNewRoman"/>
          <w:bCs/>
          <w:sz w:val="32"/>
          <w:szCs w:val="32"/>
        </w:rPr>
        <w:t>”</w:t>
      </w:r>
      <w:r>
        <w:rPr>
          <w:rFonts w:hint="eastAsia" w:ascii="楷体_GB2312" w:hAnsi="TimesNewRoman" w:eastAsia="楷体_GB2312" w:cs="TimesNewRoman"/>
          <w:bCs/>
          <w:sz w:val="32"/>
          <w:szCs w:val="32"/>
        </w:rPr>
        <w:t>经费支出预算情况说明</w:t>
      </w:r>
    </w:p>
    <w:p w14:paraId="2DFBE66A">
      <w:pPr>
        <w:pStyle w:val="3"/>
        <w:topLinePunct/>
        <w:adjustRightInd w:val="0"/>
        <w:snapToGrid w:val="0"/>
        <w:spacing w:line="560" w:lineRule="exact"/>
        <w:ind w:firstLine="640" w:firstLineChars="200"/>
        <w:jc w:val="both"/>
        <w:rPr>
          <w:rFonts w:hint="eastAsia" w:ascii="黑体" w:hAnsi="黑体" w:eastAsia="黑体" w:cs="TimesNewRoman"/>
          <w:sz w:val="32"/>
          <w:szCs w:val="32"/>
        </w:rPr>
      </w:pPr>
      <w:r>
        <w:rPr>
          <w:rFonts w:hint="eastAsia" w:ascii="仿宋_GB2312" w:hAnsi="TimesNewRoman" w:eastAsia="仿宋_GB2312" w:cs="TimesNewRoman"/>
          <w:bCs/>
          <w:sz w:val="32"/>
          <w:szCs w:val="32"/>
        </w:rPr>
        <w:t>13.其他重要事项情况说明</w:t>
      </w:r>
    </w:p>
    <w:p w14:paraId="21BBDB23">
      <w:pPr>
        <w:pStyle w:val="3"/>
        <w:topLinePunct/>
        <w:adjustRightInd w:val="0"/>
        <w:snapToGrid w:val="0"/>
        <w:spacing w:line="560" w:lineRule="exact"/>
        <w:ind w:firstLine="640" w:firstLineChars="200"/>
        <w:jc w:val="both"/>
        <w:rPr>
          <w:rFonts w:hint="eastAsia" w:ascii="黑体" w:hAnsi="黑体" w:eastAsia="黑体" w:cs="TimesNewRoman"/>
          <w:sz w:val="32"/>
          <w:szCs w:val="32"/>
        </w:rPr>
      </w:pPr>
      <w:r>
        <w:rPr>
          <w:rFonts w:hint="eastAsia" w:ascii="黑体" w:hAnsi="黑体" w:eastAsia="黑体" w:cs="TimesNewRoman"/>
          <w:sz w:val="32"/>
          <w:szCs w:val="32"/>
        </w:rPr>
        <w:t xml:space="preserve"> </w:t>
      </w:r>
    </w:p>
    <w:p w14:paraId="6A1A4B90">
      <w:pPr>
        <w:pStyle w:val="3"/>
        <w:topLinePunct/>
        <w:adjustRightInd w:val="0"/>
        <w:snapToGrid w:val="0"/>
        <w:spacing w:line="560" w:lineRule="exact"/>
        <w:ind w:firstLine="640" w:firstLineChars="200"/>
        <w:jc w:val="both"/>
        <w:rPr>
          <w:rFonts w:hint="eastAsia" w:ascii="黑体" w:hAnsi="黑体" w:eastAsia="黑体" w:cs="TimesNewRoman"/>
          <w:sz w:val="32"/>
          <w:szCs w:val="32"/>
        </w:rPr>
      </w:pPr>
      <w:r>
        <w:rPr>
          <w:rFonts w:hint="eastAsia" w:ascii="黑体" w:hAnsi="黑体" w:eastAsia="黑体" w:cs="TimesNewRoman"/>
          <w:sz w:val="32"/>
          <w:szCs w:val="32"/>
        </w:rPr>
        <w:t>第三部分 名词解释</w:t>
      </w:r>
    </w:p>
    <w:p w14:paraId="517C6CF8">
      <w:pPr>
        <w:pStyle w:val="3"/>
        <w:topLinePunct/>
        <w:adjustRightInd w:val="0"/>
        <w:snapToGrid w:val="0"/>
        <w:spacing w:line="560" w:lineRule="exact"/>
        <w:ind w:firstLine="643" w:firstLineChars="200"/>
        <w:jc w:val="both"/>
        <w:rPr>
          <w:rFonts w:hint="eastAsia" w:ascii="TimesNewRoman" w:hAnsi="TimesNewRoman" w:eastAsia="仿宋_GB2312"/>
          <w:b/>
          <w:sz w:val="32"/>
          <w:szCs w:val="32"/>
        </w:rPr>
      </w:pPr>
      <w:r>
        <w:rPr>
          <w:rFonts w:ascii="TimesNewRoman" w:hAnsi="TimesNewRoman" w:eastAsia="仿宋_GB2312"/>
          <w:b/>
          <w:sz w:val="32"/>
          <w:szCs w:val="32"/>
        </w:rPr>
        <w:t xml:space="preserve"> </w:t>
      </w:r>
    </w:p>
    <w:p w14:paraId="06D2E862">
      <w:pPr>
        <w:pStyle w:val="3"/>
        <w:topLinePunct/>
        <w:adjustRightInd w:val="0"/>
        <w:snapToGrid w:val="0"/>
        <w:spacing w:line="560" w:lineRule="exact"/>
        <w:jc w:val="both"/>
        <w:rPr>
          <w:rFonts w:ascii="TimesNewRoman" w:hAnsi="TimesNewRoman" w:eastAsia="黑体"/>
          <w:bCs/>
          <w:sz w:val="36"/>
          <w:szCs w:val="36"/>
        </w:rPr>
      </w:pPr>
      <w:r>
        <w:rPr>
          <w:rFonts w:ascii="TimesNewRoman" w:hAnsi="TimesNewRoman" w:eastAsia="黑体"/>
          <w:bCs/>
          <w:sz w:val="36"/>
          <w:szCs w:val="36"/>
        </w:rPr>
        <w:t xml:space="preserve"> </w:t>
      </w:r>
    </w:p>
    <w:p w14:paraId="5DD2B03F">
      <w:pPr>
        <w:pStyle w:val="3"/>
        <w:topLinePunct/>
        <w:adjustRightInd w:val="0"/>
        <w:snapToGrid w:val="0"/>
        <w:spacing w:line="560" w:lineRule="exact"/>
        <w:jc w:val="both"/>
        <w:rPr>
          <w:rFonts w:ascii="TimesNewRoman" w:hAnsi="TimesNewRoman" w:eastAsia="黑体"/>
          <w:bCs/>
          <w:sz w:val="36"/>
          <w:szCs w:val="36"/>
        </w:rPr>
      </w:pPr>
    </w:p>
    <w:p w14:paraId="39CED087">
      <w:pPr>
        <w:pStyle w:val="3"/>
        <w:topLinePunct/>
        <w:adjustRightInd w:val="0"/>
        <w:snapToGrid w:val="0"/>
        <w:spacing w:line="560" w:lineRule="exact"/>
        <w:jc w:val="both"/>
        <w:rPr>
          <w:rFonts w:ascii="TimesNewRoman" w:hAnsi="TimesNewRoman" w:eastAsia="黑体"/>
          <w:bCs/>
          <w:sz w:val="36"/>
          <w:szCs w:val="36"/>
        </w:rPr>
      </w:pPr>
    </w:p>
    <w:p w14:paraId="68A8016F">
      <w:pPr>
        <w:pStyle w:val="3"/>
        <w:topLinePunct/>
        <w:adjustRightInd w:val="0"/>
        <w:snapToGrid w:val="0"/>
        <w:spacing w:line="560" w:lineRule="exact"/>
        <w:jc w:val="both"/>
        <w:rPr>
          <w:rFonts w:ascii="TimesNewRoman" w:hAnsi="TimesNewRoman" w:eastAsia="黑体"/>
          <w:bCs/>
          <w:sz w:val="36"/>
          <w:szCs w:val="36"/>
        </w:rPr>
      </w:pPr>
    </w:p>
    <w:p w14:paraId="1A4101A7">
      <w:pPr>
        <w:pStyle w:val="3"/>
        <w:topLinePunct/>
        <w:adjustRightInd w:val="0"/>
        <w:snapToGrid w:val="0"/>
        <w:spacing w:line="560" w:lineRule="exact"/>
        <w:jc w:val="both"/>
        <w:rPr>
          <w:rFonts w:ascii="TimesNewRoman" w:hAnsi="TimesNewRoman" w:eastAsia="黑体"/>
          <w:bCs/>
          <w:sz w:val="36"/>
          <w:szCs w:val="36"/>
        </w:rPr>
      </w:pPr>
    </w:p>
    <w:p w14:paraId="0198F92B">
      <w:pPr>
        <w:pStyle w:val="3"/>
        <w:topLinePunct/>
        <w:adjustRightInd w:val="0"/>
        <w:snapToGrid w:val="0"/>
        <w:spacing w:line="560" w:lineRule="exact"/>
        <w:jc w:val="both"/>
        <w:rPr>
          <w:rFonts w:ascii="TimesNewRoman" w:hAnsi="TimesNewRoman" w:eastAsia="黑体"/>
          <w:bCs/>
          <w:sz w:val="36"/>
          <w:szCs w:val="36"/>
        </w:rPr>
      </w:pPr>
    </w:p>
    <w:p w14:paraId="40F003BD">
      <w:pPr>
        <w:pStyle w:val="3"/>
        <w:topLinePunct/>
        <w:adjustRightInd w:val="0"/>
        <w:snapToGrid w:val="0"/>
        <w:spacing w:line="560" w:lineRule="exact"/>
        <w:jc w:val="both"/>
        <w:rPr>
          <w:rFonts w:ascii="TimesNewRoman" w:hAnsi="TimesNewRoman" w:eastAsia="黑体"/>
          <w:bCs/>
          <w:sz w:val="36"/>
          <w:szCs w:val="36"/>
        </w:rPr>
      </w:pPr>
    </w:p>
    <w:p w14:paraId="39F0A229">
      <w:pPr>
        <w:pStyle w:val="3"/>
        <w:topLinePunct/>
        <w:adjustRightInd w:val="0"/>
        <w:snapToGrid w:val="0"/>
        <w:spacing w:line="560" w:lineRule="exact"/>
        <w:jc w:val="both"/>
        <w:rPr>
          <w:rFonts w:ascii="TimesNewRoman" w:hAnsi="TimesNewRoman" w:eastAsia="黑体"/>
          <w:bCs/>
          <w:sz w:val="36"/>
          <w:szCs w:val="36"/>
        </w:rPr>
      </w:pPr>
      <w:r>
        <w:rPr>
          <w:rFonts w:ascii="TimesNewRoman" w:hAnsi="TimesNewRoman" w:eastAsia="黑体"/>
          <w:bCs/>
          <w:sz w:val="36"/>
          <w:szCs w:val="36"/>
        </w:rPr>
        <w:t xml:space="preserve"> </w:t>
      </w:r>
    </w:p>
    <w:p w14:paraId="6897187D">
      <w:pPr>
        <w:pStyle w:val="3"/>
        <w:adjustRightInd w:val="0"/>
        <w:snapToGrid w:val="0"/>
        <w:spacing w:before="0" w:beforeAutospacing="0" w:after="0" w:afterAutospacing="0" w:line="360" w:lineRule="auto"/>
        <w:jc w:val="center"/>
        <w:rPr>
          <w:rFonts w:ascii="方正小标宋简体" w:eastAsia="方正小标宋简体"/>
          <w:bCs/>
          <w:sz w:val="44"/>
          <w:szCs w:val="44"/>
        </w:rPr>
      </w:pPr>
      <w:r>
        <w:rPr>
          <w:rFonts w:hint="eastAsia" w:ascii="方正小标宋简体" w:eastAsia="方正小标宋简体"/>
          <w:bCs/>
          <w:sz w:val="44"/>
          <w:szCs w:val="44"/>
        </w:rPr>
        <w:t xml:space="preserve">第一部分 </w:t>
      </w:r>
      <w:r>
        <w:rPr>
          <w:rFonts w:hint="eastAsia" w:ascii="方正小标宋简体" w:eastAsia="方正小标宋简体"/>
          <w:bCs/>
          <w:sz w:val="44"/>
          <w:szCs w:val="44"/>
          <w:lang w:eastAsia="zh-CN"/>
        </w:rPr>
        <w:t>寿县农业科学研究所</w:t>
      </w:r>
      <w:r>
        <w:rPr>
          <w:rFonts w:hint="eastAsia" w:ascii="方正小标宋简体" w:eastAsia="方正小标宋简体"/>
          <w:bCs/>
          <w:sz w:val="44"/>
          <w:szCs w:val="44"/>
        </w:rPr>
        <w:t>概况</w:t>
      </w:r>
    </w:p>
    <w:p w14:paraId="407CABBE">
      <w:pPr>
        <w:pStyle w:val="3"/>
        <w:adjustRightInd w:val="0"/>
        <w:snapToGrid w:val="0"/>
        <w:spacing w:before="0" w:beforeAutospacing="0" w:after="0" w:afterAutospacing="0" w:line="360" w:lineRule="auto"/>
        <w:ind w:firstLine="627" w:firstLineChars="196"/>
        <w:jc w:val="both"/>
        <w:rPr>
          <w:rFonts w:hint="eastAsia" w:ascii="楷体_GB2312" w:eastAsia="楷体_GB2312"/>
          <w:b/>
          <w:sz w:val="32"/>
          <w:szCs w:val="32"/>
        </w:rPr>
      </w:pPr>
      <w:r>
        <w:rPr>
          <w:rFonts w:hint="eastAsia" w:ascii="黑体" w:hAnsi="黑体" w:eastAsia="黑体"/>
          <w:bCs/>
          <w:sz w:val="32"/>
          <w:szCs w:val="32"/>
        </w:rPr>
        <w:t>一、</w:t>
      </w:r>
      <w:r>
        <w:rPr>
          <w:rFonts w:hint="eastAsia" w:ascii="楷体_GB2312" w:eastAsia="楷体_GB2312"/>
          <w:b/>
          <w:sz w:val="32"/>
          <w:szCs w:val="32"/>
        </w:rPr>
        <w:t>主要职责</w:t>
      </w:r>
    </w:p>
    <w:p w14:paraId="5448DFD0">
      <w:pPr>
        <w:pStyle w:val="3"/>
        <w:adjustRightInd w:val="0"/>
        <w:snapToGrid w:val="0"/>
        <w:spacing w:before="0" w:beforeAutospacing="0" w:after="0" w:afterAutospacing="0" w:line="600" w:lineRule="exact"/>
        <w:ind w:firstLine="627" w:firstLineChars="196"/>
        <w:jc w:val="both"/>
        <w:rPr>
          <w:rFonts w:hint="eastAsia" w:ascii="仿宋_GB2312" w:hAnsi="仿宋" w:eastAsia="仿宋_GB2312"/>
          <w:sz w:val="32"/>
          <w:szCs w:val="32"/>
        </w:rPr>
      </w:pPr>
      <w:r>
        <w:rPr>
          <w:rFonts w:hint="eastAsia" w:ascii="仿宋_GB2312" w:hAnsi="仿宋" w:eastAsia="仿宋_GB2312"/>
          <w:sz w:val="32"/>
          <w:szCs w:val="32"/>
          <w:lang w:eastAsia="zh-CN"/>
        </w:rPr>
        <w:t>寿县农业科学研究所</w:t>
      </w:r>
      <w:r>
        <w:rPr>
          <w:rFonts w:hint="eastAsia" w:ascii="仿宋_GB2312" w:hAnsi="仿宋" w:eastAsia="仿宋_GB2312"/>
          <w:sz w:val="32"/>
          <w:szCs w:val="32"/>
        </w:rPr>
        <w:t>是寿县农业农村工作局所属全额拨款事业单位，担负着全县农业试验及推广和科研的重要职能。现有职工12，退休人员37.</w:t>
      </w:r>
    </w:p>
    <w:p w14:paraId="4B8C3435">
      <w:pPr>
        <w:pStyle w:val="3"/>
        <w:topLinePunct/>
        <w:adjustRightInd w:val="0"/>
        <w:snapToGrid w:val="0"/>
        <w:spacing w:line="580" w:lineRule="exact"/>
        <w:ind w:firstLine="640" w:firstLineChars="200"/>
        <w:jc w:val="both"/>
        <w:rPr>
          <w:rFonts w:hint="eastAsia" w:ascii="楷体_GB2312" w:hAnsi="TimesNewRoman" w:eastAsia="楷体_GB2312" w:cs="TimesNewRoman"/>
          <w:b/>
          <w:bCs/>
          <w:sz w:val="32"/>
          <w:szCs w:val="32"/>
        </w:rPr>
      </w:pPr>
      <w:r>
        <w:rPr>
          <w:rFonts w:hint="eastAsia" w:ascii="仿宋_GB2312" w:hAnsi="黑体" w:eastAsia="仿宋_GB2312"/>
          <w:bCs/>
          <w:sz w:val="32"/>
          <w:szCs w:val="32"/>
        </w:rPr>
        <w:t xml:space="preserve"> </w:t>
      </w:r>
      <w:r>
        <w:rPr>
          <w:rFonts w:hint="eastAsia" w:ascii="楷体_GB2312" w:hAnsi="TimesNewRoman" w:eastAsia="楷体_GB2312" w:cs="TimesNewRoman"/>
          <w:b/>
          <w:bCs/>
          <w:sz w:val="32"/>
          <w:szCs w:val="32"/>
        </w:rPr>
        <w:t>二、预算构成</w:t>
      </w:r>
    </w:p>
    <w:p w14:paraId="72B20F4C">
      <w:pPr>
        <w:pStyle w:val="3"/>
        <w:topLinePunct/>
        <w:adjustRightInd w:val="0"/>
        <w:snapToGrid w:val="0"/>
        <w:spacing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寿县农业科学研究所</w:t>
      </w:r>
      <w:r>
        <w:rPr>
          <w:rFonts w:hint="eastAsia" w:ascii="仿宋_GB2312" w:hAnsi="TimesNewRoman" w:eastAsia="仿宋_GB2312" w:cs="TimesNewRoman"/>
          <w:sz w:val="32"/>
          <w:szCs w:val="32"/>
        </w:rPr>
        <w:t>年度部门预算仅包括本级预算，无其他下属单位预算。</w:t>
      </w:r>
    </w:p>
    <w:p w14:paraId="13923186">
      <w:pPr>
        <w:pStyle w:val="3"/>
        <w:topLinePunct/>
        <w:adjustRightInd w:val="0"/>
        <w:snapToGrid w:val="0"/>
        <w:spacing w:line="580" w:lineRule="exact"/>
        <w:ind w:firstLine="643" w:firstLineChars="200"/>
        <w:jc w:val="both"/>
        <w:rPr>
          <w:rFonts w:hint="eastAsia" w:ascii="TimesNewRoman" w:hAnsi="TimesNewRoman" w:eastAsia="仿宋_GB2312"/>
          <w:bCs/>
          <w:sz w:val="32"/>
          <w:szCs w:val="32"/>
        </w:rPr>
      </w:pPr>
      <w:r>
        <w:rPr>
          <w:rFonts w:hint="eastAsia" w:ascii="楷体_GB2312" w:hAnsi="TimesNewRoman" w:eastAsia="楷体_GB2312" w:cs="TimesNewRoman"/>
          <w:b/>
          <w:bCs/>
          <w:sz w:val="32"/>
          <w:szCs w:val="32"/>
        </w:rPr>
        <w:t>三、2026年度主要工作任务</w:t>
      </w:r>
    </w:p>
    <w:p w14:paraId="146CA930">
      <w:pPr>
        <w:pStyle w:val="3"/>
        <w:adjustRightInd w:val="0"/>
        <w:snapToGrid w:val="0"/>
        <w:spacing w:before="0" w:beforeAutospacing="0" w:after="0" w:afterAutospacing="0" w:line="600" w:lineRule="exact"/>
        <w:ind w:firstLine="627" w:firstLineChars="196"/>
        <w:jc w:val="both"/>
        <w:rPr>
          <w:rFonts w:ascii="仿宋_GB2312" w:hAnsi="仿宋" w:eastAsia="仿宋_GB2312"/>
          <w:sz w:val="32"/>
          <w:szCs w:val="32"/>
        </w:rPr>
      </w:pPr>
      <w:r>
        <w:rPr>
          <w:rFonts w:hint="eastAsia" w:ascii="仿宋_GB2312" w:hAnsi="黑体" w:eastAsia="仿宋_GB2312"/>
          <w:bCs/>
          <w:sz w:val="32"/>
          <w:szCs w:val="32"/>
        </w:rPr>
        <w:tab/>
      </w:r>
      <w:r>
        <w:rPr>
          <w:rFonts w:hint="eastAsia" w:ascii="仿宋_GB2312" w:hAnsi="仿宋" w:eastAsia="仿宋_GB2312"/>
          <w:sz w:val="32"/>
          <w:szCs w:val="32"/>
        </w:rPr>
        <w:t>1、农作物新品种区域试验工作；</w:t>
      </w:r>
    </w:p>
    <w:p w14:paraId="26982461">
      <w:pPr>
        <w:pStyle w:val="3"/>
        <w:adjustRightInd w:val="0"/>
        <w:snapToGrid w:val="0"/>
        <w:spacing w:before="0" w:beforeAutospacing="0" w:after="0" w:afterAutospacing="0" w:line="600" w:lineRule="exact"/>
        <w:ind w:firstLine="627" w:firstLineChars="196"/>
        <w:jc w:val="both"/>
        <w:rPr>
          <w:rFonts w:hint="eastAsia" w:ascii="仿宋_GB2312" w:hAnsi="仿宋" w:eastAsia="仿宋_GB2312"/>
          <w:sz w:val="32"/>
          <w:szCs w:val="32"/>
        </w:rPr>
      </w:pPr>
      <w:r>
        <w:rPr>
          <w:rFonts w:hint="eastAsia" w:ascii="仿宋" w:hAnsi="仿宋" w:eastAsia="仿宋"/>
          <w:sz w:val="32"/>
          <w:szCs w:val="32"/>
        </w:rPr>
        <w:t xml:space="preserve">    </w:t>
      </w:r>
      <w:r>
        <w:rPr>
          <w:rFonts w:hint="eastAsia" w:ascii="仿宋_GB2312" w:hAnsi="仿宋" w:eastAsia="仿宋_GB2312"/>
          <w:sz w:val="32"/>
          <w:szCs w:val="32"/>
        </w:rPr>
        <w:t>2、关键技术的引进、试验、示范工作；</w:t>
      </w:r>
    </w:p>
    <w:p w14:paraId="5ABB0682">
      <w:pPr>
        <w:pStyle w:val="3"/>
        <w:adjustRightInd w:val="0"/>
        <w:snapToGrid w:val="0"/>
        <w:spacing w:before="0" w:beforeAutospacing="0" w:after="0" w:afterAutospacing="0" w:line="600" w:lineRule="exact"/>
        <w:ind w:firstLine="627" w:firstLineChars="196"/>
        <w:jc w:val="both"/>
        <w:rPr>
          <w:rFonts w:hint="eastAsia" w:ascii="仿宋_GB2312" w:hAnsi="仿宋" w:eastAsia="仿宋_GB2312"/>
          <w:sz w:val="32"/>
          <w:szCs w:val="32"/>
        </w:rPr>
      </w:pPr>
      <w:r>
        <w:rPr>
          <w:rFonts w:hint="eastAsia" w:ascii="仿宋" w:hAnsi="仿宋" w:eastAsia="仿宋"/>
          <w:sz w:val="32"/>
          <w:szCs w:val="32"/>
        </w:rPr>
        <w:t xml:space="preserve">    </w:t>
      </w:r>
      <w:r>
        <w:rPr>
          <w:rFonts w:hint="eastAsia" w:ascii="仿宋_GB2312" w:hAnsi="仿宋" w:eastAsia="仿宋_GB2312"/>
          <w:sz w:val="32"/>
          <w:szCs w:val="32"/>
        </w:rPr>
        <w:t>3、承担省安排的预备试验和生产试验工作；</w:t>
      </w:r>
    </w:p>
    <w:p w14:paraId="3024B810">
      <w:pPr>
        <w:pStyle w:val="3"/>
        <w:adjustRightInd w:val="0"/>
        <w:snapToGrid w:val="0"/>
        <w:spacing w:before="0" w:beforeAutospacing="0" w:after="0" w:afterAutospacing="0" w:line="600" w:lineRule="exact"/>
        <w:ind w:firstLine="627" w:firstLineChars="196"/>
        <w:jc w:val="both"/>
        <w:rPr>
          <w:rFonts w:hint="eastAsia" w:ascii="仿宋_GB2312" w:hAnsi="仿宋" w:eastAsia="仿宋_GB2312"/>
          <w:sz w:val="32"/>
          <w:szCs w:val="32"/>
        </w:rPr>
      </w:pPr>
      <w:r>
        <w:rPr>
          <w:rFonts w:hint="eastAsia" w:ascii="仿宋" w:hAnsi="仿宋" w:eastAsia="仿宋"/>
          <w:sz w:val="32"/>
          <w:szCs w:val="32"/>
        </w:rPr>
        <w:t xml:space="preserve">    </w:t>
      </w:r>
      <w:r>
        <w:rPr>
          <w:rFonts w:hint="eastAsia" w:ascii="仿宋_GB2312" w:hAnsi="仿宋" w:eastAsia="仿宋_GB2312"/>
          <w:sz w:val="32"/>
          <w:szCs w:val="32"/>
        </w:rPr>
        <w:t>4、从事农作物新品种育种工作；</w:t>
      </w:r>
    </w:p>
    <w:p w14:paraId="14E984F1">
      <w:pPr>
        <w:pStyle w:val="3"/>
        <w:adjustRightInd w:val="0"/>
        <w:snapToGrid w:val="0"/>
        <w:spacing w:before="0" w:beforeAutospacing="0" w:after="0" w:afterAutospacing="0" w:line="600" w:lineRule="exact"/>
        <w:ind w:firstLine="627" w:firstLineChars="196"/>
        <w:jc w:val="both"/>
        <w:rPr>
          <w:rFonts w:hint="eastAsia" w:ascii="仿宋_GB2312" w:hAnsi="仿宋" w:eastAsia="仿宋_GB2312"/>
          <w:sz w:val="32"/>
          <w:szCs w:val="32"/>
        </w:rPr>
      </w:pPr>
      <w:r>
        <w:rPr>
          <w:rFonts w:hint="eastAsia" w:ascii="仿宋" w:hAnsi="仿宋" w:eastAsia="仿宋"/>
          <w:sz w:val="32"/>
          <w:szCs w:val="32"/>
        </w:rPr>
        <w:t xml:space="preserve">    </w:t>
      </w:r>
      <w:r>
        <w:rPr>
          <w:rFonts w:hint="eastAsia" w:ascii="仿宋_GB2312" w:hAnsi="仿宋" w:eastAsia="仿宋_GB2312"/>
          <w:sz w:val="32"/>
          <w:szCs w:val="32"/>
        </w:rPr>
        <w:t>5、新技术、新成果的推广、转化工作；</w:t>
      </w:r>
    </w:p>
    <w:p w14:paraId="29BB1B48">
      <w:pPr>
        <w:pStyle w:val="3"/>
        <w:adjustRightInd w:val="0"/>
        <w:snapToGrid w:val="0"/>
        <w:spacing w:before="0" w:beforeAutospacing="0" w:after="0" w:afterAutospacing="0" w:line="600" w:lineRule="exact"/>
        <w:ind w:firstLine="627" w:firstLineChars="196"/>
        <w:jc w:val="both"/>
        <w:rPr>
          <w:rFonts w:hint="eastAsia" w:ascii="仿宋_GB2312" w:hAnsi="仿宋" w:eastAsia="仿宋_GB2312"/>
          <w:sz w:val="32"/>
          <w:szCs w:val="32"/>
        </w:rPr>
      </w:pPr>
      <w:r>
        <w:rPr>
          <w:rFonts w:hint="eastAsia" w:ascii="仿宋" w:hAnsi="仿宋" w:eastAsia="仿宋"/>
          <w:sz w:val="32"/>
          <w:szCs w:val="32"/>
        </w:rPr>
        <w:t xml:space="preserve">    </w:t>
      </w:r>
      <w:r>
        <w:rPr>
          <w:rFonts w:hint="eastAsia" w:ascii="仿宋_GB2312" w:hAnsi="仿宋" w:eastAsia="仿宋_GB2312"/>
          <w:sz w:val="32"/>
          <w:szCs w:val="32"/>
        </w:rPr>
        <w:t>6、承担上级安排的其他任务。</w:t>
      </w:r>
    </w:p>
    <w:p w14:paraId="3168C21E">
      <w:pPr>
        <w:widowControl/>
        <w:jc w:val="left"/>
        <w:rPr>
          <w:rFonts w:hint="eastAsia" w:ascii="TimesNewRoman" w:hAnsi="TimesNewRoman" w:eastAsia="仿宋_GB2312" w:cs="TimesNewRoman"/>
          <w:bCs/>
          <w:kern w:val="0"/>
          <w:sz w:val="32"/>
          <w:szCs w:val="32"/>
        </w:rPr>
        <w:sectPr>
          <w:pgSz w:w="11907" w:h="16840"/>
          <w:pgMar w:top="1803" w:right="1440" w:bottom="1803" w:left="1440" w:header="851" w:footer="1020" w:gutter="0"/>
          <w:cols w:space="720" w:num="1"/>
          <w:docGrid w:type="lines" w:linePitch="312" w:charSpace="0"/>
        </w:sectPr>
      </w:pPr>
    </w:p>
    <w:p w14:paraId="1F3FBBB1">
      <w:pPr>
        <w:pStyle w:val="3"/>
        <w:topLinePunct/>
        <w:adjustRightInd w:val="0"/>
        <w:snapToGrid w:val="0"/>
        <w:spacing w:line="560" w:lineRule="exact"/>
        <w:jc w:val="center"/>
        <w:rPr>
          <w:rFonts w:hint="eastAsia" w:ascii="TimesNewRoman" w:hAnsi="TimesNewRoman" w:eastAsia="黑体"/>
          <w:bCs/>
          <w:sz w:val="36"/>
          <w:szCs w:val="36"/>
        </w:rPr>
      </w:pPr>
      <w:r>
        <w:rPr>
          <w:rFonts w:ascii="黑体" w:hAnsi="黑体" w:eastAsia="黑体"/>
          <w:bCs/>
          <w:sz w:val="36"/>
          <w:szCs w:val="36"/>
        </w:rPr>
        <w:t>第</w:t>
      </w:r>
      <w:r>
        <w:rPr>
          <w:rFonts w:hint="eastAsia" w:ascii="黑体" w:hAnsi="黑体" w:eastAsia="黑体" w:cs="TimesNewRoman"/>
          <w:bCs/>
          <w:sz w:val="36"/>
          <w:szCs w:val="36"/>
        </w:rPr>
        <w:t>二</w:t>
      </w:r>
      <w:r>
        <w:rPr>
          <w:rFonts w:ascii="黑体" w:hAnsi="黑体" w:eastAsia="黑体"/>
          <w:bCs/>
          <w:sz w:val="36"/>
          <w:szCs w:val="36"/>
        </w:rPr>
        <w:t>部分</w:t>
      </w:r>
      <w:r>
        <w:rPr>
          <w:rFonts w:ascii="TimesNewRoman" w:hAnsi="TimesNewRoman" w:eastAsia="黑体"/>
          <w:bCs/>
          <w:sz w:val="36"/>
          <w:szCs w:val="36"/>
        </w:rPr>
        <w:t xml:space="preserve"> </w:t>
      </w:r>
      <w:r>
        <w:rPr>
          <w:rFonts w:hint="eastAsia" w:ascii="TimesNewRoman" w:hAnsi="TimesNewRoman" w:eastAsia="黑体" w:cs="TimesNewRoman"/>
          <w:bCs/>
          <w:sz w:val="36"/>
          <w:szCs w:val="36"/>
        </w:rPr>
        <w:t>2026</w:t>
      </w:r>
      <w:r>
        <w:rPr>
          <w:rFonts w:ascii="黑体" w:hAnsi="黑体" w:eastAsia="黑体"/>
          <w:bCs/>
          <w:sz w:val="36"/>
          <w:szCs w:val="36"/>
        </w:rPr>
        <w:t>年预算情况说明</w:t>
      </w:r>
    </w:p>
    <w:p w14:paraId="3A3D362E">
      <w:pPr>
        <w:pStyle w:val="3"/>
        <w:topLinePunct/>
        <w:adjustRightInd w:val="0"/>
        <w:snapToGrid w:val="0"/>
        <w:spacing w:line="580" w:lineRule="exact"/>
        <w:ind w:firstLine="643"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 xml:space="preserve"> </w:t>
      </w:r>
    </w:p>
    <w:p w14:paraId="1637F55A">
      <w:pPr>
        <w:pStyle w:val="3"/>
        <w:topLinePunct/>
        <w:adjustRightInd w:val="0"/>
        <w:snapToGrid w:val="0"/>
        <w:spacing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一、关于2026年收支总表的说明</w:t>
      </w:r>
    </w:p>
    <w:p w14:paraId="76D838CA">
      <w:pPr>
        <w:rPr>
          <w:rFonts w:ascii="仿宋_GB2312" w:hAnsi="仿宋" w:eastAsia="仿宋_GB2312"/>
          <w:sz w:val="32"/>
          <w:szCs w:val="32"/>
        </w:rPr>
      </w:pPr>
      <w:r>
        <w:rPr>
          <w:rFonts w:hint="eastAsia" w:ascii="仿宋_GB2312" w:hAnsi="仿宋" w:eastAsia="仿宋_GB2312"/>
          <w:sz w:val="32"/>
          <w:szCs w:val="32"/>
        </w:rPr>
        <w:t>按照综合预算的原则，</w:t>
      </w:r>
      <w:r>
        <w:rPr>
          <w:rFonts w:hint="eastAsia" w:ascii="仿宋_GB2312" w:hAnsi="仿宋" w:eastAsia="仿宋_GB2312"/>
          <w:sz w:val="32"/>
          <w:szCs w:val="32"/>
          <w:lang w:eastAsia="zh-CN"/>
        </w:rPr>
        <w:t>寿县农业科学研究所</w:t>
      </w:r>
      <w:r>
        <w:rPr>
          <w:rFonts w:hint="eastAsia" w:ascii="仿宋_GB2312" w:hAnsi="仿宋" w:eastAsia="仿宋_GB2312"/>
          <w:sz w:val="32"/>
          <w:szCs w:val="32"/>
        </w:rPr>
        <w:t>所有收入和支出均纳入单位预算管理。</w:t>
      </w:r>
      <w:r>
        <w:rPr>
          <w:rFonts w:hint="eastAsia" w:ascii="仿宋_GB2312" w:hAnsi="仿宋" w:eastAsia="仿宋_GB2312"/>
          <w:sz w:val="32"/>
          <w:szCs w:val="32"/>
          <w:lang w:eastAsia="zh-CN"/>
        </w:rPr>
        <w:t>寿县农业科学研究所</w:t>
      </w:r>
      <w:r>
        <w:rPr>
          <w:rFonts w:hint="eastAsia" w:ascii="仿宋_GB2312" w:hAnsi="仿宋" w:eastAsia="仿宋_GB2312"/>
          <w:sz w:val="32"/>
          <w:szCs w:val="32"/>
        </w:rPr>
        <w:t>2026年收支总预算253.17包括一般公共预算拨款收入253.17包括：社会保障和就业支出28.46万元</w:t>
      </w:r>
      <w:r>
        <w:rPr>
          <w:rFonts w:hint="eastAsia" w:ascii="仿宋_GB2312" w:hAnsi="仿宋" w:eastAsia="仿宋_GB2312"/>
          <w:sz w:val="32"/>
          <w:szCs w:val="32"/>
          <w:lang w:eastAsia="zh-CN"/>
        </w:rPr>
        <w:t>，农</w:t>
      </w:r>
      <w:r>
        <w:rPr>
          <w:rFonts w:hint="eastAsia" w:ascii="仿宋_GB2312" w:hAnsi="仿宋" w:eastAsia="仿宋_GB2312"/>
          <w:sz w:val="32"/>
          <w:szCs w:val="32"/>
        </w:rPr>
        <w:t>林水支出189.12</w:t>
      </w:r>
      <w:r>
        <w:rPr>
          <w:rFonts w:hint="eastAsia" w:ascii="仿宋_GB2312" w:hAnsi="仿宋" w:eastAsia="仿宋_GB2312"/>
          <w:sz w:val="32"/>
          <w:szCs w:val="32"/>
          <w:lang w:eastAsia="zh-CN"/>
        </w:rPr>
        <w:t>万元</w:t>
      </w:r>
      <w:r>
        <w:rPr>
          <w:rFonts w:hint="eastAsia" w:ascii="仿宋_GB2312" w:hAnsi="仿宋" w:eastAsia="仿宋_GB2312"/>
          <w:sz w:val="32"/>
          <w:szCs w:val="32"/>
        </w:rPr>
        <w:t>，</w:t>
      </w:r>
      <w:r>
        <w:rPr>
          <w:rFonts w:hint="eastAsia" w:ascii="仿宋_GB2312" w:hAnsi="仿宋" w:eastAsia="仿宋_GB2312" w:cs="Arial"/>
          <w:color w:val="000000"/>
          <w:kern w:val="0"/>
          <w:sz w:val="32"/>
          <w:szCs w:val="32"/>
        </w:rPr>
        <w:t>卫生健康支出6.05万元，</w:t>
      </w:r>
      <w:r>
        <w:rPr>
          <w:rFonts w:hint="eastAsia" w:ascii="仿宋_GB2312" w:hAnsi="仿宋" w:eastAsia="仿宋_GB2312"/>
          <w:sz w:val="32"/>
          <w:szCs w:val="32"/>
        </w:rPr>
        <w:t>住房保障支出17.08万元。</w:t>
      </w:r>
    </w:p>
    <w:p w14:paraId="31F71094">
      <w:pPr>
        <w:pStyle w:val="3"/>
        <w:topLinePunct/>
        <w:adjustRightInd w:val="0"/>
        <w:snapToGrid w:val="0"/>
        <w:spacing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二、关于2026年收入总表的说明</w:t>
      </w:r>
    </w:p>
    <w:p w14:paraId="1ACD2DC8">
      <w:pPr>
        <w:adjustRightInd w:val="0"/>
        <w:snapToGrid w:val="0"/>
        <w:spacing w:line="600" w:lineRule="exact"/>
        <w:ind w:firstLine="640" w:firstLineChars="200"/>
        <w:rPr>
          <w:rFonts w:hint="eastAsia" w:ascii="仿宋_GB2312" w:hAnsi="仿宋" w:eastAsia="仿宋_GB2312"/>
          <w:sz w:val="32"/>
          <w:szCs w:val="32"/>
        </w:rPr>
      </w:pPr>
      <w:r>
        <w:rPr>
          <w:rFonts w:hint="eastAsia" w:ascii="仿宋_GB2312" w:hAnsi="仿宋" w:eastAsia="仿宋_GB2312" w:cs="宋体"/>
          <w:kern w:val="0"/>
          <w:sz w:val="32"/>
          <w:szCs w:val="32"/>
          <w:lang w:eastAsia="zh-CN"/>
        </w:rPr>
        <w:t>寿县农业科学研究所</w:t>
      </w:r>
      <w:r>
        <w:rPr>
          <w:rFonts w:hint="eastAsia" w:ascii="仿宋_GB2312" w:hAnsi="仿宋" w:eastAsia="仿宋_GB2312"/>
          <w:sz w:val="32"/>
          <w:szCs w:val="32"/>
        </w:rPr>
        <w:t>2026年收入预算253.17万元，全部为本年收入。</w:t>
      </w:r>
    </w:p>
    <w:p w14:paraId="78D6C80B">
      <w:pPr>
        <w:adjustRightInd w:val="0"/>
        <w:snapToGrid w:val="0"/>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（一）本年收入253.17万元，全部是一般公共预算拨款收入。占100%。</w:t>
      </w:r>
    </w:p>
    <w:p w14:paraId="27BB05C6">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比2025年预算减少24.56</w:t>
      </w:r>
      <w:r>
        <w:rPr>
          <w:rFonts w:hint="eastAsia" w:ascii="仿宋_GB2312" w:hAnsi="TimesNewRoman" w:eastAsia="仿宋_GB2312" w:cs="TimesNewRoman"/>
          <w:sz w:val="32"/>
          <w:szCs w:val="32"/>
          <w:lang w:eastAsia="zh-CN"/>
        </w:rPr>
        <w:t>万元下</w:t>
      </w:r>
      <w:r>
        <w:rPr>
          <w:rFonts w:hint="eastAsia" w:ascii="仿宋_GB2312" w:hAnsi="TimesNewRoman" w:eastAsia="仿宋_GB2312" w:cs="TimesNewRoman"/>
          <w:sz w:val="32"/>
          <w:szCs w:val="32"/>
        </w:rPr>
        <w:t>降8.86</w:t>
      </w:r>
      <w:r>
        <w:rPr>
          <w:rFonts w:hint="eastAsia" w:ascii="仿宋_GB2312" w:hAnsi="TimesNewRoman" w:eastAsia="仿宋_GB2312" w:cs="TimesNewRoman"/>
          <w:sz w:val="32"/>
          <w:szCs w:val="32"/>
          <w:lang w:val="en-US" w:eastAsia="zh-CN"/>
        </w:rPr>
        <w:t>%，</w:t>
      </w:r>
      <w:r>
        <w:rPr>
          <w:rFonts w:hint="eastAsia" w:ascii="仿宋_GB2312" w:hAnsi="TimesNewRoman" w:eastAsia="仿宋_GB2312" w:cs="TimesNewRoman"/>
          <w:sz w:val="32"/>
          <w:szCs w:val="32"/>
        </w:rPr>
        <w:t>原因主要是人员减少所致。</w:t>
      </w:r>
    </w:p>
    <w:p w14:paraId="073B58D1">
      <w:pPr>
        <w:pStyle w:val="3"/>
        <w:topLinePunct/>
        <w:adjustRightInd w:val="0"/>
        <w:snapToGrid w:val="0"/>
        <w:spacing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三、关于2026年支出总表的说明</w:t>
      </w:r>
    </w:p>
    <w:p w14:paraId="75F82165">
      <w:pPr>
        <w:adjustRightInd w:val="0"/>
        <w:snapToGrid w:val="0"/>
        <w:spacing w:line="600" w:lineRule="exact"/>
        <w:ind w:firstLine="640" w:firstLineChars="200"/>
        <w:rPr>
          <w:rFonts w:hint="default" w:ascii="仿宋_GB2312" w:hAnsi="仿宋" w:eastAsia="仿宋_GB2312"/>
          <w:sz w:val="32"/>
          <w:szCs w:val="32"/>
          <w:lang w:val="en-US"/>
        </w:rPr>
      </w:pPr>
      <w:r>
        <w:rPr>
          <w:rFonts w:hint="eastAsia" w:ascii="仿宋_GB2312" w:hAnsi="仿宋" w:eastAsia="仿宋_GB2312"/>
          <w:sz w:val="32"/>
          <w:szCs w:val="32"/>
          <w:lang w:eastAsia="zh-CN"/>
        </w:rPr>
        <w:t>寿县农业科学研究所</w:t>
      </w:r>
      <w:r>
        <w:rPr>
          <w:rFonts w:hint="eastAsia" w:ascii="仿宋_GB2312" w:hAnsi="仿宋" w:eastAsia="仿宋_GB2312"/>
          <w:sz w:val="32"/>
          <w:szCs w:val="32"/>
        </w:rPr>
        <w:t>2026年支出预算253.17万元。比2025年下降8.86%，原因是人员减少。</w:t>
      </w:r>
      <w:r>
        <w:rPr>
          <w:rFonts w:hint="eastAsia" w:ascii="仿宋_GB2312" w:hAnsi="仿宋" w:eastAsia="仿宋_GB2312"/>
          <w:sz w:val="32"/>
          <w:szCs w:val="32"/>
          <w:lang w:val="en-US" w:eastAsia="zh-CN"/>
        </w:rPr>
        <w:t>其中基本支出249.17万元占98.42%,</w:t>
      </w:r>
      <w:r>
        <w:rPr>
          <w:rFonts w:hint="eastAsia" w:ascii="仿宋_GB2312" w:hAnsi="TimesNewRoman" w:eastAsia="仿宋_GB2312" w:cs="TimesNewRoman"/>
          <w:sz w:val="32"/>
          <w:szCs w:val="32"/>
        </w:rPr>
        <w:t>项目支出</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1.57</w:t>
      </w:r>
      <w:r>
        <w:rPr>
          <w:rFonts w:hint="eastAsia" w:ascii="仿宋_GB2312" w:hAnsi="TimesNewRoman" w:eastAsia="仿宋_GB2312" w:cs="TimesNewRoman"/>
          <w:sz w:val="32"/>
          <w:szCs w:val="32"/>
        </w:rPr>
        <w:t>%，主要用于</w:t>
      </w:r>
      <w:r>
        <w:rPr>
          <w:rFonts w:hint="eastAsia" w:ascii="仿宋_GB2312" w:hAnsi="TimesNewRoman" w:eastAsia="仿宋_GB2312" w:cs="TimesNewRoman"/>
          <w:sz w:val="32"/>
          <w:szCs w:val="32"/>
          <w:lang w:eastAsia="zh-CN"/>
        </w:rPr>
        <w:t>新品种推广试验</w:t>
      </w:r>
      <w:r>
        <w:rPr>
          <w:rFonts w:hint="eastAsia" w:ascii="仿宋_GB2312" w:hAnsi="TimesNewRoman" w:eastAsia="仿宋_GB2312" w:cs="TimesNewRoman"/>
          <w:sz w:val="32"/>
          <w:szCs w:val="32"/>
          <w:lang w:val="en-US" w:eastAsia="zh-CN"/>
        </w:rPr>
        <w:t>.</w:t>
      </w:r>
    </w:p>
    <w:p w14:paraId="62223BAE">
      <w:pPr>
        <w:pStyle w:val="3"/>
        <w:topLinePunct/>
        <w:adjustRightInd w:val="0"/>
        <w:snapToGrid w:val="0"/>
        <w:spacing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四、关于2026年财政拨款收支总表的说明</w:t>
      </w:r>
    </w:p>
    <w:p w14:paraId="6FF67B64">
      <w:pPr>
        <w:pStyle w:val="3"/>
        <w:adjustRightInd w:val="0"/>
        <w:snapToGrid w:val="0"/>
        <w:spacing w:before="0" w:beforeAutospacing="0" w:after="0" w:afterAutospacing="0" w:line="600" w:lineRule="exact"/>
        <w:ind w:firstLine="627" w:firstLineChars="196"/>
        <w:jc w:val="both"/>
        <w:rPr>
          <w:rFonts w:hint="eastAsia" w:ascii="仿宋_GB2312" w:hAnsi="仿宋" w:eastAsia="仿宋_GB2312"/>
          <w:sz w:val="32"/>
          <w:szCs w:val="32"/>
        </w:rPr>
      </w:pPr>
      <w:r>
        <w:rPr>
          <w:rFonts w:hint="eastAsia" w:ascii="仿宋_GB2312" w:hAnsi="仿宋" w:eastAsia="仿宋_GB2312" w:cs="Times New Roman"/>
          <w:kern w:val="2"/>
          <w:sz w:val="32"/>
          <w:szCs w:val="32"/>
          <w:lang w:eastAsia="zh-CN"/>
        </w:rPr>
        <w:t>寿县农业科学研究所</w:t>
      </w:r>
      <w:r>
        <w:rPr>
          <w:rFonts w:hint="eastAsia" w:ascii="仿宋_GB2312" w:hAnsi="仿宋" w:eastAsia="仿宋_GB2312" w:cs="Times New Roman"/>
          <w:kern w:val="2"/>
          <w:sz w:val="32"/>
          <w:szCs w:val="32"/>
        </w:rPr>
        <w:t>2026年财政拨款收支预算253.17万元。收入按资金来源分为：一般公共预算拨款253.17万元。支出按功能分类分为；</w:t>
      </w:r>
      <w:r>
        <w:rPr>
          <w:rFonts w:hint="eastAsia" w:ascii="仿宋_GB2312" w:hAnsi="仿宋" w:eastAsia="仿宋_GB2312"/>
          <w:sz w:val="32"/>
          <w:szCs w:val="32"/>
        </w:rPr>
        <w:t>社会保障和就业支出</w:t>
      </w:r>
      <w:r>
        <w:rPr>
          <w:rFonts w:hint="eastAsia" w:ascii="仿宋_GB2312" w:hAnsi="仿宋" w:eastAsia="仿宋_GB2312"/>
          <w:sz w:val="32"/>
          <w:szCs w:val="32"/>
          <w:lang w:val="en-US" w:eastAsia="zh-CN"/>
        </w:rPr>
        <w:t>28.46</w:t>
      </w:r>
      <w:r>
        <w:rPr>
          <w:rFonts w:hint="eastAsia" w:ascii="仿宋_GB2312" w:hAnsi="仿宋" w:eastAsia="仿宋_GB2312"/>
          <w:sz w:val="32"/>
          <w:szCs w:val="32"/>
        </w:rPr>
        <w:t>万元、占1</w:t>
      </w:r>
      <w:r>
        <w:rPr>
          <w:rFonts w:hint="eastAsia" w:ascii="仿宋_GB2312" w:hAnsi="仿宋" w:eastAsia="仿宋_GB2312"/>
          <w:sz w:val="32"/>
          <w:szCs w:val="32"/>
          <w:lang w:val="en-US" w:eastAsia="zh-CN"/>
        </w:rPr>
        <w:t>1.234</w:t>
      </w:r>
      <w:r>
        <w:rPr>
          <w:rFonts w:hint="eastAsia" w:ascii="仿宋_GB2312" w:hAnsi="仿宋" w:eastAsia="仿宋_GB2312"/>
          <w:sz w:val="32"/>
          <w:szCs w:val="32"/>
        </w:rPr>
        <w:t>%农林水支出</w:t>
      </w:r>
      <w:r>
        <w:rPr>
          <w:rFonts w:hint="eastAsia" w:ascii="仿宋_GB2312" w:hAnsi="仿宋" w:eastAsia="仿宋_GB2312"/>
          <w:sz w:val="32"/>
          <w:szCs w:val="32"/>
          <w:lang w:val="en-US" w:eastAsia="zh-CN"/>
        </w:rPr>
        <w:t>189.82</w:t>
      </w:r>
      <w:r>
        <w:rPr>
          <w:rFonts w:hint="eastAsia" w:ascii="仿宋_GB2312" w:hAnsi="仿宋" w:eastAsia="仿宋_GB2312"/>
          <w:sz w:val="32"/>
          <w:szCs w:val="32"/>
        </w:rPr>
        <w:t>万元、占7</w:t>
      </w:r>
      <w:r>
        <w:rPr>
          <w:rFonts w:hint="eastAsia" w:ascii="仿宋_GB2312" w:hAnsi="仿宋" w:eastAsia="仿宋_GB2312"/>
          <w:sz w:val="32"/>
          <w:szCs w:val="32"/>
          <w:lang w:val="en-US" w:eastAsia="zh-CN"/>
        </w:rPr>
        <w:t>4.98</w:t>
      </w:r>
      <w:r>
        <w:rPr>
          <w:rFonts w:hint="eastAsia" w:ascii="仿宋_GB2312" w:hAnsi="仿宋" w:eastAsia="仿宋_GB2312"/>
          <w:sz w:val="32"/>
          <w:szCs w:val="32"/>
        </w:rPr>
        <w:t>%,卫生健康支出</w:t>
      </w:r>
      <w:r>
        <w:rPr>
          <w:rFonts w:hint="eastAsia" w:ascii="仿宋_GB2312" w:hAnsi="仿宋" w:eastAsia="仿宋_GB2312"/>
          <w:sz w:val="32"/>
          <w:szCs w:val="32"/>
          <w:lang w:val="en-US" w:eastAsia="zh-CN"/>
        </w:rPr>
        <w:t>6.05</w:t>
      </w:r>
      <w:r>
        <w:rPr>
          <w:rFonts w:hint="eastAsia" w:ascii="仿宋_GB2312" w:hAnsi="仿宋" w:eastAsia="仿宋_GB2312"/>
          <w:sz w:val="32"/>
          <w:szCs w:val="32"/>
        </w:rPr>
        <w:t>万元,占2.</w:t>
      </w:r>
      <w:r>
        <w:rPr>
          <w:rFonts w:hint="eastAsia" w:ascii="仿宋_GB2312" w:hAnsi="仿宋" w:eastAsia="仿宋_GB2312"/>
          <w:sz w:val="32"/>
          <w:szCs w:val="32"/>
          <w:lang w:val="en-US" w:eastAsia="zh-CN"/>
        </w:rPr>
        <w:t>38%</w:t>
      </w:r>
      <w:r>
        <w:rPr>
          <w:rFonts w:hint="eastAsia" w:ascii="仿宋_GB2312" w:hAnsi="仿宋" w:eastAsia="仿宋_GB2312"/>
          <w:sz w:val="32"/>
          <w:szCs w:val="32"/>
        </w:rPr>
        <w:t>。住房保障支出</w:t>
      </w:r>
      <w:r>
        <w:rPr>
          <w:rFonts w:hint="eastAsia" w:ascii="仿宋_GB2312" w:hAnsi="仿宋" w:eastAsia="仿宋_GB2312"/>
          <w:sz w:val="32"/>
          <w:szCs w:val="32"/>
          <w:lang w:val="en-US" w:eastAsia="zh-CN"/>
        </w:rPr>
        <w:t>28.83</w:t>
      </w:r>
      <w:r>
        <w:rPr>
          <w:rFonts w:hint="eastAsia" w:ascii="仿宋_GB2312" w:hAnsi="仿宋" w:eastAsia="仿宋_GB2312"/>
          <w:sz w:val="32"/>
          <w:szCs w:val="32"/>
        </w:rPr>
        <w:t>万元，占11.</w:t>
      </w:r>
      <w:r>
        <w:rPr>
          <w:rFonts w:hint="eastAsia" w:ascii="仿宋_GB2312" w:hAnsi="仿宋" w:eastAsia="仿宋_GB2312"/>
          <w:sz w:val="32"/>
          <w:szCs w:val="32"/>
          <w:lang w:val="en-US" w:eastAsia="zh-CN"/>
        </w:rPr>
        <w:t>39</w:t>
      </w:r>
      <w:r>
        <w:rPr>
          <w:rFonts w:hint="eastAsia" w:ascii="仿宋_GB2312" w:hAnsi="仿宋" w:eastAsia="仿宋_GB2312"/>
          <w:sz w:val="32"/>
          <w:szCs w:val="32"/>
        </w:rPr>
        <w:t>%。</w:t>
      </w:r>
    </w:p>
    <w:p w14:paraId="48BED1B7">
      <w:pPr>
        <w:pStyle w:val="3"/>
        <w:topLinePunct/>
        <w:adjustRightInd w:val="0"/>
        <w:snapToGrid w:val="0"/>
        <w:spacing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五、关于2026年一般公共预算支出表的说明</w:t>
      </w:r>
    </w:p>
    <w:p w14:paraId="5DB48A3E">
      <w:pPr>
        <w:pStyle w:val="3"/>
        <w:topLinePunct/>
        <w:adjustRightInd w:val="0"/>
        <w:snapToGrid w:val="0"/>
        <w:spacing w:line="580" w:lineRule="exact"/>
        <w:ind w:firstLine="630"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（一）一般公共预算支出规模变化情况。</w:t>
      </w:r>
    </w:p>
    <w:p w14:paraId="2D0117F3">
      <w:pPr>
        <w:pStyle w:val="3"/>
        <w:adjustRightInd w:val="0"/>
        <w:snapToGrid w:val="0"/>
        <w:spacing w:before="0" w:beforeAutospacing="0" w:after="0" w:afterAutospacing="0" w:line="600" w:lineRule="exact"/>
        <w:ind w:firstLine="627" w:firstLineChars="196"/>
        <w:rPr>
          <w:rFonts w:hint="eastAsia" w:ascii="仿宋_GB2312" w:hAnsi="仿宋" w:eastAsia="仿宋_GB2312" w:cs="Times New Roman"/>
          <w:kern w:val="2"/>
          <w:sz w:val="32"/>
          <w:szCs w:val="32"/>
        </w:rPr>
      </w:pPr>
      <w:r>
        <w:rPr>
          <w:rFonts w:hint="eastAsia" w:ascii="仿宋_GB2312" w:hAnsi="仿宋" w:eastAsia="仿宋_GB2312" w:cs="Times New Roman"/>
          <w:kern w:val="2"/>
          <w:sz w:val="32"/>
          <w:szCs w:val="32"/>
          <w:lang w:eastAsia="zh-CN"/>
        </w:rPr>
        <w:t>寿县农业科学研究所</w:t>
      </w:r>
      <w:r>
        <w:rPr>
          <w:rFonts w:hint="eastAsia" w:ascii="仿宋_GB2312" w:hAnsi="仿宋" w:eastAsia="仿宋_GB2312" w:cs="Times New Roman"/>
          <w:kern w:val="2"/>
          <w:sz w:val="32"/>
          <w:szCs w:val="32"/>
        </w:rPr>
        <w:t>2026年一般公共预算支出253.17万元，比2025年减少</w:t>
      </w:r>
      <w:r>
        <w:rPr>
          <w:rFonts w:hint="eastAsia" w:ascii="仿宋_GB2312" w:hAnsi="仿宋" w:eastAsia="仿宋_GB2312" w:cs="Times New Roman"/>
          <w:kern w:val="2"/>
          <w:sz w:val="32"/>
          <w:szCs w:val="32"/>
          <w:lang w:val="en-US" w:eastAsia="zh-CN"/>
        </w:rPr>
        <w:t>24.56</w:t>
      </w:r>
      <w:r>
        <w:rPr>
          <w:rFonts w:hint="eastAsia" w:ascii="仿宋_GB2312" w:hAnsi="仿宋" w:eastAsia="仿宋_GB2312" w:cs="Times New Roman"/>
          <w:kern w:val="2"/>
          <w:sz w:val="32"/>
          <w:szCs w:val="32"/>
        </w:rPr>
        <w:t>万元，下降</w:t>
      </w:r>
      <w:r>
        <w:rPr>
          <w:rFonts w:hint="eastAsia" w:ascii="仿宋_GB2312" w:hAnsi="仿宋" w:eastAsia="仿宋_GB2312" w:cs="Times New Roman"/>
          <w:kern w:val="2"/>
          <w:sz w:val="32"/>
          <w:szCs w:val="32"/>
          <w:lang w:val="en-US" w:eastAsia="zh-CN"/>
        </w:rPr>
        <w:t>8.86</w:t>
      </w:r>
      <w:r>
        <w:rPr>
          <w:rFonts w:hint="eastAsia" w:ascii="仿宋_GB2312" w:hAnsi="仿宋" w:eastAsia="仿宋_GB2312" w:cs="Times New Roman"/>
          <w:kern w:val="2"/>
          <w:sz w:val="32"/>
          <w:szCs w:val="32"/>
        </w:rPr>
        <w:t>%。主要原因：人员减少。</w:t>
      </w:r>
    </w:p>
    <w:p w14:paraId="6BF06D87">
      <w:pPr>
        <w:pStyle w:val="3"/>
        <w:topLinePunct/>
        <w:adjustRightInd w:val="0"/>
        <w:snapToGrid w:val="0"/>
        <w:spacing w:line="580" w:lineRule="exact"/>
        <w:ind w:firstLine="630"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（二）一般公共预算支出结构情况。</w:t>
      </w:r>
    </w:p>
    <w:p w14:paraId="1FF9D9FF">
      <w:pPr>
        <w:topLinePunct/>
        <w:adjustRightInd w:val="0"/>
        <w:snapToGrid w:val="0"/>
        <w:spacing w:line="58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社会保障和就业支出</w:t>
      </w:r>
      <w:r>
        <w:rPr>
          <w:rFonts w:hint="eastAsia" w:ascii="仿宋_GB2312" w:hAnsi="仿宋" w:eastAsia="仿宋_GB2312"/>
          <w:sz w:val="32"/>
          <w:szCs w:val="32"/>
          <w:lang w:val="en-US" w:eastAsia="zh-CN"/>
        </w:rPr>
        <w:t>28.46</w:t>
      </w:r>
      <w:r>
        <w:rPr>
          <w:rFonts w:hint="eastAsia" w:ascii="仿宋_GB2312" w:hAnsi="仿宋" w:eastAsia="仿宋_GB2312"/>
          <w:sz w:val="32"/>
          <w:szCs w:val="32"/>
        </w:rPr>
        <w:t>万元、占1</w:t>
      </w:r>
      <w:r>
        <w:rPr>
          <w:rFonts w:hint="eastAsia" w:ascii="仿宋_GB2312" w:hAnsi="仿宋" w:eastAsia="仿宋_GB2312"/>
          <w:sz w:val="32"/>
          <w:szCs w:val="32"/>
          <w:lang w:val="en-US" w:eastAsia="zh-CN"/>
        </w:rPr>
        <w:t>1.234</w:t>
      </w:r>
      <w:r>
        <w:rPr>
          <w:rFonts w:hint="eastAsia" w:ascii="仿宋_GB2312" w:hAnsi="仿宋" w:eastAsia="仿宋_GB2312"/>
          <w:sz w:val="32"/>
          <w:szCs w:val="32"/>
        </w:rPr>
        <w:t>%农林水支出</w:t>
      </w:r>
      <w:r>
        <w:rPr>
          <w:rFonts w:hint="eastAsia" w:ascii="仿宋_GB2312" w:hAnsi="仿宋" w:eastAsia="仿宋_GB2312"/>
          <w:sz w:val="32"/>
          <w:szCs w:val="32"/>
          <w:lang w:val="en-US" w:eastAsia="zh-CN"/>
        </w:rPr>
        <w:t>189.82</w:t>
      </w:r>
      <w:r>
        <w:rPr>
          <w:rFonts w:hint="eastAsia" w:ascii="仿宋_GB2312" w:hAnsi="仿宋" w:eastAsia="仿宋_GB2312"/>
          <w:sz w:val="32"/>
          <w:szCs w:val="32"/>
        </w:rPr>
        <w:t>万元、占7</w:t>
      </w:r>
      <w:r>
        <w:rPr>
          <w:rFonts w:hint="eastAsia" w:ascii="仿宋_GB2312" w:hAnsi="仿宋" w:eastAsia="仿宋_GB2312"/>
          <w:sz w:val="32"/>
          <w:szCs w:val="32"/>
          <w:lang w:val="en-US" w:eastAsia="zh-CN"/>
        </w:rPr>
        <w:t>4.98</w:t>
      </w:r>
      <w:r>
        <w:rPr>
          <w:rFonts w:hint="eastAsia" w:ascii="仿宋_GB2312" w:hAnsi="仿宋" w:eastAsia="仿宋_GB2312"/>
          <w:sz w:val="32"/>
          <w:szCs w:val="32"/>
        </w:rPr>
        <w:t>%,卫生健康支出</w:t>
      </w:r>
      <w:r>
        <w:rPr>
          <w:rFonts w:hint="eastAsia" w:ascii="仿宋_GB2312" w:hAnsi="仿宋" w:eastAsia="仿宋_GB2312"/>
          <w:sz w:val="32"/>
          <w:szCs w:val="32"/>
          <w:lang w:val="en-US" w:eastAsia="zh-CN"/>
        </w:rPr>
        <w:t>6.05</w:t>
      </w:r>
      <w:r>
        <w:rPr>
          <w:rFonts w:hint="eastAsia" w:ascii="仿宋_GB2312" w:hAnsi="仿宋" w:eastAsia="仿宋_GB2312"/>
          <w:sz w:val="32"/>
          <w:szCs w:val="32"/>
        </w:rPr>
        <w:t>万元,占2.</w:t>
      </w:r>
      <w:r>
        <w:rPr>
          <w:rFonts w:hint="eastAsia" w:ascii="仿宋_GB2312" w:hAnsi="仿宋" w:eastAsia="仿宋_GB2312"/>
          <w:sz w:val="32"/>
          <w:szCs w:val="32"/>
          <w:lang w:val="en-US" w:eastAsia="zh-CN"/>
        </w:rPr>
        <w:t>38%</w:t>
      </w:r>
      <w:r>
        <w:rPr>
          <w:rFonts w:hint="eastAsia" w:ascii="仿宋_GB2312" w:hAnsi="仿宋" w:eastAsia="仿宋_GB2312"/>
          <w:sz w:val="32"/>
          <w:szCs w:val="32"/>
        </w:rPr>
        <w:t>。住房保障支出</w:t>
      </w:r>
      <w:r>
        <w:rPr>
          <w:rFonts w:hint="eastAsia" w:ascii="仿宋_GB2312" w:hAnsi="仿宋" w:eastAsia="仿宋_GB2312"/>
          <w:sz w:val="32"/>
          <w:szCs w:val="32"/>
          <w:lang w:val="en-US" w:eastAsia="zh-CN"/>
        </w:rPr>
        <w:t>28.83</w:t>
      </w:r>
      <w:r>
        <w:rPr>
          <w:rFonts w:hint="eastAsia" w:ascii="仿宋_GB2312" w:hAnsi="仿宋" w:eastAsia="仿宋_GB2312"/>
          <w:sz w:val="32"/>
          <w:szCs w:val="32"/>
        </w:rPr>
        <w:t>万元，占11.</w:t>
      </w:r>
      <w:r>
        <w:rPr>
          <w:rFonts w:hint="eastAsia" w:ascii="仿宋_GB2312" w:hAnsi="仿宋" w:eastAsia="仿宋_GB2312"/>
          <w:sz w:val="32"/>
          <w:szCs w:val="32"/>
          <w:lang w:val="en-US" w:eastAsia="zh-CN"/>
        </w:rPr>
        <w:t>39</w:t>
      </w:r>
      <w:r>
        <w:rPr>
          <w:rFonts w:hint="eastAsia" w:ascii="仿宋_GB2312" w:hAnsi="仿宋" w:eastAsia="仿宋_GB2312"/>
          <w:sz w:val="32"/>
          <w:szCs w:val="32"/>
        </w:rPr>
        <w:t>%</w:t>
      </w:r>
    </w:p>
    <w:p w14:paraId="48041170">
      <w:pPr>
        <w:topLinePunct/>
        <w:adjustRightInd w:val="0"/>
        <w:snapToGrid w:val="0"/>
        <w:spacing w:line="58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（三）一般公共预算支出具体使用情况。</w:t>
      </w:r>
    </w:p>
    <w:p w14:paraId="2D02C38A">
      <w:pPr>
        <w:adjustRightInd w:val="0"/>
        <w:snapToGrid w:val="0"/>
        <w:spacing w:line="600" w:lineRule="exact"/>
        <w:ind w:firstLine="643" w:firstLineChars="200"/>
        <w:rPr>
          <w:rFonts w:hint="default" w:ascii="仿宋_GB2312" w:hAnsi="仿宋" w:eastAsia="仿宋_GB2312"/>
          <w:sz w:val="32"/>
          <w:szCs w:val="32"/>
          <w:lang w:val="en-US" w:eastAsia="zh-CN"/>
        </w:rPr>
      </w:pPr>
      <w:r>
        <w:rPr>
          <w:rFonts w:hint="eastAsia" w:ascii="仿宋_GB2312" w:hAnsi="仿宋" w:eastAsia="仿宋_GB2312"/>
          <w:b/>
          <w:sz w:val="32"/>
          <w:szCs w:val="32"/>
        </w:rPr>
        <w:t>1.社会保障和就业支出（类）事业养老支出（项）事业单位职业年金支出（款）</w:t>
      </w:r>
      <w:r>
        <w:rPr>
          <w:rFonts w:hint="eastAsia" w:ascii="仿宋_GB2312" w:hAnsi="仿宋" w:eastAsia="仿宋_GB2312"/>
          <w:sz w:val="32"/>
          <w:szCs w:val="32"/>
        </w:rPr>
        <w:t>2026年预算</w:t>
      </w:r>
      <w:r>
        <w:rPr>
          <w:rFonts w:hint="eastAsia" w:ascii="仿宋_GB2312" w:hAnsi="仿宋" w:eastAsia="仿宋_GB2312"/>
          <w:sz w:val="32"/>
          <w:szCs w:val="32"/>
          <w:lang w:val="en-US" w:eastAsia="zh-CN"/>
        </w:rPr>
        <w:t>8.92</w:t>
      </w:r>
      <w:r>
        <w:rPr>
          <w:rFonts w:hint="eastAsia" w:ascii="仿宋_GB2312" w:hAnsi="仿宋" w:eastAsia="仿宋_GB2312"/>
          <w:sz w:val="32"/>
          <w:szCs w:val="32"/>
        </w:rPr>
        <w:t>万元，比2025减少</w:t>
      </w:r>
      <w:r>
        <w:rPr>
          <w:rFonts w:hint="eastAsia" w:ascii="仿宋_GB2312" w:hAnsi="仿宋" w:eastAsia="仿宋_GB2312"/>
          <w:sz w:val="32"/>
          <w:szCs w:val="32"/>
          <w:lang w:val="en-US" w:eastAsia="zh-CN"/>
        </w:rPr>
        <w:t>24.01</w:t>
      </w:r>
      <w:r>
        <w:rPr>
          <w:rFonts w:hint="eastAsia" w:ascii="仿宋_GB2312" w:hAnsi="仿宋" w:eastAsia="仿宋_GB2312"/>
          <w:sz w:val="32"/>
          <w:szCs w:val="32"/>
        </w:rPr>
        <w:t>万元。</w:t>
      </w:r>
      <w:r>
        <w:rPr>
          <w:rFonts w:hint="eastAsia" w:ascii="仿宋_GB2312" w:hAnsi="仿宋" w:eastAsia="仿宋_GB2312"/>
          <w:sz w:val="32"/>
          <w:szCs w:val="32"/>
          <w:lang w:eastAsia="zh-CN"/>
        </w:rPr>
        <w:t>下降</w:t>
      </w:r>
      <w:r>
        <w:rPr>
          <w:rFonts w:hint="eastAsia" w:ascii="仿宋_GB2312" w:hAnsi="仿宋" w:eastAsia="仿宋_GB2312"/>
          <w:sz w:val="32"/>
          <w:szCs w:val="32"/>
          <w:lang w:val="en-US" w:eastAsia="zh-CN"/>
        </w:rPr>
        <w:t>7%。</w:t>
      </w:r>
    </w:p>
    <w:p w14:paraId="68FB76F8">
      <w:pPr>
        <w:adjustRightInd w:val="0"/>
        <w:snapToGrid w:val="0"/>
        <w:spacing w:line="600" w:lineRule="exact"/>
        <w:ind w:firstLine="643" w:firstLineChars="200"/>
        <w:rPr>
          <w:rFonts w:hint="eastAsia" w:ascii="仿宋_GB2312" w:hAnsi="仿宋" w:eastAsia="仿宋_GB2312"/>
          <w:sz w:val="32"/>
          <w:szCs w:val="32"/>
        </w:rPr>
      </w:pPr>
      <w:r>
        <w:rPr>
          <w:rFonts w:hint="eastAsia" w:ascii="仿宋_GB2312" w:hAnsi="仿宋" w:eastAsia="仿宋_GB2312"/>
          <w:b/>
          <w:sz w:val="32"/>
          <w:szCs w:val="32"/>
        </w:rPr>
        <w:t>2.农林水支出（类）农业农村（项）事业运行（款）</w:t>
      </w:r>
      <w:r>
        <w:rPr>
          <w:rFonts w:hint="eastAsia" w:ascii="仿宋_GB2312" w:hAnsi="仿宋" w:eastAsia="仿宋_GB2312"/>
          <w:sz w:val="32"/>
          <w:szCs w:val="32"/>
        </w:rPr>
        <w:t>2026年预算</w:t>
      </w:r>
      <w:r>
        <w:rPr>
          <w:rFonts w:hint="eastAsia" w:ascii="仿宋_GB2312" w:hAnsi="仿宋" w:eastAsia="仿宋_GB2312"/>
          <w:sz w:val="32"/>
          <w:szCs w:val="32"/>
          <w:lang w:val="en-US" w:eastAsia="zh-CN"/>
        </w:rPr>
        <w:t>189.82</w:t>
      </w:r>
      <w:r>
        <w:rPr>
          <w:rFonts w:hint="eastAsia" w:ascii="仿宋_GB2312" w:hAnsi="仿宋" w:eastAsia="仿宋_GB2312"/>
          <w:sz w:val="32"/>
          <w:szCs w:val="32"/>
        </w:rPr>
        <w:t>万元，支出比2025年预算减少</w:t>
      </w:r>
      <w:r>
        <w:rPr>
          <w:rFonts w:hint="eastAsia" w:ascii="仿宋_GB2312" w:hAnsi="仿宋" w:eastAsia="仿宋_GB2312"/>
          <w:sz w:val="32"/>
          <w:szCs w:val="32"/>
          <w:lang w:val="en-US" w:eastAsia="zh-CN"/>
        </w:rPr>
        <w:t>28.24</w:t>
      </w:r>
      <w:r>
        <w:rPr>
          <w:rFonts w:hint="eastAsia" w:ascii="仿宋_GB2312" w:hAnsi="仿宋" w:eastAsia="仿宋_GB2312"/>
          <w:sz w:val="32"/>
          <w:szCs w:val="32"/>
        </w:rPr>
        <w:t>万元，</w:t>
      </w:r>
      <w:r>
        <w:rPr>
          <w:rFonts w:hint="eastAsia" w:ascii="仿宋_GB2312" w:hAnsi="仿宋" w:eastAsia="仿宋_GB2312"/>
          <w:sz w:val="32"/>
          <w:szCs w:val="32"/>
          <w:lang w:eastAsia="zh-CN"/>
        </w:rPr>
        <w:t>下降</w:t>
      </w:r>
      <w:r>
        <w:rPr>
          <w:rFonts w:hint="eastAsia" w:ascii="仿宋_GB2312" w:hAnsi="仿宋" w:eastAsia="仿宋_GB2312"/>
          <w:sz w:val="32"/>
          <w:szCs w:val="32"/>
          <w:lang w:val="en-US" w:eastAsia="zh-CN"/>
        </w:rPr>
        <w:t>12.94</w:t>
      </w:r>
      <w:r>
        <w:rPr>
          <w:rFonts w:hint="eastAsia" w:ascii="仿宋_GB2312" w:hAnsi="仿宋" w:eastAsia="仿宋_GB2312"/>
          <w:sz w:val="32"/>
          <w:szCs w:val="32"/>
        </w:rPr>
        <w:t>%，原因主要人员工资</w:t>
      </w:r>
      <w:r>
        <w:rPr>
          <w:rFonts w:hint="eastAsia" w:ascii="仿宋_GB2312" w:hAnsi="仿宋" w:eastAsia="仿宋_GB2312"/>
          <w:sz w:val="32"/>
          <w:szCs w:val="32"/>
          <w:lang w:eastAsia="zh-CN"/>
        </w:rPr>
        <w:t>减少</w:t>
      </w:r>
      <w:r>
        <w:rPr>
          <w:rFonts w:hint="eastAsia" w:ascii="仿宋_GB2312" w:hAnsi="仿宋" w:eastAsia="仿宋_GB2312"/>
          <w:sz w:val="32"/>
          <w:szCs w:val="32"/>
        </w:rPr>
        <w:t>。</w:t>
      </w:r>
    </w:p>
    <w:p w14:paraId="214BBB75">
      <w:pPr>
        <w:adjustRightInd w:val="0"/>
        <w:snapToGrid w:val="0"/>
        <w:spacing w:line="600" w:lineRule="exact"/>
        <w:ind w:firstLine="643" w:firstLineChars="200"/>
        <w:rPr>
          <w:rFonts w:hint="eastAsia" w:ascii="仿宋_GB2312" w:hAnsi="仿宋" w:eastAsia="仿宋_GB2312"/>
          <w:sz w:val="32"/>
          <w:szCs w:val="32"/>
          <w:lang w:eastAsia="zh-CN"/>
        </w:rPr>
      </w:pPr>
      <w:r>
        <w:rPr>
          <w:rFonts w:hint="eastAsia" w:ascii="仿宋_GB2312" w:hAnsi="仿宋" w:eastAsia="仿宋_GB2312"/>
          <w:b/>
          <w:bCs/>
          <w:sz w:val="32"/>
          <w:szCs w:val="32"/>
        </w:rPr>
        <w:t>3。卫生健康支出（类）行政事业单位医疗（项）</w:t>
      </w:r>
      <w:r>
        <w:rPr>
          <w:rFonts w:hint="eastAsia" w:ascii="仿宋_GB2312" w:hAnsi="仿宋" w:eastAsia="仿宋_GB2312"/>
          <w:sz w:val="32"/>
          <w:szCs w:val="32"/>
        </w:rPr>
        <w:t>，事业单位医疗（款）2026年预算</w:t>
      </w:r>
      <w:r>
        <w:rPr>
          <w:rFonts w:hint="eastAsia" w:ascii="仿宋_GB2312" w:hAnsi="仿宋" w:eastAsia="仿宋_GB2312"/>
          <w:sz w:val="32"/>
          <w:szCs w:val="32"/>
          <w:lang w:val="en-US" w:eastAsia="zh-CN"/>
        </w:rPr>
        <w:t>6.05</w:t>
      </w:r>
      <w:r>
        <w:rPr>
          <w:rFonts w:hint="eastAsia" w:ascii="仿宋_GB2312" w:hAnsi="仿宋" w:eastAsia="仿宋_GB2312"/>
          <w:sz w:val="32"/>
          <w:szCs w:val="32"/>
        </w:rPr>
        <w:t>万元。比2025年</w:t>
      </w:r>
      <w:r>
        <w:rPr>
          <w:rFonts w:hint="eastAsia" w:ascii="仿宋_GB2312" w:hAnsi="仿宋" w:eastAsia="仿宋_GB2312"/>
          <w:sz w:val="32"/>
          <w:szCs w:val="32"/>
          <w:lang w:eastAsia="zh-CN"/>
        </w:rPr>
        <w:t>减少</w:t>
      </w:r>
      <w:r>
        <w:rPr>
          <w:rFonts w:hint="eastAsia" w:ascii="仿宋_GB2312" w:hAnsi="仿宋" w:eastAsia="仿宋_GB2312"/>
          <w:sz w:val="32"/>
          <w:szCs w:val="32"/>
          <w:lang w:val="en-US" w:eastAsia="zh-CN"/>
        </w:rPr>
        <w:t>1.5</w:t>
      </w:r>
      <w:r>
        <w:rPr>
          <w:rFonts w:hint="eastAsia" w:ascii="仿宋_GB2312" w:hAnsi="仿宋" w:eastAsia="仿宋_GB2312"/>
          <w:sz w:val="32"/>
          <w:szCs w:val="32"/>
        </w:rPr>
        <w:t>万元。</w:t>
      </w:r>
      <w:r>
        <w:rPr>
          <w:rFonts w:hint="eastAsia" w:ascii="仿宋_GB2312" w:hAnsi="仿宋" w:eastAsia="仿宋_GB2312"/>
          <w:sz w:val="32"/>
          <w:szCs w:val="32"/>
          <w:lang w:eastAsia="zh-CN"/>
        </w:rPr>
        <w:t>下降</w:t>
      </w:r>
      <w:r>
        <w:rPr>
          <w:rFonts w:hint="eastAsia" w:ascii="仿宋_GB2312" w:hAnsi="仿宋" w:eastAsia="仿宋_GB2312"/>
          <w:sz w:val="32"/>
          <w:szCs w:val="32"/>
          <w:lang w:val="en-US" w:eastAsia="zh-CN"/>
        </w:rPr>
        <w:t>19.86</w:t>
      </w:r>
      <w:r>
        <w:rPr>
          <w:rFonts w:hint="eastAsia" w:ascii="仿宋_GB2312" w:hAnsi="仿宋" w:eastAsia="仿宋_GB2312"/>
          <w:sz w:val="32"/>
          <w:szCs w:val="32"/>
        </w:rPr>
        <w:t>。</w:t>
      </w:r>
      <w:r>
        <w:rPr>
          <w:rFonts w:hint="eastAsia" w:ascii="仿宋_GB2312" w:hAnsi="仿宋" w:eastAsia="仿宋_GB2312"/>
          <w:sz w:val="32"/>
          <w:szCs w:val="32"/>
          <w:lang w:eastAsia="zh-CN"/>
        </w:rPr>
        <w:t>主要是人员减少。</w:t>
      </w:r>
    </w:p>
    <w:p w14:paraId="6171B364">
      <w:pPr>
        <w:adjustRightInd w:val="0"/>
        <w:snapToGrid w:val="0"/>
        <w:spacing w:line="600" w:lineRule="exact"/>
        <w:ind w:firstLine="643" w:firstLineChars="200"/>
        <w:rPr>
          <w:rFonts w:hint="eastAsia" w:ascii="仿宋_GB2312" w:hAnsi="TimesNewRoman" w:eastAsia="仿宋_GB2312" w:cs="TimesNewRoman"/>
          <w:sz w:val="32"/>
          <w:szCs w:val="32"/>
          <w:lang w:eastAsia="zh-CN"/>
        </w:rPr>
      </w:pPr>
      <w:r>
        <w:rPr>
          <w:rFonts w:hint="eastAsia" w:ascii="仿宋_GB2312" w:hAnsi="TimesNewRoman" w:eastAsia="仿宋_GB2312" w:cs="TimesNewRoman"/>
          <w:b/>
          <w:sz w:val="32"/>
          <w:szCs w:val="32"/>
        </w:rPr>
        <w:t>4.</w:t>
      </w:r>
      <w:r>
        <w:rPr>
          <w:rFonts w:hint="eastAsia" w:ascii="仿宋_GB2312" w:hAnsi="仿宋" w:eastAsia="仿宋_GB2312"/>
          <w:b/>
          <w:bCs/>
          <w:sz w:val="32"/>
          <w:szCs w:val="32"/>
        </w:rPr>
        <w:t>住房保障支出（类）住房改革支出（项）住房公积金（款）2026年</w:t>
      </w:r>
      <w:r>
        <w:rPr>
          <w:rFonts w:hint="eastAsia" w:ascii="仿宋_GB2312" w:hAnsi="仿宋" w:eastAsia="仿宋_GB2312"/>
          <w:sz w:val="32"/>
          <w:szCs w:val="32"/>
        </w:rPr>
        <w:t>预算</w:t>
      </w:r>
      <w:r>
        <w:rPr>
          <w:rFonts w:hint="eastAsia" w:ascii="仿宋_GB2312" w:hAnsi="仿宋" w:eastAsia="仿宋_GB2312"/>
          <w:sz w:val="32"/>
          <w:szCs w:val="32"/>
          <w:lang w:val="en-US" w:eastAsia="zh-CN"/>
        </w:rPr>
        <w:t>28.83</w:t>
      </w:r>
      <w:r>
        <w:rPr>
          <w:rFonts w:hint="eastAsia" w:ascii="仿宋_GB2312" w:hAnsi="仿宋" w:eastAsia="仿宋_GB2312"/>
          <w:sz w:val="32"/>
          <w:szCs w:val="32"/>
        </w:rPr>
        <w:t>万元。比上年</w:t>
      </w:r>
      <w:r>
        <w:rPr>
          <w:rFonts w:hint="eastAsia" w:ascii="仿宋_GB2312" w:hAnsi="仿宋" w:eastAsia="仿宋_GB2312"/>
          <w:sz w:val="32"/>
          <w:szCs w:val="32"/>
          <w:lang w:eastAsia="zh-CN"/>
        </w:rPr>
        <w:t>增加</w:t>
      </w:r>
      <w:r>
        <w:rPr>
          <w:rFonts w:hint="eastAsia" w:ascii="仿宋_GB2312" w:hAnsi="仿宋" w:eastAsia="仿宋_GB2312"/>
          <w:sz w:val="32"/>
          <w:szCs w:val="32"/>
          <w:lang w:val="en-US" w:eastAsia="zh-CN"/>
        </w:rPr>
        <w:t>11.75</w:t>
      </w:r>
      <w:r>
        <w:rPr>
          <w:rFonts w:hint="eastAsia" w:ascii="仿宋_GB2312" w:hAnsi="仿宋" w:eastAsia="仿宋_GB2312"/>
          <w:sz w:val="32"/>
          <w:szCs w:val="32"/>
        </w:rPr>
        <w:t>万元，</w:t>
      </w:r>
      <w:r>
        <w:rPr>
          <w:rFonts w:hint="eastAsia" w:ascii="仿宋_GB2312" w:hAnsi="仿宋" w:eastAsia="仿宋_GB2312"/>
          <w:sz w:val="32"/>
          <w:szCs w:val="32"/>
          <w:lang w:eastAsia="zh-CN"/>
        </w:rPr>
        <w:t>上升</w:t>
      </w:r>
      <w:r>
        <w:rPr>
          <w:rFonts w:hint="eastAsia" w:ascii="仿宋_GB2312" w:hAnsi="仿宋" w:eastAsia="仿宋_GB2312"/>
          <w:sz w:val="32"/>
          <w:szCs w:val="32"/>
        </w:rPr>
        <w:t>13.86%。</w:t>
      </w:r>
      <w:r>
        <w:rPr>
          <w:rFonts w:hint="eastAsia" w:ascii="仿宋_GB2312" w:hAnsi="仿宋" w:eastAsia="仿宋_GB2312"/>
          <w:sz w:val="32"/>
          <w:szCs w:val="32"/>
          <w:lang w:eastAsia="zh-CN"/>
        </w:rPr>
        <w:t>主要是提租补贴增加所致。</w:t>
      </w:r>
    </w:p>
    <w:p w14:paraId="2F28BEB8">
      <w:pPr>
        <w:pStyle w:val="3"/>
        <w:topLinePunct/>
        <w:adjustRightInd w:val="0"/>
        <w:snapToGrid w:val="0"/>
        <w:spacing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六、关于2026年一般公共预算基本支出表的说明</w:t>
      </w:r>
    </w:p>
    <w:p w14:paraId="3A34B030">
      <w:pPr>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寿县农业科学研究所</w:t>
      </w:r>
      <w:r>
        <w:rPr>
          <w:rFonts w:hint="eastAsia" w:ascii="仿宋_GB2312" w:hAnsi="仿宋" w:eastAsia="仿宋_GB2312"/>
          <w:sz w:val="32"/>
          <w:szCs w:val="32"/>
        </w:rPr>
        <w:t>2026年一般公共预算基本支出2</w:t>
      </w:r>
      <w:r>
        <w:rPr>
          <w:rFonts w:hint="eastAsia" w:ascii="仿宋_GB2312" w:hAnsi="仿宋" w:eastAsia="仿宋_GB2312"/>
          <w:sz w:val="32"/>
          <w:szCs w:val="32"/>
          <w:lang w:val="en-US" w:eastAsia="zh-CN"/>
        </w:rPr>
        <w:t>49.19</w:t>
      </w:r>
      <w:r>
        <w:rPr>
          <w:rFonts w:hint="eastAsia" w:ascii="仿宋_GB2312" w:hAnsi="仿宋" w:eastAsia="仿宋_GB2312"/>
          <w:sz w:val="32"/>
          <w:szCs w:val="32"/>
        </w:rPr>
        <w:t>万元，其中，人员经费2</w:t>
      </w:r>
      <w:r>
        <w:rPr>
          <w:rFonts w:hint="eastAsia" w:ascii="仿宋_GB2312" w:hAnsi="仿宋" w:eastAsia="仿宋_GB2312"/>
          <w:sz w:val="32"/>
          <w:szCs w:val="32"/>
          <w:lang w:val="en-US" w:eastAsia="zh-CN"/>
        </w:rPr>
        <w:t>42.01</w:t>
      </w:r>
      <w:r>
        <w:rPr>
          <w:rFonts w:hint="eastAsia" w:ascii="仿宋_GB2312" w:hAnsi="仿宋" w:eastAsia="仿宋_GB2312"/>
          <w:sz w:val="32"/>
          <w:szCs w:val="32"/>
        </w:rPr>
        <w:t>万元，公用经费</w:t>
      </w:r>
      <w:r>
        <w:rPr>
          <w:rFonts w:hint="eastAsia" w:ascii="仿宋_GB2312" w:hAnsi="仿宋" w:eastAsia="仿宋_GB2312"/>
          <w:sz w:val="32"/>
          <w:szCs w:val="32"/>
          <w:lang w:val="en-US" w:eastAsia="zh-CN"/>
        </w:rPr>
        <w:t>7.16</w:t>
      </w:r>
      <w:r>
        <w:rPr>
          <w:rFonts w:hint="eastAsia" w:ascii="仿宋_GB2312" w:hAnsi="仿宋" w:eastAsia="仿宋_GB2312"/>
          <w:sz w:val="32"/>
          <w:szCs w:val="32"/>
        </w:rPr>
        <w:t>万元。</w:t>
      </w:r>
    </w:p>
    <w:p w14:paraId="715ED696">
      <w:pPr>
        <w:ind w:firstLine="640" w:firstLineChars="200"/>
        <w:rPr>
          <w:rFonts w:hint="eastAsia" w:ascii="仿宋_GB2312" w:hAnsi="仿宋" w:eastAsia="仿宋_GB2312"/>
          <w:sz w:val="32"/>
          <w:szCs w:val="32"/>
        </w:rPr>
      </w:pPr>
      <w:r>
        <w:rPr>
          <w:rFonts w:hint="eastAsia" w:ascii="仿宋_GB2312" w:hAnsi="仿宋" w:eastAsia="仿宋_GB2312"/>
          <w:sz w:val="32"/>
          <w:szCs w:val="32"/>
        </w:rPr>
        <w:t>（一）人员经费2</w:t>
      </w:r>
      <w:r>
        <w:rPr>
          <w:rFonts w:hint="eastAsia" w:ascii="仿宋_GB2312" w:hAnsi="仿宋" w:eastAsia="仿宋_GB2312"/>
          <w:sz w:val="32"/>
          <w:szCs w:val="32"/>
          <w:lang w:val="en-US" w:eastAsia="zh-CN"/>
        </w:rPr>
        <w:t>42.01</w:t>
      </w:r>
      <w:r>
        <w:rPr>
          <w:rFonts w:hint="eastAsia" w:ascii="仿宋_GB2312" w:hAnsi="仿宋" w:eastAsia="仿宋_GB2312"/>
          <w:sz w:val="32"/>
          <w:szCs w:val="32"/>
        </w:rPr>
        <w:t>万元，主要包括:基本工资</w:t>
      </w:r>
      <w:r>
        <w:rPr>
          <w:rFonts w:hint="eastAsia" w:ascii="仿宋_GB2312" w:hAnsi="仿宋" w:eastAsia="仿宋_GB2312"/>
          <w:sz w:val="32"/>
          <w:szCs w:val="32"/>
          <w:lang w:val="en-US" w:eastAsia="zh-CN"/>
        </w:rPr>
        <w:t>59.05</w:t>
      </w:r>
      <w:r>
        <w:rPr>
          <w:rFonts w:hint="eastAsia" w:ascii="仿宋_GB2312" w:hAnsi="仿宋" w:eastAsia="仿宋_GB2312"/>
          <w:sz w:val="32"/>
          <w:szCs w:val="32"/>
        </w:rPr>
        <w:t>万元、奖金</w:t>
      </w:r>
      <w:r>
        <w:rPr>
          <w:rFonts w:hint="eastAsia" w:ascii="仿宋_GB2312" w:hAnsi="仿宋" w:eastAsia="仿宋_GB2312"/>
          <w:sz w:val="32"/>
          <w:szCs w:val="32"/>
          <w:lang w:val="en-US" w:eastAsia="zh-CN"/>
        </w:rPr>
        <w:t>23.77</w:t>
      </w:r>
      <w:r>
        <w:rPr>
          <w:rFonts w:hint="eastAsia" w:ascii="仿宋_GB2312" w:hAnsi="仿宋" w:eastAsia="仿宋_GB2312"/>
          <w:sz w:val="32"/>
          <w:szCs w:val="32"/>
        </w:rPr>
        <w:t>万元，绩效工资</w:t>
      </w:r>
      <w:r>
        <w:rPr>
          <w:rFonts w:hint="eastAsia" w:ascii="仿宋_GB2312" w:hAnsi="仿宋" w:eastAsia="仿宋_GB2312"/>
          <w:sz w:val="32"/>
          <w:szCs w:val="32"/>
          <w:lang w:val="en-US" w:eastAsia="zh-CN"/>
        </w:rPr>
        <w:t>28.64</w:t>
      </w:r>
      <w:r>
        <w:rPr>
          <w:rFonts w:hint="eastAsia" w:ascii="仿宋_GB2312" w:hAnsi="仿宋" w:eastAsia="仿宋_GB2312"/>
          <w:sz w:val="32"/>
          <w:szCs w:val="32"/>
        </w:rPr>
        <w:t>万元、机关事业单位基本养老保险费</w:t>
      </w:r>
      <w:r>
        <w:rPr>
          <w:rFonts w:hint="eastAsia" w:ascii="仿宋_GB2312" w:hAnsi="仿宋" w:eastAsia="仿宋_GB2312"/>
          <w:sz w:val="32"/>
          <w:szCs w:val="32"/>
          <w:lang w:val="en-US" w:eastAsia="zh-CN"/>
        </w:rPr>
        <w:t>17.83</w:t>
      </w:r>
      <w:r>
        <w:rPr>
          <w:rFonts w:hint="eastAsia" w:ascii="仿宋_GB2312" w:hAnsi="仿宋" w:eastAsia="仿宋_GB2312"/>
          <w:sz w:val="32"/>
          <w:szCs w:val="32"/>
        </w:rPr>
        <w:t>万元、职业年金缴费</w:t>
      </w:r>
      <w:r>
        <w:rPr>
          <w:rFonts w:hint="eastAsia" w:ascii="仿宋_GB2312" w:hAnsi="仿宋" w:eastAsia="仿宋_GB2312"/>
          <w:sz w:val="32"/>
          <w:szCs w:val="32"/>
          <w:lang w:val="en-US" w:eastAsia="zh-CN"/>
        </w:rPr>
        <w:t>8.92</w:t>
      </w:r>
      <w:r>
        <w:rPr>
          <w:rFonts w:hint="eastAsia" w:ascii="仿宋_GB2312" w:hAnsi="仿宋" w:eastAsia="仿宋_GB2312"/>
          <w:sz w:val="32"/>
          <w:szCs w:val="32"/>
        </w:rPr>
        <w:t>万元、职工基本医疗保险缴费</w:t>
      </w:r>
      <w:r>
        <w:rPr>
          <w:rFonts w:hint="eastAsia" w:ascii="仿宋_GB2312" w:hAnsi="仿宋" w:eastAsia="仿宋_GB2312"/>
          <w:sz w:val="32"/>
          <w:szCs w:val="32"/>
          <w:lang w:val="en-US" w:eastAsia="zh-CN"/>
        </w:rPr>
        <w:t>6.05</w:t>
      </w:r>
      <w:r>
        <w:rPr>
          <w:rFonts w:hint="eastAsia" w:ascii="仿宋_GB2312" w:hAnsi="仿宋" w:eastAsia="仿宋_GB2312"/>
          <w:sz w:val="32"/>
          <w:szCs w:val="32"/>
        </w:rPr>
        <w:t>万元、其他社会保障缴费0.</w:t>
      </w:r>
      <w:r>
        <w:rPr>
          <w:rFonts w:hint="eastAsia" w:ascii="仿宋_GB2312" w:hAnsi="仿宋" w:eastAsia="仿宋_GB2312"/>
          <w:sz w:val="32"/>
          <w:szCs w:val="32"/>
          <w:lang w:val="en-US" w:eastAsia="zh-CN"/>
        </w:rPr>
        <w:t>61</w:t>
      </w:r>
      <w:r>
        <w:rPr>
          <w:rFonts w:hint="eastAsia" w:ascii="仿宋_GB2312" w:hAnsi="仿宋" w:eastAsia="仿宋_GB2312"/>
          <w:sz w:val="32"/>
          <w:szCs w:val="32"/>
        </w:rPr>
        <w:t>万元、住房公积金1</w:t>
      </w:r>
      <w:r>
        <w:rPr>
          <w:rFonts w:hint="eastAsia" w:ascii="仿宋_GB2312" w:hAnsi="仿宋" w:eastAsia="仿宋_GB2312"/>
          <w:sz w:val="32"/>
          <w:szCs w:val="32"/>
          <w:lang w:val="en-US" w:eastAsia="zh-CN"/>
        </w:rPr>
        <w:t>4.05</w:t>
      </w:r>
      <w:r>
        <w:rPr>
          <w:rFonts w:hint="eastAsia" w:ascii="仿宋_GB2312" w:hAnsi="仿宋" w:eastAsia="仿宋_GB2312"/>
          <w:sz w:val="32"/>
          <w:szCs w:val="32"/>
        </w:rPr>
        <w:t>万元、其他工资福利支出0.1万元、退休费用</w:t>
      </w:r>
      <w:r>
        <w:rPr>
          <w:rFonts w:hint="eastAsia" w:ascii="仿宋_GB2312" w:hAnsi="仿宋" w:eastAsia="仿宋_GB2312"/>
          <w:sz w:val="32"/>
          <w:szCs w:val="32"/>
          <w:lang w:val="en-US" w:eastAsia="zh-CN"/>
        </w:rPr>
        <w:t>74.26</w:t>
      </w:r>
      <w:r>
        <w:rPr>
          <w:rFonts w:hint="eastAsia" w:ascii="仿宋_GB2312" w:hAnsi="仿宋" w:eastAsia="仿宋_GB2312"/>
          <w:sz w:val="32"/>
          <w:szCs w:val="32"/>
        </w:rPr>
        <w:t>万元，生活补助</w:t>
      </w:r>
      <w:r>
        <w:rPr>
          <w:rFonts w:hint="eastAsia" w:ascii="仿宋_GB2312" w:hAnsi="仿宋" w:eastAsia="仿宋_GB2312"/>
          <w:sz w:val="32"/>
          <w:szCs w:val="32"/>
          <w:lang w:val="en-US" w:eastAsia="zh-CN"/>
        </w:rPr>
        <w:t>3.03</w:t>
      </w:r>
      <w:r>
        <w:rPr>
          <w:rFonts w:hint="eastAsia" w:ascii="仿宋_GB2312" w:hAnsi="仿宋" w:eastAsia="仿宋_GB2312"/>
          <w:sz w:val="32"/>
          <w:szCs w:val="32"/>
        </w:rPr>
        <w:t>万元，对个人和家庭补助</w:t>
      </w:r>
      <w:r>
        <w:rPr>
          <w:rFonts w:hint="eastAsia" w:ascii="仿宋_GB2312" w:hAnsi="仿宋" w:eastAsia="仿宋_GB2312"/>
          <w:sz w:val="32"/>
          <w:szCs w:val="32"/>
          <w:lang w:val="en-US" w:eastAsia="zh-CN"/>
        </w:rPr>
        <w:t>0.2</w:t>
      </w:r>
      <w:r>
        <w:rPr>
          <w:rFonts w:hint="eastAsia" w:ascii="仿宋_GB2312" w:hAnsi="仿宋" w:eastAsia="仿宋_GB2312"/>
          <w:sz w:val="32"/>
          <w:szCs w:val="32"/>
        </w:rPr>
        <w:t>万元。</w:t>
      </w:r>
    </w:p>
    <w:p w14:paraId="543B302A">
      <w:pPr>
        <w:topLinePunct/>
        <w:spacing w:line="580" w:lineRule="exact"/>
        <w:ind w:firstLine="640" w:firstLineChars="200"/>
        <w:rPr>
          <w:rFonts w:hint="default" w:ascii="仿宋_GB2312" w:hAnsi="仿宋" w:eastAsia="仿宋_GB2312"/>
          <w:sz w:val="32"/>
          <w:szCs w:val="32"/>
          <w:lang w:val="en-US" w:eastAsia="zh-CN"/>
        </w:rPr>
      </w:pPr>
      <w:r>
        <w:rPr>
          <w:rFonts w:hint="eastAsia" w:ascii="仿宋_GB2312" w:hAnsi="TimesNewRoman" w:eastAsia="仿宋_GB2312" w:cs="TimesNewRoman"/>
          <w:sz w:val="32"/>
          <w:szCs w:val="32"/>
        </w:rPr>
        <w:t>（二）</w:t>
      </w:r>
      <w:r>
        <w:rPr>
          <w:rFonts w:hint="eastAsia" w:ascii="仿宋_GB2312" w:hAnsi="仿宋" w:eastAsia="仿宋_GB2312"/>
          <w:sz w:val="32"/>
          <w:szCs w:val="32"/>
        </w:rPr>
        <w:t>公用经费7.</w:t>
      </w:r>
      <w:r>
        <w:rPr>
          <w:rFonts w:hint="eastAsia" w:ascii="仿宋_GB2312" w:hAnsi="仿宋" w:eastAsia="仿宋_GB2312"/>
          <w:sz w:val="32"/>
          <w:szCs w:val="32"/>
          <w:lang w:val="en-US" w:eastAsia="zh-CN"/>
        </w:rPr>
        <w:t>1</w:t>
      </w:r>
      <w:r>
        <w:rPr>
          <w:rFonts w:hint="eastAsia" w:ascii="仿宋_GB2312" w:hAnsi="仿宋" w:eastAsia="仿宋_GB2312"/>
          <w:sz w:val="32"/>
          <w:szCs w:val="32"/>
        </w:rPr>
        <w:t>6万元，主要包括：</w:t>
      </w:r>
      <w:r>
        <w:rPr>
          <w:rFonts w:hint="eastAsia" w:ascii="仿宋_GB2312" w:hAnsi="TimesNewRoman" w:eastAsia="仿宋_GB2312" w:cs="TimesNewRoman"/>
          <w:sz w:val="32"/>
          <w:szCs w:val="32"/>
        </w:rPr>
        <w:t>办公费、印刷费、咨询费、手续费、水费、电费、邮电费、差旅费、会议费、培训费、公务接待费、劳务费、工会经费、福利费、</w:t>
      </w:r>
      <w:r>
        <w:rPr>
          <w:rFonts w:hint="eastAsia" w:ascii="仿宋_GB2312" w:hAnsi="仿宋" w:eastAsia="仿宋_GB2312"/>
          <w:sz w:val="32"/>
          <w:szCs w:val="32"/>
        </w:rPr>
        <w:t>其他支出等</w:t>
      </w:r>
      <w:r>
        <w:rPr>
          <w:rFonts w:hint="eastAsia" w:ascii="仿宋_GB2312" w:hAnsi="仿宋" w:eastAsia="仿宋_GB2312"/>
          <w:sz w:val="32"/>
          <w:szCs w:val="32"/>
          <w:lang w:eastAsia="zh-CN"/>
        </w:rPr>
        <w:t>支出</w:t>
      </w:r>
      <w:r>
        <w:rPr>
          <w:rFonts w:hint="eastAsia" w:ascii="仿宋_GB2312" w:hAnsi="仿宋" w:eastAsia="仿宋_GB2312"/>
          <w:sz w:val="32"/>
          <w:szCs w:val="32"/>
          <w:lang w:val="en-US" w:eastAsia="zh-CN"/>
        </w:rPr>
        <w:t>5.41万元。</w:t>
      </w:r>
      <w:r>
        <w:rPr>
          <w:rFonts w:hint="eastAsia" w:ascii="仿宋_GB2312" w:hAnsi="仿宋" w:eastAsia="仿宋_GB2312"/>
          <w:sz w:val="32"/>
          <w:szCs w:val="32"/>
          <w:lang w:eastAsia="zh-CN"/>
        </w:rPr>
        <w:t>购置办公座椅资本性支出</w:t>
      </w:r>
      <w:r>
        <w:rPr>
          <w:rFonts w:hint="eastAsia" w:ascii="仿宋_GB2312" w:hAnsi="仿宋" w:eastAsia="仿宋_GB2312"/>
          <w:sz w:val="32"/>
          <w:szCs w:val="32"/>
          <w:lang w:val="en-US" w:eastAsia="zh-CN"/>
        </w:rPr>
        <w:t>1.75万元。</w:t>
      </w:r>
    </w:p>
    <w:p w14:paraId="55A27B32">
      <w:pPr>
        <w:pStyle w:val="3"/>
        <w:topLinePunct/>
        <w:adjustRightInd w:val="0"/>
        <w:snapToGrid w:val="0"/>
        <w:spacing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七、关于2026年政府性基金预算支出表的说明</w:t>
      </w:r>
    </w:p>
    <w:p w14:paraId="7EC37DE9">
      <w:pPr>
        <w:pStyle w:val="3"/>
        <w:adjustRightInd w:val="0"/>
        <w:snapToGrid w:val="0"/>
        <w:spacing w:before="0" w:beforeAutospacing="0" w:after="0" w:afterAutospacing="0"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寿县农业科学研究所</w:t>
      </w:r>
      <w:r>
        <w:rPr>
          <w:rFonts w:hint="eastAsia" w:ascii="仿宋_GB2312" w:hAnsi="仿宋" w:eastAsia="仿宋_GB2312"/>
          <w:sz w:val="32"/>
          <w:szCs w:val="32"/>
        </w:rPr>
        <w:t>2026年没有政府性基金预算拨款收入，也没有使用政府性基金预算拨款安排的支出。</w:t>
      </w:r>
    </w:p>
    <w:p w14:paraId="02D549A9">
      <w:pPr>
        <w:pStyle w:val="3"/>
        <w:topLinePunct/>
        <w:adjustRightInd w:val="0"/>
        <w:snapToGrid w:val="0"/>
        <w:spacing w:line="580" w:lineRule="exact"/>
        <w:jc w:val="both"/>
        <w:rPr>
          <w:rFonts w:hint="eastAsia" w:ascii="楷体_GB2312" w:hAnsi="TimesNewRoman" w:eastAsia="楷体_GB2312" w:cs="TimesNewRoman"/>
          <w:b/>
          <w:sz w:val="32"/>
          <w:szCs w:val="32"/>
        </w:rPr>
      </w:pPr>
      <w:r>
        <w:rPr>
          <w:rFonts w:hint="eastAsia" w:ascii="仿宋_GB2312" w:hAnsi="TimesNewRoman" w:eastAsia="仿宋_GB2312" w:cs="TimesNewRoman"/>
          <w:sz w:val="32"/>
          <w:szCs w:val="32"/>
        </w:rPr>
        <w:t xml:space="preserve"> </w:t>
      </w:r>
      <w:r>
        <w:rPr>
          <w:rFonts w:hint="eastAsia" w:ascii="楷体_GB2312" w:hAnsi="TimesNewRoman" w:eastAsia="楷体_GB2312" w:cs="TimesNewRoman"/>
          <w:b/>
          <w:sz w:val="32"/>
          <w:szCs w:val="32"/>
        </w:rPr>
        <w:t>八、关于2026年国有资本经营预算支出表的说明</w:t>
      </w:r>
    </w:p>
    <w:p w14:paraId="597CC714">
      <w:pPr>
        <w:pStyle w:val="3"/>
        <w:adjustRightInd w:val="0"/>
        <w:snapToGrid w:val="0"/>
        <w:spacing w:before="0" w:beforeAutospacing="0" w:after="0" w:afterAutospacing="0"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寿县农业科学研究所</w:t>
      </w:r>
      <w:r>
        <w:rPr>
          <w:rFonts w:hint="eastAsia" w:ascii="仿宋_GB2312" w:hAnsi="仿宋" w:eastAsia="仿宋_GB2312"/>
          <w:sz w:val="32"/>
          <w:szCs w:val="32"/>
        </w:rPr>
        <w:t>2022年没有国有资本经营预算拨款收入，也没有使用国有资本经营预算拨款安排的支出。</w:t>
      </w:r>
    </w:p>
    <w:p w14:paraId="32FCE083">
      <w:pPr>
        <w:pStyle w:val="3"/>
        <w:topLinePunct/>
        <w:adjustRightInd w:val="0"/>
        <w:snapToGrid w:val="0"/>
        <w:spacing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九、关于2026年项目支出表的说明</w:t>
      </w:r>
    </w:p>
    <w:p w14:paraId="0A38D91D">
      <w:pPr>
        <w:pStyle w:val="3"/>
        <w:topLinePunct/>
        <w:adjustRightInd w:val="0"/>
        <w:snapToGrid w:val="0"/>
        <w:spacing w:line="580" w:lineRule="exact"/>
        <w:ind w:firstLine="640" w:firstLineChars="200"/>
        <w:jc w:val="both"/>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lang w:eastAsia="zh-CN"/>
        </w:rPr>
        <w:t>寿县农业科学研究所</w:t>
      </w:r>
      <w:r>
        <w:rPr>
          <w:rFonts w:hint="eastAsia" w:ascii="仿宋_GB2312" w:hAnsi="TimesNewRoman" w:eastAsia="仿宋_GB2312" w:cs="TimesNewRoman"/>
          <w:sz w:val="32"/>
          <w:szCs w:val="32"/>
        </w:rPr>
        <w:t>2026年预算共安排项目支出</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万元，比2025年预算</w:t>
      </w:r>
      <w:r>
        <w:rPr>
          <w:rFonts w:hint="eastAsia" w:ascii="仿宋_GB2312" w:hAnsi="TimesNewRoman" w:eastAsia="仿宋_GB2312" w:cs="TimesNewRoman"/>
          <w:sz w:val="32"/>
          <w:szCs w:val="32"/>
          <w:lang w:eastAsia="zh-CN"/>
        </w:rPr>
        <w:t>增加</w:t>
      </w:r>
      <w:r>
        <w:rPr>
          <w:rFonts w:hint="eastAsia" w:ascii="仿宋_GB2312" w:hAnsi="TimesNewRoman" w:eastAsia="仿宋_GB2312" w:cs="TimesNewRoman"/>
          <w:sz w:val="32"/>
          <w:szCs w:val="32"/>
          <w:lang w:val="en-US" w:eastAsia="zh-CN"/>
        </w:rPr>
        <w:t>1.93</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eastAsia="zh-CN"/>
        </w:rPr>
        <w:t>增加</w:t>
      </w:r>
      <w:r>
        <w:rPr>
          <w:rFonts w:hint="eastAsia" w:ascii="仿宋_GB2312" w:hAnsi="TimesNewRoman" w:eastAsia="仿宋_GB2312" w:cs="TimesNewRoman"/>
          <w:sz w:val="32"/>
          <w:szCs w:val="32"/>
        </w:rPr>
        <w:t>4</w:t>
      </w:r>
      <w:r>
        <w:rPr>
          <w:rFonts w:hint="eastAsia" w:ascii="仿宋_GB2312" w:hAnsi="TimesNewRoman" w:eastAsia="仿宋_GB2312" w:cs="TimesNewRoman"/>
          <w:sz w:val="32"/>
          <w:szCs w:val="32"/>
          <w:lang w:val="en-US" w:eastAsia="zh-CN"/>
        </w:rPr>
        <w:t>8</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eastAsia="zh-CN"/>
        </w:rPr>
        <w:t>增加</w:t>
      </w:r>
      <w:r>
        <w:rPr>
          <w:rFonts w:hint="eastAsia" w:ascii="仿宋_GB2312" w:hAnsi="TimesNewRoman" w:eastAsia="仿宋_GB2312" w:cs="TimesNewRoman"/>
          <w:sz w:val="32"/>
          <w:szCs w:val="32"/>
        </w:rPr>
        <w:t>原因主要是</w:t>
      </w:r>
      <w:r>
        <w:rPr>
          <w:rFonts w:hint="eastAsia" w:ascii="仿宋_GB2312" w:hAnsi="TimesNewRoman" w:eastAsia="仿宋_GB2312" w:cs="TimesNewRoman"/>
          <w:sz w:val="32"/>
          <w:szCs w:val="32"/>
          <w:lang w:eastAsia="zh-CN"/>
        </w:rPr>
        <w:t>推广品种增加</w:t>
      </w:r>
      <w:r>
        <w:rPr>
          <w:rFonts w:hint="eastAsia" w:ascii="仿宋_GB2312" w:hAnsi="TimesNewRoman" w:eastAsia="仿宋_GB2312" w:cs="TimesNewRoman"/>
          <w:sz w:val="32"/>
          <w:szCs w:val="32"/>
        </w:rPr>
        <w:t>。主要包括：本年财政拨款安排</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万元，其中，一般公共预算拨款安排</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eastAsia="zh-CN"/>
        </w:rPr>
        <w:t>。</w:t>
      </w:r>
    </w:p>
    <w:p w14:paraId="1A282E7E">
      <w:pPr>
        <w:pStyle w:val="3"/>
        <w:topLinePunct/>
        <w:adjustRightInd w:val="0"/>
        <w:snapToGrid w:val="0"/>
        <w:spacing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十、关于2026年政府采购支出表的说明</w:t>
      </w:r>
    </w:p>
    <w:p w14:paraId="18738BB3">
      <w:pPr>
        <w:pStyle w:val="3"/>
        <w:topLinePunct/>
        <w:adjustRightInd w:val="0"/>
        <w:snapToGrid w:val="0"/>
        <w:spacing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寿县农业科学研究所</w:t>
      </w:r>
      <w:r>
        <w:rPr>
          <w:rFonts w:hint="eastAsia" w:ascii="仿宋_GB2312" w:hAnsi="TimesNewRoman" w:eastAsia="仿宋_GB2312" w:cs="TimesNewRoman"/>
          <w:sz w:val="32"/>
          <w:szCs w:val="32"/>
        </w:rPr>
        <w:t>2026年没有使用一般公共预算拨款、政府性基金预算拨款、国有资本经营预算拨款、财政专户管理资金和单位资金安排的政府采购支出。</w:t>
      </w:r>
    </w:p>
    <w:p w14:paraId="061D4DAE">
      <w:pPr>
        <w:pStyle w:val="3"/>
        <w:topLinePunct/>
        <w:adjustRightInd w:val="0"/>
        <w:snapToGrid w:val="0"/>
        <w:spacing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十一、关于2026年政府购买服务支出表的说明</w:t>
      </w:r>
    </w:p>
    <w:p w14:paraId="31B4F7B3">
      <w:pPr>
        <w:pStyle w:val="3"/>
        <w:topLinePunct/>
        <w:adjustRightInd w:val="0"/>
        <w:snapToGrid w:val="0"/>
        <w:spacing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寿县农业科学研究所</w:t>
      </w:r>
      <w:r>
        <w:rPr>
          <w:rFonts w:hint="eastAsia" w:ascii="仿宋_GB2312" w:hAnsi="TimesNewRoman" w:eastAsia="仿宋_GB2312" w:cs="TimesNewRoman"/>
          <w:sz w:val="32"/>
          <w:szCs w:val="32"/>
        </w:rPr>
        <w:t>2026年没有安排政府购买服务支出。</w:t>
      </w:r>
    </w:p>
    <w:p w14:paraId="5C1C7C95">
      <w:pPr>
        <w:pStyle w:val="3"/>
        <w:topLinePunct/>
        <w:adjustRightInd w:val="0"/>
        <w:snapToGrid w:val="0"/>
        <w:spacing w:line="580" w:lineRule="exact"/>
        <w:ind w:firstLine="640" w:firstLineChars="200"/>
        <w:jc w:val="both"/>
        <w:rPr>
          <w:rFonts w:hint="eastAsia" w:ascii="楷体_GB2312" w:hAnsi="TimesNewRoman" w:eastAsia="楷体_GB2312" w:cs="TimesNewRoman"/>
          <w:b/>
          <w:sz w:val="32"/>
          <w:szCs w:val="32"/>
        </w:rPr>
      </w:pPr>
      <w:r>
        <w:rPr>
          <w:rFonts w:hint="eastAsia" w:ascii="仿宋_GB2312" w:hAnsi="TimesNewRoman" w:eastAsia="仿宋_GB2312" w:cs="TimesNewRoman"/>
          <w:sz w:val="32"/>
          <w:szCs w:val="32"/>
        </w:rPr>
        <w:t xml:space="preserve"> </w:t>
      </w:r>
      <w:r>
        <w:rPr>
          <w:rFonts w:hint="eastAsia" w:ascii="楷体_GB2312" w:hAnsi="TimesNewRoman" w:eastAsia="楷体_GB2312" w:cs="TimesNewRoman"/>
          <w:b/>
          <w:sz w:val="32"/>
          <w:szCs w:val="32"/>
        </w:rPr>
        <w:t>十二、2026年一般公共预算</w:t>
      </w:r>
      <w:r>
        <w:rPr>
          <w:rFonts w:hint="eastAsia" w:ascii="TimesNewRoman" w:hAnsi="TimesNewRoman" w:eastAsia="楷体_GB2312" w:cs="TimesNewRoman"/>
          <w:b/>
          <w:sz w:val="32"/>
          <w:szCs w:val="32"/>
        </w:rPr>
        <w:t>“</w:t>
      </w:r>
      <w:r>
        <w:rPr>
          <w:rFonts w:hint="eastAsia" w:ascii="楷体_GB2312" w:hAnsi="TimesNewRoman" w:eastAsia="楷体_GB2312" w:cs="TimesNewRoman"/>
          <w:b/>
          <w:sz w:val="32"/>
          <w:szCs w:val="32"/>
        </w:rPr>
        <w:t>三公</w:t>
      </w:r>
      <w:r>
        <w:rPr>
          <w:rFonts w:hint="eastAsia" w:ascii="TimesNewRoman" w:hAnsi="TimesNewRoman" w:eastAsia="楷体_GB2312" w:cs="TimesNewRoman"/>
          <w:b/>
          <w:sz w:val="32"/>
          <w:szCs w:val="32"/>
        </w:rPr>
        <w:t>”</w:t>
      </w:r>
      <w:r>
        <w:rPr>
          <w:rFonts w:hint="eastAsia" w:ascii="楷体_GB2312" w:hAnsi="TimesNewRoman" w:eastAsia="楷体_GB2312" w:cs="TimesNewRoman"/>
          <w:b/>
          <w:sz w:val="32"/>
          <w:szCs w:val="32"/>
        </w:rPr>
        <w:t>经费支出预算情况说明</w:t>
      </w:r>
    </w:p>
    <w:p w14:paraId="75365289">
      <w:pPr>
        <w:adjustRightInd w:val="0"/>
        <w:snapToGrid w:val="0"/>
        <w:spacing w:line="560" w:lineRule="exact"/>
        <w:ind w:firstLine="640" w:firstLineChars="200"/>
        <w:rPr>
          <w:rFonts w:hint="eastAsia" w:ascii="仿宋_GB2312" w:hAnsi="TimesNewRoman" w:eastAsia="仿宋_GB2312" w:cs="TimesNewRoman"/>
          <w:kern w:val="0"/>
          <w:sz w:val="32"/>
          <w:szCs w:val="32"/>
        </w:rPr>
      </w:pPr>
      <w:r>
        <w:rPr>
          <w:rFonts w:hint="eastAsia" w:ascii="仿宋_GB2312" w:hAnsi="TimesNewRoman" w:eastAsia="仿宋_GB2312" w:cs="TimesNewRoman"/>
          <w:kern w:val="0"/>
          <w:sz w:val="32"/>
          <w:szCs w:val="32"/>
          <w:lang w:eastAsia="zh-CN"/>
        </w:rPr>
        <w:t>寿县农业科学研究所</w:t>
      </w:r>
      <w:r>
        <w:rPr>
          <w:rFonts w:hint="eastAsia" w:ascii="仿宋_GB2312" w:hAnsi="TimesNewRoman" w:eastAsia="仿宋_GB2312" w:cs="TimesNewRoman"/>
          <w:kern w:val="0"/>
          <w:sz w:val="32"/>
          <w:szCs w:val="32"/>
        </w:rPr>
        <w:t>2026年一般公共预算</w:t>
      </w:r>
      <w:r>
        <w:rPr>
          <w:rFonts w:hint="eastAsia" w:ascii="TimesNewRoman" w:hAnsi="TimesNewRoman" w:eastAsia="仿宋_GB2312" w:cs="TimesNewRoman"/>
          <w:kern w:val="0"/>
          <w:sz w:val="32"/>
          <w:szCs w:val="32"/>
        </w:rPr>
        <w:t>“</w:t>
      </w:r>
      <w:r>
        <w:rPr>
          <w:rFonts w:hint="eastAsia" w:ascii="仿宋_GB2312" w:hAnsi="TimesNewRoman" w:eastAsia="仿宋_GB2312" w:cs="TimesNewRoman"/>
          <w:kern w:val="0"/>
          <w:sz w:val="32"/>
          <w:szCs w:val="32"/>
        </w:rPr>
        <w:t>三公</w:t>
      </w:r>
      <w:r>
        <w:rPr>
          <w:rFonts w:hint="eastAsia" w:ascii="TimesNewRoman" w:hAnsi="TimesNewRoman" w:eastAsia="仿宋_GB2312" w:cs="TimesNewRoman"/>
          <w:kern w:val="0"/>
          <w:sz w:val="32"/>
          <w:szCs w:val="32"/>
        </w:rPr>
        <w:t>”</w:t>
      </w:r>
      <w:r>
        <w:rPr>
          <w:rFonts w:hint="eastAsia" w:ascii="仿宋_GB2312" w:hAnsi="TimesNewRoman" w:eastAsia="仿宋_GB2312" w:cs="TimesNewRoman"/>
          <w:kern w:val="0"/>
          <w:sz w:val="32"/>
          <w:szCs w:val="32"/>
        </w:rPr>
        <w:t>经费支出预算为1.</w:t>
      </w:r>
      <w:r>
        <w:rPr>
          <w:rFonts w:hint="eastAsia" w:ascii="仿宋_GB2312" w:hAnsi="TimesNewRoman" w:eastAsia="仿宋_GB2312" w:cs="TimesNewRoman"/>
          <w:kern w:val="0"/>
          <w:sz w:val="32"/>
          <w:szCs w:val="32"/>
          <w:lang w:val="en-US" w:eastAsia="zh-CN"/>
        </w:rPr>
        <w:t>15</w:t>
      </w:r>
      <w:r>
        <w:rPr>
          <w:rFonts w:hint="eastAsia" w:ascii="仿宋_GB2312" w:hAnsi="TimesNewRoman" w:eastAsia="仿宋_GB2312" w:cs="TimesNewRoman"/>
          <w:kern w:val="0"/>
          <w:sz w:val="32"/>
          <w:szCs w:val="32"/>
        </w:rPr>
        <w:t>万元，比2025年预算减少0.</w:t>
      </w:r>
      <w:r>
        <w:rPr>
          <w:rFonts w:hint="eastAsia" w:ascii="仿宋_GB2312" w:hAnsi="TimesNewRoman" w:eastAsia="仿宋_GB2312" w:cs="TimesNewRoman"/>
          <w:kern w:val="0"/>
          <w:sz w:val="32"/>
          <w:szCs w:val="32"/>
          <w:lang w:val="en-US" w:eastAsia="zh-CN"/>
        </w:rPr>
        <w:t>05</w:t>
      </w:r>
      <w:r>
        <w:rPr>
          <w:rFonts w:hint="eastAsia" w:ascii="仿宋_GB2312" w:hAnsi="TimesNewRoman" w:eastAsia="仿宋_GB2312" w:cs="TimesNewRoman"/>
          <w:kern w:val="0"/>
          <w:sz w:val="32"/>
          <w:szCs w:val="32"/>
        </w:rPr>
        <w:t>万元，下</w:t>
      </w:r>
      <w:r>
        <w:rPr>
          <w:rFonts w:hint="eastAsia" w:ascii="仿宋_GB2312" w:hAnsi="TimesNewRoman" w:eastAsia="仿宋_GB2312" w:cs="TimesNewRoman"/>
          <w:kern w:val="0"/>
          <w:sz w:val="32"/>
          <w:szCs w:val="32"/>
          <w:lang w:eastAsia="zh-CN"/>
        </w:rPr>
        <w:t>降</w:t>
      </w:r>
      <w:r>
        <w:rPr>
          <w:rFonts w:hint="eastAsia" w:ascii="仿宋_GB2312" w:hAnsi="TimesNewRoman" w:eastAsia="仿宋_GB2312" w:cs="TimesNewRoman"/>
          <w:kern w:val="0"/>
          <w:sz w:val="32"/>
          <w:szCs w:val="32"/>
          <w:lang w:val="en-US" w:eastAsia="zh-CN"/>
        </w:rPr>
        <w:t>4.1</w:t>
      </w:r>
      <w:r>
        <w:rPr>
          <w:rFonts w:hint="eastAsia" w:ascii="仿宋_GB2312" w:hAnsi="TimesNewRoman" w:eastAsia="仿宋_GB2312" w:cs="TimesNewRoman"/>
          <w:kern w:val="0"/>
          <w:sz w:val="32"/>
          <w:szCs w:val="32"/>
        </w:rPr>
        <w:t>%。其中：因公出国（境）费支出预算为0万元，公务接待费支出预算为1.2万元，公务用车购置及运行费支出预算为0万元。具体情况如下：</w:t>
      </w:r>
    </w:p>
    <w:p w14:paraId="6E3576DD">
      <w:pPr>
        <w:pStyle w:val="3"/>
        <w:numPr>
          <w:ilvl w:val="0"/>
          <w:numId w:val="1"/>
        </w:numPr>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因公出国（境）费支</w:t>
      </w:r>
      <w:r>
        <w:rPr>
          <w:rFonts w:ascii="仿宋_GB2312" w:hAnsi="TimesNewRoman" w:eastAsia="仿宋_GB2312"/>
          <w:sz w:val="32"/>
          <w:szCs w:val="32"/>
        </w:rPr>
        <w:t>出预算</w:t>
      </w:r>
      <w:r>
        <w:rPr>
          <w:rFonts w:hint="eastAsia" w:ascii="TimesNewRoman" w:hAnsi="TimesNewRoman" w:eastAsia="仿宋_GB2312" w:cs="TimesNewRoman"/>
          <w:sz w:val="32"/>
          <w:szCs w:val="32"/>
        </w:rPr>
        <w:t>0</w:t>
      </w:r>
      <w:r>
        <w:rPr>
          <w:rFonts w:ascii="仿宋_GB2312" w:hAnsi="TimesNewRoman" w:eastAsia="仿宋_GB2312"/>
          <w:sz w:val="32"/>
          <w:szCs w:val="32"/>
        </w:rPr>
        <w:t>万元</w:t>
      </w:r>
      <w:r>
        <w:rPr>
          <w:rFonts w:hint="eastAsia" w:ascii="仿宋_GB2312" w:hAnsi="TimesNewRoman" w:eastAsia="仿宋_GB2312" w:cs="TimesNewRoman"/>
          <w:sz w:val="32"/>
          <w:szCs w:val="32"/>
        </w:rPr>
        <w:t>。</w:t>
      </w:r>
    </w:p>
    <w:p w14:paraId="7FB309BE">
      <w:pPr>
        <w:pStyle w:val="3"/>
        <w:numPr>
          <w:ilvl w:val="0"/>
          <w:numId w:val="1"/>
        </w:numPr>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公务用车购置及运行费支出预算0万元。</w:t>
      </w:r>
    </w:p>
    <w:p w14:paraId="679AB96D">
      <w:pPr>
        <w:pStyle w:val="3"/>
        <w:adjustRightInd w:val="0"/>
        <w:snapToGrid w:val="0"/>
        <w:spacing w:line="560" w:lineRule="exact"/>
        <w:ind w:firstLine="643" w:firstLineChars="200"/>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rPr>
        <w:t>（三）公务接待费</w:t>
      </w:r>
      <w:r>
        <w:rPr>
          <w:rFonts w:hint="eastAsia" w:ascii="仿宋_GB2312" w:hAnsi="TimesNewRoman" w:eastAsia="仿宋_GB2312" w:cs="TimesNewRoman"/>
          <w:sz w:val="32"/>
          <w:szCs w:val="32"/>
        </w:rPr>
        <w:t>支出预算1.</w:t>
      </w:r>
      <w:r>
        <w:rPr>
          <w:rFonts w:hint="eastAsia" w:ascii="仿宋_GB2312" w:hAnsi="TimesNewRoman" w:eastAsia="仿宋_GB2312" w:cs="TimesNewRoman"/>
          <w:sz w:val="32"/>
          <w:szCs w:val="32"/>
          <w:lang w:val="en-US" w:eastAsia="zh-CN"/>
        </w:rPr>
        <w:t>15</w:t>
      </w:r>
      <w:r>
        <w:rPr>
          <w:rFonts w:hint="eastAsia" w:ascii="仿宋_GB2312" w:hAnsi="TimesNewRoman" w:eastAsia="仿宋_GB2312" w:cs="TimesNewRoman"/>
          <w:sz w:val="32"/>
          <w:szCs w:val="32"/>
        </w:rPr>
        <w:t>万元，比2025年预算减少0.</w:t>
      </w:r>
      <w:r>
        <w:rPr>
          <w:rFonts w:hint="eastAsia" w:ascii="仿宋_GB2312" w:hAnsi="TimesNewRoman" w:eastAsia="仿宋_GB2312" w:cs="TimesNewRoman"/>
          <w:sz w:val="32"/>
          <w:szCs w:val="32"/>
          <w:lang w:val="en-US" w:eastAsia="zh-CN"/>
        </w:rPr>
        <w:t>05</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4.1</w:t>
      </w:r>
      <w:r>
        <w:rPr>
          <w:rFonts w:hint="eastAsia" w:ascii="仿宋_GB2312" w:hAnsi="TimesNewRoman" w:eastAsia="仿宋_GB2312" w:cs="TimesNewRoman"/>
          <w:sz w:val="32"/>
          <w:szCs w:val="32"/>
        </w:rPr>
        <w:t>%，下降原因主要是压缩招待费支出。</w:t>
      </w:r>
    </w:p>
    <w:p w14:paraId="76FD8E82">
      <w:pPr>
        <w:pStyle w:val="3"/>
        <w:topLinePunct/>
        <w:adjustRightInd w:val="0"/>
        <w:snapToGrid w:val="0"/>
        <w:spacing w:line="56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十三、其他重要事项情况说明</w:t>
      </w:r>
    </w:p>
    <w:p w14:paraId="0329ED1D">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 xml:space="preserve"> （一）项目及绩效目标情况。</w:t>
      </w:r>
    </w:p>
    <w:p w14:paraId="652D4951">
      <w:pPr>
        <w:adjustRightInd w:val="0"/>
        <w:snapToGrid w:val="0"/>
        <w:spacing w:line="600" w:lineRule="exact"/>
        <w:ind w:firstLine="321" w:firstLineChars="100"/>
        <w:rPr>
          <w:rFonts w:hint="eastAsia" w:ascii="仿宋_GB2312" w:hAnsi="楷体" w:eastAsia="仿宋_GB2312"/>
          <w:b/>
          <w:sz w:val="32"/>
          <w:szCs w:val="32"/>
        </w:rPr>
      </w:pPr>
      <w:r>
        <w:rPr>
          <w:rFonts w:hint="eastAsia" w:ascii="仿宋_GB2312" w:hAnsi="楷体" w:eastAsia="仿宋_GB2312"/>
          <w:b/>
          <w:sz w:val="32"/>
          <w:szCs w:val="32"/>
        </w:rPr>
        <w:t>1、“新品种试验推广”项目。</w:t>
      </w:r>
    </w:p>
    <w:p w14:paraId="55B3AAE6">
      <w:pPr>
        <w:adjustRightInd w:val="0"/>
        <w:snapToGrid w:val="0"/>
        <w:spacing w:line="600" w:lineRule="exact"/>
        <w:ind w:left="638" w:leftChars="304"/>
        <w:rPr>
          <w:rFonts w:hint="eastAsia" w:ascii="仿宋_GB2312" w:hAnsi="楷体" w:eastAsia="仿宋_GB2312"/>
          <w:sz w:val="32"/>
          <w:szCs w:val="32"/>
        </w:rPr>
      </w:pPr>
      <w:r>
        <w:rPr>
          <w:rFonts w:hint="eastAsia" w:ascii="仿宋_GB2312" w:hAnsi="楷体" w:eastAsia="仿宋_GB2312"/>
          <w:sz w:val="32"/>
          <w:szCs w:val="32"/>
        </w:rPr>
        <w:t>（1）项目概述。鉴定我省选育和引进的水稻新品种的丰产性，稳定性、适应性、抗逆性、品质等重要特性，为水稻品种审定提供科学依据。</w:t>
      </w:r>
    </w:p>
    <w:p w14:paraId="4F6D379B">
      <w:pPr>
        <w:spacing w:line="600" w:lineRule="exact"/>
        <w:ind w:firstLine="585" w:firstLineChars="183"/>
        <w:rPr>
          <w:rFonts w:hint="eastAsia" w:ascii="仿宋_GB2312" w:hAnsi="楷体" w:eastAsia="仿宋_GB2312"/>
          <w:sz w:val="32"/>
          <w:szCs w:val="32"/>
        </w:rPr>
      </w:pPr>
      <w:r>
        <w:rPr>
          <w:rFonts w:hint="eastAsia" w:ascii="仿宋_GB2312" w:hAnsi="楷体" w:eastAsia="仿宋_GB2312"/>
          <w:sz w:val="32"/>
          <w:szCs w:val="32"/>
        </w:rPr>
        <w:t>（2）立项依据。根据省种子管理总站方案安排</w:t>
      </w:r>
    </w:p>
    <w:p w14:paraId="733686DD">
      <w:pPr>
        <w:spacing w:line="600" w:lineRule="exact"/>
        <w:ind w:firstLine="585" w:firstLineChars="183"/>
        <w:rPr>
          <w:rFonts w:hint="eastAsia" w:ascii="仿宋_GB2312" w:hAnsi="楷体" w:eastAsia="仿宋_GB2312"/>
          <w:sz w:val="32"/>
          <w:szCs w:val="32"/>
          <w:u w:val="single"/>
          <w:lang w:eastAsia="zh-CN"/>
        </w:rPr>
      </w:pPr>
      <w:r>
        <w:rPr>
          <w:rFonts w:hint="eastAsia" w:ascii="仿宋_GB2312" w:hAnsi="楷体" w:eastAsia="仿宋_GB2312"/>
          <w:sz w:val="32"/>
          <w:szCs w:val="32"/>
        </w:rPr>
        <w:t>（3）实施主体。</w:t>
      </w:r>
      <w:r>
        <w:rPr>
          <w:rFonts w:hint="eastAsia" w:ascii="仿宋_GB2312" w:hAnsi="楷体" w:eastAsia="仿宋_GB2312"/>
          <w:sz w:val="32"/>
          <w:szCs w:val="32"/>
          <w:lang w:eastAsia="zh-CN"/>
        </w:rPr>
        <w:t>寿县农业科学研究所</w:t>
      </w:r>
    </w:p>
    <w:p w14:paraId="2CDB3AE3">
      <w:pPr>
        <w:adjustRightInd w:val="0"/>
        <w:snapToGrid w:val="0"/>
        <w:spacing w:line="600" w:lineRule="exact"/>
        <w:ind w:firstLine="640" w:firstLineChars="200"/>
        <w:rPr>
          <w:rFonts w:hint="eastAsia" w:ascii="仿宋_GB2312" w:hAnsi="仿宋" w:eastAsia="仿宋_GB2312"/>
          <w:sz w:val="32"/>
          <w:szCs w:val="32"/>
        </w:rPr>
      </w:pPr>
      <w:r>
        <w:rPr>
          <w:rFonts w:hint="eastAsia" w:ascii="仿宋_GB2312" w:hAnsi="楷体" w:eastAsia="仿宋_GB2312"/>
          <w:sz w:val="32"/>
          <w:szCs w:val="32"/>
        </w:rPr>
        <w:t>（4）起止时间。2026年1月-10月</w:t>
      </w:r>
    </w:p>
    <w:p w14:paraId="4DC4F41F">
      <w:pPr>
        <w:spacing w:line="600" w:lineRule="exact"/>
        <w:ind w:firstLine="642"/>
        <w:rPr>
          <w:rFonts w:hint="eastAsia" w:ascii="仿宋_GB2312" w:eastAsia="仿宋_GB2312"/>
          <w:bCs/>
          <w:sz w:val="30"/>
          <w:szCs w:val="30"/>
        </w:rPr>
      </w:pPr>
      <w:r>
        <w:rPr>
          <w:rFonts w:hint="eastAsia" w:ascii="仿宋_GB2312" w:hAnsi="楷体" w:eastAsia="仿宋_GB2312"/>
          <w:sz w:val="32"/>
          <w:szCs w:val="32"/>
        </w:rPr>
        <w:t>（5）项目内容。新品种试验推广。</w:t>
      </w:r>
    </w:p>
    <w:p w14:paraId="06A0E6FC">
      <w:pPr>
        <w:adjustRightInd w:val="0"/>
        <w:snapToGrid w:val="0"/>
        <w:spacing w:line="60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rPr>
        <w:t>（6）年度预算安排。</w:t>
      </w:r>
      <w:r>
        <w:rPr>
          <w:rFonts w:hint="eastAsia" w:ascii="仿宋_GB2312" w:hAnsi="楷体" w:eastAsia="仿宋_GB2312"/>
          <w:sz w:val="32"/>
          <w:szCs w:val="32"/>
          <w:lang w:val="en-US" w:eastAsia="zh-CN"/>
        </w:rPr>
        <w:t>4</w:t>
      </w:r>
      <w:r>
        <w:rPr>
          <w:rFonts w:hint="eastAsia" w:ascii="仿宋_GB2312" w:hAnsi="楷体" w:eastAsia="仿宋_GB2312"/>
          <w:sz w:val="32"/>
          <w:szCs w:val="32"/>
        </w:rPr>
        <w:t>万元</w:t>
      </w:r>
    </w:p>
    <w:p w14:paraId="5A3954A2">
      <w:pPr>
        <w:adjustRightInd w:val="0"/>
        <w:snapToGrid w:val="0"/>
        <w:spacing w:line="60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rPr>
        <w:t>（7）绩效目标。95%</w:t>
      </w:r>
    </w:p>
    <w:tbl>
      <w:tblPr>
        <w:tblStyle w:val="4"/>
        <w:tblW w:w="9498" w:type="dxa"/>
        <w:tblInd w:w="-176" w:type="dxa"/>
        <w:tblLayout w:type="fixed"/>
        <w:tblCellMar>
          <w:top w:w="0" w:type="dxa"/>
          <w:left w:w="108" w:type="dxa"/>
          <w:bottom w:w="0" w:type="dxa"/>
          <w:right w:w="108" w:type="dxa"/>
        </w:tblCellMar>
      </w:tblPr>
      <w:tblGrid>
        <w:gridCol w:w="416"/>
        <w:gridCol w:w="820"/>
        <w:gridCol w:w="940"/>
        <w:gridCol w:w="2000"/>
        <w:gridCol w:w="860"/>
        <w:gridCol w:w="791"/>
        <w:gridCol w:w="889"/>
        <w:gridCol w:w="1040"/>
        <w:gridCol w:w="929"/>
        <w:gridCol w:w="813"/>
      </w:tblGrid>
      <w:tr w14:paraId="671F79E1">
        <w:tblPrEx>
          <w:tblCellMar>
            <w:top w:w="0" w:type="dxa"/>
            <w:left w:w="108" w:type="dxa"/>
            <w:bottom w:w="0" w:type="dxa"/>
            <w:right w:w="108" w:type="dxa"/>
          </w:tblCellMar>
        </w:tblPrEx>
        <w:trPr>
          <w:trHeight w:val="270" w:hRule="atLeast"/>
        </w:trPr>
        <w:tc>
          <w:tcPr>
            <w:tcW w:w="9498" w:type="dxa"/>
            <w:gridSpan w:val="10"/>
            <w:tcBorders>
              <w:top w:val="nil"/>
              <w:left w:val="nil"/>
              <w:bottom w:val="nil"/>
              <w:right w:val="nil"/>
            </w:tcBorders>
            <w:vAlign w:val="center"/>
          </w:tcPr>
          <w:p w14:paraId="16A8587F">
            <w:pPr>
              <w:jc w:val="center"/>
              <w:rPr>
                <w:rFonts w:ascii="宋体" w:hAnsi="宋体"/>
                <w:sz w:val="20"/>
                <w:szCs w:val="20"/>
              </w:rPr>
            </w:pPr>
            <w:r>
              <w:rPr>
                <w:rFonts w:hint="eastAsia" w:ascii="宋体" w:hAnsi="宋体"/>
                <w:sz w:val="20"/>
                <w:szCs w:val="20"/>
              </w:rPr>
              <w:t>（</w:t>
            </w:r>
            <w:r>
              <w:rPr>
                <w:rFonts w:hint="eastAsia"/>
                <w:sz w:val="20"/>
                <w:szCs w:val="20"/>
              </w:rPr>
              <w:t>2026</w:t>
            </w:r>
            <w:r>
              <w:rPr>
                <w:rFonts w:hint="eastAsia" w:ascii="宋体" w:hAnsi="宋体"/>
                <w:sz w:val="20"/>
                <w:szCs w:val="20"/>
              </w:rPr>
              <w:t>年度）</w:t>
            </w:r>
          </w:p>
        </w:tc>
      </w:tr>
      <w:tr w14:paraId="79CF9219">
        <w:tblPrEx>
          <w:tblCellMar>
            <w:top w:w="0" w:type="dxa"/>
            <w:left w:w="108" w:type="dxa"/>
            <w:bottom w:w="0" w:type="dxa"/>
            <w:right w:w="108" w:type="dxa"/>
          </w:tblCellMar>
        </w:tblPrEx>
        <w:trPr>
          <w:trHeight w:val="330" w:hRule="atLeast"/>
        </w:trPr>
        <w:tc>
          <w:tcPr>
            <w:tcW w:w="1236" w:type="dxa"/>
            <w:gridSpan w:val="2"/>
            <w:tcBorders>
              <w:top w:val="single" w:color="auto" w:sz="4" w:space="0"/>
              <w:left w:val="single" w:color="auto" w:sz="4" w:space="0"/>
              <w:bottom w:val="single" w:color="auto" w:sz="4" w:space="0"/>
              <w:right w:val="single" w:color="auto" w:sz="4" w:space="0"/>
            </w:tcBorders>
            <w:vAlign w:val="center"/>
          </w:tcPr>
          <w:p w14:paraId="4103201B">
            <w:pPr>
              <w:jc w:val="center"/>
              <w:rPr>
                <w:rFonts w:ascii="宋体" w:hAnsi="宋体"/>
                <w:color w:val="000000"/>
                <w:sz w:val="20"/>
                <w:szCs w:val="20"/>
              </w:rPr>
            </w:pPr>
            <w:r>
              <w:rPr>
                <w:rFonts w:hint="eastAsia" w:ascii="宋体" w:hAnsi="宋体"/>
                <w:color w:val="000000"/>
                <w:sz w:val="20"/>
                <w:szCs w:val="20"/>
              </w:rPr>
              <w:t>项目名称</w:t>
            </w:r>
          </w:p>
        </w:tc>
        <w:tc>
          <w:tcPr>
            <w:tcW w:w="8262" w:type="dxa"/>
            <w:gridSpan w:val="8"/>
            <w:tcBorders>
              <w:top w:val="single" w:color="auto" w:sz="4" w:space="0"/>
              <w:left w:val="nil"/>
              <w:bottom w:val="single" w:color="auto" w:sz="4" w:space="0"/>
              <w:right w:val="single" w:color="000000" w:sz="4" w:space="0"/>
            </w:tcBorders>
            <w:vAlign w:val="center"/>
          </w:tcPr>
          <w:p w14:paraId="099EB6F1">
            <w:pPr>
              <w:jc w:val="center"/>
              <w:rPr>
                <w:rFonts w:ascii="宋体" w:hAnsi="宋体"/>
                <w:color w:val="000000"/>
                <w:sz w:val="20"/>
                <w:szCs w:val="20"/>
              </w:rPr>
            </w:pPr>
            <w:r>
              <w:rPr>
                <w:rFonts w:hint="eastAsia" w:ascii="宋体" w:hAnsi="宋体"/>
                <w:color w:val="000000"/>
                <w:sz w:val="20"/>
                <w:szCs w:val="20"/>
              </w:rPr>
              <w:t>新品种试验推广　</w:t>
            </w:r>
          </w:p>
        </w:tc>
      </w:tr>
      <w:tr w14:paraId="4AB3ABA8">
        <w:tblPrEx>
          <w:tblCellMar>
            <w:top w:w="0" w:type="dxa"/>
            <w:left w:w="108" w:type="dxa"/>
            <w:bottom w:w="0" w:type="dxa"/>
            <w:right w:w="108" w:type="dxa"/>
          </w:tblCellMar>
        </w:tblPrEx>
        <w:trPr>
          <w:trHeight w:val="330" w:hRule="atLeast"/>
        </w:trPr>
        <w:tc>
          <w:tcPr>
            <w:tcW w:w="1236" w:type="dxa"/>
            <w:gridSpan w:val="2"/>
            <w:tcBorders>
              <w:top w:val="single" w:color="auto" w:sz="4" w:space="0"/>
              <w:left w:val="single" w:color="auto" w:sz="4" w:space="0"/>
              <w:bottom w:val="single" w:color="auto" w:sz="4" w:space="0"/>
              <w:right w:val="single" w:color="auto" w:sz="4" w:space="0"/>
            </w:tcBorders>
            <w:vAlign w:val="center"/>
          </w:tcPr>
          <w:p w14:paraId="7424650B">
            <w:pPr>
              <w:jc w:val="center"/>
              <w:rPr>
                <w:rFonts w:ascii="宋体" w:hAnsi="宋体"/>
                <w:color w:val="000000"/>
                <w:sz w:val="20"/>
                <w:szCs w:val="20"/>
              </w:rPr>
            </w:pPr>
            <w:r>
              <w:rPr>
                <w:rFonts w:hint="eastAsia" w:ascii="宋体" w:hAnsi="宋体"/>
                <w:color w:val="000000"/>
                <w:sz w:val="20"/>
                <w:szCs w:val="20"/>
              </w:rPr>
              <w:t>实施单位</w:t>
            </w:r>
          </w:p>
        </w:tc>
        <w:tc>
          <w:tcPr>
            <w:tcW w:w="8262" w:type="dxa"/>
            <w:gridSpan w:val="8"/>
            <w:tcBorders>
              <w:top w:val="single" w:color="auto" w:sz="4" w:space="0"/>
              <w:left w:val="nil"/>
              <w:bottom w:val="single" w:color="auto" w:sz="4" w:space="0"/>
              <w:right w:val="single" w:color="auto" w:sz="4" w:space="0"/>
            </w:tcBorders>
            <w:vAlign w:val="center"/>
          </w:tcPr>
          <w:p w14:paraId="7A8F7607">
            <w:pPr>
              <w:jc w:val="center"/>
              <w:rPr>
                <w:rFonts w:ascii="宋体" w:hAnsi="宋体"/>
                <w:color w:val="000000"/>
                <w:sz w:val="20"/>
                <w:szCs w:val="20"/>
              </w:rPr>
            </w:pPr>
            <w:r>
              <w:rPr>
                <w:rFonts w:hint="eastAsia" w:ascii="宋体" w:hAnsi="宋体"/>
                <w:color w:val="000000"/>
                <w:sz w:val="20"/>
                <w:szCs w:val="20"/>
                <w:lang w:eastAsia="zh-CN"/>
              </w:rPr>
              <w:t>寿县农业科学研究所</w:t>
            </w:r>
            <w:r>
              <w:rPr>
                <w:rFonts w:hint="eastAsia" w:ascii="宋体" w:hAnsi="宋体"/>
                <w:color w:val="000000"/>
                <w:sz w:val="20"/>
                <w:szCs w:val="20"/>
              </w:rPr>
              <w:t>　</w:t>
            </w:r>
          </w:p>
        </w:tc>
      </w:tr>
      <w:tr w14:paraId="67393BD0">
        <w:tblPrEx>
          <w:tblCellMar>
            <w:top w:w="0" w:type="dxa"/>
            <w:left w:w="108" w:type="dxa"/>
            <w:bottom w:w="0" w:type="dxa"/>
            <w:right w:w="108" w:type="dxa"/>
          </w:tblCellMar>
        </w:tblPrEx>
        <w:trPr>
          <w:trHeight w:val="330" w:hRule="atLeast"/>
        </w:trPr>
        <w:tc>
          <w:tcPr>
            <w:tcW w:w="1236" w:type="dxa"/>
            <w:gridSpan w:val="2"/>
            <w:tcBorders>
              <w:top w:val="single" w:color="auto" w:sz="4" w:space="0"/>
              <w:left w:val="single" w:color="auto" w:sz="4" w:space="0"/>
              <w:bottom w:val="single" w:color="auto" w:sz="4" w:space="0"/>
              <w:right w:val="single" w:color="auto" w:sz="4" w:space="0"/>
            </w:tcBorders>
            <w:vAlign w:val="center"/>
          </w:tcPr>
          <w:p w14:paraId="16CE96D7">
            <w:pPr>
              <w:jc w:val="center"/>
              <w:rPr>
                <w:rFonts w:ascii="宋体" w:hAnsi="宋体"/>
                <w:color w:val="000000"/>
                <w:sz w:val="20"/>
                <w:szCs w:val="20"/>
              </w:rPr>
            </w:pPr>
            <w:r>
              <w:rPr>
                <w:rFonts w:hint="eastAsia" w:ascii="宋体" w:hAnsi="宋体"/>
                <w:color w:val="000000"/>
                <w:sz w:val="20"/>
                <w:szCs w:val="20"/>
              </w:rPr>
              <w:t>项目属性</w:t>
            </w:r>
          </w:p>
        </w:tc>
        <w:tc>
          <w:tcPr>
            <w:tcW w:w="8262" w:type="dxa"/>
            <w:gridSpan w:val="8"/>
            <w:tcBorders>
              <w:top w:val="single" w:color="auto" w:sz="4" w:space="0"/>
              <w:left w:val="nil"/>
              <w:bottom w:val="single" w:color="auto" w:sz="4" w:space="0"/>
              <w:right w:val="single" w:color="auto" w:sz="4" w:space="0"/>
            </w:tcBorders>
            <w:vAlign w:val="center"/>
          </w:tcPr>
          <w:p w14:paraId="0B03EAFD">
            <w:pPr>
              <w:jc w:val="center"/>
              <w:rPr>
                <w:rFonts w:ascii="宋体" w:hAnsi="宋体"/>
                <w:color w:val="000000"/>
                <w:sz w:val="20"/>
                <w:szCs w:val="20"/>
              </w:rPr>
            </w:pPr>
            <w:r>
              <w:rPr>
                <w:rFonts w:hint="eastAsia" w:ascii="宋体" w:hAnsi="宋体"/>
                <w:color w:val="000000"/>
                <w:sz w:val="20"/>
                <w:szCs w:val="20"/>
              </w:rPr>
              <w:t>常年项目　</w:t>
            </w:r>
          </w:p>
        </w:tc>
      </w:tr>
      <w:tr w14:paraId="26D19C0F">
        <w:tblPrEx>
          <w:tblCellMar>
            <w:top w:w="0" w:type="dxa"/>
            <w:left w:w="108" w:type="dxa"/>
            <w:bottom w:w="0" w:type="dxa"/>
            <w:right w:w="108" w:type="dxa"/>
          </w:tblCellMar>
        </w:tblPrEx>
        <w:trPr>
          <w:trHeight w:val="330" w:hRule="atLeast"/>
        </w:trPr>
        <w:tc>
          <w:tcPr>
            <w:tcW w:w="2176" w:type="dxa"/>
            <w:gridSpan w:val="3"/>
            <w:vMerge w:val="restart"/>
            <w:tcBorders>
              <w:top w:val="nil"/>
              <w:left w:val="single" w:color="auto" w:sz="4" w:space="0"/>
              <w:bottom w:val="single" w:color="000000" w:sz="4" w:space="0"/>
              <w:right w:val="single" w:color="000000" w:sz="4" w:space="0"/>
            </w:tcBorders>
            <w:vAlign w:val="center"/>
          </w:tcPr>
          <w:p w14:paraId="221729F1">
            <w:pPr>
              <w:jc w:val="center"/>
              <w:rPr>
                <w:rFonts w:ascii="宋体" w:hAnsi="宋体"/>
                <w:sz w:val="20"/>
                <w:szCs w:val="20"/>
              </w:rPr>
            </w:pPr>
            <w:r>
              <w:rPr>
                <w:rFonts w:hint="eastAsia" w:ascii="宋体" w:hAnsi="宋体"/>
                <w:sz w:val="20"/>
                <w:szCs w:val="20"/>
              </w:rPr>
              <w:t>项目资金</w:t>
            </w:r>
          </w:p>
          <w:p w14:paraId="76A5A685">
            <w:pPr>
              <w:jc w:val="center"/>
              <w:rPr>
                <w:rFonts w:ascii="宋体" w:hAnsi="宋体"/>
                <w:sz w:val="20"/>
                <w:szCs w:val="20"/>
              </w:rPr>
            </w:pPr>
            <w:r>
              <w:rPr>
                <w:rFonts w:hint="eastAsia" w:ascii="宋体" w:hAnsi="宋体"/>
                <w:sz w:val="20"/>
                <w:szCs w:val="20"/>
              </w:rPr>
              <w:t>（万元）</w:t>
            </w:r>
          </w:p>
        </w:tc>
        <w:tc>
          <w:tcPr>
            <w:tcW w:w="2000" w:type="dxa"/>
            <w:tcBorders>
              <w:top w:val="nil"/>
              <w:left w:val="nil"/>
              <w:bottom w:val="single" w:color="auto" w:sz="4" w:space="0"/>
              <w:right w:val="single" w:color="auto" w:sz="4" w:space="0"/>
            </w:tcBorders>
            <w:vAlign w:val="center"/>
          </w:tcPr>
          <w:p w14:paraId="3C1CA705">
            <w:pPr>
              <w:rPr>
                <w:rFonts w:ascii="宋体" w:hAnsi="宋体"/>
                <w:sz w:val="20"/>
                <w:szCs w:val="20"/>
              </w:rPr>
            </w:pPr>
            <w:r>
              <w:rPr>
                <w:sz w:val="20"/>
                <w:szCs w:val="20"/>
              </w:rPr>
              <w:t xml:space="preserve"> </w:t>
            </w:r>
            <w:r>
              <w:rPr>
                <w:rFonts w:hint="eastAsia" w:ascii="宋体" w:hAnsi="宋体"/>
                <w:sz w:val="20"/>
                <w:szCs w:val="20"/>
              </w:rPr>
              <w:t>中期资金总额：</w:t>
            </w:r>
          </w:p>
        </w:tc>
        <w:tc>
          <w:tcPr>
            <w:tcW w:w="1651" w:type="dxa"/>
            <w:gridSpan w:val="2"/>
            <w:tcBorders>
              <w:top w:val="single" w:color="auto" w:sz="4" w:space="0"/>
              <w:left w:val="nil"/>
              <w:bottom w:val="single" w:color="auto" w:sz="4" w:space="0"/>
              <w:right w:val="single" w:color="auto" w:sz="4" w:space="0"/>
            </w:tcBorders>
            <w:vAlign w:val="center"/>
          </w:tcPr>
          <w:p w14:paraId="230688F5">
            <w:pPr>
              <w:jc w:val="center"/>
              <w:rPr>
                <w:rFonts w:ascii="宋体" w:hAnsi="宋体"/>
                <w:sz w:val="20"/>
                <w:szCs w:val="20"/>
              </w:rPr>
            </w:pPr>
            <w:r>
              <w:rPr>
                <w:rFonts w:hint="eastAsia" w:ascii="宋体" w:hAnsi="宋体"/>
                <w:sz w:val="20"/>
                <w:szCs w:val="20"/>
              </w:rPr>
              <w:t>　</w:t>
            </w:r>
          </w:p>
        </w:tc>
        <w:tc>
          <w:tcPr>
            <w:tcW w:w="1929" w:type="dxa"/>
            <w:gridSpan w:val="2"/>
            <w:tcBorders>
              <w:top w:val="single" w:color="auto" w:sz="4" w:space="0"/>
              <w:left w:val="nil"/>
              <w:bottom w:val="single" w:color="auto" w:sz="4" w:space="0"/>
              <w:right w:val="single" w:color="auto" w:sz="4" w:space="0"/>
            </w:tcBorders>
            <w:vAlign w:val="center"/>
          </w:tcPr>
          <w:p w14:paraId="71BD4AA7">
            <w:pPr>
              <w:rPr>
                <w:rFonts w:ascii="宋体" w:hAnsi="宋体"/>
                <w:sz w:val="20"/>
                <w:szCs w:val="20"/>
              </w:rPr>
            </w:pPr>
            <w:r>
              <w:rPr>
                <w:sz w:val="20"/>
                <w:szCs w:val="20"/>
              </w:rPr>
              <w:t xml:space="preserve"> </w:t>
            </w:r>
            <w:r>
              <w:rPr>
                <w:rFonts w:hint="eastAsia" w:ascii="宋体" w:hAnsi="宋体"/>
                <w:sz w:val="20"/>
                <w:szCs w:val="20"/>
              </w:rPr>
              <w:t>年度资金总额：</w:t>
            </w:r>
          </w:p>
        </w:tc>
        <w:tc>
          <w:tcPr>
            <w:tcW w:w="1742" w:type="dxa"/>
            <w:gridSpan w:val="2"/>
            <w:tcBorders>
              <w:top w:val="single" w:color="auto" w:sz="4" w:space="0"/>
              <w:left w:val="nil"/>
              <w:bottom w:val="single" w:color="auto" w:sz="4" w:space="0"/>
              <w:right w:val="single" w:color="000000" w:sz="4" w:space="0"/>
            </w:tcBorders>
            <w:vAlign w:val="center"/>
          </w:tcPr>
          <w:p w14:paraId="06DC88AC">
            <w:pPr>
              <w:jc w:val="center"/>
              <w:rPr>
                <w:rFonts w:ascii="宋体" w:hAnsi="宋体"/>
                <w:sz w:val="20"/>
                <w:szCs w:val="20"/>
              </w:rPr>
            </w:pPr>
            <w:r>
              <w:rPr>
                <w:rFonts w:hint="eastAsia" w:ascii="宋体" w:hAnsi="宋体"/>
                <w:sz w:val="20"/>
                <w:szCs w:val="20"/>
              </w:rPr>
              <w:t>　</w:t>
            </w:r>
          </w:p>
        </w:tc>
      </w:tr>
      <w:tr w14:paraId="5A187B7A">
        <w:tblPrEx>
          <w:tblCellMar>
            <w:top w:w="0" w:type="dxa"/>
            <w:left w:w="108" w:type="dxa"/>
            <w:bottom w:w="0" w:type="dxa"/>
            <w:right w:w="108" w:type="dxa"/>
          </w:tblCellMar>
        </w:tblPrEx>
        <w:trPr>
          <w:trHeight w:val="330" w:hRule="atLeast"/>
        </w:trPr>
        <w:tc>
          <w:tcPr>
            <w:tcW w:w="2176" w:type="dxa"/>
            <w:gridSpan w:val="3"/>
            <w:vMerge w:val="continue"/>
            <w:tcBorders>
              <w:top w:val="nil"/>
              <w:left w:val="single" w:color="auto" w:sz="4" w:space="0"/>
              <w:bottom w:val="single" w:color="000000" w:sz="4" w:space="0"/>
              <w:right w:val="single" w:color="000000" w:sz="4" w:space="0"/>
            </w:tcBorders>
            <w:vAlign w:val="center"/>
          </w:tcPr>
          <w:p w14:paraId="4CD5B527">
            <w:pPr>
              <w:widowControl/>
              <w:jc w:val="left"/>
              <w:rPr>
                <w:rFonts w:ascii="宋体" w:hAnsi="宋体"/>
                <w:sz w:val="20"/>
                <w:szCs w:val="20"/>
              </w:rPr>
            </w:pPr>
          </w:p>
        </w:tc>
        <w:tc>
          <w:tcPr>
            <w:tcW w:w="2000" w:type="dxa"/>
            <w:tcBorders>
              <w:top w:val="nil"/>
              <w:left w:val="nil"/>
              <w:bottom w:val="single" w:color="auto" w:sz="4" w:space="0"/>
              <w:right w:val="single" w:color="auto" w:sz="4" w:space="0"/>
            </w:tcBorders>
            <w:vAlign w:val="center"/>
          </w:tcPr>
          <w:p w14:paraId="0D368A68">
            <w:pPr>
              <w:rPr>
                <w:rFonts w:ascii="宋体" w:hAnsi="宋体"/>
                <w:sz w:val="20"/>
                <w:szCs w:val="20"/>
              </w:rPr>
            </w:pPr>
            <w:r>
              <w:rPr>
                <w:sz w:val="20"/>
                <w:szCs w:val="20"/>
              </w:rPr>
              <w:t xml:space="preserve">   </w:t>
            </w:r>
            <w:r>
              <w:rPr>
                <w:rFonts w:hint="eastAsia" w:ascii="宋体" w:hAnsi="宋体"/>
                <w:sz w:val="20"/>
                <w:szCs w:val="20"/>
              </w:rPr>
              <w:t>其中：财政拨款</w:t>
            </w:r>
          </w:p>
        </w:tc>
        <w:tc>
          <w:tcPr>
            <w:tcW w:w="1651" w:type="dxa"/>
            <w:gridSpan w:val="2"/>
            <w:tcBorders>
              <w:top w:val="single" w:color="auto" w:sz="4" w:space="0"/>
              <w:left w:val="nil"/>
              <w:bottom w:val="single" w:color="auto" w:sz="4" w:space="0"/>
              <w:right w:val="single" w:color="auto" w:sz="4" w:space="0"/>
            </w:tcBorders>
            <w:vAlign w:val="center"/>
          </w:tcPr>
          <w:p w14:paraId="68E2F7AA">
            <w:pPr>
              <w:jc w:val="center"/>
              <w:rPr>
                <w:rFonts w:ascii="宋体" w:hAnsi="宋体"/>
                <w:sz w:val="20"/>
                <w:szCs w:val="20"/>
              </w:rPr>
            </w:pPr>
            <w:r>
              <w:rPr>
                <w:rFonts w:hint="eastAsia" w:ascii="宋体" w:hAnsi="宋体"/>
                <w:sz w:val="20"/>
                <w:szCs w:val="20"/>
              </w:rPr>
              <w:t>　</w:t>
            </w:r>
          </w:p>
        </w:tc>
        <w:tc>
          <w:tcPr>
            <w:tcW w:w="1929" w:type="dxa"/>
            <w:gridSpan w:val="2"/>
            <w:tcBorders>
              <w:top w:val="single" w:color="auto" w:sz="4" w:space="0"/>
              <w:left w:val="nil"/>
              <w:bottom w:val="single" w:color="auto" w:sz="4" w:space="0"/>
              <w:right w:val="single" w:color="auto" w:sz="4" w:space="0"/>
            </w:tcBorders>
            <w:vAlign w:val="center"/>
          </w:tcPr>
          <w:p w14:paraId="37757A9B">
            <w:pPr>
              <w:rPr>
                <w:rFonts w:ascii="宋体" w:hAnsi="宋体"/>
                <w:sz w:val="20"/>
                <w:szCs w:val="20"/>
              </w:rPr>
            </w:pPr>
            <w:r>
              <w:rPr>
                <w:sz w:val="20"/>
                <w:szCs w:val="20"/>
              </w:rPr>
              <w:t xml:space="preserve">   </w:t>
            </w:r>
            <w:r>
              <w:rPr>
                <w:rFonts w:hint="eastAsia" w:ascii="宋体" w:hAnsi="宋体"/>
                <w:sz w:val="20"/>
                <w:szCs w:val="20"/>
              </w:rPr>
              <w:t>其中：财政拨款</w:t>
            </w:r>
          </w:p>
        </w:tc>
        <w:tc>
          <w:tcPr>
            <w:tcW w:w="1742" w:type="dxa"/>
            <w:gridSpan w:val="2"/>
            <w:tcBorders>
              <w:top w:val="single" w:color="auto" w:sz="4" w:space="0"/>
              <w:left w:val="nil"/>
              <w:bottom w:val="single" w:color="auto" w:sz="4" w:space="0"/>
              <w:right w:val="single" w:color="000000" w:sz="4" w:space="0"/>
            </w:tcBorders>
            <w:vAlign w:val="center"/>
          </w:tcPr>
          <w:p w14:paraId="3FAF76E2">
            <w:pPr>
              <w:jc w:val="center"/>
              <w:rPr>
                <w:rFonts w:hint="eastAsia" w:ascii="宋体" w:hAnsi="宋体" w:eastAsia="宋体"/>
                <w:sz w:val="20"/>
                <w:szCs w:val="20"/>
                <w:lang w:val="en-US" w:eastAsia="zh-CN"/>
              </w:rPr>
            </w:pPr>
            <w:r>
              <w:rPr>
                <w:rFonts w:hint="eastAsia" w:ascii="宋体" w:hAnsi="宋体"/>
                <w:sz w:val="20"/>
                <w:szCs w:val="20"/>
                <w:lang w:val="en-US" w:eastAsia="zh-CN"/>
              </w:rPr>
              <w:t>4</w:t>
            </w:r>
          </w:p>
        </w:tc>
      </w:tr>
      <w:tr w14:paraId="5F72F3EF">
        <w:tblPrEx>
          <w:tblCellMar>
            <w:top w:w="0" w:type="dxa"/>
            <w:left w:w="108" w:type="dxa"/>
            <w:bottom w:w="0" w:type="dxa"/>
            <w:right w:w="108" w:type="dxa"/>
          </w:tblCellMar>
        </w:tblPrEx>
        <w:trPr>
          <w:trHeight w:val="330" w:hRule="atLeast"/>
        </w:trPr>
        <w:tc>
          <w:tcPr>
            <w:tcW w:w="2176" w:type="dxa"/>
            <w:gridSpan w:val="3"/>
            <w:vMerge w:val="continue"/>
            <w:tcBorders>
              <w:top w:val="nil"/>
              <w:left w:val="single" w:color="auto" w:sz="4" w:space="0"/>
              <w:bottom w:val="single" w:color="000000" w:sz="4" w:space="0"/>
              <w:right w:val="single" w:color="000000" w:sz="4" w:space="0"/>
            </w:tcBorders>
            <w:vAlign w:val="center"/>
          </w:tcPr>
          <w:p w14:paraId="61F152A6">
            <w:pPr>
              <w:widowControl/>
              <w:jc w:val="left"/>
              <w:rPr>
                <w:rFonts w:ascii="宋体" w:hAnsi="宋体"/>
                <w:sz w:val="20"/>
                <w:szCs w:val="20"/>
              </w:rPr>
            </w:pPr>
          </w:p>
        </w:tc>
        <w:tc>
          <w:tcPr>
            <w:tcW w:w="2000" w:type="dxa"/>
            <w:tcBorders>
              <w:top w:val="nil"/>
              <w:left w:val="nil"/>
              <w:bottom w:val="single" w:color="auto" w:sz="4" w:space="0"/>
              <w:right w:val="single" w:color="auto" w:sz="4" w:space="0"/>
            </w:tcBorders>
            <w:vAlign w:val="center"/>
          </w:tcPr>
          <w:p w14:paraId="5448DE72">
            <w:pPr>
              <w:rPr>
                <w:rFonts w:ascii="宋体" w:hAnsi="宋体"/>
                <w:sz w:val="20"/>
                <w:szCs w:val="20"/>
              </w:rPr>
            </w:pPr>
            <w:r>
              <w:rPr>
                <w:sz w:val="20"/>
                <w:szCs w:val="20"/>
              </w:rPr>
              <w:t xml:space="preserve">        </w:t>
            </w:r>
            <w:r>
              <w:rPr>
                <w:rFonts w:hint="eastAsia" w:ascii="宋体" w:hAnsi="宋体"/>
                <w:sz w:val="20"/>
                <w:szCs w:val="20"/>
              </w:rPr>
              <w:t>其他资金</w:t>
            </w:r>
          </w:p>
        </w:tc>
        <w:tc>
          <w:tcPr>
            <w:tcW w:w="1651" w:type="dxa"/>
            <w:gridSpan w:val="2"/>
            <w:tcBorders>
              <w:top w:val="single" w:color="auto" w:sz="4" w:space="0"/>
              <w:left w:val="nil"/>
              <w:bottom w:val="single" w:color="auto" w:sz="4" w:space="0"/>
              <w:right w:val="single" w:color="000000" w:sz="4" w:space="0"/>
            </w:tcBorders>
            <w:vAlign w:val="center"/>
          </w:tcPr>
          <w:p w14:paraId="17511A83">
            <w:pPr>
              <w:jc w:val="center"/>
              <w:rPr>
                <w:rFonts w:ascii="宋体" w:hAnsi="宋体"/>
                <w:sz w:val="20"/>
                <w:szCs w:val="20"/>
              </w:rPr>
            </w:pPr>
            <w:r>
              <w:rPr>
                <w:rFonts w:hint="eastAsia" w:ascii="宋体" w:hAnsi="宋体"/>
                <w:sz w:val="20"/>
                <w:szCs w:val="20"/>
              </w:rPr>
              <w:t>　</w:t>
            </w:r>
          </w:p>
        </w:tc>
        <w:tc>
          <w:tcPr>
            <w:tcW w:w="1929" w:type="dxa"/>
            <w:gridSpan w:val="2"/>
            <w:tcBorders>
              <w:top w:val="single" w:color="auto" w:sz="4" w:space="0"/>
              <w:left w:val="nil"/>
              <w:bottom w:val="single" w:color="auto" w:sz="4" w:space="0"/>
              <w:right w:val="single" w:color="auto" w:sz="4" w:space="0"/>
            </w:tcBorders>
            <w:vAlign w:val="center"/>
          </w:tcPr>
          <w:p w14:paraId="16C1C8CD">
            <w:pPr>
              <w:rPr>
                <w:rFonts w:ascii="宋体" w:hAnsi="宋体"/>
                <w:sz w:val="20"/>
                <w:szCs w:val="20"/>
              </w:rPr>
            </w:pPr>
            <w:r>
              <w:rPr>
                <w:sz w:val="20"/>
                <w:szCs w:val="20"/>
              </w:rPr>
              <w:t xml:space="preserve">         </w:t>
            </w:r>
            <w:r>
              <w:rPr>
                <w:rFonts w:hint="eastAsia" w:ascii="宋体" w:hAnsi="宋体"/>
                <w:sz w:val="20"/>
                <w:szCs w:val="20"/>
              </w:rPr>
              <w:t>其他资金</w:t>
            </w:r>
          </w:p>
        </w:tc>
        <w:tc>
          <w:tcPr>
            <w:tcW w:w="1742" w:type="dxa"/>
            <w:gridSpan w:val="2"/>
            <w:tcBorders>
              <w:top w:val="single" w:color="auto" w:sz="4" w:space="0"/>
              <w:left w:val="nil"/>
              <w:bottom w:val="single" w:color="auto" w:sz="4" w:space="0"/>
              <w:right w:val="single" w:color="000000" w:sz="4" w:space="0"/>
            </w:tcBorders>
            <w:vAlign w:val="center"/>
          </w:tcPr>
          <w:p w14:paraId="234F9E38">
            <w:pPr>
              <w:jc w:val="center"/>
              <w:rPr>
                <w:rFonts w:ascii="宋体" w:hAnsi="宋体"/>
                <w:sz w:val="20"/>
                <w:szCs w:val="20"/>
              </w:rPr>
            </w:pPr>
            <w:r>
              <w:rPr>
                <w:rFonts w:hint="eastAsia" w:ascii="宋体" w:hAnsi="宋体"/>
                <w:sz w:val="20"/>
                <w:szCs w:val="20"/>
              </w:rPr>
              <w:t>　</w:t>
            </w:r>
          </w:p>
        </w:tc>
      </w:tr>
      <w:tr w14:paraId="2783F1DD">
        <w:tblPrEx>
          <w:tblCellMar>
            <w:top w:w="0" w:type="dxa"/>
            <w:left w:w="108" w:type="dxa"/>
            <w:bottom w:w="0" w:type="dxa"/>
            <w:right w:w="108" w:type="dxa"/>
          </w:tblCellMar>
        </w:tblPrEx>
        <w:trPr>
          <w:trHeight w:val="330" w:hRule="atLeast"/>
        </w:trPr>
        <w:tc>
          <w:tcPr>
            <w:tcW w:w="416" w:type="dxa"/>
            <w:vMerge w:val="restart"/>
            <w:tcBorders>
              <w:top w:val="nil"/>
              <w:left w:val="single" w:color="auto" w:sz="4" w:space="0"/>
              <w:bottom w:val="single" w:color="auto" w:sz="4" w:space="0"/>
              <w:right w:val="single" w:color="auto" w:sz="4" w:space="0"/>
            </w:tcBorders>
            <w:vAlign w:val="center"/>
          </w:tcPr>
          <w:p w14:paraId="55638AE5">
            <w:pPr>
              <w:jc w:val="center"/>
              <w:rPr>
                <w:rFonts w:ascii="宋体" w:hAnsi="宋体"/>
                <w:sz w:val="20"/>
                <w:szCs w:val="20"/>
              </w:rPr>
            </w:pPr>
            <w:r>
              <w:rPr>
                <w:rFonts w:hint="eastAsia" w:ascii="宋体" w:hAnsi="宋体"/>
                <w:sz w:val="20"/>
                <w:szCs w:val="20"/>
              </w:rPr>
              <w:t>总</w:t>
            </w:r>
          </w:p>
          <w:p w14:paraId="1BCFE23B">
            <w:pPr>
              <w:jc w:val="center"/>
              <w:rPr>
                <w:rFonts w:hint="eastAsia" w:ascii="宋体" w:hAnsi="宋体"/>
                <w:sz w:val="20"/>
                <w:szCs w:val="20"/>
              </w:rPr>
            </w:pPr>
            <w:r>
              <w:rPr>
                <w:rFonts w:hint="eastAsia" w:ascii="宋体" w:hAnsi="宋体"/>
                <w:sz w:val="20"/>
                <w:szCs w:val="20"/>
              </w:rPr>
              <w:t>体</w:t>
            </w:r>
          </w:p>
          <w:p w14:paraId="2A660412">
            <w:pPr>
              <w:jc w:val="center"/>
              <w:rPr>
                <w:rFonts w:hint="eastAsia" w:ascii="宋体" w:hAnsi="宋体"/>
                <w:sz w:val="20"/>
                <w:szCs w:val="20"/>
              </w:rPr>
            </w:pPr>
            <w:r>
              <w:rPr>
                <w:rFonts w:hint="eastAsia" w:ascii="宋体" w:hAnsi="宋体"/>
                <w:sz w:val="20"/>
                <w:szCs w:val="20"/>
              </w:rPr>
              <w:t>目</w:t>
            </w:r>
          </w:p>
          <w:p w14:paraId="4E0D05CA">
            <w:pPr>
              <w:jc w:val="center"/>
              <w:rPr>
                <w:rFonts w:ascii="宋体" w:hAnsi="宋体"/>
                <w:sz w:val="20"/>
                <w:szCs w:val="20"/>
              </w:rPr>
            </w:pPr>
            <w:r>
              <w:rPr>
                <w:rFonts w:hint="eastAsia" w:ascii="宋体" w:hAnsi="宋体"/>
                <w:sz w:val="20"/>
                <w:szCs w:val="20"/>
              </w:rPr>
              <w:t>标</w:t>
            </w:r>
          </w:p>
        </w:tc>
        <w:tc>
          <w:tcPr>
            <w:tcW w:w="5411" w:type="dxa"/>
            <w:gridSpan w:val="5"/>
            <w:tcBorders>
              <w:top w:val="single" w:color="auto" w:sz="4" w:space="0"/>
              <w:left w:val="nil"/>
              <w:bottom w:val="single" w:color="auto" w:sz="4" w:space="0"/>
              <w:right w:val="nil"/>
            </w:tcBorders>
            <w:vAlign w:val="center"/>
          </w:tcPr>
          <w:p w14:paraId="256D5A73">
            <w:pPr>
              <w:jc w:val="center"/>
              <w:rPr>
                <w:rFonts w:ascii="宋体" w:hAnsi="宋体"/>
                <w:sz w:val="20"/>
                <w:szCs w:val="20"/>
              </w:rPr>
            </w:pPr>
            <w:r>
              <w:rPr>
                <w:rFonts w:hint="eastAsia" w:ascii="宋体" w:hAnsi="宋体"/>
                <w:sz w:val="20"/>
                <w:szCs w:val="20"/>
              </w:rPr>
              <w:t>中期目标（</w:t>
            </w:r>
            <w:r>
              <w:rPr>
                <w:rFonts w:hint="eastAsia"/>
                <w:sz w:val="20"/>
                <w:szCs w:val="20"/>
              </w:rPr>
              <w:t>2026</w:t>
            </w:r>
            <w:r>
              <w:rPr>
                <w:rFonts w:hint="eastAsia" w:ascii="宋体" w:hAnsi="宋体"/>
                <w:sz w:val="20"/>
                <w:szCs w:val="20"/>
              </w:rPr>
              <w:t>年</w:t>
            </w:r>
            <w:r>
              <w:rPr>
                <w:rFonts w:hint="eastAsia"/>
                <w:sz w:val="20"/>
                <w:szCs w:val="20"/>
              </w:rPr>
              <w:t>-2026</w:t>
            </w:r>
            <w:r>
              <w:rPr>
                <w:rFonts w:hint="eastAsia" w:ascii="宋体" w:hAnsi="宋体"/>
                <w:sz w:val="20"/>
                <w:szCs w:val="20"/>
              </w:rPr>
              <w:t>年）</w:t>
            </w:r>
          </w:p>
        </w:tc>
        <w:tc>
          <w:tcPr>
            <w:tcW w:w="3671" w:type="dxa"/>
            <w:gridSpan w:val="4"/>
            <w:tcBorders>
              <w:top w:val="single" w:color="auto" w:sz="4" w:space="0"/>
              <w:left w:val="single" w:color="auto" w:sz="4" w:space="0"/>
              <w:bottom w:val="single" w:color="auto" w:sz="4" w:space="0"/>
              <w:right w:val="single" w:color="000000" w:sz="4" w:space="0"/>
            </w:tcBorders>
            <w:vAlign w:val="center"/>
          </w:tcPr>
          <w:p w14:paraId="05C264E0">
            <w:pPr>
              <w:jc w:val="center"/>
              <w:rPr>
                <w:rFonts w:ascii="宋体" w:hAnsi="宋体"/>
                <w:sz w:val="20"/>
                <w:szCs w:val="20"/>
              </w:rPr>
            </w:pPr>
            <w:r>
              <w:rPr>
                <w:rFonts w:hint="eastAsia" w:ascii="宋体" w:hAnsi="宋体"/>
                <w:sz w:val="20"/>
                <w:szCs w:val="20"/>
              </w:rPr>
              <w:t>年度目标</w:t>
            </w:r>
          </w:p>
        </w:tc>
      </w:tr>
      <w:tr w14:paraId="3E2B2964">
        <w:tblPrEx>
          <w:tblCellMar>
            <w:top w:w="0" w:type="dxa"/>
            <w:left w:w="108" w:type="dxa"/>
            <w:bottom w:w="0" w:type="dxa"/>
            <w:right w:w="108" w:type="dxa"/>
          </w:tblCellMar>
        </w:tblPrEx>
        <w:trPr>
          <w:trHeight w:val="660" w:hRule="atLeast"/>
        </w:trPr>
        <w:tc>
          <w:tcPr>
            <w:tcW w:w="416" w:type="dxa"/>
            <w:vMerge w:val="continue"/>
            <w:tcBorders>
              <w:top w:val="nil"/>
              <w:left w:val="single" w:color="auto" w:sz="4" w:space="0"/>
              <w:bottom w:val="single" w:color="auto" w:sz="4" w:space="0"/>
              <w:right w:val="single" w:color="auto" w:sz="4" w:space="0"/>
            </w:tcBorders>
            <w:vAlign w:val="center"/>
          </w:tcPr>
          <w:p w14:paraId="5DEF68D9">
            <w:pPr>
              <w:widowControl/>
              <w:jc w:val="left"/>
              <w:rPr>
                <w:rFonts w:ascii="宋体" w:hAnsi="宋体"/>
                <w:sz w:val="20"/>
                <w:szCs w:val="20"/>
              </w:rPr>
            </w:pPr>
          </w:p>
        </w:tc>
        <w:tc>
          <w:tcPr>
            <w:tcW w:w="5411" w:type="dxa"/>
            <w:gridSpan w:val="5"/>
            <w:tcBorders>
              <w:top w:val="single" w:color="auto" w:sz="4" w:space="0"/>
              <w:left w:val="nil"/>
              <w:bottom w:val="single" w:color="auto" w:sz="4" w:space="0"/>
              <w:right w:val="nil"/>
            </w:tcBorders>
          </w:tcPr>
          <w:p w14:paraId="07A39A4C">
            <w:pPr>
              <w:rPr>
                <w:rFonts w:ascii="宋体" w:hAnsi="宋体"/>
                <w:sz w:val="20"/>
                <w:szCs w:val="20"/>
              </w:rPr>
            </w:pPr>
            <w:r>
              <w:rPr>
                <w:rFonts w:hint="eastAsia" w:ascii="宋体" w:hAnsi="宋体"/>
                <w:sz w:val="20"/>
                <w:szCs w:val="20"/>
              </w:rPr>
              <w:t>全面完成省终止站安排的试验项目236个小区。</w:t>
            </w:r>
          </w:p>
        </w:tc>
        <w:tc>
          <w:tcPr>
            <w:tcW w:w="3671" w:type="dxa"/>
            <w:gridSpan w:val="4"/>
            <w:tcBorders>
              <w:top w:val="single" w:color="auto" w:sz="4" w:space="0"/>
              <w:left w:val="single" w:color="auto" w:sz="4" w:space="0"/>
              <w:bottom w:val="single" w:color="auto" w:sz="4" w:space="0"/>
              <w:right w:val="single" w:color="000000" w:sz="4" w:space="0"/>
            </w:tcBorders>
          </w:tcPr>
          <w:p w14:paraId="70B3F5F0">
            <w:pPr>
              <w:rPr>
                <w:rFonts w:ascii="宋体" w:hAnsi="宋体"/>
                <w:sz w:val="20"/>
                <w:szCs w:val="20"/>
              </w:rPr>
            </w:pPr>
            <w:r>
              <w:rPr>
                <w:rFonts w:hint="eastAsia" w:ascii="宋体" w:hAnsi="宋体"/>
                <w:sz w:val="20"/>
                <w:szCs w:val="20"/>
              </w:rPr>
              <w:t>全面完成省终止站安排的试验项目236个小区。</w:t>
            </w:r>
          </w:p>
        </w:tc>
      </w:tr>
      <w:tr w14:paraId="76280F7F">
        <w:tblPrEx>
          <w:tblCellMar>
            <w:top w:w="0" w:type="dxa"/>
            <w:left w:w="108" w:type="dxa"/>
            <w:bottom w:w="0" w:type="dxa"/>
            <w:right w:w="108" w:type="dxa"/>
          </w:tblCellMar>
        </w:tblPrEx>
        <w:trPr>
          <w:trHeight w:val="1487" w:hRule="atLeast"/>
        </w:trPr>
        <w:tc>
          <w:tcPr>
            <w:tcW w:w="9498" w:type="dxa"/>
            <w:gridSpan w:val="10"/>
            <w:tcBorders>
              <w:top w:val="nil"/>
              <w:left w:val="nil"/>
              <w:bottom w:val="nil"/>
              <w:right w:val="nil"/>
            </w:tcBorders>
            <w:vAlign w:val="center"/>
          </w:tcPr>
          <w:p w14:paraId="2BE9291B">
            <w:pPr>
              <w:rPr>
                <w:bCs/>
                <w:sz w:val="32"/>
                <w:szCs w:val="32"/>
              </w:rPr>
            </w:pPr>
          </w:p>
          <w:p w14:paraId="27678DDA">
            <w:pPr>
              <w:jc w:val="center"/>
              <w:rPr>
                <w:rFonts w:ascii="宋体" w:hAnsi="宋体"/>
                <w:bCs/>
                <w:sz w:val="32"/>
                <w:szCs w:val="32"/>
              </w:rPr>
            </w:pPr>
          </w:p>
        </w:tc>
      </w:tr>
      <w:tr w14:paraId="25455B2F">
        <w:tblPrEx>
          <w:tblCellMar>
            <w:top w:w="0" w:type="dxa"/>
            <w:left w:w="108" w:type="dxa"/>
            <w:bottom w:w="0" w:type="dxa"/>
            <w:right w:w="108" w:type="dxa"/>
          </w:tblCellMar>
        </w:tblPrEx>
        <w:trPr>
          <w:trHeight w:val="830" w:hRule="atLeast"/>
        </w:trPr>
        <w:tc>
          <w:tcPr>
            <w:tcW w:w="416" w:type="dxa"/>
            <w:vMerge w:val="restart"/>
            <w:tcBorders>
              <w:top w:val="nil"/>
              <w:left w:val="single" w:color="auto" w:sz="4" w:space="0"/>
              <w:bottom w:val="single" w:color="000000" w:sz="4" w:space="0"/>
              <w:right w:val="single" w:color="auto" w:sz="4" w:space="0"/>
            </w:tcBorders>
            <w:vAlign w:val="center"/>
          </w:tcPr>
          <w:p w14:paraId="299F85F9">
            <w:pPr>
              <w:jc w:val="center"/>
              <w:rPr>
                <w:rFonts w:ascii="宋体" w:hAnsi="宋体"/>
                <w:sz w:val="20"/>
                <w:szCs w:val="20"/>
              </w:rPr>
            </w:pPr>
            <w:r>
              <w:rPr>
                <w:rFonts w:hint="eastAsia" w:ascii="宋体" w:hAnsi="宋体"/>
                <w:sz w:val="20"/>
                <w:szCs w:val="20"/>
              </w:rPr>
              <w:t>绩</w:t>
            </w:r>
          </w:p>
          <w:p w14:paraId="639B63B3">
            <w:pPr>
              <w:jc w:val="center"/>
              <w:rPr>
                <w:rFonts w:hint="eastAsia" w:ascii="宋体" w:hAnsi="宋体"/>
                <w:sz w:val="20"/>
                <w:szCs w:val="20"/>
              </w:rPr>
            </w:pPr>
            <w:r>
              <w:rPr>
                <w:rFonts w:hint="eastAsia" w:ascii="宋体" w:hAnsi="宋体"/>
                <w:sz w:val="20"/>
                <w:szCs w:val="20"/>
              </w:rPr>
              <w:t>效</w:t>
            </w:r>
          </w:p>
          <w:p w14:paraId="65ECFD27">
            <w:pPr>
              <w:jc w:val="center"/>
              <w:rPr>
                <w:rFonts w:hint="eastAsia" w:ascii="宋体" w:hAnsi="宋体"/>
                <w:sz w:val="20"/>
                <w:szCs w:val="20"/>
              </w:rPr>
            </w:pPr>
            <w:r>
              <w:rPr>
                <w:rFonts w:hint="eastAsia" w:ascii="宋体" w:hAnsi="宋体"/>
                <w:sz w:val="20"/>
                <w:szCs w:val="20"/>
              </w:rPr>
              <w:t>指</w:t>
            </w:r>
          </w:p>
          <w:p w14:paraId="5EF0F8BA">
            <w:pPr>
              <w:jc w:val="center"/>
              <w:rPr>
                <w:rFonts w:ascii="宋体" w:hAnsi="宋体"/>
                <w:sz w:val="20"/>
                <w:szCs w:val="20"/>
              </w:rPr>
            </w:pPr>
            <w:r>
              <w:rPr>
                <w:rFonts w:hint="eastAsia" w:ascii="宋体" w:hAnsi="宋体"/>
                <w:sz w:val="20"/>
                <w:szCs w:val="20"/>
              </w:rPr>
              <w:t>标</w:t>
            </w:r>
          </w:p>
        </w:tc>
        <w:tc>
          <w:tcPr>
            <w:tcW w:w="820" w:type="dxa"/>
            <w:tcBorders>
              <w:top w:val="nil"/>
              <w:left w:val="nil"/>
              <w:bottom w:val="nil"/>
              <w:right w:val="single" w:color="auto" w:sz="4" w:space="0"/>
            </w:tcBorders>
            <w:vAlign w:val="center"/>
          </w:tcPr>
          <w:p w14:paraId="02E8F2BA">
            <w:pPr>
              <w:jc w:val="center"/>
              <w:rPr>
                <w:rFonts w:ascii="宋体" w:hAnsi="宋体"/>
                <w:sz w:val="20"/>
                <w:szCs w:val="20"/>
              </w:rPr>
            </w:pPr>
            <w:r>
              <w:rPr>
                <w:rFonts w:hint="eastAsia" w:ascii="宋体" w:hAnsi="宋体"/>
                <w:sz w:val="20"/>
                <w:szCs w:val="20"/>
              </w:rPr>
              <w:t>一级</w:t>
            </w:r>
          </w:p>
          <w:p w14:paraId="6EB2F768">
            <w:pPr>
              <w:jc w:val="center"/>
              <w:rPr>
                <w:rFonts w:ascii="宋体" w:hAnsi="宋体"/>
                <w:sz w:val="20"/>
                <w:szCs w:val="20"/>
              </w:rPr>
            </w:pPr>
            <w:r>
              <w:rPr>
                <w:rFonts w:hint="eastAsia" w:ascii="宋体" w:hAnsi="宋体"/>
                <w:sz w:val="20"/>
                <w:szCs w:val="20"/>
              </w:rPr>
              <w:t>指标</w:t>
            </w:r>
          </w:p>
        </w:tc>
        <w:tc>
          <w:tcPr>
            <w:tcW w:w="940" w:type="dxa"/>
            <w:tcBorders>
              <w:top w:val="nil"/>
              <w:left w:val="nil"/>
              <w:bottom w:val="single" w:color="auto" w:sz="4" w:space="0"/>
              <w:right w:val="single" w:color="auto" w:sz="4" w:space="0"/>
            </w:tcBorders>
            <w:vAlign w:val="center"/>
          </w:tcPr>
          <w:p w14:paraId="75B0F758">
            <w:pPr>
              <w:jc w:val="center"/>
              <w:rPr>
                <w:sz w:val="20"/>
                <w:szCs w:val="20"/>
              </w:rPr>
            </w:pPr>
            <w:r>
              <w:rPr>
                <w:rFonts w:hint="eastAsia" w:ascii="宋体" w:hAnsi="宋体"/>
                <w:sz w:val="20"/>
                <w:szCs w:val="20"/>
              </w:rPr>
              <w:t>二级</w:t>
            </w:r>
          </w:p>
          <w:p w14:paraId="0CFAAF73">
            <w:pPr>
              <w:jc w:val="center"/>
              <w:rPr>
                <w:rFonts w:ascii="宋体" w:hAnsi="宋体"/>
                <w:sz w:val="20"/>
                <w:szCs w:val="20"/>
              </w:rPr>
            </w:pPr>
            <w:r>
              <w:rPr>
                <w:rFonts w:hint="eastAsia" w:ascii="宋体" w:hAnsi="宋体"/>
                <w:sz w:val="20"/>
                <w:szCs w:val="20"/>
              </w:rPr>
              <w:t>指标</w:t>
            </w:r>
          </w:p>
        </w:tc>
        <w:tc>
          <w:tcPr>
            <w:tcW w:w="2000" w:type="dxa"/>
            <w:tcBorders>
              <w:top w:val="nil"/>
              <w:left w:val="nil"/>
              <w:bottom w:val="single" w:color="auto" w:sz="4" w:space="0"/>
              <w:right w:val="single" w:color="auto" w:sz="4" w:space="0"/>
            </w:tcBorders>
            <w:vAlign w:val="center"/>
          </w:tcPr>
          <w:p w14:paraId="0CCEB2C9">
            <w:pPr>
              <w:jc w:val="center"/>
              <w:rPr>
                <w:rFonts w:ascii="宋体" w:hAnsi="宋体"/>
                <w:sz w:val="20"/>
                <w:szCs w:val="20"/>
              </w:rPr>
            </w:pPr>
            <w:r>
              <w:rPr>
                <w:rFonts w:hint="eastAsia" w:ascii="宋体" w:hAnsi="宋体"/>
                <w:sz w:val="20"/>
                <w:szCs w:val="20"/>
              </w:rPr>
              <w:t>三级指标</w:t>
            </w:r>
          </w:p>
        </w:tc>
        <w:tc>
          <w:tcPr>
            <w:tcW w:w="860" w:type="dxa"/>
            <w:tcBorders>
              <w:top w:val="nil"/>
              <w:left w:val="nil"/>
              <w:bottom w:val="single" w:color="auto" w:sz="4" w:space="0"/>
              <w:right w:val="single" w:color="auto" w:sz="4" w:space="0"/>
            </w:tcBorders>
            <w:vAlign w:val="center"/>
          </w:tcPr>
          <w:p w14:paraId="39AF4201">
            <w:pPr>
              <w:jc w:val="center"/>
              <w:rPr>
                <w:rFonts w:ascii="宋体" w:hAnsi="宋体"/>
                <w:sz w:val="20"/>
                <w:szCs w:val="20"/>
              </w:rPr>
            </w:pPr>
            <w:r>
              <w:rPr>
                <w:rFonts w:hint="eastAsia" w:ascii="宋体" w:hAnsi="宋体"/>
                <w:sz w:val="20"/>
                <w:szCs w:val="20"/>
              </w:rPr>
              <w:t>指标值</w:t>
            </w:r>
          </w:p>
        </w:tc>
        <w:tc>
          <w:tcPr>
            <w:tcW w:w="791" w:type="dxa"/>
            <w:tcBorders>
              <w:top w:val="nil"/>
              <w:left w:val="nil"/>
              <w:bottom w:val="single" w:color="auto" w:sz="4" w:space="0"/>
              <w:right w:val="single" w:color="auto" w:sz="4" w:space="0"/>
            </w:tcBorders>
            <w:vAlign w:val="center"/>
          </w:tcPr>
          <w:p w14:paraId="1F79AD34">
            <w:pPr>
              <w:jc w:val="center"/>
              <w:rPr>
                <w:rFonts w:ascii="宋体" w:hAnsi="宋体"/>
                <w:sz w:val="20"/>
                <w:szCs w:val="20"/>
              </w:rPr>
            </w:pPr>
            <w:r>
              <w:rPr>
                <w:rFonts w:hint="eastAsia" w:ascii="宋体" w:hAnsi="宋体"/>
                <w:sz w:val="20"/>
                <w:szCs w:val="20"/>
              </w:rPr>
              <w:t>绩效标准</w:t>
            </w:r>
          </w:p>
        </w:tc>
        <w:tc>
          <w:tcPr>
            <w:tcW w:w="889" w:type="dxa"/>
            <w:tcBorders>
              <w:top w:val="nil"/>
              <w:left w:val="nil"/>
              <w:bottom w:val="single" w:color="auto" w:sz="4" w:space="0"/>
              <w:right w:val="single" w:color="auto" w:sz="4" w:space="0"/>
            </w:tcBorders>
            <w:vAlign w:val="center"/>
          </w:tcPr>
          <w:p w14:paraId="312A5D58">
            <w:pPr>
              <w:jc w:val="center"/>
              <w:rPr>
                <w:sz w:val="20"/>
                <w:szCs w:val="20"/>
              </w:rPr>
            </w:pPr>
            <w:r>
              <w:rPr>
                <w:rFonts w:hint="eastAsia" w:ascii="宋体" w:hAnsi="宋体"/>
                <w:sz w:val="20"/>
                <w:szCs w:val="20"/>
              </w:rPr>
              <w:t>二级</w:t>
            </w:r>
          </w:p>
          <w:p w14:paraId="19FB2542">
            <w:pPr>
              <w:jc w:val="center"/>
              <w:rPr>
                <w:rFonts w:ascii="宋体" w:hAnsi="宋体"/>
                <w:sz w:val="20"/>
                <w:szCs w:val="20"/>
              </w:rPr>
            </w:pPr>
            <w:r>
              <w:rPr>
                <w:rFonts w:hint="eastAsia" w:ascii="宋体" w:hAnsi="宋体"/>
                <w:sz w:val="20"/>
                <w:szCs w:val="20"/>
              </w:rPr>
              <w:t>指标</w:t>
            </w:r>
          </w:p>
        </w:tc>
        <w:tc>
          <w:tcPr>
            <w:tcW w:w="1040" w:type="dxa"/>
            <w:tcBorders>
              <w:top w:val="nil"/>
              <w:left w:val="nil"/>
              <w:bottom w:val="single" w:color="auto" w:sz="4" w:space="0"/>
              <w:right w:val="nil"/>
            </w:tcBorders>
            <w:vAlign w:val="center"/>
          </w:tcPr>
          <w:p w14:paraId="1C4A8A68">
            <w:pPr>
              <w:jc w:val="center"/>
              <w:rPr>
                <w:rFonts w:ascii="宋体" w:hAnsi="宋体"/>
                <w:sz w:val="20"/>
                <w:szCs w:val="20"/>
              </w:rPr>
            </w:pPr>
            <w:r>
              <w:rPr>
                <w:rFonts w:hint="eastAsia" w:ascii="宋体" w:hAnsi="宋体"/>
                <w:sz w:val="20"/>
                <w:szCs w:val="20"/>
              </w:rPr>
              <w:t>三级指标</w:t>
            </w:r>
          </w:p>
        </w:tc>
        <w:tc>
          <w:tcPr>
            <w:tcW w:w="929" w:type="dxa"/>
            <w:tcBorders>
              <w:top w:val="nil"/>
              <w:left w:val="single" w:color="auto" w:sz="4" w:space="0"/>
              <w:bottom w:val="single" w:color="auto" w:sz="4" w:space="0"/>
              <w:right w:val="single" w:color="auto" w:sz="4" w:space="0"/>
            </w:tcBorders>
            <w:vAlign w:val="center"/>
          </w:tcPr>
          <w:p w14:paraId="7AAB8149">
            <w:pPr>
              <w:jc w:val="center"/>
              <w:rPr>
                <w:rFonts w:ascii="宋体" w:hAnsi="宋体"/>
                <w:sz w:val="20"/>
                <w:szCs w:val="20"/>
              </w:rPr>
            </w:pPr>
            <w:r>
              <w:rPr>
                <w:rFonts w:hint="eastAsia" w:ascii="宋体" w:hAnsi="宋体"/>
                <w:sz w:val="20"/>
                <w:szCs w:val="20"/>
              </w:rPr>
              <w:t>指标值</w:t>
            </w:r>
          </w:p>
        </w:tc>
        <w:tc>
          <w:tcPr>
            <w:tcW w:w="813" w:type="dxa"/>
            <w:tcBorders>
              <w:top w:val="nil"/>
              <w:left w:val="nil"/>
              <w:bottom w:val="single" w:color="auto" w:sz="4" w:space="0"/>
              <w:right w:val="single" w:color="auto" w:sz="4" w:space="0"/>
            </w:tcBorders>
            <w:vAlign w:val="center"/>
          </w:tcPr>
          <w:p w14:paraId="0023A0AF">
            <w:pPr>
              <w:jc w:val="center"/>
              <w:rPr>
                <w:rFonts w:ascii="宋体" w:hAnsi="宋体"/>
                <w:sz w:val="20"/>
                <w:szCs w:val="20"/>
              </w:rPr>
            </w:pPr>
            <w:r>
              <w:rPr>
                <w:rFonts w:hint="eastAsia" w:ascii="宋体" w:hAnsi="宋体"/>
                <w:sz w:val="20"/>
                <w:szCs w:val="20"/>
              </w:rPr>
              <w:t>绩效标准</w:t>
            </w:r>
          </w:p>
        </w:tc>
      </w:tr>
      <w:tr w14:paraId="32CC66AD">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0A599139">
            <w:pPr>
              <w:widowControl/>
              <w:jc w:val="left"/>
              <w:rPr>
                <w:rFonts w:ascii="宋体" w:hAnsi="宋体"/>
                <w:sz w:val="20"/>
                <w:szCs w:val="20"/>
              </w:rPr>
            </w:pPr>
          </w:p>
        </w:tc>
        <w:tc>
          <w:tcPr>
            <w:tcW w:w="820" w:type="dxa"/>
            <w:vMerge w:val="restart"/>
            <w:tcBorders>
              <w:top w:val="single" w:color="auto" w:sz="4" w:space="0"/>
              <w:left w:val="nil"/>
              <w:bottom w:val="single" w:color="auto" w:sz="4" w:space="0"/>
              <w:right w:val="single" w:color="auto" w:sz="4" w:space="0"/>
            </w:tcBorders>
            <w:vAlign w:val="center"/>
          </w:tcPr>
          <w:p w14:paraId="3B1E8944">
            <w:pPr>
              <w:jc w:val="center"/>
              <w:rPr>
                <w:rFonts w:ascii="宋体" w:hAnsi="宋体"/>
                <w:sz w:val="20"/>
                <w:szCs w:val="20"/>
              </w:rPr>
            </w:pPr>
            <w:r>
              <w:rPr>
                <w:rFonts w:hint="eastAsia" w:ascii="宋体" w:hAnsi="宋体"/>
                <w:sz w:val="20"/>
                <w:szCs w:val="20"/>
              </w:rPr>
              <w:t>产</w:t>
            </w:r>
          </w:p>
          <w:p w14:paraId="3EFEC219">
            <w:pPr>
              <w:jc w:val="center"/>
              <w:rPr>
                <w:rFonts w:hint="eastAsia" w:ascii="宋体" w:hAnsi="宋体"/>
                <w:sz w:val="20"/>
                <w:szCs w:val="20"/>
              </w:rPr>
            </w:pPr>
            <w:r>
              <w:rPr>
                <w:rFonts w:hint="eastAsia" w:ascii="宋体" w:hAnsi="宋体"/>
                <w:sz w:val="20"/>
                <w:szCs w:val="20"/>
              </w:rPr>
              <w:t>出</w:t>
            </w:r>
          </w:p>
          <w:p w14:paraId="6C17ABAD">
            <w:pPr>
              <w:jc w:val="center"/>
              <w:rPr>
                <w:rFonts w:hint="eastAsia" w:ascii="宋体" w:hAnsi="宋体"/>
                <w:sz w:val="20"/>
                <w:szCs w:val="20"/>
              </w:rPr>
            </w:pPr>
            <w:r>
              <w:rPr>
                <w:rFonts w:hint="eastAsia" w:ascii="宋体" w:hAnsi="宋体"/>
                <w:sz w:val="20"/>
                <w:szCs w:val="20"/>
              </w:rPr>
              <w:t>指</w:t>
            </w:r>
          </w:p>
          <w:p w14:paraId="64BA4C5D">
            <w:pPr>
              <w:jc w:val="center"/>
              <w:rPr>
                <w:rFonts w:ascii="宋体" w:hAnsi="宋体"/>
                <w:sz w:val="20"/>
                <w:szCs w:val="20"/>
              </w:rPr>
            </w:pPr>
            <w:r>
              <w:rPr>
                <w:rFonts w:hint="eastAsia" w:ascii="宋体" w:hAnsi="宋体"/>
                <w:sz w:val="20"/>
                <w:szCs w:val="20"/>
              </w:rPr>
              <w:t>标</w:t>
            </w:r>
          </w:p>
        </w:tc>
        <w:tc>
          <w:tcPr>
            <w:tcW w:w="940" w:type="dxa"/>
            <w:vMerge w:val="restart"/>
            <w:tcBorders>
              <w:top w:val="nil"/>
              <w:left w:val="nil"/>
              <w:bottom w:val="single" w:color="000000" w:sz="4" w:space="0"/>
              <w:right w:val="single" w:color="auto" w:sz="4" w:space="0"/>
            </w:tcBorders>
            <w:vAlign w:val="center"/>
          </w:tcPr>
          <w:p w14:paraId="67419F5D">
            <w:pPr>
              <w:jc w:val="center"/>
              <w:rPr>
                <w:sz w:val="20"/>
                <w:szCs w:val="20"/>
              </w:rPr>
            </w:pPr>
            <w:r>
              <w:rPr>
                <w:rFonts w:hint="eastAsia" w:ascii="宋体" w:hAnsi="宋体"/>
                <w:sz w:val="20"/>
                <w:szCs w:val="20"/>
              </w:rPr>
              <w:t>数量</w:t>
            </w:r>
          </w:p>
          <w:p w14:paraId="71137517">
            <w:pPr>
              <w:jc w:val="center"/>
              <w:rPr>
                <w:rFonts w:ascii="宋体" w:hAnsi="宋体"/>
                <w:sz w:val="20"/>
                <w:szCs w:val="20"/>
              </w:rPr>
            </w:pPr>
            <w:r>
              <w:rPr>
                <w:rFonts w:hint="eastAsia" w:ascii="宋体" w:hAnsi="宋体"/>
                <w:sz w:val="20"/>
                <w:szCs w:val="20"/>
              </w:rPr>
              <w:t>指标</w:t>
            </w:r>
          </w:p>
        </w:tc>
        <w:tc>
          <w:tcPr>
            <w:tcW w:w="2000" w:type="dxa"/>
            <w:tcBorders>
              <w:top w:val="nil"/>
              <w:left w:val="nil"/>
              <w:bottom w:val="single" w:color="auto" w:sz="4" w:space="0"/>
              <w:right w:val="single" w:color="auto" w:sz="4" w:space="0"/>
            </w:tcBorders>
            <w:vAlign w:val="center"/>
          </w:tcPr>
          <w:p w14:paraId="2B2E2BA0">
            <w:pPr>
              <w:rPr>
                <w:rFonts w:ascii="宋体" w:hAnsi="宋体"/>
                <w:sz w:val="20"/>
                <w:szCs w:val="20"/>
              </w:rPr>
            </w:pPr>
            <w:r>
              <w:rPr>
                <w:sz w:val="20"/>
                <w:szCs w:val="20"/>
              </w:rPr>
              <w:t xml:space="preserve"> </w:t>
            </w:r>
            <w:r>
              <w:rPr>
                <w:rFonts w:hint="eastAsia" w:ascii="宋体" w:hAnsi="宋体"/>
                <w:sz w:val="20"/>
                <w:szCs w:val="20"/>
              </w:rPr>
              <w:t>试验小区</w:t>
            </w:r>
          </w:p>
        </w:tc>
        <w:tc>
          <w:tcPr>
            <w:tcW w:w="860" w:type="dxa"/>
            <w:tcBorders>
              <w:top w:val="nil"/>
              <w:left w:val="nil"/>
              <w:bottom w:val="single" w:color="auto" w:sz="4" w:space="0"/>
              <w:right w:val="single" w:color="auto" w:sz="4" w:space="0"/>
            </w:tcBorders>
            <w:vAlign w:val="center"/>
          </w:tcPr>
          <w:p w14:paraId="59B8A185">
            <w:pPr>
              <w:rPr>
                <w:rFonts w:ascii="宋体" w:hAnsi="宋体"/>
                <w:sz w:val="20"/>
                <w:szCs w:val="20"/>
              </w:rPr>
            </w:pPr>
            <w:r>
              <w:rPr>
                <w:rFonts w:hint="eastAsia" w:ascii="宋体" w:hAnsi="宋体"/>
                <w:sz w:val="20"/>
                <w:szCs w:val="20"/>
              </w:rPr>
              <w:t>　</w:t>
            </w:r>
            <w:r>
              <w:rPr>
                <w:rFonts w:hint="eastAsia"/>
                <w:sz w:val="20"/>
                <w:szCs w:val="20"/>
              </w:rPr>
              <w:t>236</w:t>
            </w:r>
          </w:p>
        </w:tc>
        <w:tc>
          <w:tcPr>
            <w:tcW w:w="791" w:type="dxa"/>
            <w:tcBorders>
              <w:top w:val="nil"/>
              <w:left w:val="nil"/>
              <w:bottom w:val="single" w:color="auto" w:sz="4" w:space="0"/>
              <w:right w:val="single" w:color="auto" w:sz="4" w:space="0"/>
            </w:tcBorders>
            <w:vAlign w:val="center"/>
          </w:tcPr>
          <w:p w14:paraId="7E96AA12">
            <w:pPr>
              <w:rPr>
                <w:rFonts w:ascii="宋体" w:hAnsi="宋体"/>
                <w:sz w:val="20"/>
                <w:szCs w:val="20"/>
              </w:rPr>
            </w:pPr>
            <w:r>
              <w:rPr>
                <w:rFonts w:hint="eastAsia" w:ascii="宋体" w:hAnsi="宋体"/>
                <w:sz w:val="20"/>
                <w:szCs w:val="20"/>
              </w:rPr>
              <w:t>　</w:t>
            </w:r>
          </w:p>
        </w:tc>
        <w:tc>
          <w:tcPr>
            <w:tcW w:w="889" w:type="dxa"/>
            <w:vMerge w:val="restart"/>
            <w:tcBorders>
              <w:top w:val="nil"/>
              <w:left w:val="nil"/>
              <w:bottom w:val="single" w:color="000000" w:sz="4" w:space="0"/>
              <w:right w:val="single" w:color="auto" w:sz="4" w:space="0"/>
            </w:tcBorders>
            <w:vAlign w:val="center"/>
          </w:tcPr>
          <w:p w14:paraId="79AD27E4">
            <w:pPr>
              <w:jc w:val="center"/>
              <w:rPr>
                <w:sz w:val="20"/>
                <w:szCs w:val="20"/>
              </w:rPr>
            </w:pPr>
            <w:r>
              <w:rPr>
                <w:rFonts w:hint="eastAsia" w:ascii="宋体" w:hAnsi="宋体"/>
                <w:sz w:val="20"/>
                <w:szCs w:val="20"/>
              </w:rPr>
              <w:t>数量</w:t>
            </w:r>
          </w:p>
          <w:p w14:paraId="0A66F3A3">
            <w:pPr>
              <w:jc w:val="center"/>
              <w:rPr>
                <w:rFonts w:ascii="宋体" w:hAnsi="宋体"/>
                <w:sz w:val="20"/>
                <w:szCs w:val="20"/>
              </w:rPr>
            </w:pPr>
            <w:r>
              <w:rPr>
                <w:rFonts w:hint="eastAsia" w:ascii="宋体" w:hAnsi="宋体"/>
                <w:sz w:val="20"/>
                <w:szCs w:val="20"/>
              </w:rPr>
              <w:t>指标</w:t>
            </w:r>
          </w:p>
        </w:tc>
        <w:tc>
          <w:tcPr>
            <w:tcW w:w="1040" w:type="dxa"/>
            <w:tcBorders>
              <w:top w:val="nil"/>
              <w:left w:val="nil"/>
              <w:bottom w:val="single" w:color="auto" w:sz="4" w:space="0"/>
              <w:right w:val="single" w:color="auto" w:sz="4" w:space="0"/>
            </w:tcBorders>
            <w:vAlign w:val="center"/>
          </w:tcPr>
          <w:p w14:paraId="72F0DFA6">
            <w:pPr>
              <w:rPr>
                <w:rFonts w:ascii="宋体" w:hAnsi="宋体"/>
                <w:sz w:val="20"/>
                <w:szCs w:val="20"/>
              </w:rPr>
            </w:pPr>
            <w:r>
              <w:rPr>
                <w:sz w:val="20"/>
                <w:szCs w:val="20"/>
              </w:rPr>
              <w:t xml:space="preserve"> </w:t>
            </w:r>
          </w:p>
        </w:tc>
        <w:tc>
          <w:tcPr>
            <w:tcW w:w="929" w:type="dxa"/>
            <w:tcBorders>
              <w:top w:val="nil"/>
              <w:left w:val="nil"/>
              <w:bottom w:val="single" w:color="auto" w:sz="4" w:space="0"/>
              <w:right w:val="single" w:color="auto" w:sz="4" w:space="0"/>
            </w:tcBorders>
            <w:vAlign w:val="center"/>
          </w:tcPr>
          <w:p w14:paraId="57F6B0F7">
            <w:pPr>
              <w:rPr>
                <w:rFonts w:ascii="宋体" w:hAnsi="宋体"/>
                <w:sz w:val="20"/>
                <w:szCs w:val="20"/>
              </w:rPr>
            </w:pPr>
            <w:r>
              <w:rPr>
                <w:rFonts w:hint="eastAsia" w:ascii="宋体" w:hAnsi="宋体"/>
                <w:sz w:val="20"/>
                <w:szCs w:val="20"/>
              </w:rPr>
              <w:t>　</w:t>
            </w:r>
          </w:p>
        </w:tc>
        <w:tc>
          <w:tcPr>
            <w:tcW w:w="813" w:type="dxa"/>
            <w:tcBorders>
              <w:top w:val="nil"/>
              <w:left w:val="nil"/>
              <w:bottom w:val="single" w:color="auto" w:sz="4" w:space="0"/>
              <w:right w:val="single" w:color="auto" w:sz="4" w:space="0"/>
            </w:tcBorders>
            <w:vAlign w:val="center"/>
          </w:tcPr>
          <w:p w14:paraId="6AF3D5D6">
            <w:pPr>
              <w:rPr>
                <w:rFonts w:ascii="宋体" w:hAnsi="宋体"/>
                <w:sz w:val="20"/>
                <w:szCs w:val="20"/>
              </w:rPr>
            </w:pPr>
            <w:r>
              <w:rPr>
                <w:rFonts w:hint="eastAsia" w:ascii="宋体" w:hAnsi="宋体"/>
                <w:sz w:val="20"/>
                <w:szCs w:val="20"/>
              </w:rPr>
              <w:t>　</w:t>
            </w:r>
          </w:p>
        </w:tc>
      </w:tr>
      <w:tr w14:paraId="75A75931">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13A00D12">
            <w:pPr>
              <w:widowControl/>
              <w:jc w:val="left"/>
              <w:rPr>
                <w:rFonts w:ascii="宋体" w:hAnsi="宋体"/>
                <w:sz w:val="20"/>
                <w:szCs w:val="20"/>
              </w:rPr>
            </w:pPr>
          </w:p>
        </w:tc>
        <w:tc>
          <w:tcPr>
            <w:tcW w:w="820" w:type="dxa"/>
            <w:vMerge w:val="continue"/>
            <w:tcBorders>
              <w:top w:val="single" w:color="auto" w:sz="4" w:space="0"/>
              <w:left w:val="nil"/>
              <w:bottom w:val="single" w:color="auto" w:sz="4" w:space="0"/>
              <w:right w:val="single" w:color="auto" w:sz="4" w:space="0"/>
            </w:tcBorders>
            <w:vAlign w:val="center"/>
          </w:tcPr>
          <w:p w14:paraId="78A7088F">
            <w:pPr>
              <w:widowControl/>
              <w:jc w:val="left"/>
              <w:rPr>
                <w:rFonts w:ascii="宋体" w:hAnsi="宋体"/>
                <w:sz w:val="20"/>
                <w:szCs w:val="20"/>
              </w:rPr>
            </w:pPr>
          </w:p>
        </w:tc>
        <w:tc>
          <w:tcPr>
            <w:tcW w:w="940" w:type="dxa"/>
            <w:vMerge w:val="continue"/>
            <w:tcBorders>
              <w:top w:val="nil"/>
              <w:left w:val="nil"/>
              <w:bottom w:val="single" w:color="000000" w:sz="4" w:space="0"/>
              <w:right w:val="single" w:color="auto" w:sz="4" w:space="0"/>
            </w:tcBorders>
            <w:vAlign w:val="center"/>
          </w:tcPr>
          <w:p w14:paraId="519C0CC6">
            <w:pPr>
              <w:widowControl/>
              <w:jc w:val="left"/>
              <w:rPr>
                <w:rFonts w:ascii="宋体" w:hAnsi="宋体"/>
                <w:sz w:val="20"/>
                <w:szCs w:val="20"/>
              </w:rPr>
            </w:pPr>
          </w:p>
        </w:tc>
        <w:tc>
          <w:tcPr>
            <w:tcW w:w="2000" w:type="dxa"/>
            <w:tcBorders>
              <w:top w:val="nil"/>
              <w:left w:val="nil"/>
              <w:bottom w:val="single" w:color="auto" w:sz="4" w:space="0"/>
              <w:right w:val="single" w:color="auto" w:sz="4" w:space="0"/>
            </w:tcBorders>
            <w:vAlign w:val="center"/>
          </w:tcPr>
          <w:p w14:paraId="68765C84">
            <w:pPr>
              <w:rPr>
                <w:rFonts w:ascii="宋体" w:hAnsi="宋体"/>
                <w:sz w:val="20"/>
                <w:szCs w:val="20"/>
              </w:rPr>
            </w:pPr>
          </w:p>
        </w:tc>
        <w:tc>
          <w:tcPr>
            <w:tcW w:w="860" w:type="dxa"/>
            <w:tcBorders>
              <w:top w:val="nil"/>
              <w:left w:val="nil"/>
              <w:bottom w:val="single" w:color="auto" w:sz="4" w:space="0"/>
              <w:right w:val="single" w:color="auto" w:sz="4" w:space="0"/>
            </w:tcBorders>
            <w:vAlign w:val="center"/>
          </w:tcPr>
          <w:p w14:paraId="1A656EAC">
            <w:pPr>
              <w:rPr>
                <w:rFonts w:ascii="宋体" w:hAnsi="宋体"/>
                <w:sz w:val="20"/>
                <w:szCs w:val="20"/>
              </w:rPr>
            </w:pPr>
          </w:p>
        </w:tc>
        <w:tc>
          <w:tcPr>
            <w:tcW w:w="791" w:type="dxa"/>
            <w:tcBorders>
              <w:top w:val="nil"/>
              <w:left w:val="nil"/>
              <w:bottom w:val="single" w:color="auto" w:sz="4" w:space="0"/>
              <w:right w:val="single" w:color="auto" w:sz="4" w:space="0"/>
            </w:tcBorders>
            <w:vAlign w:val="center"/>
          </w:tcPr>
          <w:p w14:paraId="17723D93">
            <w:pPr>
              <w:rPr>
                <w:rFonts w:ascii="宋体" w:hAnsi="宋体"/>
                <w:sz w:val="20"/>
                <w:szCs w:val="20"/>
              </w:rPr>
            </w:pPr>
          </w:p>
        </w:tc>
        <w:tc>
          <w:tcPr>
            <w:tcW w:w="889" w:type="dxa"/>
            <w:vMerge w:val="continue"/>
            <w:tcBorders>
              <w:top w:val="nil"/>
              <w:left w:val="nil"/>
              <w:bottom w:val="single" w:color="000000" w:sz="4" w:space="0"/>
              <w:right w:val="single" w:color="auto" w:sz="4" w:space="0"/>
            </w:tcBorders>
            <w:vAlign w:val="center"/>
          </w:tcPr>
          <w:p w14:paraId="5CFA0D41">
            <w:pPr>
              <w:widowControl/>
              <w:jc w:val="left"/>
              <w:rPr>
                <w:rFonts w:ascii="宋体" w:hAnsi="宋体"/>
                <w:sz w:val="20"/>
                <w:szCs w:val="20"/>
              </w:rPr>
            </w:pPr>
          </w:p>
        </w:tc>
        <w:tc>
          <w:tcPr>
            <w:tcW w:w="1040" w:type="dxa"/>
            <w:tcBorders>
              <w:top w:val="nil"/>
              <w:left w:val="nil"/>
              <w:bottom w:val="single" w:color="auto" w:sz="4" w:space="0"/>
              <w:right w:val="single" w:color="auto" w:sz="4" w:space="0"/>
            </w:tcBorders>
            <w:vAlign w:val="center"/>
          </w:tcPr>
          <w:p w14:paraId="6C6C30A8">
            <w:pPr>
              <w:rPr>
                <w:rFonts w:ascii="宋体" w:hAnsi="宋体"/>
                <w:sz w:val="20"/>
                <w:szCs w:val="20"/>
              </w:rPr>
            </w:pPr>
          </w:p>
        </w:tc>
        <w:tc>
          <w:tcPr>
            <w:tcW w:w="929" w:type="dxa"/>
            <w:tcBorders>
              <w:top w:val="nil"/>
              <w:left w:val="nil"/>
              <w:bottom w:val="single" w:color="auto" w:sz="4" w:space="0"/>
              <w:right w:val="single" w:color="auto" w:sz="4" w:space="0"/>
            </w:tcBorders>
            <w:vAlign w:val="center"/>
          </w:tcPr>
          <w:p w14:paraId="4F10A487">
            <w:pPr>
              <w:rPr>
                <w:rFonts w:ascii="宋体" w:hAnsi="宋体"/>
                <w:sz w:val="20"/>
                <w:szCs w:val="20"/>
              </w:rPr>
            </w:pPr>
            <w:r>
              <w:rPr>
                <w:rFonts w:hint="eastAsia" w:ascii="宋体" w:hAnsi="宋体"/>
                <w:sz w:val="20"/>
                <w:szCs w:val="20"/>
              </w:rPr>
              <w:t>　</w:t>
            </w:r>
          </w:p>
        </w:tc>
        <w:tc>
          <w:tcPr>
            <w:tcW w:w="813" w:type="dxa"/>
            <w:tcBorders>
              <w:top w:val="nil"/>
              <w:left w:val="nil"/>
              <w:bottom w:val="single" w:color="auto" w:sz="4" w:space="0"/>
              <w:right w:val="single" w:color="auto" w:sz="4" w:space="0"/>
            </w:tcBorders>
            <w:vAlign w:val="center"/>
          </w:tcPr>
          <w:p w14:paraId="29479A3B">
            <w:pPr>
              <w:rPr>
                <w:rFonts w:ascii="宋体" w:hAnsi="宋体"/>
                <w:sz w:val="20"/>
                <w:szCs w:val="20"/>
              </w:rPr>
            </w:pPr>
            <w:r>
              <w:rPr>
                <w:rFonts w:hint="eastAsia" w:ascii="宋体" w:hAnsi="宋体"/>
                <w:sz w:val="20"/>
                <w:szCs w:val="20"/>
              </w:rPr>
              <w:t>　</w:t>
            </w:r>
          </w:p>
        </w:tc>
      </w:tr>
      <w:tr w14:paraId="0A6EB006">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27CCE272">
            <w:pPr>
              <w:widowControl/>
              <w:jc w:val="left"/>
              <w:rPr>
                <w:rFonts w:ascii="宋体" w:hAnsi="宋体"/>
                <w:sz w:val="20"/>
                <w:szCs w:val="20"/>
              </w:rPr>
            </w:pPr>
          </w:p>
        </w:tc>
        <w:tc>
          <w:tcPr>
            <w:tcW w:w="820" w:type="dxa"/>
            <w:vMerge w:val="continue"/>
            <w:tcBorders>
              <w:top w:val="single" w:color="auto" w:sz="4" w:space="0"/>
              <w:left w:val="nil"/>
              <w:bottom w:val="single" w:color="auto" w:sz="4" w:space="0"/>
              <w:right w:val="single" w:color="auto" w:sz="4" w:space="0"/>
            </w:tcBorders>
            <w:vAlign w:val="center"/>
          </w:tcPr>
          <w:p w14:paraId="064CD86A">
            <w:pPr>
              <w:widowControl/>
              <w:jc w:val="left"/>
              <w:rPr>
                <w:rFonts w:ascii="宋体" w:hAnsi="宋体"/>
                <w:sz w:val="20"/>
                <w:szCs w:val="20"/>
              </w:rPr>
            </w:pPr>
          </w:p>
        </w:tc>
        <w:tc>
          <w:tcPr>
            <w:tcW w:w="940" w:type="dxa"/>
            <w:vMerge w:val="restart"/>
            <w:tcBorders>
              <w:top w:val="nil"/>
              <w:left w:val="nil"/>
              <w:bottom w:val="single" w:color="000000" w:sz="4" w:space="0"/>
              <w:right w:val="single" w:color="auto" w:sz="4" w:space="0"/>
            </w:tcBorders>
            <w:vAlign w:val="center"/>
          </w:tcPr>
          <w:p w14:paraId="7D8F9898">
            <w:pPr>
              <w:jc w:val="center"/>
              <w:rPr>
                <w:sz w:val="20"/>
                <w:szCs w:val="20"/>
              </w:rPr>
            </w:pPr>
            <w:r>
              <w:rPr>
                <w:rFonts w:hint="eastAsia" w:ascii="宋体" w:hAnsi="宋体"/>
                <w:sz w:val="20"/>
                <w:szCs w:val="20"/>
              </w:rPr>
              <w:t>质量</w:t>
            </w:r>
          </w:p>
          <w:p w14:paraId="1418214B">
            <w:pPr>
              <w:jc w:val="center"/>
              <w:rPr>
                <w:rFonts w:ascii="宋体" w:hAnsi="宋体"/>
                <w:sz w:val="20"/>
                <w:szCs w:val="20"/>
              </w:rPr>
            </w:pPr>
            <w:r>
              <w:rPr>
                <w:rFonts w:hint="eastAsia" w:ascii="宋体" w:hAnsi="宋体"/>
                <w:sz w:val="20"/>
                <w:szCs w:val="20"/>
              </w:rPr>
              <w:t>指标</w:t>
            </w:r>
          </w:p>
        </w:tc>
        <w:tc>
          <w:tcPr>
            <w:tcW w:w="2000" w:type="dxa"/>
            <w:tcBorders>
              <w:top w:val="nil"/>
              <w:left w:val="nil"/>
              <w:bottom w:val="single" w:color="auto" w:sz="4" w:space="0"/>
              <w:right w:val="single" w:color="auto" w:sz="4" w:space="0"/>
            </w:tcBorders>
            <w:vAlign w:val="center"/>
          </w:tcPr>
          <w:p w14:paraId="1FBB2111">
            <w:pPr>
              <w:rPr>
                <w:rFonts w:ascii="宋体" w:hAnsi="宋体"/>
                <w:sz w:val="20"/>
                <w:szCs w:val="20"/>
              </w:rPr>
            </w:pPr>
            <w:r>
              <w:rPr>
                <w:sz w:val="20"/>
                <w:szCs w:val="20"/>
              </w:rPr>
              <w:t xml:space="preserve"> </w:t>
            </w:r>
            <w:r>
              <w:rPr>
                <w:rFonts w:hint="eastAsia" w:ascii="宋体" w:hAnsi="宋体"/>
                <w:sz w:val="20"/>
                <w:szCs w:val="20"/>
              </w:rPr>
              <w:t>项目合格率</w:t>
            </w:r>
          </w:p>
        </w:tc>
        <w:tc>
          <w:tcPr>
            <w:tcW w:w="860" w:type="dxa"/>
            <w:tcBorders>
              <w:top w:val="nil"/>
              <w:left w:val="nil"/>
              <w:bottom w:val="single" w:color="auto" w:sz="4" w:space="0"/>
              <w:right w:val="single" w:color="auto" w:sz="4" w:space="0"/>
            </w:tcBorders>
            <w:vAlign w:val="center"/>
          </w:tcPr>
          <w:p w14:paraId="1BF77510">
            <w:pPr>
              <w:rPr>
                <w:rFonts w:ascii="宋体" w:hAnsi="宋体"/>
                <w:sz w:val="20"/>
                <w:szCs w:val="20"/>
              </w:rPr>
            </w:pPr>
            <w:r>
              <w:rPr>
                <w:rFonts w:hint="eastAsia" w:ascii="宋体" w:hAnsi="宋体"/>
                <w:sz w:val="20"/>
                <w:szCs w:val="20"/>
              </w:rPr>
              <w:t>　</w:t>
            </w:r>
            <w:r>
              <w:rPr>
                <w:rFonts w:hint="eastAsia"/>
                <w:sz w:val="20"/>
                <w:szCs w:val="20"/>
              </w:rPr>
              <w:t>97%</w:t>
            </w:r>
          </w:p>
        </w:tc>
        <w:tc>
          <w:tcPr>
            <w:tcW w:w="791" w:type="dxa"/>
            <w:tcBorders>
              <w:top w:val="nil"/>
              <w:left w:val="nil"/>
              <w:bottom w:val="single" w:color="auto" w:sz="4" w:space="0"/>
              <w:right w:val="single" w:color="auto" w:sz="4" w:space="0"/>
            </w:tcBorders>
            <w:vAlign w:val="center"/>
          </w:tcPr>
          <w:p w14:paraId="04B6D838">
            <w:pPr>
              <w:rPr>
                <w:rFonts w:ascii="宋体" w:hAnsi="宋体"/>
                <w:sz w:val="20"/>
                <w:szCs w:val="20"/>
              </w:rPr>
            </w:pPr>
            <w:r>
              <w:rPr>
                <w:rFonts w:hint="eastAsia" w:ascii="宋体" w:hAnsi="宋体"/>
                <w:sz w:val="20"/>
                <w:szCs w:val="20"/>
              </w:rPr>
              <w:t>　</w:t>
            </w:r>
          </w:p>
        </w:tc>
        <w:tc>
          <w:tcPr>
            <w:tcW w:w="889" w:type="dxa"/>
            <w:vMerge w:val="restart"/>
            <w:tcBorders>
              <w:top w:val="nil"/>
              <w:left w:val="nil"/>
              <w:bottom w:val="single" w:color="000000" w:sz="4" w:space="0"/>
              <w:right w:val="single" w:color="auto" w:sz="4" w:space="0"/>
            </w:tcBorders>
            <w:vAlign w:val="center"/>
          </w:tcPr>
          <w:p w14:paraId="4CDE010C">
            <w:pPr>
              <w:jc w:val="center"/>
              <w:rPr>
                <w:sz w:val="20"/>
                <w:szCs w:val="20"/>
              </w:rPr>
            </w:pPr>
            <w:r>
              <w:rPr>
                <w:rFonts w:hint="eastAsia" w:ascii="宋体" w:hAnsi="宋体"/>
                <w:sz w:val="20"/>
                <w:szCs w:val="20"/>
              </w:rPr>
              <w:t>质量</w:t>
            </w:r>
          </w:p>
          <w:p w14:paraId="1993F5FF">
            <w:pPr>
              <w:jc w:val="center"/>
              <w:rPr>
                <w:rFonts w:ascii="宋体" w:hAnsi="宋体"/>
                <w:sz w:val="20"/>
                <w:szCs w:val="20"/>
              </w:rPr>
            </w:pPr>
            <w:r>
              <w:rPr>
                <w:rFonts w:hint="eastAsia" w:ascii="宋体" w:hAnsi="宋体"/>
                <w:sz w:val="20"/>
                <w:szCs w:val="20"/>
              </w:rPr>
              <w:t>指标</w:t>
            </w:r>
          </w:p>
        </w:tc>
        <w:tc>
          <w:tcPr>
            <w:tcW w:w="1040" w:type="dxa"/>
            <w:tcBorders>
              <w:top w:val="nil"/>
              <w:left w:val="nil"/>
              <w:bottom w:val="single" w:color="auto" w:sz="4" w:space="0"/>
              <w:right w:val="single" w:color="auto" w:sz="4" w:space="0"/>
            </w:tcBorders>
            <w:vAlign w:val="center"/>
          </w:tcPr>
          <w:p w14:paraId="5AF0B292">
            <w:pPr>
              <w:rPr>
                <w:rFonts w:ascii="宋体" w:hAnsi="宋体"/>
                <w:sz w:val="20"/>
                <w:szCs w:val="20"/>
              </w:rPr>
            </w:pPr>
          </w:p>
        </w:tc>
        <w:tc>
          <w:tcPr>
            <w:tcW w:w="929" w:type="dxa"/>
            <w:tcBorders>
              <w:top w:val="nil"/>
              <w:left w:val="nil"/>
              <w:bottom w:val="single" w:color="auto" w:sz="4" w:space="0"/>
              <w:right w:val="single" w:color="auto" w:sz="4" w:space="0"/>
            </w:tcBorders>
            <w:vAlign w:val="center"/>
          </w:tcPr>
          <w:p w14:paraId="5A924EDF">
            <w:pPr>
              <w:rPr>
                <w:rFonts w:ascii="宋体" w:hAnsi="宋体"/>
                <w:sz w:val="20"/>
                <w:szCs w:val="20"/>
              </w:rPr>
            </w:pPr>
            <w:r>
              <w:rPr>
                <w:rFonts w:hint="eastAsia" w:ascii="宋体" w:hAnsi="宋体"/>
                <w:sz w:val="20"/>
                <w:szCs w:val="20"/>
              </w:rPr>
              <w:t>　</w:t>
            </w:r>
          </w:p>
        </w:tc>
        <w:tc>
          <w:tcPr>
            <w:tcW w:w="813" w:type="dxa"/>
            <w:tcBorders>
              <w:top w:val="nil"/>
              <w:left w:val="nil"/>
              <w:bottom w:val="single" w:color="auto" w:sz="4" w:space="0"/>
              <w:right w:val="single" w:color="auto" w:sz="4" w:space="0"/>
            </w:tcBorders>
            <w:vAlign w:val="center"/>
          </w:tcPr>
          <w:p w14:paraId="64127A63">
            <w:pPr>
              <w:rPr>
                <w:rFonts w:ascii="宋体" w:hAnsi="宋体"/>
                <w:sz w:val="20"/>
                <w:szCs w:val="20"/>
              </w:rPr>
            </w:pPr>
            <w:r>
              <w:rPr>
                <w:rFonts w:hint="eastAsia" w:ascii="宋体" w:hAnsi="宋体"/>
                <w:sz w:val="20"/>
                <w:szCs w:val="20"/>
              </w:rPr>
              <w:t>　</w:t>
            </w:r>
          </w:p>
        </w:tc>
      </w:tr>
      <w:tr w14:paraId="07796067">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0CD0BFB5">
            <w:pPr>
              <w:widowControl/>
              <w:jc w:val="left"/>
              <w:rPr>
                <w:rFonts w:ascii="宋体" w:hAnsi="宋体"/>
                <w:sz w:val="20"/>
                <w:szCs w:val="20"/>
              </w:rPr>
            </w:pPr>
          </w:p>
        </w:tc>
        <w:tc>
          <w:tcPr>
            <w:tcW w:w="820" w:type="dxa"/>
            <w:vMerge w:val="continue"/>
            <w:tcBorders>
              <w:top w:val="single" w:color="auto" w:sz="4" w:space="0"/>
              <w:left w:val="nil"/>
              <w:bottom w:val="single" w:color="auto" w:sz="4" w:space="0"/>
              <w:right w:val="single" w:color="auto" w:sz="4" w:space="0"/>
            </w:tcBorders>
            <w:vAlign w:val="center"/>
          </w:tcPr>
          <w:p w14:paraId="187A9652">
            <w:pPr>
              <w:widowControl/>
              <w:jc w:val="left"/>
              <w:rPr>
                <w:rFonts w:ascii="宋体" w:hAnsi="宋体"/>
                <w:sz w:val="20"/>
                <w:szCs w:val="20"/>
              </w:rPr>
            </w:pPr>
          </w:p>
        </w:tc>
        <w:tc>
          <w:tcPr>
            <w:tcW w:w="940" w:type="dxa"/>
            <w:vMerge w:val="continue"/>
            <w:tcBorders>
              <w:top w:val="nil"/>
              <w:left w:val="nil"/>
              <w:bottom w:val="single" w:color="000000" w:sz="4" w:space="0"/>
              <w:right w:val="single" w:color="auto" w:sz="4" w:space="0"/>
            </w:tcBorders>
            <w:vAlign w:val="center"/>
          </w:tcPr>
          <w:p w14:paraId="617EB427">
            <w:pPr>
              <w:widowControl/>
              <w:jc w:val="left"/>
              <w:rPr>
                <w:rFonts w:ascii="宋体" w:hAnsi="宋体"/>
                <w:sz w:val="20"/>
                <w:szCs w:val="20"/>
              </w:rPr>
            </w:pPr>
          </w:p>
        </w:tc>
        <w:tc>
          <w:tcPr>
            <w:tcW w:w="2000" w:type="dxa"/>
            <w:tcBorders>
              <w:top w:val="nil"/>
              <w:left w:val="nil"/>
              <w:bottom w:val="single" w:color="auto" w:sz="4" w:space="0"/>
              <w:right w:val="single" w:color="auto" w:sz="4" w:space="0"/>
            </w:tcBorders>
            <w:vAlign w:val="center"/>
          </w:tcPr>
          <w:p w14:paraId="6707CFCC">
            <w:pPr>
              <w:rPr>
                <w:rFonts w:ascii="宋体" w:hAnsi="宋体"/>
                <w:sz w:val="20"/>
                <w:szCs w:val="20"/>
              </w:rPr>
            </w:pPr>
            <w:r>
              <w:rPr>
                <w:sz w:val="20"/>
                <w:szCs w:val="20"/>
              </w:rPr>
              <w:t xml:space="preserve"> </w:t>
            </w:r>
          </w:p>
        </w:tc>
        <w:tc>
          <w:tcPr>
            <w:tcW w:w="860" w:type="dxa"/>
            <w:tcBorders>
              <w:top w:val="nil"/>
              <w:left w:val="nil"/>
              <w:bottom w:val="single" w:color="auto" w:sz="4" w:space="0"/>
              <w:right w:val="single" w:color="auto" w:sz="4" w:space="0"/>
            </w:tcBorders>
            <w:vAlign w:val="center"/>
          </w:tcPr>
          <w:p w14:paraId="1519C7D8">
            <w:pPr>
              <w:rPr>
                <w:rFonts w:ascii="宋体" w:hAnsi="宋体"/>
                <w:sz w:val="20"/>
                <w:szCs w:val="20"/>
              </w:rPr>
            </w:pPr>
            <w:r>
              <w:rPr>
                <w:rFonts w:hint="eastAsia" w:ascii="宋体" w:hAnsi="宋体"/>
                <w:sz w:val="20"/>
                <w:szCs w:val="20"/>
              </w:rPr>
              <w:t>　</w:t>
            </w:r>
          </w:p>
        </w:tc>
        <w:tc>
          <w:tcPr>
            <w:tcW w:w="791" w:type="dxa"/>
            <w:tcBorders>
              <w:top w:val="nil"/>
              <w:left w:val="nil"/>
              <w:bottom w:val="single" w:color="auto" w:sz="4" w:space="0"/>
              <w:right w:val="single" w:color="auto" w:sz="4" w:space="0"/>
            </w:tcBorders>
            <w:vAlign w:val="center"/>
          </w:tcPr>
          <w:p w14:paraId="4B160231">
            <w:pPr>
              <w:rPr>
                <w:rFonts w:ascii="宋体" w:hAnsi="宋体"/>
                <w:sz w:val="20"/>
                <w:szCs w:val="20"/>
              </w:rPr>
            </w:pPr>
            <w:r>
              <w:rPr>
                <w:rFonts w:hint="eastAsia" w:ascii="宋体" w:hAnsi="宋体"/>
                <w:sz w:val="20"/>
                <w:szCs w:val="20"/>
              </w:rPr>
              <w:t>　</w:t>
            </w:r>
          </w:p>
        </w:tc>
        <w:tc>
          <w:tcPr>
            <w:tcW w:w="889" w:type="dxa"/>
            <w:vMerge w:val="continue"/>
            <w:tcBorders>
              <w:top w:val="nil"/>
              <w:left w:val="nil"/>
              <w:bottom w:val="single" w:color="000000" w:sz="4" w:space="0"/>
              <w:right w:val="single" w:color="auto" w:sz="4" w:space="0"/>
            </w:tcBorders>
            <w:vAlign w:val="center"/>
          </w:tcPr>
          <w:p w14:paraId="7912D3E8">
            <w:pPr>
              <w:widowControl/>
              <w:jc w:val="left"/>
              <w:rPr>
                <w:rFonts w:ascii="宋体" w:hAnsi="宋体"/>
                <w:sz w:val="20"/>
                <w:szCs w:val="20"/>
              </w:rPr>
            </w:pPr>
          </w:p>
        </w:tc>
        <w:tc>
          <w:tcPr>
            <w:tcW w:w="1040" w:type="dxa"/>
            <w:tcBorders>
              <w:top w:val="nil"/>
              <w:left w:val="nil"/>
              <w:bottom w:val="single" w:color="auto" w:sz="4" w:space="0"/>
              <w:right w:val="single" w:color="auto" w:sz="4" w:space="0"/>
            </w:tcBorders>
            <w:vAlign w:val="center"/>
          </w:tcPr>
          <w:p w14:paraId="4F806704">
            <w:pPr>
              <w:rPr>
                <w:rFonts w:ascii="宋体" w:hAnsi="宋体"/>
                <w:sz w:val="20"/>
                <w:szCs w:val="20"/>
              </w:rPr>
            </w:pPr>
          </w:p>
        </w:tc>
        <w:tc>
          <w:tcPr>
            <w:tcW w:w="929" w:type="dxa"/>
            <w:tcBorders>
              <w:top w:val="nil"/>
              <w:left w:val="nil"/>
              <w:bottom w:val="single" w:color="auto" w:sz="4" w:space="0"/>
              <w:right w:val="single" w:color="auto" w:sz="4" w:space="0"/>
            </w:tcBorders>
            <w:vAlign w:val="center"/>
          </w:tcPr>
          <w:p w14:paraId="2ABFF42D">
            <w:pPr>
              <w:rPr>
                <w:rFonts w:ascii="宋体" w:hAnsi="宋体"/>
                <w:sz w:val="20"/>
                <w:szCs w:val="20"/>
              </w:rPr>
            </w:pPr>
            <w:r>
              <w:rPr>
                <w:rFonts w:hint="eastAsia" w:ascii="宋体" w:hAnsi="宋体"/>
                <w:sz w:val="20"/>
                <w:szCs w:val="20"/>
              </w:rPr>
              <w:t>　</w:t>
            </w:r>
          </w:p>
        </w:tc>
        <w:tc>
          <w:tcPr>
            <w:tcW w:w="813" w:type="dxa"/>
            <w:tcBorders>
              <w:top w:val="nil"/>
              <w:left w:val="nil"/>
              <w:bottom w:val="single" w:color="auto" w:sz="4" w:space="0"/>
              <w:right w:val="single" w:color="auto" w:sz="4" w:space="0"/>
            </w:tcBorders>
            <w:vAlign w:val="center"/>
          </w:tcPr>
          <w:p w14:paraId="48CB9FB8">
            <w:pPr>
              <w:rPr>
                <w:rFonts w:ascii="宋体" w:hAnsi="宋体"/>
                <w:sz w:val="20"/>
                <w:szCs w:val="20"/>
              </w:rPr>
            </w:pPr>
            <w:r>
              <w:rPr>
                <w:rFonts w:hint="eastAsia" w:ascii="宋体" w:hAnsi="宋体"/>
                <w:sz w:val="20"/>
                <w:szCs w:val="20"/>
              </w:rPr>
              <w:t>　</w:t>
            </w:r>
          </w:p>
        </w:tc>
      </w:tr>
      <w:tr w14:paraId="0A1B4816">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654BFE1F">
            <w:pPr>
              <w:widowControl/>
              <w:jc w:val="left"/>
              <w:rPr>
                <w:rFonts w:ascii="宋体" w:hAnsi="宋体"/>
                <w:sz w:val="20"/>
                <w:szCs w:val="20"/>
              </w:rPr>
            </w:pPr>
          </w:p>
        </w:tc>
        <w:tc>
          <w:tcPr>
            <w:tcW w:w="820" w:type="dxa"/>
            <w:vMerge w:val="continue"/>
            <w:tcBorders>
              <w:top w:val="single" w:color="auto" w:sz="4" w:space="0"/>
              <w:left w:val="nil"/>
              <w:bottom w:val="single" w:color="auto" w:sz="4" w:space="0"/>
              <w:right w:val="single" w:color="auto" w:sz="4" w:space="0"/>
            </w:tcBorders>
            <w:vAlign w:val="center"/>
          </w:tcPr>
          <w:p w14:paraId="19A752EE">
            <w:pPr>
              <w:widowControl/>
              <w:jc w:val="left"/>
              <w:rPr>
                <w:rFonts w:ascii="宋体" w:hAnsi="宋体"/>
                <w:sz w:val="20"/>
                <w:szCs w:val="20"/>
              </w:rPr>
            </w:pPr>
          </w:p>
        </w:tc>
        <w:tc>
          <w:tcPr>
            <w:tcW w:w="940" w:type="dxa"/>
            <w:vMerge w:val="restart"/>
            <w:tcBorders>
              <w:top w:val="nil"/>
              <w:left w:val="nil"/>
              <w:bottom w:val="single" w:color="000000" w:sz="4" w:space="0"/>
              <w:right w:val="single" w:color="auto" w:sz="4" w:space="0"/>
            </w:tcBorders>
            <w:vAlign w:val="center"/>
          </w:tcPr>
          <w:p w14:paraId="0707898F">
            <w:pPr>
              <w:jc w:val="center"/>
              <w:rPr>
                <w:sz w:val="20"/>
                <w:szCs w:val="20"/>
              </w:rPr>
            </w:pPr>
            <w:r>
              <w:rPr>
                <w:rFonts w:hint="eastAsia" w:ascii="宋体" w:hAnsi="宋体"/>
                <w:sz w:val="20"/>
                <w:szCs w:val="20"/>
              </w:rPr>
              <w:t>时效</w:t>
            </w:r>
          </w:p>
          <w:p w14:paraId="31539330">
            <w:pPr>
              <w:jc w:val="center"/>
              <w:rPr>
                <w:rFonts w:ascii="宋体" w:hAnsi="宋体"/>
                <w:sz w:val="20"/>
                <w:szCs w:val="20"/>
              </w:rPr>
            </w:pPr>
            <w:r>
              <w:rPr>
                <w:rFonts w:hint="eastAsia" w:ascii="宋体" w:hAnsi="宋体"/>
                <w:sz w:val="20"/>
                <w:szCs w:val="20"/>
              </w:rPr>
              <w:t>指标</w:t>
            </w:r>
          </w:p>
        </w:tc>
        <w:tc>
          <w:tcPr>
            <w:tcW w:w="2000" w:type="dxa"/>
            <w:tcBorders>
              <w:top w:val="nil"/>
              <w:left w:val="nil"/>
              <w:bottom w:val="single" w:color="auto" w:sz="4" w:space="0"/>
              <w:right w:val="single" w:color="auto" w:sz="4" w:space="0"/>
            </w:tcBorders>
            <w:vAlign w:val="center"/>
          </w:tcPr>
          <w:p w14:paraId="39D2DDD6">
            <w:pPr>
              <w:rPr>
                <w:rFonts w:ascii="宋体" w:hAnsi="宋体"/>
                <w:sz w:val="20"/>
                <w:szCs w:val="20"/>
              </w:rPr>
            </w:pPr>
            <w:r>
              <w:rPr>
                <w:rFonts w:hint="eastAsia" w:ascii="宋体" w:hAnsi="宋体"/>
                <w:sz w:val="20"/>
                <w:szCs w:val="20"/>
              </w:rPr>
              <w:t>项目完成及时性</w:t>
            </w:r>
          </w:p>
        </w:tc>
        <w:tc>
          <w:tcPr>
            <w:tcW w:w="860" w:type="dxa"/>
            <w:tcBorders>
              <w:top w:val="nil"/>
              <w:left w:val="nil"/>
              <w:bottom w:val="single" w:color="auto" w:sz="4" w:space="0"/>
              <w:right w:val="single" w:color="auto" w:sz="4" w:space="0"/>
            </w:tcBorders>
            <w:vAlign w:val="center"/>
          </w:tcPr>
          <w:p w14:paraId="40F9C50E">
            <w:pPr>
              <w:rPr>
                <w:rFonts w:ascii="宋体" w:hAnsi="宋体"/>
                <w:sz w:val="20"/>
                <w:szCs w:val="20"/>
              </w:rPr>
            </w:pPr>
            <w:r>
              <w:rPr>
                <w:rFonts w:hint="eastAsia" w:ascii="宋体" w:hAnsi="宋体"/>
                <w:sz w:val="20"/>
                <w:szCs w:val="20"/>
              </w:rPr>
              <w:t>　</w:t>
            </w:r>
            <w:r>
              <w:rPr>
                <w:rFonts w:hint="eastAsia"/>
                <w:sz w:val="20"/>
                <w:szCs w:val="20"/>
              </w:rPr>
              <w:t>202</w:t>
            </w:r>
            <w:r>
              <w:rPr>
                <w:rFonts w:hint="eastAsia"/>
                <w:sz w:val="20"/>
                <w:szCs w:val="20"/>
                <w:lang w:val="en-US" w:eastAsia="zh-CN"/>
              </w:rPr>
              <w:t>6</w:t>
            </w:r>
            <w:r>
              <w:rPr>
                <w:rFonts w:hint="eastAsia" w:ascii="宋体" w:hAnsi="宋体"/>
                <w:sz w:val="20"/>
                <w:szCs w:val="20"/>
              </w:rPr>
              <w:t>年</w:t>
            </w:r>
            <w:r>
              <w:rPr>
                <w:rFonts w:hint="eastAsia"/>
                <w:sz w:val="20"/>
                <w:szCs w:val="20"/>
              </w:rPr>
              <w:t>11</w:t>
            </w:r>
            <w:r>
              <w:rPr>
                <w:rFonts w:hint="eastAsia" w:ascii="宋体" w:hAnsi="宋体"/>
                <w:sz w:val="20"/>
                <w:szCs w:val="20"/>
              </w:rPr>
              <w:t>月底完成</w:t>
            </w:r>
          </w:p>
        </w:tc>
        <w:tc>
          <w:tcPr>
            <w:tcW w:w="791" w:type="dxa"/>
            <w:tcBorders>
              <w:top w:val="nil"/>
              <w:left w:val="nil"/>
              <w:bottom w:val="single" w:color="auto" w:sz="4" w:space="0"/>
              <w:right w:val="single" w:color="auto" w:sz="4" w:space="0"/>
            </w:tcBorders>
            <w:vAlign w:val="center"/>
          </w:tcPr>
          <w:p w14:paraId="70F584B1">
            <w:pPr>
              <w:rPr>
                <w:rFonts w:ascii="宋体" w:hAnsi="宋体"/>
                <w:sz w:val="20"/>
                <w:szCs w:val="20"/>
              </w:rPr>
            </w:pPr>
            <w:r>
              <w:rPr>
                <w:rFonts w:hint="eastAsia" w:ascii="宋体" w:hAnsi="宋体"/>
                <w:sz w:val="20"/>
                <w:szCs w:val="20"/>
              </w:rPr>
              <w:t>　</w:t>
            </w:r>
          </w:p>
        </w:tc>
        <w:tc>
          <w:tcPr>
            <w:tcW w:w="889" w:type="dxa"/>
            <w:vMerge w:val="restart"/>
            <w:tcBorders>
              <w:top w:val="nil"/>
              <w:left w:val="nil"/>
              <w:bottom w:val="single" w:color="000000" w:sz="4" w:space="0"/>
              <w:right w:val="single" w:color="auto" w:sz="4" w:space="0"/>
            </w:tcBorders>
            <w:vAlign w:val="center"/>
          </w:tcPr>
          <w:p w14:paraId="38FB1024">
            <w:pPr>
              <w:jc w:val="center"/>
              <w:rPr>
                <w:sz w:val="20"/>
                <w:szCs w:val="20"/>
              </w:rPr>
            </w:pPr>
            <w:r>
              <w:rPr>
                <w:rFonts w:hint="eastAsia" w:ascii="宋体" w:hAnsi="宋体"/>
                <w:sz w:val="20"/>
                <w:szCs w:val="20"/>
              </w:rPr>
              <w:t>时效</w:t>
            </w:r>
          </w:p>
          <w:p w14:paraId="317F852F">
            <w:pPr>
              <w:jc w:val="center"/>
              <w:rPr>
                <w:rFonts w:ascii="宋体" w:hAnsi="宋体"/>
                <w:sz w:val="20"/>
                <w:szCs w:val="20"/>
              </w:rPr>
            </w:pPr>
            <w:r>
              <w:rPr>
                <w:rFonts w:hint="eastAsia" w:ascii="宋体" w:hAnsi="宋体"/>
                <w:sz w:val="20"/>
                <w:szCs w:val="20"/>
              </w:rPr>
              <w:t>指标</w:t>
            </w:r>
          </w:p>
        </w:tc>
        <w:tc>
          <w:tcPr>
            <w:tcW w:w="1040" w:type="dxa"/>
            <w:tcBorders>
              <w:top w:val="nil"/>
              <w:left w:val="nil"/>
              <w:bottom w:val="single" w:color="auto" w:sz="4" w:space="0"/>
              <w:right w:val="single" w:color="auto" w:sz="4" w:space="0"/>
            </w:tcBorders>
            <w:vAlign w:val="center"/>
          </w:tcPr>
          <w:p w14:paraId="3D527686">
            <w:pPr>
              <w:rPr>
                <w:rFonts w:ascii="宋体" w:hAnsi="宋体"/>
                <w:sz w:val="20"/>
                <w:szCs w:val="20"/>
              </w:rPr>
            </w:pPr>
            <w:r>
              <w:rPr>
                <w:sz w:val="20"/>
                <w:szCs w:val="20"/>
              </w:rPr>
              <w:t xml:space="preserve"> </w:t>
            </w:r>
          </w:p>
        </w:tc>
        <w:tc>
          <w:tcPr>
            <w:tcW w:w="929" w:type="dxa"/>
            <w:tcBorders>
              <w:top w:val="nil"/>
              <w:left w:val="nil"/>
              <w:bottom w:val="single" w:color="auto" w:sz="4" w:space="0"/>
              <w:right w:val="single" w:color="auto" w:sz="4" w:space="0"/>
            </w:tcBorders>
            <w:vAlign w:val="center"/>
          </w:tcPr>
          <w:p w14:paraId="623CF116">
            <w:pPr>
              <w:rPr>
                <w:rFonts w:ascii="宋体" w:hAnsi="宋体"/>
                <w:sz w:val="20"/>
                <w:szCs w:val="20"/>
              </w:rPr>
            </w:pPr>
            <w:r>
              <w:rPr>
                <w:rFonts w:hint="eastAsia" w:ascii="宋体" w:hAnsi="宋体"/>
                <w:sz w:val="20"/>
                <w:szCs w:val="20"/>
              </w:rPr>
              <w:t>　</w:t>
            </w:r>
          </w:p>
        </w:tc>
        <w:tc>
          <w:tcPr>
            <w:tcW w:w="813" w:type="dxa"/>
            <w:tcBorders>
              <w:top w:val="nil"/>
              <w:left w:val="nil"/>
              <w:bottom w:val="single" w:color="auto" w:sz="4" w:space="0"/>
              <w:right w:val="single" w:color="auto" w:sz="4" w:space="0"/>
            </w:tcBorders>
            <w:vAlign w:val="center"/>
          </w:tcPr>
          <w:p w14:paraId="64D8600E">
            <w:pPr>
              <w:rPr>
                <w:rFonts w:ascii="宋体" w:hAnsi="宋体"/>
                <w:sz w:val="20"/>
                <w:szCs w:val="20"/>
              </w:rPr>
            </w:pPr>
            <w:r>
              <w:rPr>
                <w:rFonts w:hint="eastAsia" w:ascii="宋体" w:hAnsi="宋体"/>
                <w:sz w:val="20"/>
                <w:szCs w:val="20"/>
              </w:rPr>
              <w:t>　</w:t>
            </w:r>
          </w:p>
        </w:tc>
      </w:tr>
      <w:tr w14:paraId="53214583">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50DA81CE">
            <w:pPr>
              <w:widowControl/>
              <w:jc w:val="left"/>
              <w:rPr>
                <w:rFonts w:ascii="宋体" w:hAnsi="宋体"/>
                <w:sz w:val="20"/>
                <w:szCs w:val="20"/>
              </w:rPr>
            </w:pPr>
          </w:p>
        </w:tc>
        <w:tc>
          <w:tcPr>
            <w:tcW w:w="820" w:type="dxa"/>
            <w:vMerge w:val="continue"/>
            <w:tcBorders>
              <w:top w:val="single" w:color="auto" w:sz="4" w:space="0"/>
              <w:left w:val="nil"/>
              <w:bottom w:val="single" w:color="auto" w:sz="4" w:space="0"/>
              <w:right w:val="single" w:color="auto" w:sz="4" w:space="0"/>
            </w:tcBorders>
            <w:vAlign w:val="center"/>
          </w:tcPr>
          <w:p w14:paraId="2BEAC2C7">
            <w:pPr>
              <w:widowControl/>
              <w:jc w:val="left"/>
              <w:rPr>
                <w:rFonts w:ascii="宋体" w:hAnsi="宋体"/>
                <w:sz w:val="20"/>
                <w:szCs w:val="20"/>
              </w:rPr>
            </w:pPr>
          </w:p>
        </w:tc>
        <w:tc>
          <w:tcPr>
            <w:tcW w:w="940" w:type="dxa"/>
            <w:vMerge w:val="continue"/>
            <w:tcBorders>
              <w:top w:val="nil"/>
              <w:left w:val="nil"/>
              <w:bottom w:val="single" w:color="000000" w:sz="4" w:space="0"/>
              <w:right w:val="single" w:color="auto" w:sz="4" w:space="0"/>
            </w:tcBorders>
            <w:vAlign w:val="center"/>
          </w:tcPr>
          <w:p w14:paraId="4068F8C6">
            <w:pPr>
              <w:widowControl/>
              <w:jc w:val="left"/>
              <w:rPr>
                <w:rFonts w:ascii="宋体" w:hAnsi="宋体"/>
                <w:sz w:val="20"/>
                <w:szCs w:val="20"/>
              </w:rPr>
            </w:pPr>
          </w:p>
        </w:tc>
        <w:tc>
          <w:tcPr>
            <w:tcW w:w="2000" w:type="dxa"/>
            <w:tcBorders>
              <w:top w:val="nil"/>
              <w:left w:val="nil"/>
              <w:bottom w:val="single" w:color="auto" w:sz="4" w:space="0"/>
              <w:right w:val="single" w:color="auto" w:sz="4" w:space="0"/>
            </w:tcBorders>
            <w:vAlign w:val="center"/>
          </w:tcPr>
          <w:p w14:paraId="1128A17A">
            <w:pPr>
              <w:rPr>
                <w:rFonts w:ascii="宋体" w:hAnsi="宋体"/>
                <w:sz w:val="20"/>
                <w:szCs w:val="20"/>
              </w:rPr>
            </w:pPr>
          </w:p>
        </w:tc>
        <w:tc>
          <w:tcPr>
            <w:tcW w:w="860" w:type="dxa"/>
            <w:tcBorders>
              <w:top w:val="nil"/>
              <w:left w:val="nil"/>
              <w:bottom w:val="single" w:color="auto" w:sz="4" w:space="0"/>
              <w:right w:val="single" w:color="auto" w:sz="4" w:space="0"/>
            </w:tcBorders>
            <w:vAlign w:val="center"/>
          </w:tcPr>
          <w:p w14:paraId="3EE51F5B">
            <w:pPr>
              <w:rPr>
                <w:rFonts w:ascii="宋体" w:hAnsi="宋体"/>
                <w:sz w:val="20"/>
                <w:szCs w:val="20"/>
              </w:rPr>
            </w:pPr>
            <w:r>
              <w:rPr>
                <w:rFonts w:hint="eastAsia" w:ascii="宋体" w:hAnsi="宋体"/>
                <w:sz w:val="20"/>
                <w:szCs w:val="20"/>
              </w:rPr>
              <w:t>　</w:t>
            </w:r>
          </w:p>
        </w:tc>
        <w:tc>
          <w:tcPr>
            <w:tcW w:w="791" w:type="dxa"/>
            <w:tcBorders>
              <w:top w:val="nil"/>
              <w:left w:val="nil"/>
              <w:bottom w:val="single" w:color="auto" w:sz="4" w:space="0"/>
              <w:right w:val="single" w:color="auto" w:sz="4" w:space="0"/>
            </w:tcBorders>
            <w:vAlign w:val="center"/>
          </w:tcPr>
          <w:p w14:paraId="01EDFFD0">
            <w:pPr>
              <w:rPr>
                <w:rFonts w:ascii="宋体" w:hAnsi="宋体"/>
                <w:sz w:val="20"/>
                <w:szCs w:val="20"/>
              </w:rPr>
            </w:pPr>
            <w:r>
              <w:rPr>
                <w:rFonts w:hint="eastAsia" w:ascii="宋体" w:hAnsi="宋体"/>
                <w:sz w:val="20"/>
                <w:szCs w:val="20"/>
              </w:rPr>
              <w:t>　</w:t>
            </w:r>
          </w:p>
        </w:tc>
        <w:tc>
          <w:tcPr>
            <w:tcW w:w="889" w:type="dxa"/>
            <w:vMerge w:val="continue"/>
            <w:tcBorders>
              <w:top w:val="nil"/>
              <w:left w:val="nil"/>
              <w:bottom w:val="single" w:color="000000" w:sz="4" w:space="0"/>
              <w:right w:val="single" w:color="auto" w:sz="4" w:space="0"/>
            </w:tcBorders>
            <w:vAlign w:val="center"/>
          </w:tcPr>
          <w:p w14:paraId="6D49769F">
            <w:pPr>
              <w:widowControl/>
              <w:jc w:val="left"/>
              <w:rPr>
                <w:rFonts w:ascii="宋体" w:hAnsi="宋体"/>
                <w:sz w:val="20"/>
                <w:szCs w:val="20"/>
              </w:rPr>
            </w:pPr>
          </w:p>
        </w:tc>
        <w:tc>
          <w:tcPr>
            <w:tcW w:w="1040" w:type="dxa"/>
            <w:tcBorders>
              <w:top w:val="nil"/>
              <w:left w:val="nil"/>
              <w:bottom w:val="single" w:color="auto" w:sz="4" w:space="0"/>
              <w:right w:val="single" w:color="auto" w:sz="4" w:space="0"/>
            </w:tcBorders>
            <w:vAlign w:val="center"/>
          </w:tcPr>
          <w:p w14:paraId="3682A89E">
            <w:pPr>
              <w:rPr>
                <w:rFonts w:ascii="宋体" w:hAnsi="宋体"/>
                <w:sz w:val="20"/>
                <w:szCs w:val="20"/>
              </w:rPr>
            </w:pPr>
          </w:p>
        </w:tc>
        <w:tc>
          <w:tcPr>
            <w:tcW w:w="929" w:type="dxa"/>
            <w:tcBorders>
              <w:top w:val="nil"/>
              <w:left w:val="nil"/>
              <w:bottom w:val="single" w:color="auto" w:sz="4" w:space="0"/>
              <w:right w:val="single" w:color="auto" w:sz="4" w:space="0"/>
            </w:tcBorders>
            <w:vAlign w:val="center"/>
          </w:tcPr>
          <w:p w14:paraId="085875D3">
            <w:pPr>
              <w:rPr>
                <w:rFonts w:ascii="宋体" w:hAnsi="宋体"/>
                <w:sz w:val="20"/>
                <w:szCs w:val="20"/>
              </w:rPr>
            </w:pPr>
            <w:r>
              <w:rPr>
                <w:rFonts w:hint="eastAsia" w:ascii="宋体" w:hAnsi="宋体"/>
                <w:sz w:val="20"/>
                <w:szCs w:val="20"/>
              </w:rPr>
              <w:t>　</w:t>
            </w:r>
          </w:p>
        </w:tc>
        <w:tc>
          <w:tcPr>
            <w:tcW w:w="813" w:type="dxa"/>
            <w:tcBorders>
              <w:top w:val="nil"/>
              <w:left w:val="nil"/>
              <w:bottom w:val="single" w:color="auto" w:sz="4" w:space="0"/>
              <w:right w:val="single" w:color="auto" w:sz="4" w:space="0"/>
            </w:tcBorders>
            <w:vAlign w:val="center"/>
          </w:tcPr>
          <w:p w14:paraId="222CA7FF">
            <w:pPr>
              <w:rPr>
                <w:rFonts w:ascii="宋体" w:hAnsi="宋体"/>
                <w:sz w:val="20"/>
                <w:szCs w:val="20"/>
              </w:rPr>
            </w:pPr>
            <w:r>
              <w:rPr>
                <w:rFonts w:hint="eastAsia" w:ascii="宋体" w:hAnsi="宋体"/>
                <w:sz w:val="20"/>
                <w:szCs w:val="20"/>
              </w:rPr>
              <w:t>　</w:t>
            </w:r>
          </w:p>
        </w:tc>
      </w:tr>
      <w:tr w14:paraId="3D3431DB">
        <w:tblPrEx>
          <w:tblCellMar>
            <w:top w:w="0" w:type="dxa"/>
            <w:left w:w="108" w:type="dxa"/>
            <w:bottom w:w="0" w:type="dxa"/>
            <w:right w:w="108" w:type="dxa"/>
          </w:tblCellMar>
        </w:tblPrEx>
        <w:trPr>
          <w:trHeight w:val="800" w:hRule="atLeast"/>
        </w:trPr>
        <w:tc>
          <w:tcPr>
            <w:tcW w:w="416" w:type="dxa"/>
            <w:vMerge w:val="continue"/>
            <w:tcBorders>
              <w:top w:val="nil"/>
              <w:left w:val="single" w:color="auto" w:sz="4" w:space="0"/>
              <w:bottom w:val="single" w:color="000000" w:sz="4" w:space="0"/>
              <w:right w:val="single" w:color="auto" w:sz="4" w:space="0"/>
            </w:tcBorders>
            <w:vAlign w:val="center"/>
          </w:tcPr>
          <w:p w14:paraId="038B88E2">
            <w:pPr>
              <w:widowControl/>
              <w:jc w:val="left"/>
              <w:rPr>
                <w:rFonts w:ascii="宋体" w:hAnsi="宋体"/>
                <w:sz w:val="20"/>
                <w:szCs w:val="20"/>
              </w:rPr>
            </w:pPr>
          </w:p>
        </w:tc>
        <w:tc>
          <w:tcPr>
            <w:tcW w:w="820" w:type="dxa"/>
            <w:vMerge w:val="continue"/>
            <w:tcBorders>
              <w:top w:val="single" w:color="auto" w:sz="4" w:space="0"/>
              <w:left w:val="nil"/>
              <w:bottom w:val="single" w:color="auto" w:sz="4" w:space="0"/>
              <w:right w:val="single" w:color="auto" w:sz="4" w:space="0"/>
            </w:tcBorders>
            <w:vAlign w:val="center"/>
          </w:tcPr>
          <w:p w14:paraId="3D587E2C">
            <w:pPr>
              <w:widowControl/>
              <w:jc w:val="left"/>
              <w:rPr>
                <w:rFonts w:ascii="宋体" w:hAnsi="宋体"/>
                <w:sz w:val="20"/>
                <w:szCs w:val="20"/>
              </w:rPr>
            </w:pPr>
          </w:p>
        </w:tc>
        <w:tc>
          <w:tcPr>
            <w:tcW w:w="940" w:type="dxa"/>
            <w:vMerge w:val="restart"/>
            <w:tcBorders>
              <w:top w:val="nil"/>
              <w:left w:val="nil"/>
              <w:bottom w:val="single" w:color="000000" w:sz="4" w:space="0"/>
              <w:right w:val="single" w:color="auto" w:sz="4" w:space="0"/>
            </w:tcBorders>
            <w:vAlign w:val="center"/>
          </w:tcPr>
          <w:p w14:paraId="5FF1E6A5">
            <w:pPr>
              <w:jc w:val="center"/>
              <w:rPr>
                <w:sz w:val="20"/>
                <w:szCs w:val="20"/>
              </w:rPr>
            </w:pPr>
            <w:r>
              <w:rPr>
                <w:rFonts w:hint="eastAsia" w:ascii="宋体" w:hAnsi="宋体"/>
                <w:sz w:val="20"/>
                <w:szCs w:val="20"/>
              </w:rPr>
              <w:t>成本</w:t>
            </w:r>
          </w:p>
          <w:p w14:paraId="1A7F700C">
            <w:pPr>
              <w:jc w:val="center"/>
              <w:rPr>
                <w:rFonts w:ascii="宋体" w:hAnsi="宋体"/>
                <w:sz w:val="20"/>
                <w:szCs w:val="20"/>
              </w:rPr>
            </w:pPr>
            <w:r>
              <w:rPr>
                <w:rFonts w:hint="eastAsia" w:ascii="宋体" w:hAnsi="宋体"/>
                <w:sz w:val="20"/>
                <w:szCs w:val="20"/>
              </w:rPr>
              <w:t>指标</w:t>
            </w:r>
          </w:p>
        </w:tc>
        <w:tc>
          <w:tcPr>
            <w:tcW w:w="2000" w:type="dxa"/>
            <w:tcBorders>
              <w:top w:val="nil"/>
              <w:left w:val="nil"/>
              <w:bottom w:val="single" w:color="auto" w:sz="4" w:space="0"/>
              <w:right w:val="single" w:color="auto" w:sz="4" w:space="0"/>
            </w:tcBorders>
            <w:vAlign w:val="center"/>
          </w:tcPr>
          <w:p w14:paraId="20075EB9">
            <w:pPr>
              <w:rPr>
                <w:rFonts w:ascii="宋体" w:hAnsi="宋体"/>
                <w:sz w:val="20"/>
                <w:szCs w:val="20"/>
              </w:rPr>
            </w:pPr>
            <w:r>
              <w:rPr>
                <w:rFonts w:hint="eastAsia" w:ascii="宋体" w:hAnsi="宋体"/>
                <w:sz w:val="20"/>
                <w:szCs w:val="20"/>
              </w:rPr>
              <w:t>成本金额</w:t>
            </w:r>
          </w:p>
        </w:tc>
        <w:tc>
          <w:tcPr>
            <w:tcW w:w="860" w:type="dxa"/>
            <w:tcBorders>
              <w:top w:val="nil"/>
              <w:left w:val="nil"/>
              <w:bottom w:val="single" w:color="auto" w:sz="4" w:space="0"/>
              <w:right w:val="single" w:color="auto" w:sz="4" w:space="0"/>
            </w:tcBorders>
            <w:vAlign w:val="center"/>
          </w:tcPr>
          <w:p w14:paraId="7F2F9061">
            <w:pPr>
              <w:rPr>
                <w:rFonts w:ascii="宋体" w:hAnsi="宋体"/>
                <w:sz w:val="20"/>
                <w:szCs w:val="20"/>
              </w:rPr>
            </w:pPr>
            <w:r>
              <w:rPr>
                <w:rFonts w:hint="eastAsia" w:ascii="宋体" w:hAnsi="宋体"/>
                <w:sz w:val="20"/>
                <w:szCs w:val="20"/>
              </w:rPr>
              <w:t>　金额</w:t>
            </w:r>
          </w:p>
        </w:tc>
        <w:tc>
          <w:tcPr>
            <w:tcW w:w="791" w:type="dxa"/>
            <w:tcBorders>
              <w:top w:val="nil"/>
              <w:left w:val="nil"/>
              <w:bottom w:val="single" w:color="auto" w:sz="4" w:space="0"/>
              <w:right w:val="single" w:color="auto" w:sz="4" w:space="0"/>
            </w:tcBorders>
            <w:vAlign w:val="center"/>
          </w:tcPr>
          <w:p w14:paraId="52AD2519">
            <w:pPr>
              <w:rPr>
                <w:rFonts w:ascii="宋体" w:hAnsi="宋体"/>
                <w:sz w:val="20"/>
                <w:szCs w:val="20"/>
              </w:rPr>
            </w:pPr>
            <w:r>
              <w:rPr>
                <w:rFonts w:hint="eastAsia" w:ascii="宋体" w:hAnsi="宋体"/>
                <w:sz w:val="20"/>
                <w:szCs w:val="20"/>
              </w:rPr>
              <w:t>　</w:t>
            </w:r>
            <w:r>
              <w:rPr>
                <w:rFonts w:hint="eastAsia" w:ascii="宋体" w:hAnsi="宋体"/>
                <w:sz w:val="20"/>
                <w:szCs w:val="20"/>
                <w:lang w:val="en-US" w:eastAsia="zh-CN"/>
              </w:rPr>
              <w:t>4</w:t>
            </w:r>
            <w:r>
              <w:rPr>
                <w:rFonts w:hint="eastAsia" w:ascii="宋体" w:hAnsi="宋体"/>
                <w:sz w:val="20"/>
                <w:szCs w:val="20"/>
              </w:rPr>
              <w:t>万元</w:t>
            </w:r>
          </w:p>
        </w:tc>
        <w:tc>
          <w:tcPr>
            <w:tcW w:w="889" w:type="dxa"/>
            <w:vMerge w:val="restart"/>
            <w:tcBorders>
              <w:top w:val="nil"/>
              <w:left w:val="nil"/>
              <w:bottom w:val="single" w:color="000000" w:sz="4" w:space="0"/>
              <w:right w:val="single" w:color="auto" w:sz="4" w:space="0"/>
            </w:tcBorders>
            <w:vAlign w:val="center"/>
          </w:tcPr>
          <w:p w14:paraId="63D61976">
            <w:pPr>
              <w:jc w:val="center"/>
              <w:rPr>
                <w:sz w:val="20"/>
                <w:szCs w:val="20"/>
              </w:rPr>
            </w:pPr>
            <w:r>
              <w:rPr>
                <w:rFonts w:hint="eastAsia" w:ascii="宋体" w:hAnsi="宋体"/>
                <w:sz w:val="20"/>
                <w:szCs w:val="20"/>
              </w:rPr>
              <w:t>成本</w:t>
            </w:r>
          </w:p>
          <w:p w14:paraId="3A0D21AD">
            <w:pPr>
              <w:jc w:val="center"/>
              <w:rPr>
                <w:rFonts w:ascii="宋体" w:hAnsi="宋体"/>
                <w:sz w:val="20"/>
                <w:szCs w:val="20"/>
              </w:rPr>
            </w:pPr>
            <w:r>
              <w:rPr>
                <w:rFonts w:hint="eastAsia" w:ascii="宋体" w:hAnsi="宋体"/>
                <w:sz w:val="20"/>
                <w:szCs w:val="20"/>
              </w:rPr>
              <w:t>指标</w:t>
            </w:r>
          </w:p>
        </w:tc>
        <w:tc>
          <w:tcPr>
            <w:tcW w:w="1040" w:type="dxa"/>
            <w:tcBorders>
              <w:top w:val="nil"/>
              <w:left w:val="nil"/>
              <w:bottom w:val="single" w:color="auto" w:sz="4" w:space="0"/>
              <w:right w:val="single" w:color="auto" w:sz="4" w:space="0"/>
            </w:tcBorders>
            <w:vAlign w:val="center"/>
          </w:tcPr>
          <w:p w14:paraId="3BA67959">
            <w:pPr>
              <w:rPr>
                <w:rFonts w:ascii="宋体" w:hAnsi="宋体"/>
                <w:sz w:val="20"/>
                <w:szCs w:val="20"/>
              </w:rPr>
            </w:pPr>
          </w:p>
        </w:tc>
        <w:tc>
          <w:tcPr>
            <w:tcW w:w="929" w:type="dxa"/>
            <w:tcBorders>
              <w:top w:val="nil"/>
              <w:left w:val="nil"/>
              <w:bottom w:val="single" w:color="auto" w:sz="4" w:space="0"/>
              <w:right w:val="single" w:color="auto" w:sz="4" w:space="0"/>
            </w:tcBorders>
            <w:vAlign w:val="center"/>
          </w:tcPr>
          <w:p w14:paraId="7BF66C46">
            <w:pPr>
              <w:rPr>
                <w:rFonts w:ascii="宋体" w:hAnsi="宋体"/>
                <w:sz w:val="20"/>
                <w:szCs w:val="20"/>
              </w:rPr>
            </w:pPr>
            <w:r>
              <w:rPr>
                <w:rFonts w:hint="eastAsia" w:ascii="宋体" w:hAnsi="宋体"/>
                <w:sz w:val="20"/>
                <w:szCs w:val="20"/>
              </w:rPr>
              <w:t>　</w:t>
            </w:r>
          </w:p>
        </w:tc>
        <w:tc>
          <w:tcPr>
            <w:tcW w:w="813" w:type="dxa"/>
            <w:tcBorders>
              <w:top w:val="nil"/>
              <w:left w:val="nil"/>
              <w:bottom w:val="single" w:color="auto" w:sz="4" w:space="0"/>
              <w:right w:val="single" w:color="auto" w:sz="4" w:space="0"/>
            </w:tcBorders>
            <w:vAlign w:val="center"/>
          </w:tcPr>
          <w:p w14:paraId="5E957C96">
            <w:pPr>
              <w:rPr>
                <w:rFonts w:ascii="宋体" w:hAnsi="宋体"/>
                <w:sz w:val="20"/>
                <w:szCs w:val="20"/>
              </w:rPr>
            </w:pPr>
            <w:r>
              <w:rPr>
                <w:rFonts w:hint="eastAsia" w:ascii="宋体" w:hAnsi="宋体"/>
                <w:sz w:val="20"/>
                <w:szCs w:val="20"/>
              </w:rPr>
              <w:t>　</w:t>
            </w:r>
          </w:p>
        </w:tc>
      </w:tr>
      <w:tr w14:paraId="7E6D3A19">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40F767F3">
            <w:pPr>
              <w:widowControl/>
              <w:jc w:val="left"/>
              <w:rPr>
                <w:rFonts w:ascii="宋体" w:hAnsi="宋体"/>
                <w:sz w:val="20"/>
                <w:szCs w:val="20"/>
              </w:rPr>
            </w:pPr>
          </w:p>
        </w:tc>
        <w:tc>
          <w:tcPr>
            <w:tcW w:w="820" w:type="dxa"/>
            <w:vMerge w:val="continue"/>
            <w:tcBorders>
              <w:top w:val="single" w:color="auto" w:sz="4" w:space="0"/>
              <w:left w:val="nil"/>
              <w:bottom w:val="single" w:color="auto" w:sz="4" w:space="0"/>
              <w:right w:val="single" w:color="auto" w:sz="4" w:space="0"/>
            </w:tcBorders>
            <w:vAlign w:val="center"/>
          </w:tcPr>
          <w:p w14:paraId="43CDEA36">
            <w:pPr>
              <w:widowControl/>
              <w:jc w:val="left"/>
              <w:rPr>
                <w:rFonts w:ascii="宋体" w:hAnsi="宋体"/>
                <w:sz w:val="20"/>
                <w:szCs w:val="20"/>
              </w:rPr>
            </w:pPr>
          </w:p>
        </w:tc>
        <w:tc>
          <w:tcPr>
            <w:tcW w:w="940" w:type="dxa"/>
            <w:vMerge w:val="continue"/>
            <w:tcBorders>
              <w:top w:val="nil"/>
              <w:left w:val="nil"/>
              <w:bottom w:val="single" w:color="000000" w:sz="4" w:space="0"/>
              <w:right w:val="single" w:color="auto" w:sz="4" w:space="0"/>
            </w:tcBorders>
            <w:vAlign w:val="center"/>
          </w:tcPr>
          <w:p w14:paraId="3024B81F">
            <w:pPr>
              <w:widowControl/>
              <w:jc w:val="left"/>
              <w:rPr>
                <w:rFonts w:ascii="宋体" w:hAnsi="宋体"/>
                <w:sz w:val="20"/>
                <w:szCs w:val="20"/>
              </w:rPr>
            </w:pPr>
          </w:p>
        </w:tc>
        <w:tc>
          <w:tcPr>
            <w:tcW w:w="2000" w:type="dxa"/>
            <w:tcBorders>
              <w:top w:val="nil"/>
              <w:left w:val="nil"/>
              <w:bottom w:val="single" w:color="auto" w:sz="4" w:space="0"/>
              <w:right w:val="single" w:color="auto" w:sz="4" w:space="0"/>
            </w:tcBorders>
            <w:vAlign w:val="center"/>
          </w:tcPr>
          <w:p w14:paraId="305E2C7E">
            <w:pPr>
              <w:rPr>
                <w:rFonts w:ascii="宋体" w:hAnsi="宋体"/>
                <w:sz w:val="20"/>
                <w:szCs w:val="20"/>
              </w:rPr>
            </w:pPr>
          </w:p>
        </w:tc>
        <w:tc>
          <w:tcPr>
            <w:tcW w:w="860" w:type="dxa"/>
            <w:tcBorders>
              <w:top w:val="nil"/>
              <w:left w:val="nil"/>
              <w:bottom w:val="single" w:color="auto" w:sz="4" w:space="0"/>
              <w:right w:val="single" w:color="auto" w:sz="4" w:space="0"/>
            </w:tcBorders>
            <w:vAlign w:val="center"/>
          </w:tcPr>
          <w:p w14:paraId="438DAE51">
            <w:pPr>
              <w:rPr>
                <w:rFonts w:ascii="宋体" w:hAnsi="宋体"/>
                <w:sz w:val="20"/>
                <w:szCs w:val="20"/>
              </w:rPr>
            </w:pPr>
            <w:r>
              <w:rPr>
                <w:rFonts w:hint="eastAsia" w:ascii="宋体" w:hAnsi="宋体"/>
                <w:sz w:val="20"/>
                <w:szCs w:val="20"/>
              </w:rPr>
              <w:t>　</w:t>
            </w:r>
          </w:p>
        </w:tc>
        <w:tc>
          <w:tcPr>
            <w:tcW w:w="791" w:type="dxa"/>
            <w:tcBorders>
              <w:top w:val="nil"/>
              <w:left w:val="nil"/>
              <w:bottom w:val="single" w:color="auto" w:sz="4" w:space="0"/>
              <w:right w:val="single" w:color="auto" w:sz="4" w:space="0"/>
            </w:tcBorders>
            <w:vAlign w:val="center"/>
          </w:tcPr>
          <w:p w14:paraId="16AACB5A">
            <w:pPr>
              <w:rPr>
                <w:rFonts w:ascii="宋体" w:hAnsi="宋体"/>
                <w:sz w:val="20"/>
                <w:szCs w:val="20"/>
              </w:rPr>
            </w:pPr>
            <w:r>
              <w:rPr>
                <w:rFonts w:hint="eastAsia" w:ascii="宋体" w:hAnsi="宋体"/>
                <w:sz w:val="20"/>
                <w:szCs w:val="20"/>
              </w:rPr>
              <w:t>　</w:t>
            </w:r>
          </w:p>
        </w:tc>
        <w:tc>
          <w:tcPr>
            <w:tcW w:w="889" w:type="dxa"/>
            <w:vMerge w:val="continue"/>
            <w:tcBorders>
              <w:top w:val="nil"/>
              <w:left w:val="nil"/>
              <w:bottom w:val="single" w:color="000000" w:sz="4" w:space="0"/>
              <w:right w:val="single" w:color="auto" w:sz="4" w:space="0"/>
            </w:tcBorders>
            <w:vAlign w:val="center"/>
          </w:tcPr>
          <w:p w14:paraId="7D1249B2">
            <w:pPr>
              <w:widowControl/>
              <w:jc w:val="left"/>
              <w:rPr>
                <w:rFonts w:ascii="宋体" w:hAnsi="宋体"/>
                <w:sz w:val="20"/>
                <w:szCs w:val="20"/>
              </w:rPr>
            </w:pPr>
          </w:p>
        </w:tc>
        <w:tc>
          <w:tcPr>
            <w:tcW w:w="1040" w:type="dxa"/>
            <w:tcBorders>
              <w:top w:val="nil"/>
              <w:left w:val="nil"/>
              <w:bottom w:val="single" w:color="auto" w:sz="4" w:space="0"/>
              <w:right w:val="single" w:color="auto" w:sz="4" w:space="0"/>
            </w:tcBorders>
            <w:vAlign w:val="center"/>
          </w:tcPr>
          <w:p w14:paraId="089132C2">
            <w:pPr>
              <w:rPr>
                <w:rFonts w:ascii="宋体" w:hAnsi="宋体"/>
                <w:sz w:val="20"/>
                <w:szCs w:val="20"/>
              </w:rPr>
            </w:pPr>
          </w:p>
        </w:tc>
        <w:tc>
          <w:tcPr>
            <w:tcW w:w="929" w:type="dxa"/>
            <w:tcBorders>
              <w:top w:val="nil"/>
              <w:left w:val="nil"/>
              <w:bottom w:val="single" w:color="auto" w:sz="4" w:space="0"/>
              <w:right w:val="single" w:color="auto" w:sz="4" w:space="0"/>
            </w:tcBorders>
            <w:vAlign w:val="center"/>
          </w:tcPr>
          <w:p w14:paraId="4AD5C353">
            <w:pPr>
              <w:rPr>
                <w:rFonts w:ascii="宋体" w:hAnsi="宋体"/>
                <w:sz w:val="20"/>
                <w:szCs w:val="20"/>
              </w:rPr>
            </w:pPr>
            <w:r>
              <w:rPr>
                <w:rFonts w:hint="eastAsia" w:ascii="宋体" w:hAnsi="宋体"/>
                <w:sz w:val="20"/>
                <w:szCs w:val="20"/>
              </w:rPr>
              <w:t>　</w:t>
            </w:r>
          </w:p>
        </w:tc>
        <w:tc>
          <w:tcPr>
            <w:tcW w:w="813" w:type="dxa"/>
            <w:tcBorders>
              <w:top w:val="nil"/>
              <w:left w:val="nil"/>
              <w:bottom w:val="single" w:color="auto" w:sz="4" w:space="0"/>
              <w:right w:val="single" w:color="auto" w:sz="4" w:space="0"/>
            </w:tcBorders>
            <w:vAlign w:val="center"/>
          </w:tcPr>
          <w:p w14:paraId="1E14CCB0">
            <w:pPr>
              <w:rPr>
                <w:rFonts w:ascii="宋体" w:hAnsi="宋体"/>
                <w:sz w:val="20"/>
                <w:szCs w:val="20"/>
              </w:rPr>
            </w:pPr>
            <w:r>
              <w:rPr>
                <w:rFonts w:hint="eastAsia" w:ascii="宋体" w:hAnsi="宋体"/>
                <w:sz w:val="20"/>
                <w:szCs w:val="20"/>
              </w:rPr>
              <w:t>　</w:t>
            </w:r>
          </w:p>
        </w:tc>
      </w:tr>
      <w:tr w14:paraId="26C75874">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53E05BE9">
            <w:pPr>
              <w:widowControl/>
              <w:jc w:val="left"/>
              <w:rPr>
                <w:rFonts w:ascii="宋体" w:hAnsi="宋体"/>
                <w:sz w:val="20"/>
                <w:szCs w:val="20"/>
              </w:rPr>
            </w:pPr>
          </w:p>
        </w:tc>
        <w:tc>
          <w:tcPr>
            <w:tcW w:w="820" w:type="dxa"/>
            <w:vMerge w:val="continue"/>
            <w:tcBorders>
              <w:top w:val="single" w:color="auto" w:sz="4" w:space="0"/>
              <w:left w:val="nil"/>
              <w:bottom w:val="single" w:color="auto" w:sz="4" w:space="0"/>
              <w:right w:val="single" w:color="auto" w:sz="4" w:space="0"/>
            </w:tcBorders>
            <w:vAlign w:val="center"/>
          </w:tcPr>
          <w:p w14:paraId="365B6F88">
            <w:pPr>
              <w:widowControl/>
              <w:jc w:val="left"/>
              <w:rPr>
                <w:rFonts w:ascii="宋体" w:hAnsi="宋体"/>
                <w:sz w:val="20"/>
                <w:szCs w:val="20"/>
              </w:rPr>
            </w:pPr>
          </w:p>
        </w:tc>
        <w:tc>
          <w:tcPr>
            <w:tcW w:w="940" w:type="dxa"/>
            <w:tcBorders>
              <w:top w:val="nil"/>
              <w:left w:val="nil"/>
              <w:bottom w:val="single" w:color="auto" w:sz="4" w:space="0"/>
              <w:right w:val="single" w:color="auto" w:sz="4" w:space="0"/>
            </w:tcBorders>
            <w:vAlign w:val="center"/>
          </w:tcPr>
          <w:p w14:paraId="557F4C90">
            <w:pPr>
              <w:jc w:val="center"/>
              <w:rPr>
                <w:rFonts w:ascii="宋体" w:hAnsi="宋体"/>
                <w:sz w:val="20"/>
                <w:szCs w:val="20"/>
              </w:rPr>
            </w:pPr>
            <w:r>
              <w:rPr>
                <w:rFonts w:hint="eastAsia" w:ascii="宋体" w:hAnsi="宋体"/>
                <w:sz w:val="20"/>
                <w:szCs w:val="20"/>
              </w:rPr>
              <w:t>……</w:t>
            </w:r>
          </w:p>
        </w:tc>
        <w:tc>
          <w:tcPr>
            <w:tcW w:w="2000" w:type="dxa"/>
            <w:tcBorders>
              <w:top w:val="nil"/>
              <w:left w:val="nil"/>
              <w:bottom w:val="single" w:color="auto" w:sz="4" w:space="0"/>
              <w:right w:val="single" w:color="auto" w:sz="4" w:space="0"/>
            </w:tcBorders>
            <w:vAlign w:val="center"/>
          </w:tcPr>
          <w:p w14:paraId="0D26FA05">
            <w:pPr>
              <w:rPr>
                <w:rFonts w:ascii="宋体" w:hAnsi="宋体"/>
                <w:sz w:val="20"/>
                <w:szCs w:val="20"/>
              </w:rPr>
            </w:pPr>
            <w:r>
              <w:rPr>
                <w:rFonts w:hint="eastAsia" w:ascii="宋体" w:hAnsi="宋体"/>
                <w:sz w:val="20"/>
                <w:szCs w:val="20"/>
              </w:rPr>
              <w:t>　</w:t>
            </w:r>
          </w:p>
        </w:tc>
        <w:tc>
          <w:tcPr>
            <w:tcW w:w="860" w:type="dxa"/>
            <w:tcBorders>
              <w:top w:val="nil"/>
              <w:left w:val="nil"/>
              <w:bottom w:val="single" w:color="auto" w:sz="4" w:space="0"/>
              <w:right w:val="single" w:color="auto" w:sz="4" w:space="0"/>
            </w:tcBorders>
            <w:vAlign w:val="center"/>
          </w:tcPr>
          <w:p w14:paraId="6E4F1395">
            <w:pPr>
              <w:jc w:val="center"/>
              <w:rPr>
                <w:rFonts w:ascii="宋体" w:hAnsi="宋体"/>
                <w:sz w:val="20"/>
                <w:szCs w:val="20"/>
              </w:rPr>
            </w:pPr>
            <w:r>
              <w:rPr>
                <w:rFonts w:hint="eastAsia" w:ascii="宋体" w:hAnsi="宋体"/>
                <w:sz w:val="20"/>
                <w:szCs w:val="20"/>
              </w:rPr>
              <w:t>　</w:t>
            </w:r>
          </w:p>
        </w:tc>
        <w:tc>
          <w:tcPr>
            <w:tcW w:w="791" w:type="dxa"/>
            <w:tcBorders>
              <w:top w:val="nil"/>
              <w:left w:val="nil"/>
              <w:bottom w:val="single" w:color="auto" w:sz="4" w:space="0"/>
              <w:right w:val="single" w:color="auto" w:sz="4" w:space="0"/>
            </w:tcBorders>
            <w:vAlign w:val="center"/>
          </w:tcPr>
          <w:p w14:paraId="0FA0640C">
            <w:pPr>
              <w:jc w:val="center"/>
              <w:rPr>
                <w:rFonts w:ascii="宋体" w:hAnsi="宋体"/>
                <w:sz w:val="20"/>
                <w:szCs w:val="20"/>
              </w:rPr>
            </w:pPr>
          </w:p>
        </w:tc>
        <w:tc>
          <w:tcPr>
            <w:tcW w:w="889" w:type="dxa"/>
            <w:tcBorders>
              <w:top w:val="nil"/>
              <w:left w:val="nil"/>
              <w:bottom w:val="single" w:color="auto" w:sz="4" w:space="0"/>
              <w:right w:val="single" w:color="auto" w:sz="4" w:space="0"/>
            </w:tcBorders>
            <w:vAlign w:val="center"/>
          </w:tcPr>
          <w:p w14:paraId="01747A91">
            <w:pPr>
              <w:jc w:val="center"/>
              <w:rPr>
                <w:rFonts w:ascii="宋体" w:hAnsi="宋体"/>
                <w:sz w:val="20"/>
                <w:szCs w:val="20"/>
              </w:rPr>
            </w:pPr>
          </w:p>
        </w:tc>
        <w:tc>
          <w:tcPr>
            <w:tcW w:w="1040" w:type="dxa"/>
            <w:tcBorders>
              <w:top w:val="nil"/>
              <w:left w:val="nil"/>
              <w:bottom w:val="single" w:color="auto" w:sz="4" w:space="0"/>
              <w:right w:val="single" w:color="auto" w:sz="4" w:space="0"/>
            </w:tcBorders>
            <w:vAlign w:val="center"/>
          </w:tcPr>
          <w:p w14:paraId="4189F979">
            <w:pPr>
              <w:rPr>
                <w:rFonts w:ascii="宋体" w:hAnsi="宋体"/>
                <w:sz w:val="20"/>
                <w:szCs w:val="20"/>
              </w:rPr>
            </w:pPr>
            <w:r>
              <w:rPr>
                <w:rFonts w:hint="eastAsia" w:ascii="宋体" w:hAnsi="宋体"/>
                <w:sz w:val="20"/>
                <w:szCs w:val="20"/>
              </w:rPr>
              <w:t>　</w:t>
            </w:r>
          </w:p>
        </w:tc>
        <w:tc>
          <w:tcPr>
            <w:tcW w:w="929" w:type="dxa"/>
            <w:tcBorders>
              <w:top w:val="nil"/>
              <w:left w:val="nil"/>
              <w:bottom w:val="single" w:color="auto" w:sz="4" w:space="0"/>
              <w:right w:val="single" w:color="auto" w:sz="4" w:space="0"/>
            </w:tcBorders>
            <w:vAlign w:val="center"/>
          </w:tcPr>
          <w:p w14:paraId="140C4338">
            <w:pPr>
              <w:rPr>
                <w:rFonts w:ascii="宋体" w:hAnsi="宋体"/>
                <w:sz w:val="20"/>
                <w:szCs w:val="20"/>
              </w:rPr>
            </w:pPr>
            <w:r>
              <w:rPr>
                <w:rFonts w:hint="eastAsia" w:ascii="宋体" w:hAnsi="宋体"/>
                <w:sz w:val="20"/>
                <w:szCs w:val="20"/>
              </w:rPr>
              <w:t>　</w:t>
            </w:r>
          </w:p>
        </w:tc>
        <w:tc>
          <w:tcPr>
            <w:tcW w:w="813" w:type="dxa"/>
            <w:tcBorders>
              <w:top w:val="nil"/>
              <w:left w:val="nil"/>
              <w:bottom w:val="single" w:color="auto" w:sz="4" w:space="0"/>
              <w:right w:val="single" w:color="auto" w:sz="4" w:space="0"/>
            </w:tcBorders>
            <w:vAlign w:val="center"/>
          </w:tcPr>
          <w:p w14:paraId="76FA8D75">
            <w:pPr>
              <w:rPr>
                <w:rFonts w:ascii="宋体" w:hAnsi="宋体"/>
                <w:sz w:val="20"/>
                <w:szCs w:val="20"/>
              </w:rPr>
            </w:pPr>
            <w:r>
              <w:rPr>
                <w:rFonts w:hint="eastAsia" w:ascii="宋体" w:hAnsi="宋体"/>
                <w:sz w:val="20"/>
                <w:szCs w:val="20"/>
              </w:rPr>
              <w:t>　</w:t>
            </w:r>
          </w:p>
        </w:tc>
      </w:tr>
      <w:tr w14:paraId="62CC328D">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0677A989">
            <w:pPr>
              <w:widowControl/>
              <w:jc w:val="left"/>
              <w:rPr>
                <w:rFonts w:ascii="宋体" w:hAnsi="宋体"/>
                <w:sz w:val="20"/>
                <w:szCs w:val="20"/>
              </w:rPr>
            </w:pPr>
          </w:p>
        </w:tc>
        <w:tc>
          <w:tcPr>
            <w:tcW w:w="820" w:type="dxa"/>
            <w:vMerge w:val="restart"/>
            <w:tcBorders>
              <w:top w:val="nil"/>
              <w:left w:val="nil"/>
              <w:bottom w:val="single" w:color="auto" w:sz="4" w:space="0"/>
              <w:right w:val="single" w:color="auto" w:sz="4" w:space="0"/>
            </w:tcBorders>
            <w:vAlign w:val="center"/>
          </w:tcPr>
          <w:p w14:paraId="38366BE0">
            <w:pPr>
              <w:jc w:val="center"/>
              <w:rPr>
                <w:rFonts w:ascii="宋体" w:hAnsi="宋体"/>
                <w:sz w:val="20"/>
                <w:szCs w:val="20"/>
              </w:rPr>
            </w:pPr>
            <w:r>
              <w:rPr>
                <w:rFonts w:hint="eastAsia" w:ascii="宋体" w:hAnsi="宋体"/>
                <w:sz w:val="20"/>
                <w:szCs w:val="20"/>
              </w:rPr>
              <w:t>效</w:t>
            </w:r>
          </w:p>
          <w:p w14:paraId="544695B8">
            <w:pPr>
              <w:jc w:val="center"/>
              <w:rPr>
                <w:rFonts w:hint="eastAsia" w:ascii="宋体" w:hAnsi="宋体"/>
                <w:sz w:val="20"/>
                <w:szCs w:val="20"/>
              </w:rPr>
            </w:pPr>
            <w:r>
              <w:rPr>
                <w:rFonts w:hint="eastAsia" w:ascii="宋体" w:hAnsi="宋体"/>
                <w:sz w:val="20"/>
                <w:szCs w:val="20"/>
              </w:rPr>
              <w:t>益</w:t>
            </w:r>
          </w:p>
          <w:p w14:paraId="47BC1328">
            <w:pPr>
              <w:jc w:val="center"/>
              <w:rPr>
                <w:rFonts w:hint="eastAsia" w:ascii="宋体" w:hAnsi="宋体"/>
                <w:sz w:val="20"/>
                <w:szCs w:val="20"/>
              </w:rPr>
            </w:pPr>
            <w:r>
              <w:rPr>
                <w:rFonts w:hint="eastAsia" w:ascii="宋体" w:hAnsi="宋体"/>
                <w:sz w:val="20"/>
                <w:szCs w:val="20"/>
              </w:rPr>
              <w:t>指</w:t>
            </w:r>
          </w:p>
          <w:p w14:paraId="6482EBB0">
            <w:pPr>
              <w:jc w:val="center"/>
              <w:rPr>
                <w:rFonts w:ascii="宋体" w:hAnsi="宋体"/>
                <w:sz w:val="20"/>
                <w:szCs w:val="20"/>
              </w:rPr>
            </w:pPr>
            <w:r>
              <w:rPr>
                <w:rFonts w:hint="eastAsia" w:ascii="宋体" w:hAnsi="宋体"/>
                <w:sz w:val="20"/>
                <w:szCs w:val="20"/>
              </w:rPr>
              <w:t>标</w:t>
            </w:r>
          </w:p>
        </w:tc>
        <w:tc>
          <w:tcPr>
            <w:tcW w:w="940" w:type="dxa"/>
            <w:vMerge w:val="restart"/>
            <w:tcBorders>
              <w:top w:val="nil"/>
              <w:left w:val="nil"/>
              <w:bottom w:val="single" w:color="000000" w:sz="4" w:space="0"/>
              <w:right w:val="single" w:color="auto" w:sz="4" w:space="0"/>
            </w:tcBorders>
            <w:vAlign w:val="center"/>
          </w:tcPr>
          <w:p w14:paraId="7F73CF76">
            <w:pPr>
              <w:jc w:val="center"/>
              <w:rPr>
                <w:rFonts w:ascii="宋体" w:hAnsi="宋体"/>
                <w:sz w:val="20"/>
                <w:szCs w:val="20"/>
              </w:rPr>
            </w:pPr>
            <w:r>
              <w:rPr>
                <w:rFonts w:hint="eastAsia" w:ascii="宋体" w:hAnsi="宋体"/>
                <w:sz w:val="20"/>
                <w:szCs w:val="20"/>
              </w:rPr>
              <w:t>经济效益指标</w:t>
            </w:r>
          </w:p>
        </w:tc>
        <w:tc>
          <w:tcPr>
            <w:tcW w:w="2000" w:type="dxa"/>
            <w:tcBorders>
              <w:top w:val="nil"/>
              <w:left w:val="nil"/>
              <w:bottom w:val="single" w:color="auto" w:sz="4" w:space="0"/>
              <w:right w:val="single" w:color="auto" w:sz="4" w:space="0"/>
            </w:tcBorders>
            <w:vAlign w:val="center"/>
          </w:tcPr>
          <w:p w14:paraId="6EFED173">
            <w:pPr>
              <w:rPr>
                <w:rFonts w:ascii="宋体" w:hAnsi="宋体"/>
                <w:sz w:val="20"/>
                <w:szCs w:val="20"/>
              </w:rPr>
            </w:pPr>
          </w:p>
        </w:tc>
        <w:tc>
          <w:tcPr>
            <w:tcW w:w="860" w:type="dxa"/>
            <w:tcBorders>
              <w:top w:val="nil"/>
              <w:left w:val="nil"/>
              <w:bottom w:val="single" w:color="auto" w:sz="4" w:space="0"/>
              <w:right w:val="single" w:color="auto" w:sz="4" w:space="0"/>
            </w:tcBorders>
            <w:vAlign w:val="center"/>
          </w:tcPr>
          <w:p w14:paraId="3293F114">
            <w:pPr>
              <w:rPr>
                <w:rFonts w:ascii="宋体" w:hAnsi="宋体"/>
                <w:sz w:val="20"/>
                <w:szCs w:val="20"/>
              </w:rPr>
            </w:pPr>
            <w:r>
              <w:rPr>
                <w:rFonts w:hint="eastAsia" w:ascii="宋体" w:hAnsi="宋体"/>
                <w:sz w:val="20"/>
                <w:szCs w:val="20"/>
              </w:rPr>
              <w:t>　</w:t>
            </w:r>
          </w:p>
        </w:tc>
        <w:tc>
          <w:tcPr>
            <w:tcW w:w="791" w:type="dxa"/>
            <w:tcBorders>
              <w:top w:val="nil"/>
              <w:left w:val="nil"/>
              <w:bottom w:val="single" w:color="auto" w:sz="4" w:space="0"/>
              <w:right w:val="single" w:color="auto" w:sz="4" w:space="0"/>
            </w:tcBorders>
            <w:vAlign w:val="center"/>
          </w:tcPr>
          <w:p w14:paraId="484BAFD5">
            <w:pPr>
              <w:rPr>
                <w:rFonts w:ascii="宋体" w:hAnsi="宋体"/>
                <w:sz w:val="20"/>
                <w:szCs w:val="20"/>
              </w:rPr>
            </w:pPr>
            <w:r>
              <w:rPr>
                <w:rFonts w:hint="eastAsia" w:ascii="宋体" w:hAnsi="宋体"/>
                <w:sz w:val="20"/>
                <w:szCs w:val="20"/>
              </w:rPr>
              <w:t>　</w:t>
            </w:r>
          </w:p>
        </w:tc>
        <w:tc>
          <w:tcPr>
            <w:tcW w:w="889" w:type="dxa"/>
            <w:vMerge w:val="restart"/>
            <w:tcBorders>
              <w:top w:val="nil"/>
              <w:left w:val="nil"/>
              <w:bottom w:val="single" w:color="000000" w:sz="4" w:space="0"/>
              <w:right w:val="single" w:color="auto" w:sz="4" w:space="0"/>
            </w:tcBorders>
            <w:vAlign w:val="center"/>
          </w:tcPr>
          <w:p w14:paraId="6F20FEFF">
            <w:pPr>
              <w:jc w:val="center"/>
              <w:rPr>
                <w:sz w:val="20"/>
                <w:szCs w:val="20"/>
              </w:rPr>
            </w:pPr>
            <w:r>
              <w:rPr>
                <w:rFonts w:hint="eastAsia" w:ascii="宋体" w:hAnsi="宋体"/>
                <w:sz w:val="20"/>
                <w:szCs w:val="20"/>
              </w:rPr>
              <w:t>经济效</w:t>
            </w:r>
          </w:p>
          <w:p w14:paraId="21D077CA">
            <w:pPr>
              <w:jc w:val="center"/>
              <w:rPr>
                <w:rFonts w:ascii="宋体" w:hAnsi="宋体"/>
                <w:sz w:val="20"/>
                <w:szCs w:val="20"/>
              </w:rPr>
            </w:pPr>
            <w:r>
              <w:rPr>
                <w:rFonts w:hint="eastAsia" w:ascii="宋体" w:hAnsi="宋体"/>
                <w:sz w:val="20"/>
                <w:szCs w:val="20"/>
              </w:rPr>
              <w:t>益指标</w:t>
            </w:r>
          </w:p>
        </w:tc>
        <w:tc>
          <w:tcPr>
            <w:tcW w:w="1040" w:type="dxa"/>
            <w:tcBorders>
              <w:top w:val="nil"/>
              <w:left w:val="nil"/>
              <w:bottom w:val="single" w:color="auto" w:sz="4" w:space="0"/>
              <w:right w:val="single" w:color="auto" w:sz="4" w:space="0"/>
            </w:tcBorders>
            <w:vAlign w:val="center"/>
          </w:tcPr>
          <w:p w14:paraId="330A90BE">
            <w:pPr>
              <w:rPr>
                <w:rFonts w:ascii="宋体" w:hAnsi="宋体"/>
                <w:sz w:val="20"/>
                <w:szCs w:val="20"/>
              </w:rPr>
            </w:pPr>
          </w:p>
        </w:tc>
        <w:tc>
          <w:tcPr>
            <w:tcW w:w="929" w:type="dxa"/>
            <w:tcBorders>
              <w:top w:val="nil"/>
              <w:left w:val="nil"/>
              <w:bottom w:val="single" w:color="auto" w:sz="4" w:space="0"/>
              <w:right w:val="single" w:color="auto" w:sz="4" w:space="0"/>
            </w:tcBorders>
            <w:vAlign w:val="center"/>
          </w:tcPr>
          <w:p w14:paraId="598D0C55">
            <w:pPr>
              <w:rPr>
                <w:rFonts w:ascii="宋体" w:hAnsi="宋体"/>
                <w:sz w:val="20"/>
                <w:szCs w:val="20"/>
              </w:rPr>
            </w:pPr>
            <w:r>
              <w:rPr>
                <w:rFonts w:hint="eastAsia" w:ascii="宋体" w:hAnsi="宋体"/>
                <w:sz w:val="20"/>
                <w:szCs w:val="20"/>
              </w:rPr>
              <w:t>　</w:t>
            </w:r>
          </w:p>
        </w:tc>
        <w:tc>
          <w:tcPr>
            <w:tcW w:w="813" w:type="dxa"/>
            <w:tcBorders>
              <w:top w:val="nil"/>
              <w:left w:val="nil"/>
              <w:bottom w:val="single" w:color="auto" w:sz="4" w:space="0"/>
              <w:right w:val="single" w:color="auto" w:sz="4" w:space="0"/>
            </w:tcBorders>
            <w:vAlign w:val="center"/>
          </w:tcPr>
          <w:p w14:paraId="6D996CF6">
            <w:pPr>
              <w:rPr>
                <w:rFonts w:ascii="宋体" w:hAnsi="宋体"/>
                <w:sz w:val="20"/>
                <w:szCs w:val="20"/>
              </w:rPr>
            </w:pPr>
            <w:r>
              <w:rPr>
                <w:rFonts w:hint="eastAsia" w:ascii="宋体" w:hAnsi="宋体"/>
                <w:sz w:val="20"/>
                <w:szCs w:val="20"/>
              </w:rPr>
              <w:t>　</w:t>
            </w:r>
          </w:p>
        </w:tc>
      </w:tr>
      <w:tr w14:paraId="0AEBB667">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713937EA">
            <w:pPr>
              <w:widowControl/>
              <w:jc w:val="left"/>
              <w:rPr>
                <w:rFonts w:ascii="宋体" w:hAnsi="宋体"/>
                <w:sz w:val="20"/>
                <w:szCs w:val="20"/>
              </w:rPr>
            </w:pPr>
          </w:p>
        </w:tc>
        <w:tc>
          <w:tcPr>
            <w:tcW w:w="820" w:type="dxa"/>
            <w:vMerge w:val="continue"/>
            <w:tcBorders>
              <w:top w:val="nil"/>
              <w:left w:val="nil"/>
              <w:bottom w:val="single" w:color="auto" w:sz="4" w:space="0"/>
              <w:right w:val="single" w:color="auto" w:sz="4" w:space="0"/>
            </w:tcBorders>
            <w:vAlign w:val="center"/>
          </w:tcPr>
          <w:p w14:paraId="42522703">
            <w:pPr>
              <w:widowControl/>
              <w:jc w:val="left"/>
              <w:rPr>
                <w:rFonts w:ascii="宋体" w:hAnsi="宋体"/>
                <w:sz w:val="20"/>
                <w:szCs w:val="20"/>
              </w:rPr>
            </w:pPr>
          </w:p>
        </w:tc>
        <w:tc>
          <w:tcPr>
            <w:tcW w:w="940" w:type="dxa"/>
            <w:vMerge w:val="continue"/>
            <w:tcBorders>
              <w:top w:val="nil"/>
              <w:left w:val="nil"/>
              <w:bottom w:val="single" w:color="000000" w:sz="4" w:space="0"/>
              <w:right w:val="single" w:color="auto" w:sz="4" w:space="0"/>
            </w:tcBorders>
            <w:vAlign w:val="center"/>
          </w:tcPr>
          <w:p w14:paraId="23E1DA51">
            <w:pPr>
              <w:widowControl/>
              <w:jc w:val="left"/>
              <w:rPr>
                <w:rFonts w:ascii="宋体" w:hAnsi="宋体"/>
                <w:sz w:val="20"/>
                <w:szCs w:val="20"/>
              </w:rPr>
            </w:pPr>
          </w:p>
        </w:tc>
        <w:tc>
          <w:tcPr>
            <w:tcW w:w="2000" w:type="dxa"/>
            <w:tcBorders>
              <w:top w:val="nil"/>
              <w:left w:val="nil"/>
              <w:bottom w:val="single" w:color="auto" w:sz="4" w:space="0"/>
              <w:right w:val="single" w:color="auto" w:sz="4" w:space="0"/>
            </w:tcBorders>
            <w:vAlign w:val="center"/>
          </w:tcPr>
          <w:p w14:paraId="4DD7B823">
            <w:pPr>
              <w:rPr>
                <w:rFonts w:ascii="宋体" w:hAnsi="宋体"/>
                <w:sz w:val="20"/>
                <w:szCs w:val="20"/>
              </w:rPr>
            </w:pPr>
          </w:p>
        </w:tc>
        <w:tc>
          <w:tcPr>
            <w:tcW w:w="860" w:type="dxa"/>
            <w:tcBorders>
              <w:top w:val="nil"/>
              <w:left w:val="nil"/>
              <w:bottom w:val="single" w:color="auto" w:sz="4" w:space="0"/>
              <w:right w:val="single" w:color="auto" w:sz="4" w:space="0"/>
            </w:tcBorders>
            <w:vAlign w:val="center"/>
          </w:tcPr>
          <w:p w14:paraId="656EA404">
            <w:pPr>
              <w:rPr>
                <w:rFonts w:ascii="宋体" w:hAnsi="宋体"/>
                <w:sz w:val="20"/>
                <w:szCs w:val="20"/>
              </w:rPr>
            </w:pPr>
            <w:r>
              <w:rPr>
                <w:rFonts w:hint="eastAsia" w:ascii="宋体" w:hAnsi="宋体"/>
                <w:sz w:val="20"/>
                <w:szCs w:val="20"/>
              </w:rPr>
              <w:t>　</w:t>
            </w:r>
          </w:p>
        </w:tc>
        <w:tc>
          <w:tcPr>
            <w:tcW w:w="791" w:type="dxa"/>
            <w:tcBorders>
              <w:top w:val="nil"/>
              <w:left w:val="nil"/>
              <w:bottom w:val="single" w:color="auto" w:sz="4" w:space="0"/>
              <w:right w:val="single" w:color="auto" w:sz="4" w:space="0"/>
            </w:tcBorders>
            <w:vAlign w:val="center"/>
          </w:tcPr>
          <w:p w14:paraId="77F5E12D">
            <w:pPr>
              <w:rPr>
                <w:rFonts w:ascii="宋体" w:hAnsi="宋体"/>
                <w:sz w:val="20"/>
                <w:szCs w:val="20"/>
              </w:rPr>
            </w:pPr>
            <w:r>
              <w:rPr>
                <w:rFonts w:hint="eastAsia" w:ascii="宋体" w:hAnsi="宋体"/>
                <w:sz w:val="20"/>
                <w:szCs w:val="20"/>
              </w:rPr>
              <w:t>　</w:t>
            </w:r>
          </w:p>
        </w:tc>
        <w:tc>
          <w:tcPr>
            <w:tcW w:w="889" w:type="dxa"/>
            <w:vMerge w:val="continue"/>
            <w:tcBorders>
              <w:top w:val="nil"/>
              <w:left w:val="nil"/>
              <w:bottom w:val="single" w:color="000000" w:sz="4" w:space="0"/>
              <w:right w:val="single" w:color="auto" w:sz="4" w:space="0"/>
            </w:tcBorders>
            <w:vAlign w:val="center"/>
          </w:tcPr>
          <w:p w14:paraId="20465A48">
            <w:pPr>
              <w:widowControl/>
              <w:jc w:val="left"/>
              <w:rPr>
                <w:rFonts w:ascii="宋体" w:hAnsi="宋体"/>
                <w:sz w:val="20"/>
                <w:szCs w:val="20"/>
              </w:rPr>
            </w:pPr>
          </w:p>
        </w:tc>
        <w:tc>
          <w:tcPr>
            <w:tcW w:w="1040" w:type="dxa"/>
            <w:tcBorders>
              <w:top w:val="nil"/>
              <w:left w:val="nil"/>
              <w:bottom w:val="single" w:color="auto" w:sz="4" w:space="0"/>
              <w:right w:val="single" w:color="auto" w:sz="4" w:space="0"/>
            </w:tcBorders>
            <w:vAlign w:val="center"/>
          </w:tcPr>
          <w:p w14:paraId="6B7E275B">
            <w:pPr>
              <w:rPr>
                <w:rFonts w:ascii="宋体" w:hAnsi="宋体"/>
                <w:sz w:val="20"/>
                <w:szCs w:val="20"/>
              </w:rPr>
            </w:pPr>
          </w:p>
        </w:tc>
        <w:tc>
          <w:tcPr>
            <w:tcW w:w="929" w:type="dxa"/>
            <w:tcBorders>
              <w:top w:val="nil"/>
              <w:left w:val="nil"/>
              <w:bottom w:val="single" w:color="auto" w:sz="4" w:space="0"/>
              <w:right w:val="single" w:color="auto" w:sz="4" w:space="0"/>
            </w:tcBorders>
            <w:vAlign w:val="center"/>
          </w:tcPr>
          <w:p w14:paraId="7F6392C5">
            <w:pPr>
              <w:rPr>
                <w:rFonts w:ascii="宋体" w:hAnsi="宋体"/>
                <w:sz w:val="20"/>
                <w:szCs w:val="20"/>
              </w:rPr>
            </w:pPr>
            <w:r>
              <w:rPr>
                <w:rFonts w:hint="eastAsia" w:ascii="宋体" w:hAnsi="宋体"/>
                <w:sz w:val="20"/>
                <w:szCs w:val="20"/>
              </w:rPr>
              <w:t>　</w:t>
            </w:r>
          </w:p>
        </w:tc>
        <w:tc>
          <w:tcPr>
            <w:tcW w:w="813" w:type="dxa"/>
            <w:tcBorders>
              <w:top w:val="nil"/>
              <w:left w:val="nil"/>
              <w:bottom w:val="single" w:color="auto" w:sz="4" w:space="0"/>
              <w:right w:val="single" w:color="auto" w:sz="4" w:space="0"/>
            </w:tcBorders>
            <w:vAlign w:val="center"/>
          </w:tcPr>
          <w:p w14:paraId="61E66C53">
            <w:pPr>
              <w:rPr>
                <w:rFonts w:ascii="宋体" w:hAnsi="宋体"/>
                <w:sz w:val="20"/>
                <w:szCs w:val="20"/>
              </w:rPr>
            </w:pPr>
            <w:r>
              <w:rPr>
                <w:rFonts w:hint="eastAsia" w:ascii="宋体" w:hAnsi="宋体"/>
                <w:sz w:val="20"/>
                <w:szCs w:val="20"/>
              </w:rPr>
              <w:t>　</w:t>
            </w:r>
          </w:p>
        </w:tc>
      </w:tr>
      <w:tr w14:paraId="2A2BECD5">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5DE14607">
            <w:pPr>
              <w:widowControl/>
              <w:jc w:val="left"/>
              <w:rPr>
                <w:rFonts w:ascii="宋体" w:hAnsi="宋体"/>
                <w:sz w:val="20"/>
                <w:szCs w:val="20"/>
              </w:rPr>
            </w:pPr>
          </w:p>
        </w:tc>
        <w:tc>
          <w:tcPr>
            <w:tcW w:w="820" w:type="dxa"/>
            <w:vMerge w:val="continue"/>
            <w:tcBorders>
              <w:top w:val="nil"/>
              <w:left w:val="nil"/>
              <w:bottom w:val="single" w:color="auto" w:sz="4" w:space="0"/>
              <w:right w:val="single" w:color="auto" w:sz="4" w:space="0"/>
            </w:tcBorders>
            <w:vAlign w:val="center"/>
          </w:tcPr>
          <w:p w14:paraId="1FCCD11C">
            <w:pPr>
              <w:widowControl/>
              <w:jc w:val="left"/>
              <w:rPr>
                <w:rFonts w:ascii="宋体" w:hAnsi="宋体"/>
                <w:sz w:val="20"/>
                <w:szCs w:val="20"/>
              </w:rPr>
            </w:pPr>
          </w:p>
        </w:tc>
        <w:tc>
          <w:tcPr>
            <w:tcW w:w="940" w:type="dxa"/>
            <w:vMerge w:val="restart"/>
            <w:tcBorders>
              <w:top w:val="nil"/>
              <w:left w:val="nil"/>
              <w:bottom w:val="single" w:color="000000" w:sz="4" w:space="0"/>
              <w:right w:val="single" w:color="auto" w:sz="4" w:space="0"/>
            </w:tcBorders>
            <w:vAlign w:val="center"/>
          </w:tcPr>
          <w:p w14:paraId="5308EDB1">
            <w:pPr>
              <w:jc w:val="center"/>
              <w:rPr>
                <w:rFonts w:ascii="宋体" w:hAnsi="宋体"/>
                <w:sz w:val="20"/>
                <w:szCs w:val="20"/>
              </w:rPr>
            </w:pPr>
            <w:r>
              <w:rPr>
                <w:rFonts w:hint="eastAsia" w:ascii="宋体" w:hAnsi="宋体"/>
                <w:sz w:val="20"/>
                <w:szCs w:val="20"/>
              </w:rPr>
              <w:t>社会效益指标</w:t>
            </w:r>
          </w:p>
        </w:tc>
        <w:tc>
          <w:tcPr>
            <w:tcW w:w="2000" w:type="dxa"/>
            <w:tcBorders>
              <w:top w:val="nil"/>
              <w:left w:val="nil"/>
              <w:bottom w:val="single" w:color="auto" w:sz="4" w:space="0"/>
              <w:right w:val="single" w:color="auto" w:sz="4" w:space="0"/>
            </w:tcBorders>
            <w:vAlign w:val="center"/>
          </w:tcPr>
          <w:p w14:paraId="4303EE75">
            <w:pPr>
              <w:rPr>
                <w:rFonts w:ascii="宋体" w:hAnsi="宋体"/>
                <w:sz w:val="20"/>
                <w:szCs w:val="20"/>
              </w:rPr>
            </w:pPr>
          </w:p>
        </w:tc>
        <w:tc>
          <w:tcPr>
            <w:tcW w:w="860" w:type="dxa"/>
            <w:tcBorders>
              <w:top w:val="nil"/>
              <w:left w:val="nil"/>
              <w:bottom w:val="single" w:color="auto" w:sz="4" w:space="0"/>
              <w:right w:val="single" w:color="auto" w:sz="4" w:space="0"/>
            </w:tcBorders>
            <w:vAlign w:val="center"/>
          </w:tcPr>
          <w:p w14:paraId="6E490630">
            <w:pPr>
              <w:rPr>
                <w:rFonts w:ascii="宋体" w:hAnsi="宋体"/>
                <w:sz w:val="20"/>
                <w:szCs w:val="20"/>
              </w:rPr>
            </w:pPr>
            <w:r>
              <w:rPr>
                <w:rFonts w:hint="eastAsia" w:ascii="宋体" w:hAnsi="宋体"/>
                <w:sz w:val="20"/>
                <w:szCs w:val="20"/>
              </w:rPr>
              <w:t>　</w:t>
            </w:r>
          </w:p>
        </w:tc>
        <w:tc>
          <w:tcPr>
            <w:tcW w:w="791" w:type="dxa"/>
            <w:tcBorders>
              <w:top w:val="nil"/>
              <w:left w:val="nil"/>
              <w:bottom w:val="single" w:color="auto" w:sz="4" w:space="0"/>
              <w:right w:val="single" w:color="auto" w:sz="4" w:space="0"/>
            </w:tcBorders>
            <w:vAlign w:val="center"/>
          </w:tcPr>
          <w:p w14:paraId="4975EAEE">
            <w:pPr>
              <w:rPr>
                <w:rFonts w:ascii="宋体" w:hAnsi="宋体"/>
                <w:sz w:val="20"/>
                <w:szCs w:val="20"/>
              </w:rPr>
            </w:pPr>
            <w:r>
              <w:rPr>
                <w:rFonts w:hint="eastAsia" w:ascii="宋体" w:hAnsi="宋体"/>
                <w:sz w:val="20"/>
                <w:szCs w:val="20"/>
              </w:rPr>
              <w:t>　</w:t>
            </w:r>
          </w:p>
        </w:tc>
        <w:tc>
          <w:tcPr>
            <w:tcW w:w="889" w:type="dxa"/>
            <w:vMerge w:val="restart"/>
            <w:tcBorders>
              <w:top w:val="nil"/>
              <w:left w:val="nil"/>
              <w:bottom w:val="single" w:color="000000" w:sz="4" w:space="0"/>
              <w:right w:val="single" w:color="auto" w:sz="4" w:space="0"/>
            </w:tcBorders>
            <w:vAlign w:val="center"/>
          </w:tcPr>
          <w:p w14:paraId="2B09F646">
            <w:pPr>
              <w:jc w:val="center"/>
              <w:rPr>
                <w:sz w:val="20"/>
                <w:szCs w:val="20"/>
              </w:rPr>
            </w:pPr>
            <w:r>
              <w:rPr>
                <w:rFonts w:hint="eastAsia" w:ascii="宋体" w:hAnsi="宋体"/>
                <w:sz w:val="20"/>
                <w:szCs w:val="20"/>
              </w:rPr>
              <w:t>社会效</w:t>
            </w:r>
          </w:p>
          <w:p w14:paraId="115109C1">
            <w:pPr>
              <w:jc w:val="center"/>
              <w:rPr>
                <w:rFonts w:ascii="宋体" w:hAnsi="宋体"/>
                <w:sz w:val="20"/>
                <w:szCs w:val="20"/>
              </w:rPr>
            </w:pPr>
            <w:r>
              <w:rPr>
                <w:rFonts w:hint="eastAsia" w:ascii="宋体" w:hAnsi="宋体"/>
                <w:sz w:val="20"/>
                <w:szCs w:val="20"/>
              </w:rPr>
              <w:t>益指标</w:t>
            </w:r>
          </w:p>
        </w:tc>
        <w:tc>
          <w:tcPr>
            <w:tcW w:w="1040" w:type="dxa"/>
            <w:tcBorders>
              <w:top w:val="nil"/>
              <w:left w:val="nil"/>
              <w:bottom w:val="single" w:color="auto" w:sz="4" w:space="0"/>
              <w:right w:val="single" w:color="auto" w:sz="4" w:space="0"/>
            </w:tcBorders>
            <w:vAlign w:val="center"/>
          </w:tcPr>
          <w:p w14:paraId="4E247E0F">
            <w:pPr>
              <w:rPr>
                <w:rFonts w:ascii="宋体" w:hAnsi="宋体"/>
                <w:sz w:val="20"/>
                <w:szCs w:val="20"/>
              </w:rPr>
            </w:pPr>
          </w:p>
        </w:tc>
        <w:tc>
          <w:tcPr>
            <w:tcW w:w="929" w:type="dxa"/>
            <w:tcBorders>
              <w:top w:val="nil"/>
              <w:left w:val="nil"/>
              <w:bottom w:val="single" w:color="auto" w:sz="4" w:space="0"/>
              <w:right w:val="single" w:color="auto" w:sz="4" w:space="0"/>
            </w:tcBorders>
            <w:vAlign w:val="center"/>
          </w:tcPr>
          <w:p w14:paraId="74AEB51A">
            <w:pPr>
              <w:rPr>
                <w:rFonts w:ascii="宋体" w:hAnsi="宋体"/>
                <w:sz w:val="20"/>
                <w:szCs w:val="20"/>
              </w:rPr>
            </w:pPr>
            <w:r>
              <w:rPr>
                <w:rFonts w:hint="eastAsia" w:ascii="宋体" w:hAnsi="宋体"/>
                <w:sz w:val="20"/>
                <w:szCs w:val="20"/>
              </w:rPr>
              <w:t>　</w:t>
            </w:r>
          </w:p>
        </w:tc>
        <w:tc>
          <w:tcPr>
            <w:tcW w:w="813" w:type="dxa"/>
            <w:tcBorders>
              <w:top w:val="nil"/>
              <w:left w:val="nil"/>
              <w:bottom w:val="single" w:color="auto" w:sz="4" w:space="0"/>
              <w:right w:val="single" w:color="auto" w:sz="4" w:space="0"/>
            </w:tcBorders>
            <w:vAlign w:val="center"/>
          </w:tcPr>
          <w:p w14:paraId="1E9FA6EA">
            <w:pPr>
              <w:rPr>
                <w:rFonts w:ascii="宋体" w:hAnsi="宋体"/>
                <w:sz w:val="20"/>
                <w:szCs w:val="20"/>
              </w:rPr>
            </w:pPr>
            <w:r>
              <w:rPr>
                <w:rFonts w:hint="eastAsia" w:ascii="宋体" w:hAnsi="宋体"/>
                <w:sz w:val="20"/>
                <w:szCs w:val="20"/>
              </w:rPr>
              <w:t>　</w:t>
            </w:r>
          </w:p>
        </w:tc>
      </w:tr>
      <w:tr w14:paraId="138B1B01">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1B2346B5">
            <w:pPr>
              <w:widowControl/>
              <w:jc w:val="left"/>
              <w:rPr>
                <w:rFonts w:ascii="宋体" w:hAnsi="宋体"/>
                <w:sz w:val="20"/>
                <w:szCs w:val="20"/>
              </w:rPr>
            </w:pPr>
          </w:p>
        </w:tc>
        <w:tc>
          <w:tcPr>
            <w:tcW w:w="820" w:type="dxa"/>
            <w:vMerge w:val="continue"/>
            <w:tcBorders>
              <w:top w:val="nil"/>
              <w:left w:val="nil"/>
              <w:bottom w:val="single" w:color="auto" w:sz="4" w:space="0"/>
              <w:right w:val="single" w:color="auto" w:sz="4" w:space="0"/>
            </w:tcBorders>
            <w:vAlign w:val="center"/>
          </w:tcPr>
          <w:p w14:paraId="1A09D4D9">
            <w:pPr>
              <w:widowControl/>
              <w:jc w:val="left"/>
              <w:rPr>
                <w:rFonts w:ascii="宋体" w:hAnsi="宋体"/>
                <w:sz w:val="20"/>
                <w:szCs w:val="20"/>
              </w:rPr>
            </w:pPr>
          </w:p>
        </w:tc>
        <w:tc>
          <w:tcPr>
            <w:tcW w:w="940" w:type="dxa"/>
            <w:vMerge w:val="continue"/>
            <w:tcBorders>
              <w:top w:val="nil"/>
              <w:left w:val="nil"/>
              <w:bottom w:val="single" w:color="000000" w:sz="4" w:space="0"/>
              <w:right w:val="single" w:color="auto" w:sz="4" w:space="0"/>
            </w:tcBorders>
            <w:vAlign w:val="center"/>
          </w:tcPr>
          <w:p w14:paraId="119C7DFE">
            <w:pPr>
              <w:widowControl/>
              <w:jc w:val="left"/>
              <w:rPr>
                <w:rFonts w:ascii="宋体" w:hAnsi="宋体"/>
                <w:sz w:val="20"/>
                <w:szCs w:val="20"/>
              </w:rPr>
            </w:pPr>
          </w:p>
        </w:tc>
        <w:tc>
          <w:tcPr>
            <w:tcW w:w="2000" w:type="dxa"/>
            <w:tcBorders>
              <w:top w:val="nil"/>
              <w:left w:val="nil"/>
              <w:bottom w:val="single" w:color="auto" w:sz="4" w:space="0"/>
              <w:right w:val="single" w:color="auto" w:sz="4" w:space="0"/>
            </w:tcBorders>
            <w:vAlign w:val="center"/>
          </w:tcPr>
          <w:p w14:paraId="356172C1">
            <w:pPr>
              <w:rPr>
                <w:rFonts w:ascii="宋体" w:hAnsi="宋体"/>
                <w:sz w:val="20"/>
                <w:szCs w:val="20"/>
              </w:rPr>
            </w:pPr>
          </w:p>
        </w:tc>
        <w:tc>
          <w:tcPr>
            <w:tcW w:w="860" w:type="dxa"/>
            <w:tcBorders>
              <w:top w:val="nil"/>
              <w:left w:val="nil"/>
              <w:bottom w:val="single" w:color="auto" w:sz="4" w:space="0"/>
              <w:right w:val="single" w:color="auto" w:sz="4" w:space="0"/>
            </w:tcBorders>
            <w:vAlign w:val="center"/>
          </w:tcPr>
          <w:p w14:paraId="0673DB49">
            <w:pPr>
              <w:rPr>
                <w:rFonts w:ascii="宋体" w:hAnsi="宋体"/>
                <w:sz w:val="20"/>
                <w:szCs w:val="20"/>
              </w:rPr>
            </w:pPr>
            <w:r>
              <w:rPr>
                <w:rFonts w:hint="eastAsia" w:ascii="宋体" w:hAnsi="宋体"/>
                <w:sz w:val="20"/>
                <w:szCs w:val="20"/>
              </w:rPr>
              <w:t>　</w:t>
            </w:r>
          </w:p>
        </w:tc>
        <w:tc>
          <w:tcPr>
            <w:tcW w:w="791" w:type="dxa"/>
            <w:tcBorders>
              <w:top w:val="nil"/>
              <w:left w:val="nil"/>
              <w:bottom w:val="single" w:color="auto" w:sz="4" w:space="0"/>
              <w:right w:val="single" w:color="auto" w:sz="4" w:space="0"/>
            </w:tcBorders>
            <w:vAlign w:val="center"/>
          </w:tcPr>
          <w:p w14:paraId="510C1445">
            <w:pPr>
              <w:rPr>
                <w:rFonts w:ascii="宋体" w:hAnsi="宋体"/>
                <w:sz w:val="20"/>
                <w:szCs w:val="20"/>
              </w:rPr>
            </w:pPr>
            <w:r>
              <w:rPr>
                <w:rFonts w:hint="eastAsia" w:ascii="宋体" w:hAnsi="宋体"/>
                <w:sz w:val="20"/>
                <w:szCs w:val="20"/>
              </w:rPr>
              <w:t>　</w:t>
            </w:r>
          </w:p>
        </w:tc>
        <w:tc>
          <w:tcPr>
            <w:tcW w:w="889" w:type="dxa"/>
            <w:vMerge w:val="continue"/>
            <w:tcBorders>
              <w:top w:val="nil"/>
              <w:left w:val="nil"/>
              <w:bottom w:val="single" w:color="000000" w:sz="4" w:space="0"/>
              <w:right w:val="single" w:color="auto" w:sz="4" w:space="0"/>
            </w:tcBorders>
            <w:vAlign w:val="center"/>
          </w:tcPr>
          <w:p w14:paraId="5D553042">
            <w:pPr>
              <w:widowControl/>
              <w:jc w:val="left"/>
              <w:rPr>
                <w:rFonts w:ascii="宋体" w:hAnsi="宋体"/>
                <w:sz w:val="20"/>
                <w:szCs w:val="20"/>
              </w:rPr>
            </w:pPr>
          </w:p>
        </w:tc>
        <w:tc>
          <w:tcPr>
            <w:tcW w:w="1040" w:type="dxa"/>
            <w:tcBorders>
              <w:top w:val="nil"/>
              <w:left w:val="nil"/>
              <w:bottom w:val="single" w:color="auto" w:sz="4" w:space="0"/>
              <w:right w:val="single" w:color="auto" w:sz="4" w:space="0"/>
            </w:tcBorders>
            <w:vAlign w:val="center"/>
          </w:tcPr>
          <w:p w14:paraId="7AB86EEB">
            <w:pPr>
              <w:rPr>
                <w:rFonts w:ascii="宋体" w:hAnsi="宋体"/>
                <w:sz w:val="20"/>
                <w:szCs w:val="20"/>
              </w:rPr>
            </w:pPr>
          </w:p>
        </w:tc>
        <w:tc>
          <w:tcPr>
            <w:tcW w:w="929" w:type="dxa"/>
            <w:tcBorders>
              <w:top w:val="nil"/>
              <w:left w:val="nil"/>
              <w:bottom w:val="single" w:color="auto" w:sz="4" w:space="0"/>
              <w:right w:val="single" w:color="auto" w:sz="4" w:space="0"/>
            </w:tcBorders>
            <w:vAlign w:val="center"/>
          </w:tcPr>
          <w:p w14:paraId="7EE19A06">
            <w:pPr>
              <w:rPr>
                <w:rFonts w:ascii="宋体" w:hAnsi="宋体"/>
                <w:sz w:val="20"/>
                <w:szCs w:val="20"/>
              </w:rPr>
            </w:pPr>
            <w:r>
              <w:rPr>
                <w:rFonts w:hint="eastAsia" w:ascii="宋体" w:hAnsi="宋体"/>
                <w:sz w:val="20"/>
                <w:szCs w:val="20"/>
              </w:rPr>
              <w:t>　</w:t>
            </w:r>
          </w:p>
        </w:tc>
        <w:tc>
          <w:tcPr>
            <w:tcW w:w="813" w:type="dxa"/>
            <w:tcBorders>
              <w:top w:val="nil"/>
              <w:left w:val="nil"/>
              <w:bottom w:val="single" w:color="auto" w:sz="4" w:space="0"/>
              <w:right w:val="single" w:color="auto" w:sz="4" w:space="0"/>
            </w:tcBorders>
            <w:vAlign w:val="center"/>
          </w:tcPr>
          <w:p w14:paraId="7F27F813">
            <w:pPr>
              <w:rPr>
                <w:rFonts w:ascii="宋体" w:hAnsi="宋体"/>
                <w:sz w:val="20"/>
                <w:szCs w:val="20"/>
              </w:rPr>
            </w:pPr>
            <w:r>
              <w:rPr>
                <w:rFonts w:hint="eastAsia" w:ascii="宋体" w:hAnsi="宋体"/>
                <w:sz w:val="20"/>
                <w:szCs w:val="20"/>
              </w:rPr>
              <w:t>　</w:t>
            </w:r>
          </w:p>
        </w:tc>
      </w:tr>
      <w:tr w14:paraId="6E2A329C">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1C37D2AB">
            <w:pPr>
              <w:widowControl/>
              <w:jc w:val="left"/>
              <w:rPr>
                <w:rFonts w:ascii="宋体" w:hAnsi="宋体"/>
                <w:sz w:val="20"/>
                <w:szCs w:val="20"/>
              </w:rPr>
            </w:pPr>
          </w:p>
        </w:tc>
        <w:tc>
          <w:tcPr>
            <w:tcW w:w="820" w:type="dxa"/>
            <w:vMerge w:val="continue"/>
            <w:tcBorders>
              <w:top w:val="nil"/>
              <w:left w:val="nil"/>
              <w:bottom w:val="single" w:color="auto" w:sz="4" w:space="0"/>
              <w:right w:val="single" w:color="auto" w:sz="4" w:space="0"/>
            </w:tcBorders>
            <w:vAlign w:val="center"/>
          </w:tcPr>
          <w:p w14:paraId="2116B784">
            <w:pPr>
              <w:widowControl/>
              <w:jc w:val="left"/>
              <w:rPr>
                <w:rFonts w:ascii="宋体" w:hAnsi="宋体"/>
                <w:sz w:val="20"/>
                <w:szCs w:val="20"/>
              </w:rPr>
            </w:pPr>
          </w:p>
        </w:tc>
        <w:tc>
          <w:tcPr>
            <w:tcW w:w="940" w:type="dxa"/>
            <w:vMerge w:val="restart"/>
            <w:tcBorders>
              <w:top w:val="nil"/>
              <w:left w:val="nil"/>
              <w:bottom w:val="single" w:color="000000" w:sz="4" w:space="0"/>
              <w:right w:val="single" w:color="auto" w:sz="4" w:space="0"/>
            </w:tcBorders>
            <w:vAlign w:val="center"/>
          </w:tcPr>
          <w:p w14:paraId="4B4D7555">
            <w:pPr>
              <w:jc w:val="center"/>
              <w:rPr>
                <w:rFonts w:ascii="宋体" w:hAnsi="宋体"/>
                <w:sz w:val="20"/>
                <w:szCs w:val="20"/>
              </w:rPr>
            </w:pPr>
            <w:r>
              <w:rPr>
                <w:rFonts w:hint="eastAsia" w:ascii="宋体" w:hAnsi="宋体"/>
                <w:sz w:val="20"/>
                <w:szCs w:val="20"/>
              </w:rPr>
              <w:t>生态效益指标</w:t>
            </w:r>
          </w:p>
        </w:tc>
        <w:tc>
          <w:tcPr>
            <w:tcW w:w="2000" w:type="dxa"/>
            <w:tcBorders>
              <w:top w:val="nil"/>
              <w:left w:val="nil"/>
              <w:bottom w:val="single" w:color="auto" w:sz="4" w:space="0"/>
              <w:right w:val="single" w:color="auto" w:sz="4" w:space="0"/>
            </w:tcBorders>
            <w:vAlign w:val="center"/>
          </w:tcPr>
          <w:p w14:paraId="448F8A55">
            <w:pPr>
              <w:rPr>
                <w:rFonts w:ascii="宋体" w:hAnsi="宋体"/>
                <w:sz w:val="20"/>
                <w:szCs w:val="20"/>
              </w:rPr>
            </w:pPr>
          </w:p>
        </w:tc>
        <w:tc>
          <w:tcPr>
            <w:tcW w:w="860" w:type="dxa"/>
            <w:tcBorders>
              <w:top w:val="nil"/>
              <w:left w:val="nil"/>
              <w:bottom w:val="single" w:color="auto" w:sz="4" w:space="0"/>
              <w:right w:val="single" w:color="auto" w:sz="4" w:space="0"/>
            </w:tcBorders>
            <w:vAlign w:val="center"/>
          </w:tcPr>
          <w:p w14:paraId="430D0DE0">
            <w:pPr>
              <w:rPr>
                <w:rFonts w:ascii="宋体" w:hAnsi="宋体"/>
                <w:sz w:val="20"/>
                <w:szCs w:val="20"/>
              </w:rPr>
            </w:pPr>
            <w:r>
              <w:rPr>
                <w:rFonts w:hint="eastAsia" w:ascii="宋体" w:hAnsi="宋体"/>
                <w:sz w:val="20"/>
                <w:szCs w:val="20"/>
              </w:rPr>
              <w:t>　</w:t>
            </w:r>
          </w:p>
        </w:tc>
        <w:tc>
          <w:tcPr>
            <w:tcW w:w="791" w:type="dxa"/>
            <w:tcBorders>
              <w:top w:val="nil"/>
              <w:left w:val="nil"/>
              <w:bottom w:val="single" w:color="auto" w:sz="4" w:space="0"/>
              <w:right w:val="single" w:color="auto" w:sz="4" w:space="0"/>
            </w:tcBorders>
            <w:vAlign w:val="center"/>
          </w:tcPr>
          <w:p w14:paraId="55291D8D">
            <w:pPr>
              <w:rPr>
                <w:rFonts w:ascii="宋体" w:hAnsi="宋体"/>
                <w:sz w:val="20"/>
                <w:szCs w:val="20"/>
              </w:rPr>
            </w:pPr>
            <w:r>
              <w:rPr>
                <w:rFonts w:hint="eastAsia" w:ascii="宋体" w:hAnsi="宋体"/>
                <w:sz w:val="20"/>
                <w:szCs w:val="20"/>
              </w:rPr>
              <w:t>　</w:t>
            </w:r>
          </w:p>
        </w:tc>
        <w:tc>
          <w:tcPr>
            <w:tcW w:w="889" w:type="dxa"/>
            <w:vMerge w:val="restart"/>
            <w:tcBorders>
              <w:top w:val="nil"/>
              <w:left w:val="nil"/>
              <w:bottom w:val="single" w:color="000000" w:sz="4" w:space="0"/>
              <w:right w:val="single" w:color="auto" w:sz="4" w:space="0"/>
            </w:tcBorders>
            <w:vAlign w:val="center"/>
          </w:tcPr>
          <w:p w14:paraId="670B5482">
            <w:pPr>
              <w:jc w:val="center"/>
              <w:rPr>
                <w:rFonts w:ascii="宋体" w:hAnsi="宋体"/>
                <w:sz w:val="20"/>
                <w:szCs w:val="20"/>
              </w:rPr>
            </w:pPr>
            <w:r>
              <w:rPr>
                <w:rFonts w:hint="eastAsia" w:ascii="宋体" w:hAnsi="宋体"/>
                <w:sz w:val="20"/>
                <w:szCs w:val="20"/>
              </w:rPr>
              <w:t>生态效益指标</w:t>
            </w:r>
          </w:p>
        </w:tc>
        <w:tc>
          <w:tcPr>
            <w:tcW w:w="1040" w:type="dxa"/>
            <w:tcBorders>
              <w:top w:val="nil"/>
              <w:left w:val="nil"/>
              <w:bottom w:val="single" w:color="auto" w:sz="4" w:space="0"/>
              <w:right w:val="single" w:color="auto" w:sz="4" w:space="0"/>
            </w:tcBorders>
            <w:vAlign w:val="center"/>
          </w:tcPr>
          <w:p w14:paraId="48B892D1">
            <w:pPr>
              <w:rPr>
                <w:rFonts w:ascii="宋体" w:hAnsi="宋体"/>
                <w:sz w:val="20"/>
                <w:szCs w:val="20"/>
              </w:rPr>
            </w:pPr>
          </w:p>
        </w:tc>
        <w:tc>
          <w:tcPr>
            <w:tcW w:w="929" w:type="dxa"/>
            <w:tcBorders>
              <w:top w:val="nil"/>
              <w:left w:val="nil"/>
              <w:bottom w:val="single" w:color="auto" w:sz="4" w:space="0"/>
              <w:right w:val="single" w:color="auto" w:sz="4" w:space="0"/>
            </w:tcBorders>
            <w:vAlign w:val="center"/>
          </w:tcPr>
          <w:p w14:paraId="298A22A4">
            <w:pPr>
              <w:rPr>
                <w:rFonts w:ascii="宋体" w:hAnsi="宋体"/>
                <w:sz w:val="20"/>
                <w:szCs w:val="20"/>
              </w:rPr>
            </w:pPr>
            <w:r>
              <w:rPr>
                <w:rFonts w:hint="eastAsia" w:ascii="宋体" w:hAnsi="宋体"/>
                <w:sz w:val="20"/>
                <w:szCs w:val="20"/>
              </w:rPr>
              <w:t>　</w:t>
            </w:r>
          </w:p>
        </w:tc>
        <w:tc>
          <w:tcPr>
            <w:tcW w:w="813" w:type="dxa"/>
            <w:tcBorders>
              <w:top w:val="nil"/>
              <w:left w:val="nil"/>
              <w:bottom w:val="single" w:color="auto" w:sz="4" w:space="0"/>
              <w:right w:val="single" w:color="auto" w:sz="4" w:space="0"/>
            </w:tcBorders>
            <w:vAlign w:val="center"/>
          </w:tcPr>
          <w:p w14:paraId="266C44A2">
            <w:pPr>
              <w:rPr>
                <w:rFonts w:ascii="宋体" w:hAnsi="宋体"/>
                <w:sz w:val="20"/>
                <w:szCs w:val="20"/>
              </w:rPr>
            </w:pPr>
            <w:r>
              <w:rPr>
                <w:rFonts w:hint="eastAsia" w:ascii="宋体" w:hAnsi="宋体"/>
                <w:sz w:val="20"/>
                <w:szCs w:val="20"/>
              </w:rPr>
              <w:t>　</w:t>
            </w:r>
          </w:p>
        </w:tc>
      </w:tr>
      <w:tr w14:paraId="50CB10AB">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6006B60B">
            <w:pPr>
              <w:widowControl/>
              <w:jc w:val="left"/>
              <w:rPr>
                <w:rFonts w:ascii="宋体" w:hAnsi="宋体"/>
                <w:sz w:val="20"/>
                <w:szCs w:val="20"/>
              </w:rPr>
            </w:pPr>
          </w:p>
        </w:tc>
        <w:tc>
          <w:tcPr>
            <w:tcW w:w="820" w:type="dxa"/>
            <w:vMerge w:val="continue"/>
            <w:tcBorders>
              <w:top w:val="nil"/>
              <w:left w:val="nil"/>
              <w:bottom w:val="single" w:color="auto" w:sz="4" w:space="0"/>
              <w:right w:val="single" w:color="auto" w:sz="4" w:space="0"/>
            </w:tcBorders>
            <w:vAlign w:val="center"/>
          </w:tcPr>
          <w:p w14:paraId="0394D167">
            <w:pPr>
              <w:widowControl/>
              <w:jc w:val="left"/>
              <w:rPr>
                <w:rFonts w:ascii="宋体" w:hAnsi="宋体"/>
                <w:sz w:val="20"/>
                <w:szCs w:val="20"/>
              </w:rPr>
            </w:pPr>
          </w:p>
        </w:tc>
        <w:tc>
          <w:tcPr>
            <w:tcW w:w="940" w:type="dxa"/>
            <w:vMerge w:val="continue"/>
            <w:tcBorders>
              <w:top w:val="nil"/>
              <w:left w:val="nil"/>
              <w:bottom w:val="single" w:color="000000" w:sz="4" w:space="0"/>
              <w:right w:val="single" w:color="auto" w:sz="4" w:space="0"/>
            </w:tcBorders>
            <w:vAlign w:val="center"/>
          </w:tcPr>
          <w:p w14:paraId="7320B56E">
            <w:pPr>
              <w:widowControl/>
              <w:jc w:val="left"/>
              <w:rPr>
                <w:rFonts w:ascii="宋体" w:hAnsi="宋体"/>
                <w:sz w:val="20"/>
                <w:szCs w:val="20"/>
              </w:rPr>
            </w:pPr>
          </w:p>
        </w:tc>
        <w:tc>
          <w:tcPr>
            <w:tcW w:w="2000" w:type="dxa"/>
            <w:tcBorders>
              <w:top w:val="nil"/>
              <w:left w:val="nil"/>
              <w:bottom w:val="single" w:color="auto" w:sz="4" w:space="0"/>
              <w:right w:val="single" w:color="auto" w:sz="4" w:space="0"/>
            </w:tcBorders>
            <w:vAlign w:val="center"/>
          </w:tcPr>
          <w:p w14:paraId="6C8AADE9">
            <w:pPr>
              <w:rPr>
                <w:rFonts w:ascii="宋体" w:hAnsi="宋体"/>
                <w:sz w:val="20"/>
                <w:szCs w:val="20"/>
              </w:rPr>
            </w:pPr>
          </w:p>
        </w:tc>
        <w:tc>
          <w:tcPr>
            <w:tcW w:w="860" w:type="dxa"/>
            <w:tcBorders>
              <w:top w:val="nil"/>
              <w:left w:val="nil"/>
              <w:bottom w:val="single" w:color="auto" w:sz="4" w:space="0"/>
              <w:right w:val="single" w:color="auto" w:sz="4" w:space="0"/>
            </w:tcBorders>
            <w:vAlign w:val="center"/>
          </w:tcPr>
          <w:p w14:paraId="67DCA775">
            <w:pPr>
              <w:rPr>
                <w:rFonts w:ascii="宋体" w:hAnsi="宋体"/>
                <w:sz w:val="20"/>
                <w:szCs w:val="20"/>
              </w:rPr>
            </w:pPr>
            <w:r>
              <w:rPr>
                <w:rFonts w:hint="eastAsia" w:ascii="宋体" w:hAnsi="宋体"/>
                <w:sz w:val="20"/>
                <w:szCs w:val="20"/>
              </w:rPr>
              <w:t>　</w:t>
            </w:r>
          </w:p>
        </w:tc>
        <w:tc>
          <w:tcPr>
            <w:tcW w:w="791" w:type="dxa"/>
            <w:tcBorders>
              <w:top w:val="nil"/>
              <w:left w:val="nil"/>
              <w:bottom w:val="single" w:color="auto" w:sz="4" w:space="0"/>
              <w:right w:val="single" w:color="auto" w:sz="4" w:space="0"/>
            </w:tcBorders>
            <w:vAlign w:val="center"/>
          </w:tcPr>
          <w:p w14:paraId="0C08E3D3">
            <w:pPr>
              <w:rPr>
                <w:rFonts w:ascii="宋体" w:hAnsi="宋体"/>
                <w:sz w:val="20"/>
                <w:szCs w:val="20"/>
              </w:rPr>
            </w:pPr>
            <w:r>
              <w:rPr>
                <w:rFonts w:hint="eastAsia" w:ascii="宋体" w:hAnsi="宋体"/>
                <w:sz w:val="20"/>
                <w:szCs w:val="20"/>
              </w:rPr>
              <w:t>　</w:t>
            </w:r>
          </w:p>
        </w:tc>
        <w:tc>
          <w:tcPr>
            <w:tcW w:w="889" w:type="dxa"/>
            <w:vMerge w:val="continue"/>
            <w:tcBorders>
              <w:top w:val="nil"/>
              <w:left w:val="nil"/>
              <w:bottom w:val="single" w:color="000000" w:sz="4" w:space="0"/>
              <w:right w:val="single" w:color="auto" w:sz="4" w:space="0"/>
            </w:tcBorders>
            <w:vAlign w:val="center"/>
          </w:tcPr>
          <w:p w14:paraId="29780BDF">
            <w:pPr>
              <w:widowControl/>
              <w:jc w:val="left"/>
              <w:rPr>
                <w:rFonts w:ascii="宋体" w:hAnsi="宋体"/>
                <w:sz w:val="20"/>
                <w:szCs w:val="20"/>
              </w:rPr>
            </w:pPr>
          </w:p>
        </w:tc>
        <w:tc>
          <w:tcPr>
            <w:tcW w:w="1040" w:type="dxa"/>
            <w:tcBorders>
              <w:top w:val="nil"/>
              <w:left w:val="nil"/>
              <w:bottom w:val="single" w:color="auto" w:sz="4" w:space="0"/>
              <w:right w:val="single" w:color="auto" w:sz="4" w:space="0"/>
            </w:tcBorders>
            <w:vAlign w:val="center"/>
          </w:tcPr>
          <w:p w14:paraId="25C26346">
            <w:pPr>
              <w:rPr>
                <w:rFonts w:ascii="宋体" w:hAnsi="宋体"/>
                <w:sz w:val="20"/>
                <w:szCs w:val="20"/>
              </w:rPr>
            </w:pPr>
          </w:p>
        </w:tc>
        <w:tc>
          <w:tcPr>
            <w:tcW w:w="929" w:type="dxa"/>
            <w:tcBorders>
              <w:top w:val="nil"/>
              <w:left w:val="nil"/>
              <w:bottom w:val="single" w:color="auto" w:sz="4" w:space="0"/>
              <w:right w:val="single" w:color="auto" w:sz="4" w:space="0"/>
            </w:tcBorders>
            <w:vAlign w:val="center"/>
          </w:tcPr>
          <w:p w14:paraId="44257F93">
            <w:pPr>
              <w:rPr>
                <w:rFonts w:ascii="宋体" w:hAnsi="宋体"/>
                <w:sz w:val="20"/>
                <w:szCs w:val="20"/>
              </w:rPr>
            </w:pPr>
            <w:r>
              <w:rPr>
                <w:rFonts w:hint="eastAsia" w:ascii="宋体" w:hAnsi="宋体"/>
                <w:sz w:val="20"/>
                <w:szCs w:val="20"/>
              </w:rPr>
              <w:t>　</w:t>
            </w:r>
          </w:p>
        </w:tc>
        <w:tc>
          <w:tcPr>
            <w:tcW w:w="813" w:type="dxa"/>
            <w:tcBorders>
              <w:top w:val="nil"/>
              <w:left w:val="nil"/>
              <w:bottom w:val="single" w:color="auto" w:sz="4" w:space="0"/>
              <w:right w:val="single" w:color="auto" w:sz="4" w:space="0"/>
            </w:tcBorders>
            <w:vAlign w:val="center"/>
          </w:tcPr>
          <w:p w14:paraId="3E241691">
            <w:pPr>
              <w:rPr>
                <w:rFonts w:ascii="宋体" w:hAnsi="宋体"/>
                <w:sz w:val="20"/>
                <w:szCs w:val="20"/>
              </w:rPr>
            </w:pPr>
            <w:r>
              <w:rPr>
                <w:rFonts w:hint="eastAsia" w:ascii="宋体" w:hAnsi="宋体"/>
                <w:sz w:val="20"/>
                <w:szCs w:val="20"/>
              </w:rPr>
              <w:t>　</w:t>
            </w:r>
          </w:p>
        </w:tc>
      </w:tr>
      <w:tr w14:paraId="3E0A66B2">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60F13B7A">
            <w:pPr>
              <w:widowControl/>
              <w:jc w:val="left"/>
              <w:rPr>
                <w:rFonts w:ascii="宋体" w:hAnsi="宋体"/>
                <w:sz w:val="20"/>
                <w:szCs w:val="20"/>
              </w:rPr>
            </w:pPr>
          </w:p>
        </w:tc>
        <w:tc>
          <w:tcPr>
            <w:tcW w:w="820" w:type="dxa"/>
            <w:vMerge w:val="continue"/>
            <w:tcBorders>
              <w:top w:val="nil"/>
              <w:left w:val="nil"/>
              <w:bottom w:val="single" w:color="auto" w:sz="4" w:space="0"/>
              <w:right w:val="single" w:color="auto" w:sz="4" w:space="0"/>
            </w:tcBorders>
            <w:vAlign w:val="center"/>
          </w:tcPr>
          <w:p w14:paraId="496C0404">
            <w:pPr>
              <w:widowControl/>
              <w:jc w:val="left"/>
              <w:rPr>
                <w:rFonts w:ascii="宋体" w:hAnsi="宋体"/>
                <w:sz w:val="20"/>
                <w:szCs w:val="20"/>
              </w:rPr>
            </w:pPr>
          </w:p>
        </w:tc>
        <w:tc>
          <w:tcPr>
            <w:tcW w:w="940" w:type="dxa"/>
            <w:vMerge w:val="restart"/>
            <w:tcBorders>
              <w:top w:val="nil"/>
              <w:left w:val="nil"/>
              <w:bottom w:val="single" w:color="000000" w:sz="4" w:space="0"/>
              <w:right w:val="single" w:color="auto" w:sz="4" w:space="0"/>
            </w:tcBorders>
            <w:vAlign w:val="center"/>
          </w:tcPr>
          <w:p w14:paraId="4F466133">
            <w:pPr>
              <w:jc w:val="center"/>
              <w:rPr>
                <w:rFonts w:ascii="宋体" w:hAnsi="宋体"/>
                <w:sz w:val="20"/>
                <w:szCs w:val="20"/>
              </w:rPr>
            </w:pPr>
            <w:r>
              <w:rPr>
                <w:rFonts w:hint="eastAsia" w:ascii="宋体" w:hAnsi="宋体"/>
                <w:sz w:val="20"/>
                <w:szCs w:val="20"/>
              </w:rPr>
              <w:t>可持续影响</w:t>
            </w:r>
          </w:p>
          <w:p w14:paraId="71FCD14C">
            <w:pPr>
              <w:jc w:val="center"/>
              <w:rPr>
                <w:rFonts w:ascii="宋体" w:hAnsi="宋体"/>
                <w:sz w:val="20"/>
                <w:szCs w:val="20"/>
              </w:rPr>
            </w:pPr>
            <w:r>
              <w:rPr>
                <w:rFonts w:hint="eastAsia" w:ascii="宋体" w:hAnsi="宋体"/>
                <w:sz w:val="20"/>
                <w:szCs w:val="20"/>
              </w:rPr>
              <w:t>指标</w:t>
            </w:r>
          </w:p>
        </w:tc>
        <w:tc>
          <w:tcPr>
            <w:tcW w:w="2000" w:type="dxa"/>
            <w:tcBorders>
              <w:top w:val="nil"/>
              <w:left w:val="nil"/>
              <w:bottom w:val="single" w:color="auto" w:sz="4" w:space="0"/>
              <w:right w:val="single" w:color="auto" w:sz="4" w:space="0"/>
            </w:tcBorders>
            <w:vAlign w:val="center"/>
          </w:tcPr>
          <w:p w14:paraId="24EA564C">
            <w:pPr>
              <w:rPr>
                <w:rFonts w:ascii="宋体" w:hAnsi="宋体"/>
                <w:sz w:val="20"/>
                <w:szCs w:val="20"/>
              </w:rPr>
            </w:pPr>
          </w:p>
        </w:tc>
        <w:tc>
          <w:tcPr>
            <w:tcW w:w="860" w:type="dxa"/>
            <w:tcBorders>
              <w:top w:val="nil"/>
              <w:left w:val="nil"/>
              <w:bottom w:val="single" w:color="auto" w:sz="4" w:space="0"/>
              <w:right w:val="single" w:color="auto" w:sz="4" w:space="0"/>
            </w:tcBorders>
            <w:vAlign w:val="center"/>
          </w:tcPr>
          <w:p w14:paraId="660A4069">
            <w:pPr>
              <w:rPr>
                <w:rFonts w:ascii="宋体" w:hAnsi="宋体"/>
                <w:sz w:val="20"/>
                <w:szCs w:val="20"/>
              </w:rPr>
            </w:pPr>
            <w:r>
              <w:rPr>
                <w:rFonts w:hint="eastAsia" w:ascii="宋体" w:hAnsi="宋体"/>
                <w:sz w:val="20"/>
                <w:szCs w:val="20"/>
              </w:rPr>
              <w:t>　</w:t>
            </w:r>
          </w:p>
        </w:tc>
        <w:tc>
          <w:tcPr>
            <w:tcW w:w="791" w:type="dxa"/>
            <w:tcBorders>
              <w:top w:val="nil"/>
              <w:left w:val="nil"/>
              <w:bottom w:val="single" w:color="auto" w:sz="4" w:space="0"/>
              <w:right w:val="single" w:color="auto" w:sz="4" w:space="0"/>
            </w:tcBorders>
            <w:vAlign w:val="center"/>
          </w:tcPr>
          <w:p w14:paraId="589BA20C">
            <w:pPr>
              <w:rPr>
                <w:rFonts w:ascii="宋体" w:hAnsi="宋体"/>
                <w:sz w:val="20"/>
                <w:szCs w:val="20"/>
              </w:rPr>
            </w:pPr>
            <w:r>
              <w:rPr>
                <w:rFonts w:hint="eastAsia" w:ascii="宋体" w:hAnsi="宋体"/>
                <w:sz w:val="20"/>
                <w:szCs w:val="20"/>
              </w:rPr>
              <w:t>　</w:t>
            </w:r>
          </w:p>
        </w:tc>
        <w:tc>
          <w:tcPr>
            <w:tcW w:w="889" w:type="dxa"/>
            <w:vMerge w:val="restart"/>
            <w:tcBorders>
              <w:top w:val="nil"/>
              <w:left w:val="nil"/>
              <w:bottom w:val="single" w:color="000000" w:sz="4" w:space="0"/>
              <w:right w:val="single" w:color="auto" w:sz="4" w:space="0"/>
            </w:tcBorders>
            <w:vAlign w:val="center"/>
          </w:tcPr>
          <w:p w14:paraId="30296C58">
            <w:pPr>
              <w:jc w:val="center"/>
              <w:rPr>
                <w:sz w:val="20"/>
                <w:szCs w:val="20"/>
              </w:rPr>
            </w:pPr>
            <w:r>
              <w:rPr>
                <w:rFonts w:hint="eastAsia" w:ascii="宋体" w:hAnsi="宋体"/>
                <w:sz w:val="20"/>
                <w:szCs w:val="20"/>
              </w:rPr>
              <w:t>可持续</w:t>
            </w:r>
          </w:p>
          <w:p w14:paraId="4A00440E">
            <w:pPr>
              <w:jc w:val="center"/>
              <w:rPr>
                <w:sz w:val="20"/>
                <w:szCs w:val="20"/>
              </w:rPr>
            </w:pPr>
            <w:r>
              <w:rPr>
                <w:rFonts w:hint="eastAsia" w:ascii="宋体" w:hAnsi="宋体"/>
                <w:sz w:val="20"/>
                <w:szCs w:val="20"/>
              </w:rPr>
              <w:t>影响</w:t>
            </w:r>
          </w:p>
          <w:p w14:paraId="237A2E08">
            <w:pPr>
              <w:jc w:val="center"/>
              <w:rPr>
                <w:rFonts w:ascii="宋体" w:hAnsi="宋体"/>
                <w:sz w:val="20"/>
                <w:szCs w:val="20"/>
              </w:rPr>
            </w:pPr>
            <w:r>
              <w:rPr>
                <w:rFonts w:hint="eastAsia" w:ascii="宋体" w:hAnsi="宋体"/>
                <w:sz w:val="20"/>
                <w:szCs w:val="20"/>
              </w:rPr>
              <w:t>指标</w:t>
            </w:r>
          </w:p>
        </w:tc>
        <w:tc>
          <w:tcPr>
            <w:tcW w:w="1040" w:type="dxa"/>
            <w:tcBorders>
              <w:top w:val="nil"/>
              <w:left w:val="nil"/>
              <w:bottom w:val="single" w:color="auto" w:sz="4" w:space="0"/>
              <w:right w:val="single" w:color="auto" w:sz="4" w:space="0"/>
            </w:tcBorders>
            <w:vAlign w:val="center"/>
          </w:tcPr>
          <w:p w14:paraId="2CAF7AE9">
            <w:pPr>
              <w:rPr>
                <w:rFonts w:ascii="宋体" w:hAnsi="宋体"/>
                <w:sz w:val="20"/>
                <w:szCs w:val="20"/>
              </w:rPr>
            </w:pPr>
          </w:p>
        </w:tc>
        <w:tc>
          <w:tcPr>
            <w:tcW w:w="929" w:type="dxa"/>
            <w:tcBorders>
              <w:top w:val="nil"/>
              <w:left w:val="nil"/>
              <w:bottom w:val="single" w:color="auto" w:sz="4" w:space="0"/>
              <w:right w:val="single" w:color="auto" w:sz="4" w:space="0"/>
            </w:tcBorders>
            <w:vAlign w:val="center"/>
          </w:tcPr>
          <w:p w14:paraId="226C3CF8">
            <w:pPr>
              <w:rPr>
                <w:rFonts w:ascii="宋体" w:hAnsi="宋体"/>
                <w:sz w:val="20"/>
                <w:szCs w:val="20"/>
              </w:rPr>
            </w:pPr>
            <w:r>
              <w:rPr>
                <w:rFonts w:hint="eastAsia" w:ascii="宋体" w:hAnsi="宋体"/>
                <w:sz w:val="20"/>
                <w:szCs w:val="20"/>
              </w:rPr>
              <w:t>　</w:t>
            </w:r>
          </w:p>
        </w:tc>
        <w:tc>
          <w:tcPr>
            <w:tcW w:w="813" w:type="dxa"/>
            <w:tcBorders>
              <w:top w:val="nil"/>
              <w:left w:val="nil"/>
              <w:bottom w:val="single" w:color="auto" w:sz="4" w:space="0"/>
              <w:right w:val="single" w:color="auto" w:sz="4" w:space="0"/>
            </w:tcBorders>
            <w:vAlign w:val="center"/>
          </w:tcPr>
          <w:p w14:paraId="3BD5545F">
            <w:pPr>
              <w:rPr>
                <w:rFonts w:ascii="宋体" w:hAnsi="宋体"/>
                <w:sz w:val="20"/>
                <w:szCs w:val="20"/>
              </w:rPr>
            </w:pPr>
            <w:r>
              <w:rPr>
                <w:rFonts w:hint="eastAsia" w:ascii="宋体" w:hAnsi="宋体"/>
                <w:sz w:val="20"/>
                <w:szCs w:val="20"/>
              </w:rPr>
              <w:t>　</w:t>
            </w:r>
          </w:p>
        </w:tc>
      </w:tr>
      <w:tr w14:paraId="35854AAD">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11B569A3">
            <w:pPr>
              <w:widowControl/>
              <w:jc w:val="left"/>
              <w:rPr>
                <w:rFonts w:ascii="宋体" w:hAnsi="宋体"/>
                <w:sz w:val="20"/>
                <w:szCs w:val="20"/>
              </w:rPr>
            </w:pPr>
          </w:p>
        </w:tc>
        <w:tc>
          <w:tcPr>
            <w:tcW w:w="820" w:type="dxa"/>
            <w:vMerge w:val="continue"/>
            <w:tcBorders>
              <w:top w:val="nil"/>
              <w:left w:val="nil"/>
              <w:bottom w:val="single" w:color="auto" w:sz="4" w:space="0"/>
              <w:right w:val="single" w:color="auto" w:sz="4" w:space="0"/>
            </w:tcBorders>
            <w:vAlign w:val="center"/>
          </w:tcPr>
          <w:p w14:paraId="304B6D46">
            <w:pPr>
              <w:widowControl/>
              <w:jc w:val="left"/>
              <w:rPr>
                <w:rFonts w:ascii="宋体" w:hAnsi="宋体"/>
                <w:sz w:val="20"/>
                <w:szCs w:val="20"/>
              </w:rPr>
            </w:pPr>
          </w:p>
        </w:tc>
        <w:tc>
          <w:tcPr>
            <w:tcW w:w="940" w:type="dxa"/>
            <w:vMerge w:val="continue"/>
            <w:tcBorders>
              <w:top w:val="nil"/>
              <w:left w:val="nil"/>
              <w:bottom w:val="single" w:color="000000" w:sz="4" w:space="0"/>
              <w:right w:val="single" w:color="auto" w:sz="4" w:space="0"/>
            </w:tcBorders>
            <w:vAlign w:val="center"/>
          </w:tcPr>
          <w:p w14:paraId="52921823">
            <w:pPr>
              <w:widowControl/>
              <w:jc w:val="left"/>
              <w:rPr>
                <w:rFonts w:ascii="宋体" w:hAnsi="宋体"/>
                <w:sz w:val="20"/>
                <w:szCs w:val="20"/>
              </w:rPr>
            </w:pPr>
          </w:p>
        </w:tc>
        <w:tc>
          <w:tcPr>
            <w:tcW w:w="2000" w:type="dxa"/>
            <w:tcBorders>
              <w:top w:val="nil"/>
              <w:left w:val="nil"/>
              <w:bottom w:val="single" w:color="auto" w:sz="4" w:space="0"/>
              <w:right w:val="single" w:color="auto" w:sz="4" w:space="0"/>
            </w:tcBorders>
            <w:vAlign w:val="center"/>
          </w:tcPr>
          <w:p w14:paraId="014D68B0">
            <w:pPr>
              <w:rPr>
                <w:rFonts w:ascii="宋体" w:hAnsi="宋体"/>
                <w:sz w:val="20"/>
                <w:szCs w:val="20"/>
              </w:rPr>
            </w:pPr>
          </w:p>
        </w:tc>
        <w:tc>
          <w:tcPr>
            <w:tcW w:w="860" w:type="dxa"/>
            <w:tcBorders>
              <w:top w:val="nil"/>
              <w:left w:val="nil"/>
              <w:bottom w:val="single" w:color="auto" w:sz="4" w:space="0"/>
              <w:right w:val="single" w:color="auto" w:sz="4" w:space="0"/>
            </w:tcBorders>
            <w:vAlign w:val="center"/>
          </w:tcPr>
          <w:p w14:paraId="4919B243">
            <w:pPr>
              <w:rPr>
                <w:rFonts w:ascii="宋体" w:hAnsi="宋体"/>
                <w:sz w:val="20"/>
                <w:szCs w:val="20"/>
              </w:rPr>
            </w:pPr>
            <w:r>
              <w:rPr>
                <w:rFonts w:hint="eastAsia" w:ascii="宋体" w:hAnsi="宋体"/>
                <w:sz w:val="20"/>
                <w:szCs w:val="20"/>
              </w:rPr>
              <w:t>　</w:t>
            </w:r>
          </w:p>
        </w:tc>
        <w:tc>
          <w:tcPr>
            <w:tcW w:w="791" w:type="dxa"/>
            <w:tcBorders>
              <w:top w:val="nil"/>
              <w:left w:val="nil"/>
              <w:bottom w:val="single" w:color="auto" w:sz="4" w:space="0"/>
              <w:right w:val="single" w:color="auto" w:sz="4" w:space="0"/>
            </w:tcBorders>
            <w:vAlign w:val="center"/>
          </w:tcPr>
          <w:p w14:paraId="3FEF0C6E">
            <w:pPr>
              <w:rPr>
                <w:rFonts w:ascii="宋体" w:hAnsi="宋体"/>
                <w:sz w:val="20"/>
                <w:szCs w:val="20"/>
              </w:rPr>
            </w:pPr>
            <w:r>
              <w:rPr>
                <w:rFonts w:hint="eastAsia" w:ascii="宋体" w:hAnsi="宋体"/>
                <w:sz w:val="20"/>
                <w:szCs w:val="20"/>
              </w:rPr>
              <w:t>　</w:t>
            </w:r>
          </w:p>
        </w:tc>
        <w:tc>
          <w:tcPr>
            <w:tcW w:w="889" w:type="dxa"/>
            <w:vMerge w:val="continue"/>
            <w:tcBorders>
              <w:top w:val="nil"/>
              <w:left w:val="nil"/>
              <w:bottom w:val="single" w:color="000000" w:sz="4" w:space="0"/>
              <w:right w:val="single" w:color="auto" w:sz="4" w:space="0"/>
            </w:tcBorders>
            <w:vAlign w:val="center"/>
          </w:tcPr>
          <w:p w14:paraId="1ED96B02">
            <w:pPr>
              <w:widowControl/>
              <w:jc w:val="left"/>
              <w:rPr>
                <w:rFonts w:ascii="宋体" w:hAnsi="宋体"/>
                <w:sz w:val="20"/>
                <w:szCs w:val="20"/>
              </w:rPr>
            </w:pPr>
          </w:p>
        </w:tc>
        <w:tc>
          <w:tcPr>
            <w:tcW w:w="1040" w:type="dxa"/>
            <w:tcBorders>
              <w:top w:val="nil"/>
              <w:left w:val="nil"/>
              <w:bottom w:val="single" w:color="auto" w:sz="4" w:space="0"/>
              <w:right w:val="single" w:color="auto" w:sz="4" w:space="0"/>
            </w:tcBorders>
            <w:vAlign w:val="center"/>
          </w:tcPr>
          <w:p w14:paraId="44CE327C">
            <w:pPr>
              <w:rPr>
                <w:rFonts w:ascii="宋体" w:hAnsi="宋体"/>
                <w:sz w:val="20"/>
                <w:szCs w:val="20"/>
              </w:rPr>
            </w:pPr>
          </w:p>
        </w:tc>
        <w:tc>
          <w:tcPr>
            <w:tcW w:w="929" w:type="dxa"/>
            <w:tcBorders>
              <w:top w:val="nil"/>
              <w:left w:val="nil"/>
              <w:bottom w:val="single" w:color="auto" w:sz="4" w:space="0"/>
              <w:right w:val="single" w:color="auto" w:sz="4" w:space="0"/>
            </w:tcBorders>
            <w:vAlign w:val="center"/>
          </w:tcPr>
          <w:p w14:paraId="6270BE1F">
            <w:pPr>
              <w:rPr>
                <w:rFonts w:ascii="宋体" w:hAnsi="宋体"/>
                <w:sz w:val="20"/>
                <w:szCs w:val="20"/>
              </w:rPr>
            </w:pPr>
            <w:r>
              <w:rPr>
                <w:rFonts w:hint="eastAsia" w:ascii="宋体" w:hAnsi="宋体"/>
                <w:sz w:val="20"/>
                <w:szCs w:val="20"/>
              </w:rPr>
              <w:t>　</w:t>
            </w:r>
          </w:p>
        </w:tc>
        <w:tc>
          <w:tcPr>
            <w:tcW w:w="813" w:type="dxa"/>
            <w:tcBorders>
              <w:top w:val="nil"/>
              <w:left w:val="nil"/>
              <w:bottom w:val="single" w:color="auto" w:sz="4" w:space="0"/>
              <w:right w:val="single" w:color="auto" w:sz="4" w:space="0"/>
            </w:tcBorders>
            <w:vAlign w:val="center"/>
          </w:tcPr>
          <w:p w14:paraId="0F615BA3">
            <w:pPr>
              <w:rPr>
                <w:rFonts w:ascii="宋体" w:hAnsi="宋体"/>
                <w:sz w:val="20"/>
                <w:szCs w:val="20"/>
              </w:rPr>
            </w:pPr>
            <w:r>
              <w:rPr>
                <w:rFonts w:hint="eastAsia" w:ascii="宋体" w:hAnsi="宋体"/>
                <w:sz w:val="20"/>
                <w:szCs w:val="20"/>
              </w:rPr>
              <w:t>　</w:t>
            </w:r>
          </w:p>
        </w:tc>
      </w:tr>
      <w:tr w14:paraId="7EDB1603">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3D8360C6">
            <w:pPr>
              <w:widowControl/>
              <w:jc w:val="left"/>
              <w:rPr>
                <w:rFonts w:ascii="宋体" w:hAnsi="宋体"/>
                <w:sz w:val="20"/>
                <w:szCs w:val="20"/>
              </w:rPr>
            </w:pPr>
          </w:p>
        </w:tc>
        <w:tc>
          <w:tcPr>
            <w:tcW w:w="820" w:type="dxa"/>
            <w:vMerge w:val="continue"/>
            <w:tcBorders>
              <w:top w:val="nil"/>
              <w:left w:val="nil"/>
              <w:bottom w:val="single" w:color="auto" w:sz="4" w:space="0"/>
              <w:right w:val="single" w:color="auto" w:sz="4" w:space="0"/>
            </w:tcBorders>
            <w:vAlign w:val="center"/>
          </w:tcPr>
          <w:p w14:paraId="4FD7ED92">
            <w:pPr>
              <w:widowControl/>
              <w:jc w:val="left"/>
              <w:rPr>
                <w:rFonts w:ascii="宋体" w:hAnsi="宋体"/>
                <w:sz w:val="20"/>
                <w:szCs w:val="20"/>
              </w:rPr>
            </w:pPr>
          </w:p>
        </w:tc>
        <w:tc>
          <w:tcPr>
            <w:tcW w:w="940" w:type="dxa"/>
            <w:tcBorders>
              <w:top w:val="nil"/>
              <w:left w:val="nil"/>
              <w:bottom w:val="single" w:color="auto" w:sz="4" w:space="0"/>
              <w:right w:val="single" w:color="auto" w:sz="4" w:space="0"/>
            </w:tcBorders>
            <w:vAlign w:val="center"/>
          </w:tcPr>
          <w:p w14:paraId="639C9A4E">
            <w:pPr>
              <w:jc w:val="center"/>
              <w:rPr>
                <w:rFonts w:ascii="宋体" w:hAnsi="宋体"/>
                <w:sz w:val="20"/>
                <w:szCs w:val="20"/>
              </w:rPr>
            </w:pPr>
            <w:r>
              <w:rPr>
                <w:rFonts w:hint="eastAsia" w:ascii="宋体" w:hAnsi="宋体"/>
                <w:sz w:val="20"/>
                <w:szCs w:val="20"/>
              </w:rPr>
              <w:t>……</w:t>
            </w:r>
          </w:p>
        </w:tc>
        <w:tc>
          <w:tcPr>
            <w:tcW w:w="2000" w:type="dxa"/>
            <w:tcBorders>
              <w:top w:val="nil"/>
              <w:left w:val="nil"/>
              <w:bottom w:val="single" w:color="auto" w:sz="4" w:space="0"/>
              <w:right w:val="single" w:color="auto" w:sz="4" w:space="0"/>
            </w:tcBorders>
            <w:vAlign w:val="center"/>
          </w:tcPr>
          <w:p w14:paraId="4CC350C5">
            <w:pPr>
              <w:rPr>
                <w:rFonts w:ascii="宋体" w:hAnsi="宋体"/>
                <w:sz w:val="20"/>
                <w:szCs w:val="20"/>
              </w:rPr>
            </w:pPr>
          </w:p>
        </w:tc>
        <w:tc>
          <w:tcPr>
            <w:tcW w:w="860" w:type="dxa"/>
            <w:tcBorders>
              <w:top w:val="nil"/>
              <w:left w:val="nil"/>
              <w:bottom w:val="single" w:color="auto" w:sz="4" w:space="0"/>
              <w:right w:val="single" w:color="auto" w:sz="4" w:space="0"/>
            </w:tcBorders>
            <w:vAlign w:val="center"/>
          </w:tcPr>
          <w:p w14:paraId="10358CAB">
            <w:pPr>
              <w:rPr>
                <w:rFonts w:ascii="宋体" w:hAnsi="宋体"/>
                <w:sz w:val="20"/>
                <w:szCs w:val="20"/>
              </w:rPr>
            </w:pPr>
            <w:r>
              <w:rPr>
                <w:rFonts w:hint="eastAsia" w:ascii="宋体" w:hAnsi="宋体"/>
                <w:sz w:val="20"/>
                <w:szCs w:val="20"/>
              </w:rPr>
              <w:t>　</w:t>
            </w:r>
          </w:p>
        </w:tc>
        <w:tc>
          <w:tcPr>
            <w:tcW w:w="791" w:type="dxa"/>
            <w:tcBorders>
              <w:top w:val="nil"/>
              <w:left w:val="nil"/>
              <w:bottom w:val="single" w:color="auto" w:sz="4" w:space="0"/>
              <w:right w:val="single" w:color="auto" w:sz="4" w:space="0"/>
            </w:tcBorders>
            <w:vAlign w:val="center"/>
          </w:tcPr>
          <w:p w14:paraId="24DF46EB">
            <w:pPr>
              <w:rPr>
                <w:rFonts w:ascii="宋体" w:hAnsi="宋体"/>
                <w:sz w:val="20"/>
                <w:szCs w:val="20"/>
              </w:rPr>
            </w:pPr>
            <w:r>
              <w:rPr>
                <w:rFonts w:hint="eastAsia" w:ascii="宋体" w:hAnsi="宋体"/>
                <w:sz w:val="20"/>
                <w:szCs w:val="20"/>
              </w:rPr>
              <w:t>　</w:t>
            </w:r>
          </w:p>
        </w:tc>
        <w:tc>
          <w:tcPr>
            <w:tcW w:w="889" w:type="dxa"/>
            <w:tcBorders>
              <w:top w:val="nil"/>
              <w:left w:val="nil"/>
              <w:bottom w:val="single" w:color="auto" w:sz="4" w:space="0"/>
              <w:right w:val="single" w:color="auto" w:sz="4" w:space="0"/>
            </w:tcBorders>
            <w:vAlign w:val="center"/>
          </w:tcPr>
          <w:p w14:paraId="03E73F9A">
            <w:pPr>
              <w:jc w:val="center"/>
              <w:rPr>
                <w:rFonts w:ascii="宋体" w:hAnsi="宋体"/>
                <w:sz w:val="20"/>
                <w:szCs w:val="20"/>
              </w:rPr>
            </w:pPr>
            <w:r>
              <w:rPr>
                <w:rFonts w:hint="eastAsia" w:ascii="宋体" w:hAnsi="宋体"/>
                <w:sz w:val="20"/>
                <w:szCs w:val="20"/>
              </w:rPr>
              <w:t>……</w:t>
            </w:r>
          </w:p>
        </w:tc>
        <w:tc>
          <w:tcPr>
            <w:tcW w:w="1040" w:type="dxa"/>
            <w:tcBorders>
              <w:top w:val="nil"/>
              <w:left w:val="nil"/>
              <w:bottom w:val="single" w:color="auto" w:sz="4" w:space="0"/>
              <w:right w:val="nil"/>
            </w:tcBorders>
            <w:vAlign w:val="center"/>
          </w:tcPr>
          <w:p w14:paraId="1DC4B923">
            <w:pPr>
              <w:rPr>
                <w:rFonts w:ascii="宋体" w:hAnsi="宋体"/>
                <w:sz w:val="20"/>
                <w:szCs w:val="20"/>
              </w:rPr>
            </w:pPr>
            <w:r>
              <w:rPr>
                <w:rFonts w:hint="eastAsia" w:ascii="宋体" w:hAnsi="宋体"/>
                <w:sz w:val="20"/>
                <w:szCs w:val="20"/>
              </w:rPr>
              <w:t>　</w:t>
            </w:r>
          </w:p>
        </w:tc>
        <w:tc>
          <w:tcPr>
            <w:tcW w:w="929" w:type="dxa"/>
            <w:tcBorders>
              <w:top w:val="nil"/>
              <w:left w:val="single" w:color="auto" w:sz="4" w:space="0"/>
              <w:bottom w:val="single" w:color="auto" w:sz="4" w:space="0"/>
              <w:right w:val="single" w:color="auto" w:sz="4" w:space="0"/>
            </w:tcBorders>
            <w:vAlign w:val="center"/>
          </w:tcPr>
          <w:p w14:paraId="07D3458A">
            <w:pPr>
              <w:rPr>
                <w:rFonts w:ascii="宋体" w:hAnsi="宋体"/>
                <w:sz w:val="20"/>
                <w:szCs w:val="20"/>
              </w:rPr>
            </w:pPr>
            <w:r>
              <w:rPr>
                <w:rFonts w:hint="eastAsia" w:ascii="宋体" w:hAnsi="宋体"/>
                <w:sz w:val="20"/>
                <w:szCs w:val="20"/>
              </w:rPr>
              <w:t>　</w:t>
            </w:r>
          </w:p>
        </w:tc>
        <w:tc>
          <w:tcPr>
            <w:tcW w:w="813" w:type="dxa"/>
            <w:tcBorders>
              <w:top w:val="nil"/>
              <w:left w:val="nil"/>
              <w:bottom w:val="single" w:color="auto" w:sz="4" w:space="0"/>
              <w:right w:val="single" w:color="auto" w:sz="4" w:space="0"/>
            </w:tcBorders>
            <w:vAlign w:val="center"/>
          </w:tcPr>
          <w:p w14:paraId="04B9EE45">
            <w:pPr>
              <w:rPr>
                <w:rFonts w:ascii="宋体" w:hAnsi="宋体"/>
                <w:sz w:val="20"/>
                <w:szCs w:val="20"/>
              </w:rPr>
            </w:pPr>
            <w:r>
              <w:rPr>
                <w:rFonts w:hint="eastAsia" w:ascii="宋体" w:hAnsi="宋体"/>
                <w:sz w:val="20"/>
                <w:szCs w:val="20"/>
              </w:rPr>
              <w:t>　</w:t>
            </w:r>
          </w:p>
        </w:tc>
      </w:tr>
      <w:tr w14:paraId="72CE8988">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44DEAB3A">
            <w:pPr>
              <w:widowControl/>
              <w:jc w:val="left"/>
              <w:rPr>
                <w:rFonts w:ascii="宋体" w:hAnsi="宋体"/>
                <w:sz w:val="20"/>
                <w:szCs w:val="20"/>
              </w:rPr>
            </w:pPr>
          </w:p>
        </w:tc>
        <w:tc>
          <w:tcPr>
            <w:tcW w:w="820" w:type="dxa"/>
            <w:vMerge w:val="restart"/>
            <w:tcBorders>
              <w:top w:val="nil"/>
              <w:left w:val="nil"/>
              <w:bottom w:val="single" w:color="000000" w:sz="4" w:space="0"/>
              <w:right w:val="single" w:color="auto" w:sz="4" w:space="0"/>
            </w:tcBorders>
            <w:vAlign w:val="center"/>
          </w:tcPr>
          <w:p w14:paraId="43A730B7">
            <w:pPr>
              <w:jc w:val="center"/>
              <w:rPr>
                <w:rFonts w:ascii="宋体" w:hAnsi="宋体"/>
                <w:sz w:val="20"/>
                <w:szCs w:val="20"/>
              </w:rPr>
            </w:pPr>
            <w:r>
              <w:rPr>
                <w:rFonts w:hint="eastAsia" w:ascii="宋体" w:hAnsi="宋体"/>
                <w:sz w:val="20"/>
                <w:szCs w:val="20"/>
              </w:rPr>
              <w:t>满意度指标</w:t>
            </w:r>
          </w:p>
        </w:tc>
        <w:tc>
          <w:tcPr>
            <w:tcW w:w="940" w:type="dxa"/>
            <w:vMerge w:val="restart"/>
            <w:tcBorders>
              <w:top w:val="nil"/>
              <w:left w:val="nil"/>
              <w:bottom w:val="single" w:color="000000" w:sz="4" w:space="0"/>
              <w:right w:val="single" w:color="auto" w:sz="4" w:space="0"/>
            </w:tcBorders>
            <w:vAlign w:val="center"/>
          </w:tcPr>
          <w:p w14:paraId="5E86B64C">
            <w:pPr>
              <w:jc w:val="center"/>
              <w:rPr>
                <w:rFonts w:ascii="宋体" w:hAnsi="宋体"/>
                <w:sz w:val="20"/>
                <w:szCs w:val="20"/>
              </w:rPr>
            </w:pPr>
            <w:r>
              <w:rPr>
                <w:rFonts w:hint="eastAsia" w:ascii="宋体" w:hAnsi="宋体"/>
                <w:sz w:val="20"/>
                <w:szCs w:val="20"/>
              </w:rPr>
              <w:t>服务对象满意度指标</w:t>
            </w:r>
          </w:p>
        </w:tc>
        <w:tc>
          <w:tcPr>
            <w:tcW w:w="2000" w:type="dxa"/>
            <w:tcBorders>
              <w:top w:val="nil"/>
              <w:left w:val="nil"/>
              <w:bottom w:val="single" w:color="auto" w:sz="4" w:space="0"/>
              <w:right w:val="single" w:color="auto" w:sz="4" w:space="0"/>
            </w:tcBorders>
            <w:vAlign w:val="center"/>
          </w:tcPr>
          <w:p w14:paraId="12AF5829">
            <w:pPr>
              <w:rPr>
                <w:rFonts w:ascii="宋体" w:hAnsi="宋体"/>
                <w:sz w:val="20"/>
                <w:szCs w:val="20"/>
              </w:rPr>
            </w:pPr>
          </w:p>
        </w:tc>
        <w:tc>
          <w:tcPr>
            <w:tcW w:w="860" w:type="dxa"/>
            <w:tcBorders>
              <w:top w:val="nil"/>
              <w:left w:val="nil"/>
              <w:bottom w:val="single" w:color="auto" w:sz="4" w:space="0"/>
              <w:right w:val="single" w:color="auto" w:sz="4" w:space="0"/>
            </w:tcBorders>
            <w:vAlign w:val="center"/>
          </w:tcPr>
          <w:p w14:paraId="1A56CE6A">
            <w:pPr>
              <w:jc w:val="center"/>
              <w:rPr>
                <w:rFonts w:ascii="宋体" w:hAnsi="宋体"/>
                <w:sz w:val="20"/>
                <w:szCs w:val="20"/>
              </w:rPr>
            </w:pPr>
            <w:r>
              <w:rPr>
                <w:rFonts w:hint="eastAsia" w:ascii="宋体" w:hAnsi="宋体"/>
                <w:sz w:val="20"/>
                <w:szCs w:val="20"/>
              </w:rPr>
              <w:t>　</w:t>
            </w:r>
          </w:p>
        </w:tc>
        <w:tc>
          <w:tcPr>
            <w:tcW w:w="791" w:type="dxa"/>
            <w:tcBorders>
              <w:top w:val="nil"/>
              <w:left w:val="nil"/>
              <w:bottom w:val="single" w:color="auto" w:sz="4" w:space="0"/>
              <w:right w:val="single" w:color="auto" w:sz="4" w:space="0"/>
            </w:tcBorders>
            <w:vAlign w:val="center"/>
          </w:tcPr>
          <w:p w14:paraId="27996BF3">
            <w:pPr>
              <w:jc w:val="center"/>
              <w:rPr>
                <w:rFonts w:ascii="宋体" w:hAnsi="宋体"/>
                <w:sz w:val="20"/>
                <w:szCs w:val="20"/>
              </w:rPr>
            </w:pPr>
            <w:r>
              <w:rPr>
                <w:rFonts w:hint="eastAsia" w:ascii="宋体" w:hAnsi="宋体"/>
                <w:sz w:val="20"/>
                <w:szCs w:val="20"/>
              </w:rPr>
              <w:t>　</w:t>
            </w:r>
          </w:p>
        </w:tc>
        <w:tc>
          <w:tcPr>
            <w:tcW w:w="889" w:type="dxa"/>
            <w:vMerge w:val="restart"/>
            <w:tcBorders>
              <w:top w:val="nil"/>
              <w:left w:val="nil"/>
              <w:bottom w:val="single" w:color="000000" w:sz="4" w:space="0"/>
              <w:right w:val="single" w:color="auto" w:sz="4" w:space="0"/>
            </w:tcBorders>
            <w:vAlign w:val="center"/>
          </w:tcPr>
          <w:p w14:paraId="50ACA2E8">
            <w:pPr>
              <w:jc w:val="center"/>
              <w:rPr>
                <w:sz w:val="20"/>
                <w:szCs w:val="20"/>
              </w:rPr>
            </w:pPr>
            <w:r>
              <w:rPr>
                <w:rFonts w:hint="eastAsia" w:ascii="宋体" w:hAnsi="宋体"/>
                <w:sz w:val="20"/>
                <w:szCs w:val="20"/>
              </w:rPr>
              <w:t>服务对</w:t>
            </w:r>
          </w:p>
          <w:p w14:paraId="35F496ED">
            <w:pPr>
              <w:jc w:val="center"/>
              <w:rPr>
                <w:sz w:val="20"/>
                <w:szCs w:val="20"/>
              </w:rPr>
            </w:pPr>
            <w:r>
              <w:rPr>
                <w:rFonts w:hint="eastAsia" w:ascii="宋体" w:hAnsi="宋体"/>
                <w:sz w:val="20"/>
                <w:szCs w:val="20"/>
              </w:rPr>
              <w:t>象满意</w:t>
            </w:r>
          </w:p>
          <w:p w14:paraId="7AF328C1">
            <w:pPr>
              <w:jc w:val="center"/>
              <w:rPr>
                <w:rFonts w:ascii="宋体" w:hAnsi="宋体"/>
                <w:sz w:val="20"/>
                <w:szCs w:val="20"/>
              </w:rPr>
            </w:pPr>
            <w:r>
              <w:rPr>
                <w:rFonts w:hint="eastAsia" w:ascii="宋体" w:hAnsi="宋体"/>
                <w:sz w:val="20"/>
                <w:szCs w:val="20"/>
              </w:rPr>
              <w:t>度指标</w:t>
            </w:r>
          </w:p>
        </w:tc>
        <w:tc>
          <w:tcPr>
            <w:tcW w:w="1040" w:type="dxa"/>
            <w:tcBorders>
              <w:top w:val="nil"/>
              <w:left w:val="nil"/>
              <w:bottom w:val="single" w:color="auto" w:sz="4" w:space="0"/>
              <w:right w:val="single" w:color="auto" w:sz="4" w:space="0"/>
            </w:tcBorders>
            <w:vAlign w:val="center"/>
          </w:tcPr>
          <w:p w14:paraId="5BE58389">
            <w:pPr>
              <w:rPr>
                <w:rFonts w:ascii="宋体" w:hAnsi="宋体"/>
                <w:sz w:val="20"/>
                <w:szCs w:val="20"/>
              </w:rPr>
            </w:pPr>
          </w:p>
        </w:tc>
        <w:tc>
          <w:tcPr>
            <w:tcW w:w="929" w:type="dxa"/>
            <w:tcBorders>
              <w:top w:val="nil"/>
              <w:left w:val="nil"/>
              <w:bottom w:val="single" w:color="auto" w:sz="4" w:space="0"/>
              <w:right w:val="single" w:color="auto" w:sz="4" w:space="0"/>
            </w:tcBorders>
            <w:vAlign w:val="center"/>
          </w:tcPr>
          <w:p w14:paraId="188D2FA9">
            <w:pPr>
              <w:rPr>
                <w:rFonts w:ascii="宋体" w:hAnsi="宋体"/>
                <w:sz w:val="20"/>
                <w:szCs w:val="20"/>
              </w:rPr>
            </w:pPr>
            <w:r>
              <w:rPr>
                <w:rFonts w:hint="eastAsia" w:ascii="宋体" w:hAnsi="宋体"/>
                <w:sz w:val="20"/>
                <w:szCs w:val="20"/>
              </w:rPr>
              <w:t>　</w:t>
            </w:r>
          </w:p>
        </w:tc>
        <w:tc>
          <w:tcPr>
            <w:tcW w:w="813" w:type="dxa"/>
            <w:tcBorders>
              <w:top w:val="nil"/>
              <w:left w:val="nil"/>
              <w:bottom w:val="single" w:color="auto" w:sz="4" w:space="0"/>
              <w:right w:val="single" w:color="auto" w:sz="4" w:space="0"/>
            </w:tcBorders>
            <w:vAlign w:val="center"/>
          </w:tcPr>
          <w:p w14:paraId="1CB09FF4">
            <w:pPr>
              <w:rPr>
                <w:rFonts w:ascii="宋体" w:hAnsi="宋体"/>
                <w:sz w:val="20"/>
                <w:szCs w:val="20"/>
              </w:rPr>
            </w:pPr>
            <w:r>
              <w:rPr>
                <w:rFonts w:hint="eastAsia" w:ascii="宋体" w:hAnsi="宋体"/>
                <w:sz w:val="20"/>
                <w:szCs w:val="20"/>
              </w:rPr>
              <w:t>　</w:t>
            </w:r>
          </w:p>
        </w:tc>
      </w:tr>
      <w:tr w14:paraId="1F165C27">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79D5A715">
            <w:pPr>
              <w:widowControl/>
              <w:jc w:val="left"/>
              <w:rPr>
                <w:rFonts w:ascii="宋体" w:hAnsi="宋体"/>
                <w:sz w:val="20"/>
                <w:szCs w:val="20"/>
              </w:rPr>
            </w:pPr>
          </w:p>
        </w:tc>
        <w:tc>
          <w:tcPr>
            <w:tcW w:w="820" w:type="dxa"/>
            <w:vMerge w:val="continue"/>
            <w:tcBorders>
              <w:top w:val="nil"/>
              <w:left w:val="nil"/>
              <w:bottom w:val="single" w:color="000000" w:sz="4" w:space="0"/>
              <w:right w:val="single" w:color="auto" w:sz="4" w:space="0"/>
            </w:tcBorders>
            <w:vAlign w:val="center"/>
          </w:tcPr>
          <w:p w14:paraId="30C2DA0C">
            <w:pPr>
              <w:widowControl/>
              <w:jc w:val="left"/>
              <w:rPr>
                <w:rFonts w:ascii="宋体" w:hAnsi="宋体"/>
                <w:sz w:val="20"/>
                <w:szCs w:val="20"/>
              </w:rPr>
            </w:pPr>
          </w:p>
        </w:tc>
        <w:tc>
          <w:tcPr>
            <w:tcW w:w="940" w:type="dxa"/>
            <w:vMerge w:val="continue"/>
            <w:tcBorders>
              <w:top w:val="nil"/>
              <w:left w:val="nil"/>
              <w:bottom w:val="single" w:color="000000" w:sz="4" w:space="0"/>
              <w:right w:val="single" w:color="auto" w:sz="4" w:space="0"/>
            </w:tcBorders>
            <w:vAlign w:val="center"/>
          </w:tcPr>
          <w:p w14:paraId="323D5966">
            <w:pPr>
              <w:widowControl/>
              <w:jc w:val="left"/>
              <w:rPr>
                <w:rFonts w:ascii="宋体" w:hAnsi="宋体"/>
                <w:sz w:val="20"/>
                <w:szCs w:val="20"/>
              </w:rPr>
            </w:pPr>
          </w:p>
        </w:tc>
        <w:tc>
          <w:tcPr>
            <w:tcW w:w="2000" w:type="dxa"/>
            <w:tcBorders>
              <w:top w:val="nil"/>
              <w:left w:val="nil"/>
              <w:bottom w:val="single" w:color="auto" w:sz="4" w:space="0"/>
              <w:right w:val="single" w:color="auto" w:sz="4" w:space="0"/>
            </w:tcBorders>
            <w:vAlign w:val="center"/>
          </w:tcPr>
          <w:p w14:paraId="51C4D887">
            <w:pPr>
              <w:rPr>
                <w:rFonts w:ascii="宋体" w:hAnsi="宋体"/>
                <w:sz w:val="20"/>
                <w:szCs w:val="20"/>
              </w:rPr>
            </w:pPr>
            <w:r>
              <w:rPr>
                <w:rFonts w:hint="eastAsia" w:ascii="宋体" w:hAnsi="宋体"/>
                <w:sz w:val="20"/>
                <w:szCs w:val="20"/>
              </w:rPr>
              <w:t>得到省种子管理站好评</w:t>
            </w:r>
          </w:p>
        </w:tc>
        <w:tc>
          <w:tcPr>
            <w:tcW w:w="860" w:type="dxa"/>
            <w:tcBorders>
              <w:top w:val="nil"/>
              <w:left w:val="nil"/>
              <w:bottom w:val="single" w:color="auto" w:sz="4" w:space="0"/>
              <w:right w:val="single" w:color="auto" w:sz="4" w:space="0"/>
            </w:tcBorders>
            <w:vAlign w:val="center"/>
          </w:tcPr>
          <w:p w14:paraId="1EBA497E">
            <w:pPr>
              <w:jc w:val="center"/>
              <w:rPr>
                <w:rFonts w:ascii="宋体" w:hAnsi="宋体"/>
                <w:sz w:val="20"/>
                <w:szCs w:val="20"/>
              </w:rPr>
            </w:pPr>
            <w:r>
              <w:rPr>
                <w:rFonts w:hint="eastAsia" w:ascii="宋体" w:hAnsi="宋体"/>
                <w:sz w:val="20"/>
                <w:szCs w:val="20"/>
              </w:rPr>
              <w:t>≥96%　</w:t>
            </w:r>
          </w:p>
        </w:tc>
        <w:tc>
          <w:tcPr>
            <w:tcW w:w="791" w:type="dxa"/>
            <w:tcBorders>
              <w:top w:val="nil"/>
              <w:left w:val="nil"/>
              <w:bottom w:val="single" w:color="auto" w:sz="4" w:space="0"/>
              <w:right w:val="single" w:color="auto" w:sz="4" w:space="0"/>
            </w:tcBorders>
            <w:vAlign w:val="center"/>
          </w:tcPr>
          <w:p w14:paraId="06A15AA2">
            <w:pPr>
              <w:jc w:val="center"/>
              <w:rPr>
                <w:rFonts w:ascii="宋体" w:hAnsi="宋体"/>
                <w:sz w:val="20"/>
                <w:szCs w:val="20"/>
              </w:rPr>
            </w:pPr>
            <w:r>
              <w:rPr>
                <w:rFonts w:hint="eastAsia" w:ascii="宋体" w:hAnsi="宋体"/>
                <w:sz w:val="20"/>
                <w:szCs w:val="20"/>
              </w:rPr>
              <w:t>　</w:t>
            </w:r>
          </w:p>
        </w:tc>
        <w:tc>
          <w:tcPr>
            <w:tcW w:w="889" w:type="dxa"/>
            <w:vMerge w:val="continue"/>
            <w:tcBorders>
              <w:top w:val="nil"/>
              <w:left w:val="nil"/>
              <w:bottom w:val="single" w:color="000000" w:sz="4" w:space="0"/>
              <w:right w:val="single" w:color="auto" w:sz="4" w:space="0"/>
            </w:tcBorders>
            <w:vAlign w:val="center"/>
          </w:tcPr>
          <w:p w14:paraId="168BA0DC">
            <w:pPr>
              <w:widowControl/>
              <w:jc w:val="left"/>
              <w:rPr>
                <w:rFonts w:ascii="宋体" w:hAnsi="宋体"/>
                <w:sz w:val="20"/>
                <w:szCs w:val="20"/>
              </w:rPr>
            </w:pPr>
          </w:p>
        </w:tc>
        <w:tc>
          <w:tcPr>
            <w:tcW w:w="1040" w:type="dxa"/>
            <w:tcBorders>
              <w:top w:val="nil"/>
              <w:left w:val="nil"/>
              <w:bottom w:val="single" w:color="auto" w:sz="4" w:space="0"/>
              <w:right w:val="single" w:color="auto" w:sz="4" w:space="0"/>
            </w:tcBorders>
            <w:vAlign w:val="center"/>
          </w:tcPr>
          <w:p w14:paraId="425FEA93">
            <w:pPr>
              <w:rPr>
                <w:rFonts w:ascii="宋体" w:hAnsi="宋体"/>
                <w:sz w:val="20"/>
                <w:szCs w:val="20"/>
              </w:rPr>
            </w:pPr>
            <w:r>
              <w:rPr>
                <w:rFonts w:hint="eastAsia" w:ascii="宋体" w:hAnsi="宋体"/>
                <w:sz w:val="20"/>
                <w:szCs w:val="20"/>
              </w:rPr>
              <w:t>得到省种子管理站好评</w:t>
            </w:r>
          </w:p>
        </w:tc>
        <w:tc>
          <w:tcPr>
            <w:tcW w:w="929" w:type="dxa"/>
            <w:tcBorders>
              <w:top w:val="nil"/>
              <w:left w:val="nil"/>
              <w:bottom w:val="single" w:color="auto" w:sz="4" w:space="0"/>
              <w:right w:val="single" w:color="auto" w:sz="4" w:space="0"/>
            </w:tcBorders>
            <w:vAlign w:val="center"/>
          </w:tcPr>
          <w:p w14:paraId="122D6BF9">
            <w:pPr>
              <w:rPr>
                <w:rFonts w:ascii="宋体" w:hAnsi="宋体"/>
                <w:sz w:val="20"/>
                <w:szCs w:val="20"/>
              </w:rPr>
            </w:pPr>
            <w:r>
              <w:rPr>
                <w:rFonts w:hint="eastAsia" w:ascii="宋体" w:hAnsi="宋体"/>
                <w:sz w:val="20"/>
                <w:szCs w:val="20"/>
              </w:rPr>
              <w:t>　≥</w:t>
            </w:r>
            <w:r>
              <w:rPr>
                <w:rFonts w:hint="eastAsia"/>
                <w:sz w:val="20"/>
                <w:szCs w:val="20"/>
              </w:rPr>
              <w:t>96</w:t>
            </w:r>
          </w:p>
        </w:tc>
        <w:tc>
          <w:tcPr>
            <w:tcW w:w="813" w:type="dxa"/>
            <w:tcBorders>
              <w:top w:val="nil"/>
              <w:left w:val="nil"/>
              <w:bottom w:val="single" w:color="auto" w:sz="4" w:space="0"/>
              <w:right w:val="single" w:color="auto" w:sz="4" w:space="0"/>
            </w:tcBorders>
            <w:vAlign w:val="center"/>
          </w:tcPr>
          <w:p w14:paraId="481E30EA">
            <w:pPr>
              <w:rPr>
                <w:rFonts w:ascii="宋体" w:hAnsi="宋体"/>
                <w:sz w:val="20"/>
                <w:szCs w:val="20"/>
              </w:rPr>
            </w:pPr>
            <w:r>
              <w:rPr>
                <w:rFonts w:hint="eastAsia" w:ascii="宋体" w:hAnsi="宋体"/>
                <w:sz w:val="20"/>
                <w:szCs w:val="20"/>
              </w:rPr>
              <w:t>　</w:t>
            </w:r>
          </w:p>
        </w:tc>
      </w:tr>
      <w:tr w14:paraId="0BF1C9F3">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45C520F3">
            <w:pPr>
              <w:widowControl/>
              <w:jc w:val="left"/>
              <w:rPr>
                <w:rFonts w:ascii="宋体" w:hAnsi="宋体"/>
                <w:sz w:val="20"/>
                <w:szCs w:val="20"/>
              </w:rPr>
            </w:pPr>
          </w:p>
        </w:tc>
        <w:tc>
          <w:tcPr>
            <w:tcW w:w="820" w:type="dxa"/>
            <w:vMerge w:val="continue"/>
            <w:tcBorders>
              <w:top w:val="nil"/>
              <w:left w:val="nil"/>
              <w:bottom w:val="single" w:color="000000" w:sz="4" w:space="0"/>
              <w:right w:val="single" w:color="auto" w:sz="4" w:space="0"/>
            </w:tcBorders>
            <w:vAlign w:val="center"/>
          </w:tcPr>
          <w:p w14:paraId="7C002551">
            <w:pPr>
              <w:widowControl/>
              <w:jc w:val="left"/>
              <w:rPr>
                <w:rFonts w:ascii="宋体" w:hAnsi="宋体"/>
                <w:sz w:val="20"/>
                <w:szCs w:val="20"/>
              </w:rPr>
            </w:pPr>
          </w:p>
        </w:tc>
        <w:tc>
          <w:tcPr>
            <w:tcW w:w="940" w:type="dxa"/>
            <w:tcBorders>
              <w:top w:val="nil"/>
              <w:left w:val="nil"/>
              <w:bottom w:val="single" w:color="auto" w:sz="4" w:space="0"/>
              <w:right w:val="single" w:color="auto" w:sz="4" w:space="0"/>
            </w:tcBorders>
            <w:vAlign w:val="center"/>
          </w:tcPr>
          <w:p w14:paraId="2AEC911F">
            <w:pPr>
              <w:jc w:val="center"/>
              <w:rPr>
                <w:rFonts w:ascii="宋体" w:hAnsi="宋体"/>
                <w:sz w:val="20"/>
                <w:szCs w:val="20"/>
              </w:rPr>
            </w:pPr>
            <w:r>
              <w:rPr>
                <w:rFonts w:hint="eastAsia" w:ascii="宋体" w:hAnsi="宋体"/>
                <w:sz w:val="20"/>
                <w:szCs w:val="20"/>
              </w:rPr>
              <w:t>……</w:t>
            </w:r>
          </w:p>
        </w:tc>
        <w:tc>
          <w:tcPr>
            <w:tcW w:w="2000" w:type="dxa"/>
            <w:tcBorders>
              <w:top w:val="nil"/>
              <w:left w:val="nil"/>
              <w:bottom w:val="single" w:color="auto" w:sz="4" w:space="0"/>
              <w:right w:val="single" w:color="auto" w:sz="4" w:space="0"/>
            </w:tcBorders>
            <w:vAlign w:val="center"/>
          </w:tcPr>
          <w:p w14:paraId="3A1998E1">
            <w:pPr>
              <w:rPr>
                <w:rFonts w:ascii="宋体" w:hAnsi="宋体"/>
                <w:sz w:val="20"/>
                <w:szCs w:val="20"/>
              </w:rPr>
            </w:pPr>
            <w:r>
              <w:rPr>
                <w:rFonts w:hint="eastAsia" w:ascii="宋体" w:hAnsi="宋体"/>
                <w:sz w:val="20"/>
                <w:szCs w:val="20"/>
              </w:rPr>
              <w:t>　</w:t>
            </w:r>
          </w:p>
        </w:tc>
        <w:tc>
          <w:tcPr>
            <w:tcW w:w="860" w:type="dxa"/>
            <w:tcBorders>
              <w:top w:val="nil"/>
              <w:left w:val="nil"/>
              <w:bottom w:val="single" w:color="auto" w:sz="4" w:space="0"/>
              <w:right w:val="single" w:color="auto" w:sz="4" w:space="0"/>
            </w:tcBorders>
            <w:vAlign w:val="center"/>
          </w:tcPr>
          <w:p w14:paraId="2637B7A7">
            <w:pPr>
              <w:jc w:val="center"/>
              <w:rPr>
                <w:rFonts w:ascii="宋体" w:hAnsi="宋体"/>
                <w:sz w:val="20"/>
                <w:szCs w:val="20"/>
              </w:rPr>
            </w:pPr>
            <w:r>
              <w:rPr>
                <w:rFonts w:hint="eastAsia" w:ascii="宋体" w:hAnsi="宋体"/>
                <w:sz w:val="20"/>
                <w:szCs w:val="20"/>
              </w:rPr>
              <w:t>　</w:t>
            </w:r>
          </w:p>
        </w:tc>
        <w:tc>
          <w:tcPr>
            <w:tcW w:w="791" w:type="dxa"/>
            <w:tcBorders>
              <w:top w:val="nil"/>
              <w:left w:val="nil"/>
              <w:bottom w:val="single" w:color="auto" w:sz="4" w:space="0"/>
              <w:right w:val="single" w:color="auto" w:sz="4" w:space="0"/>
            </w:tcBorders>
            <w:vAlign w:val="center"/>
          </w:tcPr>
          <w:p w14:paraId="208F868C">
            <w:pPr>
              <w:jc w:val="center"/>
              <w:rPr>
                <w:rFonts w:ascii="宋体" w:hAnsi="宋体"/>
                <w:sz w:val="20"/>
                <w:szCs w:val="20"/>
              </w:rPr>
            </w:pPr>
            <w:r>
              <w:rPr>
                <w:rFonts w:hint="eastAsia" w:ascii="宋体" w:hAnsi="宋体"/>
                <w:sz w:val="20"/>
                <w:szCs w:val="20"/>
              </w:rPr>
              <w:t>　</w:t>
            </w:r>
          </w:p>
        </w:tc>
        <w:tc>
          <w:tcPr>
            <w:tcW w:w="889" w:type="dxa"/>
            <w:tcBorders>
              <w:top w:val="nil"/>
              <w:left w:val="nil"/>
              <w:bottom w:val="single" w:color="auto" w:sz="4" w:space="0"/>
              <w:right w:val="single" w:color="auto" w:sz="4" w:space="0"/>
            </w:tcBorders>
            <w:vAlign w:val="center"/>
          </w:tcPr>
          <w:p w14:paraId="6DE7E267">
            <w:pPr>
              <w:jc w:val="center"/>
              <w:rPr>
                <w:rFonts w:ascii="宋体" w:hAnsi="宋体"/>
                <w:sz w:val="20"/>
                <w:szCs w:val="20"/>
              </w:rPr>
            </w:pPr>
            <w:r>
              <w:rPr>
                <w:rFonts w:hint="eastAsia" w:ascii="宋体" w:hAnsi="宋体"/>
                <w:sz w:val="20"/>
                <w:szCs w:val="20"/>
              </w:rPr>
              <w:t>……</w:t>
            </w:r>
          </w:p>
        </w:tc>
        <w:tc>
          <w:tcPr>
            <w:tcW w:w="1040" w:type="dxa"/>
            <w:tcBorders>
              <w:top w:val="nil"/>
              <w:left w:val="nil"/>
              <w:bottom w:val="single" w:color="auto" w:sz="4" w:space="0"/>
              <w:right w:val="nil"/>
            </w:tcBorders>
            <w:vAlign w:val="center"/>
          </w:tcPr>
          <w:p w14:paraId="0E4C3FB8">
            <w:pPr>
              <w:rPr>
                <w:rFonts w:ascii="宋体" w:hAnsi="宋体"/>
                <w:sz w:val="20"/>
                <w:szCs w:val="20"/>
              </w:rPr>
            </w:pPr>
          </w:p>
        </w:tc>
        <w:tc>
          <w:tcPr>
            <w:tcW w:w="929" w:type="dxa"/>
            <w:tcBorders>
              <w:top w:val="nil"/>
              <w:left w:val="single" w:color="auto" w:sz="4" w:space="0"/>
              <w:bottom w:val="single" w:color="auto" w:sz="4" w:space="0"/>
              <w:right w:val="single" w:color="auto" w:sz="4" w:space="0"/>
            </w:tcBorders>
            <w:vAlign w:val="center"/>
          </w:tcPr>
          <w:p w14:paraId="20388568">
            <w:pPr>
              <w:rPr>
                <w:rFonts w:ascii="宋体" w:hAnsi="宋体"/>
                <w:sz w:val="20"/>
                <w:szCs w:val="20"/>
              </w:rPr>
            </w:pPr>
            <w:r>
              <w:rPr>
                <w:rFonts w:hint="eastAsia" w:ascii="宋体" w:hAnsi="宋体"/>
                <w:sz w:val="20"/>
                <w:szCs w:val="20"/>
              </w:rPr>
              <w:t>　</w:t>
            </w:r>
          </w:p>
        </w:tc>
        <w:tc>
          <w:tcPr>
            <w:tcW w:w="813" w:type="dxa"/>
            <w:tcBorders>
              <w:top w:val="nil"/>
              <w:left w:val="nil"/>
              <w:bottom w:val="single" w:color="auto" w:sz="4" w:space="0"/>
              <w:right w:val="single" w:color="auto" w:sz="4" w:space="0"/>
            </w:tcBorders>
            <w:vAlign w:val="center"/>
          </w:tcPr>
          <w:p w14:paraId="31FA8D10">
            <w:pPr>
              <w:rPr>
                <w:rFonts w:ascii="宋体" w:hAnsi="宋体"/>
                <w:sz w:val="20"/>
                <w:szCs w:val="20"/>
              </w:rPr>
            </w:pPr>
            <w:r>
              <w:rPr>
                <w:rFonts w:hint="eastAsia" w:ascii="宋体" w:hAnsi="宋体"/>
                <w:sz w:val="20"/>
                <w:szCs w:val="20"/>
              </w:rPr>
              <w:t>　</w:t>
            </w:r>
          </w:p>
        </w:tc>
      </w:tr>
    </w:tbl>
    <w:p w14:paraId="39F51BB1">
      <w:pPr>
        <w:adjustRightInd w:val="0"/>
        <w:snapToGrid w:val="0"/>
        <w:spacing w:line="60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rPr>
        <w:t xml:space="preserve"> </w:t>
      </w:r>
    </w:p>
    <w:p w14:paraId="53388AFE">
      <w:pPr>
        <w:topLinePunct/>
        <w:adjustRightInd w:val="0"/>
        <w:snapToGrid w:val="0"/>
        <w:spacing w:line="560" w:lineRule="exact"/>
        <w:ind w:firstLine="640" w:firstLineChars="200"/>
        <w:rPr>
          <w:rFonts w:hint="eastAsia" w:ascii="仿宋_GB2312" w:hAnsi="楷体" w:eastAsia="仿宋_GB2312"/>
          <w:b/>
          <w:sz w:val="32"/>
          <w:szCs w:val="32"/>
        </w:rPr>
      </w:pPr>
      <w:r>
        <w:rPr>
          <w:rFonts w:hint="eastAsia" w:ascii="仿宋_GB2312" w:hAnsi="楷体" w:eastAsia="仿宋_GB2312"/>
          <w:sz w:val="32"/>
          <w:szCs w:val="32"/>
        </w:rPr>
        <w:t xml:space="preserve"> </w:t>
      </w:r>
      <w:r>
        <w:rPr>
          <w:rFonts w:hint="eastAsia" w:ascii="仿宋_GB2312" w:hAnsi="楷体" w:eastAsia="仿宋_GB2312"/>
          <w:b/>
          <w:sz w:val="32"/>
          <w:szCs w:val="32"/>
        </w:rPr>
        <w:t>（二）事业运行经费。</w:t>
      </w:r>
    </w:p>
    <w:p w14:paraId="2DBADD27">
      <w:pPr>
        <w:adjustRightInd w:val="0"/>
        <w:snapToGrid w:val="0"/>
        <w:spacing w:line="600" w:lineRule="exact"/>
        <w:ind w:firstLine="640" w:firstLineChars="200"/>
        <w:rPr>
          <w:rFonts w:hint="eastAsia" w:ascii="仿宋_GB2312" w:hAnsi="仿宋" w:eastAsia="仿宋_GB2312"/>
          <w:sz w:val="32"/>
          <w:szCs w:val="32"/>
        </w:rPr>
      </w:pPr>
      <w:r>
        <w:rPr>
          <w:rFonts w:hint="eastAsia" w:ascii="仿宋_GB2312" w:hAnsi="仿宋" w:eastAsia="仿宋_GB2312" w:cs="宋体"/>
          <w:kern w:val="0"/>
          <w:sz w:val="32"/>
          <w:szCs w:val="32"/>
          <w:lang w:eastAsia="zh-CN"/>
        </w:rPr>
        <w:t>寿县农业科学研究所</w:t>
      </w:r>
      <w:r>
        <w:rPr>
          <w:rFonts w:hint="eastAsia" w:ascii="仿宋_GB2312" w:hAnsi="仿宋" w:eastAsia="仿宋_GB2312"/>
          <w:sz w:val="32"/>
          <w:szCs w:val="32"/>
        </w:rPr>
        <w:t>2026年运行经费财政拨款预算</w:t>
      </w:r>
      <w:r>
        <w:rPr>
          <w:rFonts w:hint="eastAsia" w:ascii="仿宋_GB2312" w:hAnsi="仿宋" w:eastAsia="仿宋_GB2312"/>
          <w:sz w:val="32"/>
          <w:szCs w:val="32"/>
          <w:lang w:val="en-US" w:eastAsia="zh-CN"/>
        </w:rPr>
        <w:t>7.16</w:t>
      </w:r>
      <w:r>
        <w:rPr>
          <w:rFonts w:hint="eastAsia" w:ascii="仿宋_GB2312" w:hAnsi="仿宋" w:eastAsia="仿宋_GB2312"/>
          <w:sz w:val="32"/>
          <w:szCs w:val="32"/>
        </w:rPr>
        <w:t>万元，比2025年预算</w:t>
      </w:r>
      <w:r>
        <w:rPr>
          <w:rFonts w:hint="eastAsia" w:ascii="仿宋_GB2312" w:hAnsi="仿宋" w:eastAsia="仿宋_GB2312"/>
          <w:sz w:val="32"/>
          <w:szCs w:val="32"/>
          <w:lang w:eastAsia="zh-CN"/>
        </w:rPr>
        <w:t>增加</w:t>
      </w:r>
      <w:r>
        <w:rPr>
          <w:rFonts w:hint="eastAsia" w:ascii="仿宋_GB2312" w:hAnsi="仿宋" w:eastAsia="仿宋_GB2312"/>
          <w:sz w:val="32"/>
          <w:szCs w:val="32"/>
          <w:lang w:val="en-US" w:eastAsia="zh-CN"/>
        </w:rPr>
        <w:t>0.2</w:t>
      </w:r>
      <w:r>
        <w:rPr>
          <w:rFonts w:hint="eastAsia" w:ascii="仿宋_GB2312" w:hAnsi="仿宋" w:eastAsia="仿宋_GB2312"/>
          <w:sz w:val="32"/>
          <w:szCs w:val="32"/>
        </w:rPr>
        <w:t>万元，</w:t>
      </w:r>
      <w:r>
        <w:rPr>
          <w:rFonts w:hint="eastAsia" w:ascii="仿宋_GB2312" w:hAnsi="仿宋" w:eastAsia="仿宋_GB2312"/>
          <w:sz w:val="32"/>
          <w:szCs w:val="32"/>
          <w:lang w:eastAsia="zh-CN"/>
        </w:rPr>
        <w:t>上升</w:t>
      </w:r>
      <w:r>
        <w:rPr>
          <w:rFonts w:hint="eastAsia" w:ascii="仿宋_GB2312" w:hAnsi="仿宋" w:eastAsia="仿宋_GB2312"/>
          <w:sz w:val="32"/>
          <w:szCs w:val="32"/>
          <w:lang w:val="en-US" w:eastAsia="zh-CN"/>
        </w:rPr>
        <w:t>2.87</w:t>
      </w:r>
      <w:r>
        <w:rPr>
          <w:rFonts w:hint="eastAsia" w:ascii="仿宋_GB2312" w:hAnsi="仿宋" w:eastAsia="仿宋_GB2312"/>
          <w:sz w:val="32"/>
          <w:szCs w:val="32"/>
        </w:rPr>
        <w:t>%，主要原因是</w:t>
      </w:r>
      <w:r>
        <w:rPr>
          <w:rFonts w:hint="eastAsia" w:ascii="仿宋_GB2312" w:hAnsi="仿宋" w:eastAsia="仿宋_GB2312"/>
          <w:sz w:val="32"/>
          <w:szCs w:val="32"/>
          <w:lang w:eastAsia="zh-CN"/>
        </w:rPr>
        <w:t>搬迁办公室购置新的办公坐骑等。</w:t>
      </w:r>
      <w:r>
        <w:rPr>
          <w:rFonts w:hint="eastAsia" w:ascii="仿宋_GB2312" w:hAnsi="仿宋" w:eastAsia="仿宋_GB2312"/>
          <w:sz w:val="32"/>
          <w:szCs w:val="32"/>
        </w:rPr>
        <w:t>。</w:t>
      </w:r>
    </w:p>
    <w:p w14:paraId="4F7C8E51">
      <w:pPr>
        <w:numPr>
          <w:ilvl w:val="0"/>
          <w:numId w:val="2"/>
        </w:numPr>
        <w:adjustRightInd w:val="0"/>
        <w:snapToGrid w:val="0"/>
        <w:spacing w:line="600" w:lineRule="exact"/>
        <w:ind w:firstLine="643" w:firstLineChars="200"/>
        <w:rPr>
          <w:rFonts w:hint="eastAsia" w:ascii="仿宋_GB2312" w:hAnsi="楷体" w:eastAsia="仿宋_GB2312"/>
          <w:b/>
          <w:sz w:val="32"/>
          <w:szCs w:val="32"/>
        </w:rPr>
      </w:pPr>
      <w:r>
        <w:rPr>
          <w:rFonts w:hint="eastAsia" w:ascii="仿宋_GB2312" w:hAnsi="楷体" w:eastAsia="仿宋_GB2312"/>
          <w:b/>
          <w:sz w:val="32"/>
          <w:szCs w:val="32"/>
        </w:rPr>
        <w:t>政府采购情况</w:t>
      </w:r>
    </w:p>
    <w:p w14:paraId="4071CE14">
      <w:pPr>
        <w:adjustRightInd w:val="0"/>
        <w:snapToGrid w:val="0"/>
        <w:spacing w:line="600" w:lineRule="exact"/>
        <w:rPr>
          <w:rFonts w:hint="eastAsia" w:ascii="仿宋_GB2312" w:hAnsi="楷体" w:eastAsia="仿宋_GB2312"/>
          <w:b/>
          <w:sz w:val="32"/>
          <w:szCs w:val="32"/>
        </w:rPr>
      </w:pPr>
      <w:r>
        <w:rPr>
          <w:rFonts w:hint="eastAsia" w:ascii="仿宋_GB2312" w:hAnsi="楷体" w:eastAsia="仿宋_GB2312"/>
          <w:b/>
          <w:sz w:val="32"/>
          <w:szCs w:val="32"/>
        </w:rPr>
        <w:t xml:space="preserve">       本单位2026年预算政府采购办公设备0万元。</w:t>
      </w:r>
    </w:p>
    <w:p w14:paraId="7322B1FF">
      <w:pPr>
        <w:adjustRightInd w:val="0"/>
        <w:snapToGrid w:val="0"/>
        <w:spacing w:line="600" w:lineRule="exact"/>
        <w:ind w:firstLine="643" w:firstLineChars="200"/>
        <w:rPr>
          <w:rFonts w:hint="eastAsia" w:ascii="仿宋_GB2312" w:hAnsi="楷体" w:eastAsia="仿宋_GB2312"/>
          <w:b/>
          <w:sz w:val="32"/>
          <w:szCs w:val="32"/>
        </w:rPr>
      </w:pPr>
      <w:r>
        <w:rPr>
          <w:rFonts w:hint="eastAsia" w:ascii="仿宋_GB2312" w:hAnsi="楷体" w:eastAsia="仿宋_GB2312"/>
          <w:b/>
          <w:sz w:val="32"/>
          <w:szCs w:val="32"/>
        </w:rPr>
        <w:t>（四）国有资产占有使用情况。</w:t>
      </w:r>
    </w:p>
    <w:p w14:paraId="6DCE419D">
      <w:pPr>
        <w:adjustRightInd w:val="0"/>
        <w:snapToGrid w:val="0"/>
        <w:spacing w:line="600" w:lineRule="exact"/>
        <w:ind w:firstLine="1606" w:firstLineChars="500"/>
        <w:rPr>
          <w:rFonts w:hint="eastAsia" w:ascii="仿宋_GB2312" w:hAnsi="楷体" w:eastAsia="仿宋_GB2312"/>
          <w:b/>
          <w:sz w:val="32"/>
          <w:szCs w:val="32"/>
        </w:rPr>
      </w:pPr>
      <w:r>
        <w:rPr>
          <w:rFonts w:hint="eastAsia" w:ascii="仿宋_GB2312" w:hAnsi="楷体" w:eastAsia="仿宋_GB2312"/>
          <w:b/>
          <w:sz w:val="32"/>
          <w:szCs w:val="32"/>
        </w:rPr>
        <w:t>2026预算本单位无资产占用。</w:t>
      </w:r>
    </w:p>
    <w:p w14:paraId="7B835BF2">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（五）绩效目标设置情况。</w:t>
      </w:r>
    </w:p>
    <w:p w14:paraId="5F4D08B7">
      <w:pPr>
        <w:adjustRightInd w:val="0"/>
        <w:snapToGrid w:val="0"/>
        <w:spacing w:line="600" w:lineRule="exact"/>
        <w:ind w:firstLine="640" w:firstLineChars="200"/>
        <w:outlineLvl w:val="0"/>
        <w:rPr>
          <w:rFonts w:hint="eastAsia" w:ascii="仿宋_GB2312" w:hAnsi="仿宋" w:eastAsia="仿宋_GB2312"/>
          <w:sz w:val="32"/>
          <w:szCs w:val="32"/>
        </w:rPr>
      </w:pPr>
      <w:r>
        <w:rPr>
          <w:rFonts w:hint="eastAsia" w:ascii="仿宋_GB2312" w:hAnsi="仿宋" w:eastAsia="仿宋_GB2312"/>
          <w:sz w:val="32"/>
          <w:szCs w:val="32"/>
        </w:rPr>
        <w:t>2026年，</w:t>
      </w:r>
      <w:r>
        <w:rPr>
          <w:rFonts w:hint="eastAsia" w:ascii="仿宋_GB2312" w:hAnsi="仿宋" w:eastAsia="仿宋_GB2312" w:cs="宋体"/>
          <w:kern w:val="0"/>
          <w:sz w:val="32"/>
          <w:szCs w:val="32"/>
          <w:lang w:eastAsia="zh-CN"/>
        </w:rPr>
        <w:t>寿县农业科学研究所</w:t>
      </w:r>
      <w:r>
        <w:rPr>
          <w:rFonts w:hint="eastAsia" w:ascii="仿宋_GB2312" w:hAnsi="仿宋" w:eastAsia="仿宋_GB2312" w:cs="宋体"/>
          <w:kern w:val="0"/>
          <w:sz w:val="32"/>
          <w:szCs w:val="32"/>
        </w:rPr>
        <w:t>1</w:t>
      </w:r>
      <w:r>
        <w:rPr>
          <w:rFonts w:hint="eastAsia" w:ascii="仿宋_GB2312" w:hAnsi="仿宋" w:eastAsia="仿宋_GB2312"/>
          <w:sz w:val="32"/>
          <w:szCs w:val="32"/>
        </w:rPr>
        <w:t>个项目实行了绩效目标管理，涉及一般公共预算当年财政拨款</w:t>
      </w:r>
      <w:r>
        <w:rPr>
          <w:rFonts w:hint="eastAsia" w:ascii="仿宋_GB2312" w:hAnsi="仿宋" w:eastAsia="仿宋_GB2312"/>
          <w:sz w:val="32"/>
          <w:szCs w:val="32"/>
          <w:lang w:val="en-US" w:eastAsia="zh-CN"/>
        </w:rPr>
        <w:t>4</w:t>
      </w:r>
      <w:r>
        <w:rPr>
          <w:rFonts w:hint="eastAsia" w:ascii="仿宋_GB2312" w:hAnsi="仿宋" w:eastAsia="仿宋_GB2312"/>
          <w:sz w:val="32"/>
          <w:szCs w:val="32"/>
        </w:rPr>
        <w:t>万元。</w:t>
      </w:r>
    </w:p>
    <w:p w14:paraId="56B64EB9">
      <w:pPr>
        <w:adjustRightInd w:val="0"/>
        <w:snapToGrid w:val="0"/>
        <w:spacing w:line="600" w:lineRule="exact"/>
        <w:ind w:firstLine="1800" w:firstLineChars="500"/>
        <w:outlineLvl w:val="0"/>
        <w:rPr>
          <w:rFonts w:ascii="黑体" w:hAnsi="黑体" w:eastAsia="黑体"/>
          <w:sz w:val="36"/>
          <w:szCs w:val="36"/>
        </w:rPr>
      </w:pPr>
    </w:p>
    <w:p w14:paraId="7CF2C5F4">
      <w:pPr>
        <w:adjustRightInd w:val="0"/>
        <w:snapToGrid w:val="0"/>
        <w:spacing w:line="600" w:lineRule="exact"/>
        <w:ind w:firstLine="1800" w:firstLineChars="500"/>
        <w:outlineLvl w:val="0"/>
        <w:rPr>
          <w:rFonts w:ascii="黑体" w:hAnsi="黑体" w:eastAsia="黑体"/>
          <w:sz w:val="36"/>
          <w:szCs w:val="36"/>
        </w:rPr>
      </w:pPr>
    </w:p>
    <w:p w14:paraId="3DE42673">
      <w:pPr>
        <w:adjustRightInd w:val="0"/>
        <w:snapToGrid w:val="0"/>
        <w:spacing w:line="600" w:lineRule="exact"/>
        <w:ind w:firstLine="1800" w:firstLineChars="500"/>
        <w:outlineLvl w:val="0"/>
        <w:rPr>
          <w:rFonts w:ascii="黑体" w:hAnsi="黑体" w:eastAsia="黑体"/>
          <w:sz w:val="36"/>
          <w:szCs w:val="36"/>
        </w:rPr>
      </w:pPr>
    </w:p>
    <w:p w14:paraId="5661F2F7">
      <w:pPr>
        <w:adjustRightInd w:val="0"/>
        <w:snapToGrid w:val="0"/>
        <w:spacing w:line="600" w:lineRule="exact"/>
        <w:ind w:firstLine="1800" w:firstLineChars="500"/>
        <w:outlineLvl w:val="0"/>
        <w:rPr>
          <w:rFonts w:ascii="黑体" w:hAnsi="黑体" w:eastAsia="黑体"/>
          <w:sz w:val="36"/>
          <w:szCs w:val="36"/>
        </w:rPr>
      </w:pPr>
    </w:p>
    <w:p w14:paraId="6EE910D0">
      <w:pPr>
        <w:adjustRightInd w:val="0"/>
        <w:snapToGrid w:val="0"/>
        <w:spacing w:line="600" w:lineRule="exact"/>
        <w:ind w:firstLine="1800" w:firstLineChars="500"/>
        <w:outlineLvl w:val="0"/>
        <w:rPr>
          <w:rFonts w:ascii="黑体" w:hAnsi="黑体" w:eastAsia="黑体"/>
          <w:sz w:val="36"/>
          <w:szCs w:val="36"/>
        </w:rPr>
      </w:pPr>
    </w:p>
    <w:p w14:paraId="44AA78AD">
      <w:pPr>
        <w:adjustRightInd w:val="0"/>
        <w:snapToGrid w:val="0"/>
        <w:spacing w:line="600" w:lineRule="exact"/>
        <w:ind w:firstLine="1800" w:firstLineChars="500"/>
        <w:outlineLvl w:val="0"/>
        <w:rPr>
          <w:rFonts w:hint="eastAsia" w:ascii="TimesNewRoman" w:hAnsi="TimesNewRoman" w:eastAsia="黑体"/>
          <w:sz w:val="36"/>
          <w:szCs w:val="36"/>
        </w:rPr>
      </w:pPr>
      <w:bookmarkStart w:id="0" w:name="_GoBack"/>
      <w:bookmarkEnd w:id="0"/>
      <w:r>
        <w:rPr>
          <w:rFonts w:ascii="黑体" w:hAnsi="黑体" w:eastAsia="黑体"/>
          <w:sz w:val="36"/>
          <w:szCs w:val="36"/>
        </w:rPr>
        <w:t>第</w:t>
      </w:r>
      <w:r>
        <w:rPr>
          <w:rFonts w:hint="eastAsia" w:ascii="黑体" w:hAnsi="黑体" w:eastAsia="黑体" w:cs="TimesNewRoman"/>
          <w:sz w:val="36"/>
          <w:szCs w:val="36"/>
        </w:rPr>
        <w:t>三</w:t>
      </w:r>
      <w:r>
        <w:rPr>
          <w:rFonts w:ascii="黑体" w:hAnsi="黑体" w:eastAsia="黑体"/>
          <w:sz w:val="36"/>
          <w:szCs w:val="36"/>
        </w:rPr>
        <w:t>部分</w:t>
      </w:r>
      <w:r>
        <w:rPr>
          <w:rFonts w:hint="eastAsia" w:ascii="TimesNewRoman" w:hAnsi="TimesNewRoman" w:eastAsia="黑体" w:cs="TimesNewRoman"/>
          <w:sz w:val="36"/>
          <w:szCs w:val="36"/>
        </w:rPr>
        <w:t xml:space="preserve"> </w:t>
      </w:r>
      <w:r>
        <w:rPr>
          <w:rFonts w:ascii="黑体" w:hAnsi="黑体" w:eastAsia="黑体"/>
          <w:sz w:val="36"/>
          <w:szCs w:val="36"/>
        </w:rPr>
        <w:t>名词解释</w:t>
      </w:r>
    </w:p>
    <w:p w14:paraId="599EBC75">
      <w:pPr>
        <w:topLinePunct/>
        <w:adjustRightInd w:val="0"/>
        <w:snapToGrid w:val="0"/>
        <w:spacing w:line="560" w:lineRule="exact"/>
        <w:rPr>
          <w:rFonts w:ascii="TimesNewRoman" w:hAnsi="TimesNewRoman" w:eastAsia="黑体"/>
        </w:rPr>
      </w:pPr>
      <w:r>
        <w:rPr>
          <w:rFonts w:ascii="TimesNewRoman" w:hAnsi="TimesNewRoman" w:eastAsia="黑体"/>
        </w:rPr>
        <w:t xml:space="preserve"> </w:t>
      </w:r>
    </w:p>
    <w:p w14:paraId="4CA70165">
      <w:pPr>
        <w:topLinePunct/>
        <w:adjustRightInd w:val="0"/>
        <w:snapToGrid w:val="0"/>
        <w:spacing w:line="560" w:lineRule="exact"/>
        <w:ind w:firstLine="640" w:firstLineChars="200"/>
        <w:rPr>
          <w:rFonts w:ascii="TimesNewRoman" w:hAnsi="TimesNewRoman"/>
          <w:sz w:val="32"/>
          <w:szCs w:val="32"/>
        </w:rPr>
      </w:pPr>
      <w:r>
        <w:rPr>
          <w:rFonts w:hint="eastAsia" w:ascii="楷体_GB2312" w:hAnsi="TimesNewRoman" w:eastAsia="楷体_GB2312" w:cs="TimesNewRoman"/>
          <w:sz w:val="32"/>
          <w:szCs w:val="32"/>
        </w:rPr>
        <w:t>一、财政拨款收入</w:t>
      </w:r>
      <w:r>
        <w:rPr>
          <w:rFonts w:hint="eastAsia" w:ascii="楷体_GB2312" w:hAnsi="TimesNewRoman" w:eastAsia="楷体_GB2312" w:cs="TimesNewRoman"/>
          <w:b/>
          <w:sz w:val="32"/>
          <w:szCs w:val="32"/>
        </w:rPr>
        <w:t>：</w:t>
      </w:r>
      <w:r>
        <w:rPr>
          <w:rFonts w:ascii="宋体" w:hAnsi="宋体"/>
          <w:sz w:val="32"/>
          <w:szCs w:val="32"/>
        </w:rPr>
        <w:t>指部门或单位从同级财政部门取得的财政预算资金。</w:t>
      </w:r>
    </w:p>
    <w:p w14:paraId="76E4925D">
      <w:pPr>
        <w:pStyle w:val="3"/>
        <w:topLinePunct/>
        <w:adjustRightInd w:val="0"/>
        <w:snapToGrid w:val="0"/>
        <w:spacing w:line="560" w:lineRule="exact"/>
        <w:ind w:firstLine="627" w:firstLineChars="196"/>
        <w:jc w:val="both"/>
        <w:rPr>
          <w:rFonts w:ascii="TimesNewRoman" w:hAnsi="TimesNewRoman" w:eastAsia="黑体"/>
          <w:sz w:val="32"/>
          <w:szCs w:val="32"/>
        </w:rPr>
      </w:pPr>
      <w:r>
        <w:rPr>
          <w:rFonts w:hint="eastAsia" w:ascii="楷体_GB2312" w:hAnsi="TimesNewRoman" w:eastAsia="楷体_GB2312" w:cs="TimesNewRoman"/>
          <w:kern w:val="2"/>
          <w:sz w:val="32"/>
          <w:szCs w:val="32"/>
        </w:rPr>
        <w:t>二、事业收入：</w:t>
      </w:r>
      <w:r>
        <w:rPr>
          <w:rFonts w:ascii="仿宋_GB2312" w:hAnsi="TimesNewRoman" w:eastAsia="仿宋_GB2312"/>
          <w:sz w:val="32"/>
          <w:szCs w:val="32"/>
        </w:rPr>
        <w:t>指事业单位开展专业业务活动及辅助活动所取得的收入。</w:t>
      </w:r>
    </w:p>
    <w:p w14:paraId="2DCCC0C6">
      <w:pPr>
        <w:pStyle w:val="3"/>
        <w:topLinePunct/>
        <w:adjustRightInd w:val="0"/>
        <w:snapToGrid w:val="0"/>
        <w:spacing w:line="560" w:lineRule="exact"/>
        <w:ind w:firstLine="627" w:firstLineChars="196"/>
        <w:jc w:val="both"/>
        <w:rPr>
          <w:rFonts w:ascii="TimesNewRoman" w:hAnsi="TimesNewRoman" w:eastAsia="仿宋_GB2312"/>
          <w:sz w:val="32"/>
          <w:szCs w:val="32"/>
        </w:rPr>
      </w:pPr>
      <w:r>
        <w:rPr>
          <w:rFonts w:hint="eastAsia" w:ascii="楷体_GB2312" w:hAnsi="TimesNewRoman" w:eastAsia="楷体_GB2312" w:cs="TimesNewRoman"/>
          <w:kern w:val="2"/>
          <w:sz w:val="32"/>
          <w:szCs w:val="32"/>
        </w:rPr>
        <w:t>三、财政专户管理资金：</w:t>
      </w:r>
      <w:r>
        <w:rPr>
          <w:rFonts w:ascii="仿宋_GB2312" w:hAnsi="TimesNewRoman" w:eastAsia="仿宋_GB2312"/>
          <w:sz w:val="32"/>
          <w:szCs w:val="32"/>
        </w:rPr>
        <w:t>指按照非税收入管理相关规定，纳入财政专户管理的教育收费等。</w:t>
      </w:r>
    </w:p>
    <w:p w14:paraId="52801734">
      <w:pPr>
        <w:pStyle w:val="3"/>
        <w:topLinePunct/>
        <w:adjustRightInd w:val="0"/>
        <w:snapToGrid w:val="0"/>
        <w:spacing w:line="560" w:lineRule="exact"/>
        <w:ind w:firstLine="627" w:firstLineChars="196"/>
        <w:jc w:val="both"/>
        <w:rPr>
          <w:rFonts w:ascii="TimesNewRoman" w:hAnsi="TimesNewRoman" w:eastAsia="仿宋_GB2312"/>
          <w:sz w:val="32"/>
          <w:szCs w:val="32"/>
        </w:rPr>
      </w:pPr>
      <w:r>
        <w:rPr>
          <w:rFonts w:hint="eastAsia" w:ascii="楷体_GB2312" w:hAnsi="TimesNewRoman" w:eastAsia="楷体_GB2312" w:cs="TimesNewRoman"/>
          <w:kern w:val="2"/>
          <w:sz w:val="32"/>
          <w:szCs w:val="32"/>
        </w:rPr>
        <w:t>四、事业单位经营收入：</w:t>
      </w:r>
      <w:r>
        <w:rPr>
          <w:rFonts w:ascii="仿宋_GB2312" w:hAnsi="TimesNewRoman" w:eastAsia="仿宋_GB2312"/>
          <w:sz w:val="32"/>
          <w:szCs w:val="32"/>
        </w:rPr>
        <w:t>指事业单位在专业业务活动及其辅助活动之外开展非独立核算经营活动取得的收入。</w:t>
      </w:r>
    </w:p>
    <w:p w14:paraId="1F26FDD7">
      <w:pPr>
        <w:pStyle w:val="3"/>
        <w:topLinePunct/>
        <w:adjustRightInd w:val="0"/>
        <w:snapToGrid w:val="0"/>
        <w:spacing w:line="560" w:lineRule="exact"/>
        <w:ind w:firstLine="627" w:firstLineChars="196"/>
        <w:jc w:val="both"/>
        <w:rPr>
          <w:rFonts w:ascii="TimesNewRoman" w:hAnsi="TimesNewRoman" w:eastAsia="仿宋_GB2312"/>
          <w:sz w:val="32"/>
          <w:szCs w:val="32"/>
        </w:rPr>
      </w:pPr>
      <w:r>
        <w:rPr>
          <w:rFonts w:hint="eastAsia" w:ascii="楷体_GB2312" w:hAnsi="TimesNewRoman" w:eastAsia="楷体_GB2312" w:cs="TimesNewRoman"/>
          <w:kern w:val="2"/>
          <w:sz w:val="32"/>
          <w:szCs w:val="32"/>
        </w:rPr>
        <w:t>五、附属单位上缴收入：</w:t>
      </w:r>
      <w:r>
        <w:rPr>
          <w:rFonts w:ascii="仿宋_GB2312" w:hAnsi="TimesNewRoman" w:eastAsia="仿宋_GB2312"/>
          <w:sz w:val="32"/>
          <w:szCs w:val="32"/>
        </w:rPr>
        <w:t>本单位所属下级单位上缴给本单位的全部收入。</w:t>
      </w:r>
    </w:p>
    <w:p w14:paraId="1617AFAD">
      <w:pPr>
        <w:pStyle w:val="3"/>
        <w:topLinePunct/>
        <w:adjustRightInd w:val="0"/>
        <w:snapToGrid w:val="0"/>
        <w:spacing w:line="560" w:lineRule="exact"/>
        <w:ind w:firstLine="627" w:firstLineChars="196"/>
        <w:jc w:val="both"/>
        <w:rPr>
          <w:rFonts w:ascii="TimesNewRoman" w:hAnsi="TimesNewRoman" w:eastAsia="仿宋_GB2312"/>
          <w:sz w:val="32"/>
          <w:szCs w:val="32"/>
        </w:rPr>
      </w:pPr>
      <w:r>
        <w:rPr>
          <w:rFonts w:hint="eastAsia" w:ascii="楷体_GB2312" w:hAnsi="TimesNewRoman" w:eastAsia="楷体_GB2312" w:cs="TimesNewRoman"/>
          <w:kern w:val="2"/>
          <w:sz w:val="32"/>
          <w:szCs w:val="32"/>
        </w:rPr>
        <w:t>六、上年结转：</w:t>
      </w:r>
      <w:r>
        <w:rPr>
          <w:rFonts w:ascii="仿宋_GB2312" w:hAnsi="TimesNewRoman" w:eastAsia="仿宋_GB2312"/>
          <w:sz w:val="32"/>
          <w:szCs w:val="32"/>
        </w:rPr>
        <w:t>指以前年度安排、结转到本年仍按原用途继续使用的资金。</w:t>
      </w:r>
    </w:p>
    <w:p w14:paraId="2ACE710C">
      <w:pPr>
        <w:pStyle w:val="3"/>
        <w:topLinePunct/>
        <w:adjustRightInd w:val="0"/>
        <w:snapToGrid w:val="0"/>
        <w:spacing w:line="560" w:lineRule="exact"/>
        <w:ind w:firstLine="627" w:firstLineChars="196"/>
        <w:jc w:val="both"/>
        <w:rPr>
          <w:rFonts w:ascii="TimesNewRoman" w:hAnsi="TimesNewRoman" w:eastAsia="仿宋_GB2312"/>
          <w:sz w:val="32"/>
          <w:szCs w:val="32"/>
        </w:rPr>
      </w:pPr>
      <w:r>
        <w:rPr>
          <w:rFonts w:hint="eastAsia" w:ascii="楷体_GB2312" w:hAnsi="TimesNewRoman" w:eastAsia="楷体_GB2312" w:cs="TimesNewRoman"/>
          <w:kern w:val="2"/>
          <w:sz w:val="32"/>
          <w:szCs w:val="32"/>
        </w:rPr>
        <w:t>七、结转下年：</w:t>
      </w:r>
      <w:r>
        <w:rPr>
          <w:rFonts w:ascii="仿宋_GB2312" w:hAnsi="TimesNewRoman" w:eastAsia="仿宋_GB2312"/>
          <w:sz w:val="32"/>
          <w:szCs w:val="32"/>
        </w:rPr>
        <w:t>指以前年度预算安排、因客观条件发生变化无法按原计划实施，需以后年度按原用途继续使用的资金。</w:t>
      </w:r>
    </w:p>
    <w:p w14:paraId="56BC06DB">
      <w:pPr>
        <w:pStyle w:val="3"/>
        <w:topLinePunct/>
        <w:adjustRightInd w:val="0"/>
        <w:snapToGrid w:val="0"/>
        <w:spacing w:line="560" w:lineRule="exact"/>
        <w:ind w:firstLine="627" w:firstLineChars="196"/>
        <w:jc w:val="both"/>
        <w:rPr>
          <w:rFonts w:ascii="TimesNewRoman" w:hAnsi="TimesNewRoman" w:eastAsia="仿宋_GB2312"/>
          <w:sz w:val="32"/>
          <w:szCs w:val="32"/>
        </w:rPr>
      </w:pPr>
      <w:r>
        <w:rPr>
          <w:rFonts w:hint="eastAsia" w:ascii="楷体_GB2312" w:hAnsi="TimesNewRoman" w:eastAsia="楷体_GB2312" w:cs="TimesNewRoman"/>
          <w:kern w:val="2"/>
          <w:sz w:val="32"/>
          <w:szCs w:val="32"/>
        </w:rPr>
        <w:t>八、基本支出：</w:t>
      </w:r>
      <w:r>
        <w:rPr>
          <w:rFonts w:ascii="仿宋_GB2312" w:hAnsi="TimesNewRoman" w:eastAsia="仿宋_GB2312"/>
          <w:sz w:val="32"/>
          <w:szCs w:val="32"/>
        </w:rPr>
        <w:t>指为保障机构正常运转、完成日常工作任务而发生的人员支出和公用支出。</w:t>
      </w:r>
    </w:p>
    <w:p w14:paraId="395C759A">
      <w:pPr>
        <w:pStyle w:val="3"/>
        <w:topLinePunct/>
        <w:spacing w:line="560" w:lineRule="exact"/>
        <w:ind w:firstLine="627" w:firstLineChars="196"/>
        <w:jc w:val="both"/>
        <w:rPr>
          <w:rFonts w:ascii="TimesNewRoman" w:hAnsi="TimesNewRoman" w:eastAsia="仿宋_GB2312" w:cs="TimesNewRoman"/>
          <w:sz w:val="32"/>
          <w:szCs w:val="32"/>
        </w:rPr>
      </w:pPr>
      <w:r>
        <w:rPr>
          <w:rFonts w:hint="eastAsia" w:ascii="楷体_GB2312" w:hAnsi="TimesNewRoman" w:eastAsia="楷体_GB2312" w:cs="TimesNewRoman"/>
          <w:kern w:val="2"/>
          <w:sz w:val="32"/>
          <w:szCs w:val="32"/>
        </w:rPr>
        <w:t>九、项目支出：</w:t>
      </w:r>
      <w:r>
        <w:rPr>
          <w:rFonts w:ascii="仿宋_GB2312" w:hAnsi="TimesNewRoman" w:eastAsia="仿宋_GB2312"/>
          <w:sz w:val="32"/>
          <w:szCs w:val="32"/>
        </w:rPr>
        <w:t>指在除基本支出之外的支出，主要用于完成特定的工作任务和事业发展目标。</w:t>
      </w:r>
    </w:p>
    <w:p w14:paraId="0A013DF8">
      <w:pPr>
        <w:pStyle w:val="3"/>
        <w:topLinePunct/>
        <w:spacing w:line="560" w:lineRule="exact"/>
        <w:ind w:firstLine="627" w:firstLineChars="196"/>
        <w:jc w:val="both"/>
        <w:rPr>
          <w:rFonts w:hint="eastAsia" w:ascii="TimesNewRoman" w:hAnsi="TimesNewRoman" w:eastAsia="仿宋_GB2312"/>
          <w:sz w:val="32"/>
          <w:szCs w:val="32"/>
        </w:rPr>
      </w:pPr>
      <w:r>
        <w:rPr>
          <w:rFonts w:hint="eastAsia" w:ascii="楷体_GB2312" w:hAnsi="TimesNewRoman" w:eastAsia="楷体_GB2312" w:cs="TimesNewRoman"/>
          <w:kern w:val="2"/>
          <w:sz w:val="32"/>
          <w:szCs w:val="32"/>
        </w:rPr>
        <w:t xml:space="preserve">    十、事业运行经费:</w:t>
      </w:r>
      <w:r>
        <w:rPr>
          <w:rFonts w:ascii="仿宋_GB2312" w:hAnsi="TimesNewRoman" w:eastAsia="仿宋_GB2312"/>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7F91484F">
      <w:pPr>
        <w:pStyle w:val="3"/>
        <w:topLinePunct/>
        <w:adjustRightInd w:val="0"/>
        <w:snapToGrid w:val="0"/>
        <w:spacing w:line="560" w:lineRule="exact"/>
        <w:ind w:firstLine="627" w:firstLineChars="196"/>
        <w:jc w:val="both"/>
        <w:rPr>
          <w:rFonts w:ascii="TimesNewRoman" w:hAnsi="TimesNewRoman" w:eastAsia="仿宋_GB2312"/>
          <w:sz w:val="32"/>
          <w:szCs w:val="32"/>
        </w:rPr>
      </w:pPr>
      <w:r>
        <w:rPr>
          <w:rFonts w:hint="eastAsia" w:ascii="楷体_GB2312" w:hAnsi="TimesNewRoman" w:eastAsia="楷体_GB2312" w:cs="TimesNewRoman"/>
          <w:kern w:val="2"/>
          <w:sz w:val="32"/>
          <w:szCs w:val="32"/>
        </w:rPr>
        <w:t>十一、一般公共服务支出（类）财政事务（款）财政国库业务：</w:t>
      </w:r>
      <w:r>
        <w:rPr>
          <w:rFonts w:ascii="仿宋_GB2312" w:hAnsi="TimesNewRoman" w:eastAsia="仿宋_GB2312"/>
          <w:sz w:val="32"/>
          <w:szCs w:val="32"/>
        </w:rPr>
        <w:t>反映</w:t>
      </w:r>
      <w:r>
        <w:rPr>
          <w:rFonts w:hint="eastAsia" w:ascii="仿宋_GB2312" w:hAnsi="TimesNewRoman" w:eastAsia="仿宋_GB2312" w:cs="TimesNewRoman"/>
          <w:sz w:val="32"/>
          <w:szCs w:val="32"/>
        </w:rPr>
        <w:t>县</w:t>
      </w:r>
      <w:r>
        <w:rPr>
          <w:rFonts w:hint="eastAsia" w:ascii="仿宋_GB2312" w:hAnsi="TimesNewRoman" w:eastAsia="仿宋_GB2312" w:cs="TimesNewRoman"/>
          <w:sz w:val="32"/>
          <w:szCs w:val="32"/>
          <w:u w:val="single"/>
        </w:rPr>
        <w:t>财政局</w:t>
      </w:r>
      <w:r>
        <w:rPr>
          <w:rFonts w:ascii="仿宋_GB2312" w:hAnsi="TimesNewRoman" w:eastAsia="仿宋_GB2312"/>
          <w:sz w:val="32"/>
          <w:szCs w:val="32"/>
        </w:rPr>
        <w:t>用于国库集中收付业务方面的支出。</w:t>
      </w:r>
    </w:p>
    <w:p w14:paraId="102ABA21">
      <w:pPr>
        <w:spacing w:line="560" w:lineRule="exact"/>
        <w:rPr>
          <w:rFonts w:ascii="仿宋_GB2312" w:eastAsia="仿宋_GB2312" w:cs="宋体"/>
          <w:sz w:val="28"/>
          <w:szCs w:val="28"/>
          <w:u w:val="thick"/>
        </w:rPr>
      </w:pPr>
      <w:r>
        <w:rPr>
          <w:rFonts w:hint="eastAsia" w:ascii="仿宋_GB2312" w:eastAsia="仿宋_GB2312"/>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小标宋_GBK">
    <w:altName w:val="Times New Roman"/>
    <w:panose1 w:val="00000000000000000000"/>
    <w:charset w:val="00"/>
    <w:family w:val="auto"/>
    <w:pitch w:val="default"/>
    <w:sig w:usb0="00000000" w:usb1="00000000" w:usb2="00000000" w:usb3="00000000" w:csb0="00000000" w:csb1="00000000"/>
  </w:font>
  <w:font w:name="TimesNewRoman">
    <w:altName w:val="Times New Roman"/>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D569C3"/>
    <w:multiLevelType w:val="multilevel"/>
    <w:tmpl w:val="18D569C3"/>
    <w:lvl w:ilvl="0" w:tentative="0">
      <w:start w:val="3"/>
      <w:numFmt w:val="chineseCounting"/>
      <w:suff w:val="nothing"/>
      <w:lvlText w:val="（%1）"/>
      <w:lvlJc w:val="left"/>
      <w:pPr>
        <w:ind w:left="0" w:firstLine="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235C3FDE"/>
    <w:multiLevelType w:val="multilevel"/>
    <w:tmpl w:val="235C3FDE"/>
    <w:lvl w:ilvl="0" w:tentative="0">
      <w:start w:val="1"/>
      <w:numFmt w:val="chineseCounting"/>
      <w:suff w:val="nothing"/>
      <w:lvlText w:val="（%1）"/>
      <w:lvlJc w:val="left"/>
      <w:pPr>
        <w:ind w:left="0" w:firstLine="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Y1MjA2MGE2ZThiMTk4NmYzMTcxMzcxZWY3NDBjOGQifQ=="/>
  </w:docVars>
  <w:rsids>
    <w:rsidRoot w:val="00A63626"/>
    <w:rsid w:val="00055F38"/>
    <w:rsid w:val="002B4B9F"/>
    <w:rsid w:val="006713D3"/>
    <w:rsid w:val="00A63626"/>
    <w:rsid w:val="00C350F2"/>
    <w:rsid w:val="00CD5869"/>
    <w:rsid w:val="071705B6"/>
    <w:rsid w:val="37751C56"/>
    <w:rsid w:val="65044EB5"/>
    <w:rsid w:val="6D147833"/>
    <w:rsid w:val="7CB90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note text"/>
    <w:basedOn w:val="1"/>
    <w:link w:val="6"/>
    <w:unhideWhenUsed/>
    <w:uiPriority w:val="99"/>
    <w:pPr>
      <w:snapToGrid w:val="0"/>
      <w:jc w:val="left"/>
    </w:pPr>
    <w:rPr>
      <w:sz w:val="18"/>
      <w:szCs w:val="18"/>
    </w:rPr>
  </w:style>
  <w:style w:type="paragraph" w:styleId="3">
    <w:name w:val="Normal (Web)"/>
    <w:basedOn w:val="1"/>
    <w:autoRedefine/>
    <w:unhideWhenUsed/>
    <w:qFormat/>
    <w:uiPriority w:val="99"/>
    <w:pPr>
      <w:spacing w:before="100" w:beforeAutospacing="1" w:after="100" w:afterAutospacing="1"/>
      <w:jc w:val="left"/>
    </w:pPr>
    <w:rPr>
      <w:rFonts w:ascii="Calibri" w:hAnsi="Calibri" w:cs="宋体"/>
      <w:kern w:val="0"/>
      <w:sz w:val="24"/>
      <w:szCs w:val="24"/>
    </w:rPr>
  </w:style>
  <w:style w:type="character" w:customStyle="1" w:styleId="6">
    <w:name w:val="脚注文本 Char"/>
    <w:basedOn w:val="5"/>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13</Pages>
  <Words>3401</Words>
  <Characters>3952</Characters>
  <Lines>33</Lines>
  <Paragraphs>9</Paragraphs>
  <TotalTime>25</TotalTime>
  <ScaleCrop>false</ScaleCrop>
  <LinksUpToDate>false</LinksUpToDate>
  <CharactersWithSpaces>4157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2026-02-01T01:10:00Z</dcterms:created>
  <dc:creator>微软用户</dc:creator>
  <cp:lastModifiedBy>无语</cp:lastModifiedBy>
  <dcterms:modified xsi:type="dcterms:W3CDTF">2026-02-06T00:34:51Z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A7875041FFBC44A8AC028E629C45964E_12</vt:lpwstr>
  </property>
  <property fmtid="{D5CDD505-2E9C-101B-9397-08002B2CF9AE}" pid="4" name="KSOTemplateDocerSaveRecord">
    <vt:lpwstr>eyJoZGlkIjoiZWUwNTQ4ODNlNzdmNmRiOGM5MDExMjZiNThmYmMzMjQiLCJ1c2VySWQiOiI0NTc1ODE5MDEifQ==</vt:lpwstr>
  </property>
</Properties>
</file>