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55A56">
      <w:pPr>
        <w:spacing w:line="560" w:lineRule="exact"/>
        <w:jc w:val="center"/>
        <w:rPr>
          <w:rFonts w:hint="eastAsia" w:ascii="方正小标宋_GBK" w:hAnsi="TimesNewRoman" w:eastAsia="方正小标宋_GBK" w:cs="TimesNewRoman"/>
          <w:sz w:val="44"/>
          <w:szCs w:val="44"/>
        </w:rPr>
      </w:pPr>
    </w:p>
    <w:p w14:paraId="49456AFE">
      <w:pPr>
        <w:spacing w:line="560" w:lineRule="exact"/>
        <w:jc w:val="center"/>
        <w:rPr>
          <w:rFonts w:hint="eastAsia" w:ascii="方正小标宋_GBK" w:hAnsi="TimesNewRoman" w:eastAsia="方正小标宋_GBK" w:cs="TimesNewRoman"/>
          <w:sz w:val="44"/>
          <w:szCs w:val="44"/>
        </w:rPr>
      </w:pPr>
    </w:p>
    <w:p w14:paraId="585B5548">
      <w:pPr>
        <w:spacing w:line="560" w:lineRule="exact"/>
        <w:jc w:val="center"/>
        <w:rPr>
          <w:rFonts w:hint="eastAsia" w:ascii="方正小标宋_GBK" w:hAnsi="TimesNewRoman" w:eastAsia="方正小标宋_GBK" w:cs="TimesNewRoman"/>
          <w:sz w:val="44"/>
          <w:szCs w:val="44"/>
        </w:rPr>
      </w:pPr>
    </w:p>
    <w:p w14:paraId="594BEA73">
      <w:pPr>
        <w:spacing w:line="560" w:lineRule="exact"/>
        <w:jc w:val="center"/>
        <w:rPr>
          <w:rFonts w:hint="eastAsia" w:ascii="方正小标宋_GBK" w:hAnsi="TimesNewRoman" w:eastAsia="方正小标宋_GBK" w:cs="TimesNewRoman"/>
          <w:sz w:val="44"/>
          <w:szCs w:val="44"/>
        </w:rPr>
      </w:pPr>
    </w:p>
    <w:p w14:paraId="6D84CA00">
      <w:pPr>
        <w:spacing w:line="560" w:lineRule="exact"/>
        <w:jc w:val="center"/>
        <w:rPr>
          <w:rFonts w:hint="eastAsia" w:ascii="Arial Unicode MS" w:hAnsi="Arial Unicode MS" w:eastAsia="Arial Unicode MS" w:cs="TimesNewRoman"/>
          <w:sz w:val="44"/>
          <w:szCs w:val="44"/>
        </w:rPr>
      </w:pPr>
      <w:r>
        <w:rPr>
          <w:rFonts w:hint="eastAsia" w:ascii="Arial Unicode MS" w:hAnsi="Arial Unicode MS" w:eastAsia="Arial Unicode MS" w:cs="TimesNewRoman"/>
          <w:sz w:val="44"/>
          <w:szCs w:val="44"/>
        </w:rPr>
        <w:t>寿县</w:t>
      </w:r>
      <w:r>
        <w:rPr>
          <w:rFonts w:hint="eastAsia" w:ascii="Arial Unicode MS" w:hAnsi="Arial Unicode MS" w:eastAsia="Arial Unicode MS" w:cs="TimesNewRoman"/>
          <w:sz w:val="44"/>
          <w:szCs w:val="44"/>
          <w:lang w:val="en-US" w:eastAsia="zh-CN"/>
        </w:rPr>
        <w:t>农村能源服务中心</w:t>
      </w:r>
      <w:r>
        <w:rPr>
          <w:rFonts w:hint="eastAsia" w:ascii="Arial Unicode MS" w:hAnsi="Arial Unicode MS" w:eastAsia="Arial Unicode MS" w:cs="TimesNewRoman"/>
          <w:sz w:val="44"/>
          <w:szCs w:val="44"/>
          <w:lang w:eastAsia="zh-CN"/>
        </w:rPr>
        <w:t>2026</w:t>
      </w:r>
      <w:r>
        <w:rPr>
          <w:rFonts w:hint="eastAsia" w:ascii="Arial Unicode MS" w:hAnsi="Arial Unicode MS" w:eastAsia="Arial Unicode MS" w:cs="TimesNewRoman"/>
          <w:sz w:val="44"/>
          <w:szCs w:val="44"/>
        </w:rPr>
        <w:t>年</w:t>
      </w:r>
      <w:r>
        <w:rPr>
          <w:rFonts w:hint="eastAsia" w:ascii="Arial Unicode MS" w:hAnsi="Arial Unicode MS" w:eastAsia="Arial Unicode MS" w:cs="TimesNewRoman"/>
          <w:sz w:val="44"/>
          <w:szCs w:val="44"/>
          <w:lang w:eastAsia="zh-CN"/>
        </w:rPr>
        <w:t>单位</w:t>
      </w:r>
      <w:r>
        <w:rPr>
          <w:rFonts w:hint="eastAsia" w:ascii="Arial Unicode MS" w:hAnsi="Arial Unicode MS" w:eastAsia="Arial Unicode MS" w:cs="TimesNewRoman"/>
          <w:sz w:val="44"/>
          <w:szCs w:val="44"/>
        </w:rPr>
        <w:t>预算</w:t>
      </w:r>
    </w:p>
    <w:p w14:paraId="19B49650">
      <w:pPr>
        <w:pStyle w:val="3"/>
        <w:adjustRightInd w:val="0"/>
        <w:snapToGrid w:val="0"/>
        <w:spacing w:line="560" w:lineRule="exact"/>
        <w:jc w:val="center"/>
        <w:outlineLvl w:val="0"/>
        <w:rPr>
          <w:rFonts w:hint="eastAsia" w:ascii="Arial Unicode MS" w:hAnsi="Arial Unicode MS" w:eastAsia="Arial Unicode MS" w:cs="TimesNewRoman"/>
          <w:sz w:val="32"/>
          <w:szCs w:val="32"/>
        </w:rPr>
      </w:pPr>
    </w:p>
    <w:p w14:paraId="4B6912A2">
      <w:pPr>
        <w:pStyle w:val="3"/>
        <w:adjustRightInd w:val="0"/>
        <w:snapToGrid w:val="0"/>
        <w:spacing w:line="560" w:lineRule="exact"/>
        <w:jc w:val="center"/>
        <w:rPr>
          <w:rFonts w:hint="eastAsia" w:ascii="仿宋_GB2312" w:hAnsi="TimesNewRoman" w:eastAsia="仿宋_GB2312" w:cs="TimesNewRoman"/>
          <w:bCs/>
          <w:sz w:val="32"/>
          <w:szCs w:val="32"/>
        </w:rPr>
      </w:pPr>
    </w:p>
    <w:p w14:paraId="53ECF297">
      <w:pPr>
        <w:pStyle w:val="3"/>
        <w:adjustRightInd w:val="0"/>
        <w:snapToGrid w:val="0"/>
        <w:spacing w:line="560" w:lineRule="exact"/>
        <w:jc w:val="center"/>
        <w:rPr>
          <w:rFonts w:hint="eastAsia" w:ascii="仿宋_GB2312" w:hAnsi="TimesNewRoman" w:eastAsia="仿宋_GB2312" w:cs="TimesNewRoman"/>
          <w:bCs/>
          <w:sz w:val="32"/>
          <w:szCs w:val="32"/>
        </w:rPr>
      </w:pPr>
    </w:p>
    <w:p w14:paraId="37A9D97E">
      <w:pPr>
        <w:pStyle w:val="3"/>
        <w:adjustRightInd w:val="0"/>
        <w:snapToGrid w:val="0"/>
        <w:spacing w:line="560" w:lineRule="exact"/>
        <w:jc w:val="center"/>
        <w:rPr>
          <w:rFonts w:hint="eastAsia" w:ascii="仿宋_GB2312" w:hAnsi="TimesNewRoman" w:eastAsia="仿宋_GB2312" w:cs="TimesNewRoman"/>
          <w:bCs/>
          <w:sz w:val="32"/>
          <w:szCs w:val="32"/>
        </w:rPr>
      </w:pPr>
    </w:p>
    <w:p w14:paraId="462A51C8">
      <w:pPr>
        <w:pStyle w:val="3"/>
        <w:adjustRightInd w:val="0"/>
        <w:snapToGrid w:val="0"/>
        <w:spacing w:line="560" w:lineRule="exact"/>
        <w:jc w:val="center"/>
        <w:rPr>
          <w:rFonts w:hint="eastAsia" w:ascii="仿宋_GB2312" w:hAnsi="TimesNewRoman" w:eastAsia="仿宋_GB2312" w:cs="TimesNewRoman"/>
          <w:bCs/>
          <w:sz w:val="32"/>
          <w:szCs w:val="32"/>
        </w:rPr>
      </w:pPr>
    </w:p>
    <w:p w14:paraId="12F07B93">
      <w:pPr>
        <w:pStyle w:val="3"/>
        <w:adjustRightInd w:val="0"/>
        <w:snapToGrid w:val="0"/>
        <w:spacing w:line="560" w:lineRule="exact"/>
        <w:jc w:val="center"/>
        <w:rPr>
          <w:rFonts w:hint="eastAsia" w:ascii="仿宋_GB2312" w:hAnsi="TimesNewRoman" w:eastAsia="仿宋_GB2312" w:cs="TimesNewRoman"/>
          <w:bCs/>
          <w:sz w:val="32"/>
          <w:szCs w:val="32"/>
        </w:rPr>
      </w:pPr>
    </w:p>
    <w:p w14:paraId="2909FAB1">
      <w:pPr>
        <w:pStyle w:val="3"/>
        <w:adjustRightInd w:val="0"/>
        <w:snapToGrid w:val="0"/>
        <w:spacing w:line="560" w:lineRule="exact"/>
        <w:jc w:val="center"/>
        <w:rPr>
          <w:rFonts w:hint="eastAsia" w:ascii="仿宋_GB2312" w:hAnsi="TimesNewRoman" w:eastAsia="仿宋_GB2312" w:cs="TimesNewRoman"/>
          <w:bCs/>
          <w:sz w:val="32"/>
          <w:szCs w:val="32"/>
        </w:rPr>
      </w:pPr>
    </w:p>
    <w:p w14:paraId="664E84F8">
      <w:pPr>
        <w:pStyle w:val="3"/>
        <w:adjustRightInd w:val="0"/>
        <w:snapToGrid w:val="0"/>
        <w:spacing w:line="560" w:lineRule="exact"/>
        <w:jc w:val="center"/>
        <w:rPr>
          <w:rFonts w:hint="eastAsia" w:ascii="仿宋_GB2312" w:hAnsi="TimesNewRoman" w:eastAsia="仿宋_GB2312" w:cs="TimesNewRoman"/>
          <w:bCs/>
          <w:sz w:val="32"/>
          <w:szCs w:val="32"/>
        </w:rPr>
      </w:pPr>
    </w:p>
    <w:p w14:paraId="7D90FF89">
      <w:pPr>
        <w:pStyle w:val="3"/>
        <w:adjustRightInd w:val="0"/>
        <w:snapToGrid w:val="0"/>
        <w:spacing w:line="560" w:lineRule="exact"/>
        <w:jc w:val="center"/>
        <w:rPr>
          <w:rFonts w:hint="eastAsia" w:ascii="仿宋_GB2312" w:hAnsi="TimesNewRoman" w:eastAsia="仿宋_GB2312" w:cs="TimesNewRoman"/>
          <w:bCs/>
          <w:sz w:val="32"/>
          <w:szCs w:val="32"/>
        </w:rPr>
      </w:pPr>
    </w:p>
    <w:p w14:paraId="390C773C">
      <w:pPr>
        <w:pStyle w:val="3"/>
        <w:adjustRightInd w:val="0"/>
        <w:snapToGrid w:val="0"/>
        <w:spacing w:line="560" w:lineRule="exact"/>
        <w:jc w:val="center"/>
        <w:rPr>
          <w:rFonts w:hint="eastAsia" w:ascii="仿宋_GB2312" w:hAnsi="TimesNewRoman" w:eastAsia="仿宋_GB2312" w:cs="TimesNewRoman"/>
          <w:bCs/>
          <w:sz w:val="32"/>
          <w:szCs w:val="32"/>
        </w:rPr>
      </w:pPr>
    </w:p>
    <w:p w14:paraId="5F2DB5EE">
      <w:pPr>
        <w:pStyle w:val="3"/>
        <w:adjustRightInd w:val="0"/>
        <w:snapToGrid w:val="0"/>
        <w:spacing w:line="560" w:lineRule="exact"/>
        <w:jc w:val="center"/>
        <w:rPr>
          <w:rFonts w:hint="eastAsia" w:ascii="仿宋_GB2312" w:hAnsi="TimesNewRoman" w:eastAsia="仿宋_GB2312" w:cs="TimesNewRoman"/>
          <w:bCs/>
          <w:sz w:val="32"/>
          <w:szCs w:val="32"/>
        </w:rPr>
      </w:pPr>
    </w:p>
    <w:p w14:paraId="5000E6F8">
      <w:pPr>
        <w:pStyle w:val="3"/>
        <w:adjustRightInd w:val="0"/>
        <w:snapToGrid w:val="0"/>
        <w:spacing w:line="560" w:lineRule="exact"/>
        <w:jc w:val="center"/>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年1月</w:t>
      </w:r>
    </w:p>
    <w:p w14:paraId="17C9EEB9">
      <w:pPr>
        <w:pStyle w:val="3"/>
        <w:adjustRightInd w:val="0"/>
        <w:snapToGrid w:val="0"/>
        <w:spacing w:line="560" w:lineRule="exact"/>
        <w:jc w:val="center"/>
        <w:rPr>
          <w:rFonts w:hint="eastAsia" w:ascii="仿宋_GB2312" w:hAnsi="TimesNewRoman" w:eastAsia="仿宋_GB2312" w:cs="TimesNewRoman"/>
          <w:bCs/>
          <w:sz w:val="32"/>
          <w:szCs w:val="32"/>
        </w:rPr>
      </w:pPr>
    </w:p>
    <w:p w14:paraId="248C83AB">
      <w:pPr>
        <w:pStyle w:val="3"/>
        <w:adjustRightInd w:val="0"/>
        <w:snapToGrid w:val="0"/>
        <w:spacing w:line="560" w:lineRule="exact"/>
        <w:jc w:val="center"/>
        <w:rPr>
          <w:rFonts w:hint="eastAsia" w:ascii="方正小标宋_GBK" w:hAnsi="TimesNewRoman" w:eastAsia="方正小标宋_GBK" w:cs="TimesNewRoman"/>
          <w:bCs/>
          <w:sz w:val="40"/>
          <w:szCs w:val="44"/>
        </w:rPr>
      </w:pPr>
      <w:bookmarkStart w:id="0" w:name="_GoBack"/>
      <w:bookmarkEnd w:id="0"/>
      <w:r>
        <w:rPr>
          <w:rFonts w:hint="eastAsia" w:ascii="方正小标宋_GBK" w:hAnsi="TimesNewRoman" w:eastAsia="方正小标宋_GBK" w:cs="TimesNewRoman"/>
          <w:bCs/>
          <w:sz w:val="40"/>
          <w:szCs w:val="44"/>
        </w:rPr>
        <w:t>目  录</w:t>
      </w:r>
    </w:p>
    <w:p w14:paraId="20475409">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p>
    <w:p w14:paraId="1EF464AB">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 xml:space="preserve">第一部分 </w:t>
      </w:r>
      <w:r>
        <w:rPr>
          <w:rFonts w:hint="eastAsia" w:ascii="黑体" w:hAnsi="黑体" w:eastAsia="黑体" w:cs="TimesNewRoman"/>
          <w:sz w:val="32"/>
          <w:szCs w:val="32"/>
          <w:lang w:eastAsia="zh-CN"/>
        </w:rPr>
        <w:t>单位</w:t>
      </w:r>
      <w:r>
        <w:rPr>
          <w:rFonts w:ascii="黑体" w:hAnsi="黑体" w:eastAsia="黑体" w:cs="TimesNewRoman"/>
          <w:sz w:val="32"/>
          <w:szCs w:val="32"/>
        </w:rPr>
        <w:t>概况</w:t>
      </w:r>
    </w:p>
    <w:p w14:paraId="0048CEFD">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1.主要职责</w:t>
      </w:r>
    </w:p>
    <w:p w14:paraId="48C174F2">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2.</w:t>
      </w:r>
      <w:r>
        <w:rPr>
          <w:rFonts w:hint="eastAsia" w:ascii="仿宋_GB2312" w:hAnsi="TimesNewRoman" w:eastAsia="仿宋_GB2312" w:cs="TimesNewRoman"/>
          <w:bCs/>
          <w:sz w:val="32"/>
          <w:szCs w:val="32"/>
          <w:lang w:eastAsia="zh-CN"/>
        </w:rPr>
        <w:t>单位</w:t>
      </w:r>
      <w:r>
        <w:rPr>
          <w:rFonts w:hint="eastAsia" w:ascii="仿宋_GB2312" w:hAnsi="TimesNewRoman" w:eastAsia="仿宋_GB2312" w:cs="TimesNewRoman"/>
          <w:bCs/>
          <w:sz w:val="32"/>
          <w:szCs w:val="32"/>
        </w:rPr>
        <w:t>预算构成</w:t>
      </w:r>
    </w:p>
    <w:p w14:paraId="6FE4205E">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bCs/>
          <w:sz w:val="32"/>
          <w:szCs w:val="32"/>
        </w:rPr>
      </w:pPr>
      <w:r>
        <w:rPr>
          <w:rFonts w:hint="eastAsia" w:ascii="仿宋_GB2312" w:hAnsi="TimesNewRoman" w:eastAsia="仿宋_GB2312" w:cs="TimesNewRoman"/>
          <w:bCs/>
          <w:sz w:val="32"/>
          <w:szCs w:val="32"/>
        </w:rPr>
        <w:t>3.</w:t>
      </w: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年度主要工作任务</w:t>
      </w:r>
    </w:p>
    <w:p w14:paraId="3943126B">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二</w:t>
      </w:r>
      <w:r>
        <w:rPr>
          <w:rFonts w:ascii="黑体" w:hAnsi="黑体" w:eastAsia="黑体" w:cs="TimesNewRoman"/>
          <w:sz w:val="32"/>
          <w:szCs w:val="32"/>
        </w:rPr>
        <w:t xml:space="preserve">部分 </w:t>
      </w:r>
      <w:r>
        <w:rPr>
          <w:rFonts w:hint="eastAsia" w:ascii="黑体" w:hAnsi="黑体" w:eastAsia="黑体" w:cs="TimesNewRoman"/>
          <w:sz w:val="32"/>
          <w:szCs w:val="32"/>
          <w:lang w:eastAsia="zh-CN"/>
        </w:rPr>
        <w:t>2026</w:t>
      </w:r>
      <w:r>
        <w:rPr>
          <w:rFonts w:ascii="黑体" w:hAnsi="黑体" w:eastAsia="黑体" w:cs="TimesNewRoman"/>
          <w:sz w:val="32"/>
          <w:szCs w:val="32"/>
        </w:rPr>
        <w:t>年</w:t>
      </w:r>
      <w:r>
        <w:rPr>
          <w:rFonts w:hint="eastAsia" w:ascii="黑体" w:hAnsi="黑体" w:eastAsia="黑体" w:cs="TimesNewRoman"/>
          <w:sz w:val="32"/>
          <w:szCs w:val="32"/>
          <w:lang w:eastAsia="zh-CN"/>
        </w:rPr>
        <w:t>单位</w:t>
      </w:r>
      <w:r>
        <w:rPr>
          <w:rFonts w:ascii="黑体" w:hAnsi="黑体" w:eastAsia="黑体" w:cs="TimesNewRoman"/>
          <w:sz w:val="32"/>
          <w:szCs w:val="32"/>
        </w:rPr>
        <w:t>预算情况说明</w:t>
      </w:r>
    </w:p>
    <w:p w14:paraId="5D1B263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年收支总表的说明</w:t>
      </w:r>
    </w:p>
    <w:p w14:paraId="09D8B66C">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2.关于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年收入总表的说明</w:t>
      </w:r>
    </w:p>
    <w:p w14:paraId="6D0211CF">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3.关于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年支出总表的说明</w:t>
      </w:r>
    </w:p>
    <w:p w14:paraId="7F86149E">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4.关于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年财政拨款收支总表的说明</w:t>
      </w:r>
    </w:p>
    <w:p w14:paraId="1FC6D344">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5.关于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年一般公共预算支出表的说明</w:t>
      </w:r>
    </w:p>
    <w:p w14:paraId="69D8ED30">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6.关于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年一般公共预算基本支出表的说明</w:t>
      </w:r>
    </w:p>
    <w:p w14:paraId="3F7550AE">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7.关于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年政府性基金预算支出表的说明</w:t>
      </w:r>
    </w:p>
    <w:p w14:paraId="1ABACBFB">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8.关于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年国有资本经营预算支出表的说明</w:t>
      </w:r>
    </w:p>
    <w:p w14:paraId="42B95F60">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9.关于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年项目支出表的说明</w:t>
      </w:r>
    </w:p>
    <w:p w14:paraId="1C84D70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10.关于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年政府采购支出表的说明</w:t>
      </w:r>
    </w:p>
    <w:p w14:paraId="35C9C062">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11.关于</w:t>
      </w:r>
      <w:r>
        <w:rPr>
          <w:rFonts w:hint="eastAsia" w:ascii="仿宋_GB2312" w:hAnsi="TimesNewRoman" w:eastAsia="仿宋_GB2312" w:cs="TimesNewRoman"/>
          <w:bCs/>
          <w:sz w:val="32"/>
          <w:szCs w:val="32"/>
          <w:lang w:eastAsia="zh-CN"/>
        </w:rPr>
        <w:t>2026</w:t>
      </w:r>
      <w:r>
        <w:rPr>
          <w:rFonts w:ascii="仿宋_GB2312" w:hAnsi="TimesNewRoman" w:eastAsia="仿宋_GB2312" w:cs="TimesNewRoman"/>
          <w:bCs/>
          <w:sz w:val="32"/>
          <w:szCs w:val="32"/>
        </w:rPr>
        <w:t>年政府购买服务支出表的说明</w:t>
      </w:r>
    </w:p>
    <w:p w14:paraId="4776E463">
      <w:pPr>
        <w:pStyle w:val="3"/>
        <w:topLinePunct/>
        <w:adjustRightInd w:val="0"/>
        <w:snapToGrid w:val="0"/>
        <w:spacing w:beforeAutospacing="0" w:afterAutospacing="0" w:line="560" w:lineRule="exact"/>
        <w:ind w:firstLine="640" w:firstLineChars="200"/>
        <w:jc w:val="both"/>
        <w:rPr>
          <w:rFonts w:hint="default" w:ascii="仿宋_GB2312" w:hAnsi="TimesNewRoman" w:eastAsia="仿宋_GB2312" w:cs="TimesNewRoman"/>
          <w:bCs/>
          <w:sz w:val="32"/>
          <w:szCs w:val="32"/>
          <w:lang w:val="en-US" w:eastAsia="zh-CN"/>
        </w:rPr>
      </w:pPr>
      <w:r>
        <w:rPr>
          <w:rFonts w:hint="eastAsia" w:ascii="仿宋_GB2312" w:hAnsi="TimesNewRoman" w:eastAsia="仿宋_GB2312" w:cs="TimesNewRoman"/>
          <w:bCs/>
          <w:sz w:val="32"/>
          <w:szCs w:val="32"/>
          <w:lang w:val="en-US" w:eastAsia="zh-CN"/>
        </w:rPr>
        <w:t>12.关于2026年一般公共预算“三公”经费支出情况说明</w:t>
      </w:r>
    </w:p>
    <w:p w14:paraId="75ABD326">
      <w:pPr>
        <w:pStyle w:val="3"/>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_GB2312" w:hAnsi="TimesNewRoman" w:eastAsia="仿宋_GB2312" w:cs="TimesNewRoman"/>
          <w:bCs/>
          <w:sz w:val="32"/>
          <w:szCs w:val="32"/>
        </w:rPr>
        <w:t>1</w:t>
      </w:r>
      <w:r>
        <w:rPr>
          <w:rFonts w:hint="eastAsia" w:ascii="仿宋_GB2312" w:hAnsi="TimesNewRoman" w:eastAsia="仿宋_GB2312" w:cs="TimesNewRoman"/>
          <w:bCs/>
          <w:sz w:val="32"/>
          <w:szCs w:val="32"/>
          <w:lang w:val="en-US" w:eastAsia="zh-CN"/>
        </w:rPr>
        <w:t>3</w:t>
      </w:r>
      <w:r>
        <w:rPr>
          <w:rFonts w:ascii="仿宋_GB2312" w:hAnsi="TimesNewRoman" w:eastAsia="仿宋_GB2312" w:cs="TimesNewRoman"/>
          <w:bCs/>
          <w:sz w:val="32"/>
          <w:szCs w:val="32"/>
        </w:rPr>
        <w:t>.其他重要事项情况说明</w:t>
      </w:r>
    </w:p>
    <w:p w14:paraId="5E256F90">
      <w:pPr>
        <w:widowControl w:val="0"/>
        <w:topLinePunct/>
        <w:adjustRightInd w:val="0"/>
        <w:snapToGrid w:val="0"/>
        <w:spacing w:beforeAutospacing="0" w:afterAutospacing="0" w:line="560" w:lineRule="exact"/>
        <w:ind w:firstLine="640" w:firstLineChars="200"/>
        <w:jc w:val="both"/>
        <w:rPr>
          <w:rFonts w:ascii="仿宋_GB2312" w:hAnsi="TimesNewRoman" w:eastAsia="仿宋_GB2312" w:cs="TimesNewRoman"/>
          <w:bCs/>
          <w:sz w:val="32"/>
          <w:szCs w:val="32"/>
        </w:rPr>
      </w:pPr>
      <w:r>
        <w:rPr>
          <w:rFonts w:ascii="仿宋" w:hAnsi="仿宋" w:eastAsia="仿宋" w:cs="仿宋"/>
          <w:b w:val="0"/>
          <w:bCs w:val="0"/>
          <w:i w:val="0"/>
          <w:iCs w:val="0"/>
          <w:caps w:val="0"/>
          <w:color w:val="auto"/>
          <w:spacing w:val="0"/>
          <w:kern w:val="0"/>
          <w:sz w:val="32"/>
          <w:szCs w:val="32"/>
          <w:shd w:val="clear" w:color="auto" w:fill="FFFFFF"/>
          <w:lang w:val="en-US" w:eastAsia="zh-CN" w:bidi="ar-SA"/>
        </w:rPr>
        <w:t>（</w:t>
      </w:r>
      <w:r>
        <w:rPr>
          <w:rFonts w:hint="eastAsia" w:ascii="仿宋" w:hAnsi="仿宋" w:eastAsia="仿宋" w:cs="仿宋"/>
          <w:b w:val="0"/>
          <w:bCs w:val="0"/>
          <w:i w:val="0"/>
          <w:iCs w:val="0"/>
          <w:caps w:val="0"/>
          <w:color w:val="auto"/>
          <w:spacing w:val="0"/>
          <w:kern w:val="0"/>
          <w:sz w:val="32"/>
          <w:szCs w:val="32"/>
          <w:shd w:val="clear" w:color="auto" w:fill="FFFFFF"/>
          <w:lang w:val="en-US" w:eastAsia="zh-CN" w:bidi="ar-SA"/>
        </w:rPr>
        <w:t>2026年预算表见附件）</w:t>
      </w:r>
    </w:p>
    <w:p w14:paraId="4A65D215">
      <w:pPr>
        <w:pStyle w:val="3"/>
        <w:topLinePunct/>
        <w:adjustRightInd w:val="0"/>
        <w:snapToGrid w:val="0"/>
        <w:spacing w:beforeAutospacing="0" w:afterAutospacing="0" w:line="560" w:lineRule="exact"/>
        <w:ind w:firstLine="640" w:firstLineChars="200"/>
        <w:jc w:val="both"/>
        <w:rPr>
          <w:rFonts w:ascii="黑体" w:hAnsi="黑体" w:eastAsia="黑体" w:cs="TimesNewRoman"/>
          <w:sz w:val="32"/>
          <w:szCs w:val="32"/>
        </w:rPr>
      </w:pPr>
      <w:r>
        <w:rPr>
          <w:rFonts w:ascii="黑体" w:hAnsi="黑体" w:eastAsia="黑体" w:cs="TimesNewRoman"/>
          <w:sz w:val="32"/>
          <w:szCs w:val="32"/>
        </w:rPr>
        <w:t>第</w:t>
      </w:r>
      <w:r>
        <w:rPr>
          <w:rFonts w:hint="eastAsia" w:ascii="黑体" w:hAnsi="黑体" w:eastAsia="黑体" w:cs="TimesNewRoman"/>
          <w:sz w:val="32"/>
          <w:szCs w:val="32"/>
        </w:rPr>
        <w:t>三</w:t>
      </w:r>
      <w:r>
        <w:rPr>
          <w:rFonts w:ascii="黑体" w:hAnsi="黑体" w:eastAsia="黑体" w:cs="TimesNewRoman"/>
          <w:sz w:val="32"/>
          <w:szCs w:val="32"/>
        </w:rPr>
        <w:t>部分 名词解释</w:t>
      </w:r>
    </w:p>
    <w:p w14:paraId="4E9698B2">
      <w:pPr>
        <w:pStyle w:val="3"/>
        <w:topLinePunct/>
        <w:adjustRightInd w:val="0"/>
        <w:snapToGrid w:val="0"/>
        <w:spacing w:beforeAutospacing="0" w:afterAutospacing="0" w:line="560" w:lineRule="exact"/>
        <w:ind w:firstLine="643" w:firstLineChars="200"/>
        <w:jc w:val="both"/>
        <w:rPr>
          <w:rFonts w:ascii="TimesNewRoman" w:hAnsi="TimesNewRoman" w:eastAsia="仿宋_GB2312" w:cs="TimesNewRoman"/>
          <w:b/>
          <w:sz w:val="32"/>
          <w:szCs w:val="32"/>
        </w:rPr>
      </w:pPr>
    </w:p>
    <w:p w14:paraId="53D77C84">
      <w:pPr>
        <w:pStyle w:val="3"/>
        <w:topLinePunct/>
        <w:adjustRightInd w:val="0"/>
        <w:snapToGrid w:val="0"/>
        <w:spacing w:beforeAutospacing="0" w:afterAutospacing="0" w:line="560" w:lineRule="exact"/>
        <w:jc w:val="both"/>
        <w:rPr>
          <w:rFonts w:ascii="TimesNewRoman" w:hAnsi="TimesNewRoman" w:eastAsia="黑体" w:cs="TimesNewRoman"/>
          <w:bCs/>
          <w:sz w:val="36"/>
          <w:szCs w:val="36"/>
        </w:rPr>
      </w:pPr>
    </w:p>
    <w:p w14:paraId="2736AC4C">
      <w:pPr>
        <w:pStyle w:val="3"/>
        <w:topLinePunct/>
        <w:adjustRightInd w:val="0"/>
        <w:snapToGrid w:val="0"/>
        <w:spacing w:beforeAutospacing="0" w:afterAutospacing="0" w:line="560" w:lineRule="exact"/>
        <w:ind w:firstLine="2520" w:firstLineChars="700"/>
        <w:jc w:val="both"/>
        <w:rPr>
          <w:rFonts w:ascii="TimesNewRoman" w:hAnsi="TimesNewRoman" w:eastAsia="黑体" w:cs="TimesNewRoman"/>
          <w:bCs/>
          <w:sz w:val="36"/>
          <w:szCs w:val="36"/>
        </w:rPr>
      </w:pPr>
      <w:r>
        <w:rPr>
          <w:rFonts w:ascii="TimesNewRoman" w:hAnsi="TimesNewRoman" w:eastAsia="黑体" w:cs="TimesNewRoman"/>
          <w:bCs/>
          <w:sz w:val="36"/>
          <w:szCs w:val="36"/>
        </w:rPr>
        <w:t xml:space="preserve">第一部分 </w:t>
      </w:r>
      <w:r>
        <w:rPr>
          <w:rFonts w:hint="eastAsia" w:ascii="TimesNewRoman" w:hAnsi="TimesNewRoman" w:eastAsia="黑体" w:cs="TimesNewRoman"/>
          <w:bCs/>
          <w:sz w:val="36"/>
          <w:szCs w:val="36"/>
          <w:lang w:eastAsia="zh-CN"/>
        </w:rPr>
        <w:t>单位</w:t>
      </w:r>
      <w:r>
        <w:rPr>
          <w:rFonts w:ascii="TimesNewRoman" w:hAnsi="TimesNewRoman" w:eastAsia="黑体" w:cs="TimesNewRoman"/>
          <w:bCs/>
          <w:sz w:val="36"/>
          <w:szCs w:val="36"/>
        </w:rPr>
        <w:t>概况</w:t>
      </w:r>
    </w:p>
    <w:p w14:paraId="04E31631">
      <w:pPr>
        <w:pStyle w:val="3"/>
        <w:topLinePunct/>
        <w:adjustRightInd w:val="0"/>
        <w:snapToGrid w:val="0"/>
        <w:spacing w:beforeAutospacing="0" w:afterAutospacing="0" w:line="560" w:lineRule="exact"/>
        <w:ind w:firstLine="627" w:firstLineChars="196"/>
        <w:jc w:val="both"/>
        <w:rPr>
          <w:rFonts w:ascii="TimesNewRoman" w:hAnsi="TimesNewRoman" w:eastAsia="黑体" w:cs="TimesNewRoman"/>
          <w:bCs/>
          <w:sz w:val="32"/>
          <w:szCs w:val="32"/>
        </w:rPr>
      </w:pPr>
    </w:p>
    <w:p w14:paraId="3B253A6F">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一、主要职责</w:t>
      </w:r>
    </w:p>
    <w:p w14:paraId="7EC2B692">
      <w:pPr>
        <w:pStyle w:val="3"/>
        <w:topLinePunct/>
        <w:adjustRightInd w:val="0"/>
        <w:snapToGrid w:val="0"/>
        <w:spacing w:beforeAutospacing="0" w:afterAutospacing="0" w:line="580" w:lineRule="exact"/>
        <w:ind w:firstLine="640" w:firstLineChars="200"/>
        <w:jc w:val="both"/>
        <w:rPr>
          <w:rFonts w:hint="eastAsia" w:ascii="仿宋_GB2312" w:hAnsi="华文仿宋" w:eastAsia="仿宋_GB2312"/>
          <w:color w:val="auto"/>
          <w:sz w:val="32"/>
          <w:szCs w:val="32"/>
          <w:lang w:eastAsia="zh-CN"/>
        </w:rPr>
      </w:pPr>
      <w:r>
        <w:rPr>
          <w:rFonts w:hint="eastAsia" w:ascii="仿宋_GB2312" w:hAnsi="华文仿宋" w:eastAsia="仿宋_GB2312"/>
          <w:color w:val="auto"/>
          <w:sz w:val="32"/>
          <w:szCs w:val="32"/>
          <w:lang w:eastAsia="zh-CN"/>
        </w:rPr>
        <w:t>1、宣传贯彻实施有关农村能源建设与管理的法规;2、编报农村能源科技开发，计划和组织实施；负责农村能源统计工作；3、组织指导农村能源科技开发，技术推广，开展技术培训，科普宣传和科技服务；4、指导与扶持农村能源产业的发展，负责审核实施农村能源工程技术项目并监督实施；5、配合建设工商管理科技监督等有关单位加强农村能源技术产品及工程标准质量的监督管理;6、法律法规规定的其他职责。</w:t>
      </w:r>
    </w:p>
    <w:p w14:paraId="661D15E7">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bCs/>
          <w:sz w:val="32"/>
          <w:szCs w:val="32"/>
        </w:rPr>
      </w:pPr>
      <w:r>
        <w:rPr>
          <w:rFonts w:hint="eastAsia" w:ascii="楷体_GB2312" w:hAnsi="TimesNewRoman" w:eastAsia="楷体_GB2312" w:cs="TimesNewRoman"/>
          <w:b/>
          <w:bCs/>
          <w:sz w:val="32"/>
          <w:szCs w:val="32"/>
        </w:rPr>
        <w:t>二、</w:t>
      </w:r>
      <w:r>
        <w:rPr>
          <w:rFonts w:hint="eastAsia" w:ascii="楷体_GB2312" w:hAnsi="TimesNewRoman" w:eastAsia="楷体_GB2312" w:cs="TimesNewRoman"/>
          <w:b/>
          <w:bCs/>
          <w:sz w:val="32"/>
          <w:szCs w:val="32"/>
          <w:lang w:eastAsia="zh-CN"/>
        </w:rPr>
        <w:t>单位</w:t>
      </w:r>
      <w:r>
        <w:rPr>
          <w:rFonts w:ascii="楷体_GB2312" w:hAnsi="TimesNewRoman" w:eastAsia="楷体_GB2312" w:cs="TimesNewRoman"/>
          <w:b/>
          <w:bCs/>
          <w:sz w:val="32"/>
          <w:szCs w:val="32"/>
        </w:rPr>
        <w:t>预算构成</w:t>
      </w:r>
    </w:p>
    <w:p w14:paraId="77E5286F">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bCs/>
          <w:sz w:val="32"/>
          <w:szCs w:val="32"/>
        </w:rPr>
      </w:pPr>
      <w:r>
        <w:rPr>
          <w:rFonts w:hint="eastAsia" w:ascii="仿宋_GB2312" w:hAnsi="TimesNewRoman" w:eastAsia="仿宋_GB2312" w:cs="TimesNewRoman"/>
          <w:bCs/>
          <w:sz w:val="32"/>
          <w:szCs w:val="32"/>
        </w:rPr>
        <w:t>寿县</w:t>
      </w:r>
      <w:r>
        <w:rPr>
          <w:rFonts w:hint="eastAsia" w:ascii="仿宋_GB2312" w:hAnsi="TimesNewRoman" w:eastAsia="仿宋_GB2312" w:cs="TimesNewRoman"/>
          <w:bCs/>
          <w:sz w:val="32"/>
          <w:szCs w:val="32"/>
          <w:lang w:val="en-US" w:eastAsia="zh-CN"/>
        </w:rPr>
        <w:t>农村能源服务中心</w:t>
      </w:r>
      <w:r>
        <w:rPr>
          <w:rFonts w:hint="eastAsia" w:ascii="仿宋_GB2312" w:hAnsi="TimesNewRoman" w:eastAsia="仿宋_GB2312" w:cs="TimesNewRoman"/>
          <w:bCs/>
          <w:sz w:val="32"/>
          <w:szCs w:val="32"/>
          <w:lang w:eastAsia="zh-CN"/>
        </w:rPr>
        <w:t>2026</w:t>
      </w:r>
      <w:r>
        <w:rPr>
          <w:rFonts w:hint="eastAsia" w:ascii="仿宋_GB2312" w:hAnsi="TimesNewRoman" w:eastAsia="仿宋_GB2312" w:cs="TimesNewRoman"/>
          <w:bCs/>
          <w:sz w:val="32"/>
          <w:szCs w:val="32"/>
        </w:rPr>
        <w:t>年度单位预算仅包括单位本级预算，无其他下属单位预算。</w:t>
      </w:r>
    </w:p>
    <w:p w14:paraId="0EEC3260">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r>
        <w:rPr>
          <w:rFonts w:hint="eastAsia" w:ascii="楷体_GB2312" w:hAnsi="TimesNewRoman" w:eastAsia="楷体_GB2312" w:cs="TimesNewRoman"/>
          <w:b/>
          <w:bCs/>
          <w:sz w:val="32"/>
          <w:szCs w:val="32"/>
        </w:rPr>
        <w:t>三、</w:t>
      </w:r>
      <w:r>
        <w:rPr>
          <w:rFonts w:hint="eastAsia" w:ascii="楷体_GB2312" w:hAnsi="TimesNewRoman" w:eastAsia="楷体_GB2312" w:cs="TimesNewRoman"/>
          <w:b/>
          <w:bCs/>
          <w:sz w:val="32"/>
          <w:szCs w:val="32"/>
          <w:lang w:eastAsia="zh-CN"/>
        </w:rPr>
        <w:t>2026</w:t>
      </w:r>
      <w:r>
        <w:rPr>
          <w:rFonts w:hint="eastAsia" w:ascii="楷体_GB2312" w:hAnsi="TimesNewRoman" w:eastAsia="楷体_GB2312" w:cs="TimesNewRoman"/>
          <w:b/>
          <w:bCs/>
          <w:sz w:val="32"/>
          <w:szCs w:val="32"/>
        </w:rPr>
        <w:t>年度主要工作任务</w:t>
      </w:r>
    </w:p>
    <w:p w14:paraId="5B7A3460">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lang w:eastAsia="zh-CN"/>
        </w:rPr>
      </w:pPr>
      <w:r>
        <w:rPr>
          <w:rFonts w:hint="eastAsia" w:ascii="仿宋_GB2312" w:hAnsi="TimesNewRoman" w:eastAsia="仿宋_GB2312" w:cs="TimesNewRoman"/>
          <w:bCs/>
          <w:sz w:val="32"/>
          <w:szCs w:val="32"/>
          <w:lang w:eastAsia="zh-CN"/>
        </w:rPr>
        <w:t>1.完成全县农村沼气设施安全隐患排查。</w:t>
      </w:r>
    </w:p>
    <w:p w14:paraId="7BDDC06A">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lang w:eastAsia="zh-CN"/>
        </w:rPr>
      </w:pPr>
      <w:r>
        <w:rPr>
          <w:rFonts w:hint="eastAsia" w:ascii="仿宋_GB2312" w:hAnsi="TimesNewRoman" w:eastAsia="仿宋_GB2312" w:cs="TimesNewRoman"/>
          <w:bCs/>
          <w:sz w:val="32"/>
          <w:szCs w:val="32"/>
          <w:lang w:eastAsia="zh-CN"/>
        </w:rPr>
        <w:t>2.</w:t>
      </w:r>
      <w:r>
        <w:rPr>
          <w:rFonts w:hint="eastAsia" w:ascii="仿宋_GB2312" w:hAnsi="TimesNewRoman" w:eastAsia="仿宋_GB2312" w:cs="TimesNewRoman"/>
          <w:bCs/>
          <w:sz w:val="32"/>
          <w:szCs w:val="32"/>
          <w:lang w:val="en-US" w:eastAsia="zh-CN"/>
        </w:rPr>
        <w:t>保障</w:t>
      </w:r>
      <w:r>
        <w:rPr>
          <w:rFonts w:hint="eastAsia" w:ascii="仿宋_GB2312" w:hAnsi="TimesNewRoman" w:eastAsia="仿宋_GB2312" w:cs="TimesNewRoman"/>
          <w:bCs/>
          <w:sz w:val="32"/>
          <w:szCs w:val="32"/>
          <w:lang w:eastAsia="zh-CN"/>
        </w:rPr>
        <w:t>陶店规模化秸秆大型沼气工程</w:t>
      </w:r>
      <w:r>
        <w:rPr>
          <w:rFonts w:hint="eastAsia" w:ascii="仿宋_GB2312" w:hAnsi="TimesNewRoman" w:eastAsia="仿宋_GB2312" w:cs="TimesNewRoman"/>
          <w:bCs/>
          <w:sz w:val="32"/>
          <w:szCs w:val="32"/>
          <w:lang w:val="en-US" w:eastAsia="zh-CN"/>
        </w:rPr>
        <w:t>正常运转</w:t>
      </w:r>
      <w:r>
        <w:rPr>
          <w:rFonts w:hint="eastAsia" w:ascii="仿宋_GB2312" w:hAnsi="TimesNewRoman" w:eastAsia="仿宋_GB2312" w:cs="TimesNewRoman"/>
          <w:bCs/>
          <w:sz w:val="32"/>
          <w:szCs w:val="32"/>
          <w:lang w:eastAsia="zh-CN"/>
        </w:rPr>
        <w:t>。</w:t>
      </w:r>
    </w:p>
    <w:p w14:paraId="76C48F77">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lang w:eastAsia="zh-CN"/>
        </w:rPr>
      </w:pPr>
      <w:r>
        <w:rPr>
          <w:rFonts w:hint="eastAsia" w:ascii="仿宋_GB2312" w:hAnsi="TimesNewRoman" w:eastAsia="仿宋_GB2312" w:cs="TimesNewRoman"/>
          <w:bCs/>
          <w:sz w:val="32"/>
          <w:szCs w:val="32"/>
          <w:lang w:eastAsia="zh-CN"/>
        </w:rPr>
        <w:t>3.全县户用沼气正常维护。</w:t>
      </w:r>
    </w:p>
    <w:p w14:paraId="00B6CCFE">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lang w:eastAsia="zh-CN"/>
        </w:rPr>
      </w:pPr>
      <w:r>
        <w:rPr>
          <w:rFonts w:hint="eastAsia" w:ascii="仿宋_GB2312" w:hAnsi="TimesNewRoman" w:eastAsia="仿宋_GB2312" w:cs="TimesNewRoman"/>
          <w:bCs/>
          <w:sz w:val="32"/>
          <w:szCs w:val="32"/>
          <w:lang w:eastAsia="zh-CN"/>
        </w:rPr>
        <w:t>4.配合省能源总站进行农村能源工作及秸秆综合利用调研。</w:t>
      </w:r>
    </w:p>
    <w:p w14:paraId="6766D15E">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bCs/>
          <w:sz w:val="32"/>
          <w:szCs w:val="32"/>
          <w:lang w:eastAsia="zh-CN"/>
        </w:rPr>
      </w:pPr>
      <w:r>
        <w:rPr>
          <w:rFonts w:hint="eastAsia" w:ascii="仿宋_GB2312" w:hAnsi="TimesNewRoman" w:eastAsia="仿宋_GB2312" w:cs="TimesNewRoman"/>
          <w:bCs/>
          <w:sz w:val="32"/>
          <w:szCs w:val="32"/>
          <w:lang w:eastAsia="zh-CN"/>
        </w:rPr>
        <w:t>5.参与创城、文明交通、乡村振兴等中心工作。</w:t>
      </w:r>
    </w:p>
    <w:p w14:paraId="1C5E8D9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bCs/>
          <w:sz w:val="32"/>
          <w:szCs w:val="32"/>
        </w:rPr>
      </w:pPr>
    </w:p>
    <w:p w14:paraId="74D6E93C">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p>
    <w:p w14:paraId="49DE57A2">
      <w:pPr>
        <w:pStyle w:val="3"/>
        <w:topLinePunct/>
        <w:adjustRightInd w:val="0"/>
        <w:snapToGrid w:val="0"/>
        <w:spacing w:beforeAutospacing="0" w:afterAutospacing="0" w:line="560" w:lineRule="exact"/>
        <w:jc w:val="center"/>
        <w:rPr>
          <w:rFonts w:ascii="TimesNewRoman" w:hAnsi="TimesNewRoman" w:eastAsia="黑体" w:cs="TimesNewRoman"/>
          <w:bCs/>
          <w:sz w:val="36"/>
          <w:szCs w:val="36"/>
        </w:rPr>
      </w:pPr>
      <w:r>
        <w:rPr>
          <w:rFonts w:ascii="TimesNewRoman" w:hAnsi="TimesNewRoman" w:eastAsia="黑体" w:cs="TimesNewRoman"/>
          <w:bCs/>
          <w:sz w:val="36"/>
          <w:szCs w:val="36"/>
        </w:rPr>
        <w:t>第</w:t>
      </w:r>
      <w:r>
        <w:rPr>
          <w:rFonts w:hint="eastAsia" w:ascii="TimesNewRoman" w:hAnsi="TimesNewRoman" w:eastAsia="黑体" w:cs="TimesNewRoman"/>
          <w:bCs/>
          <w:sz w:val="36"/>
          <w:szCs w:val="36"/>
        </w:rPr>
        <w:t>二</w:t>
      </w:r>
      <w:r>
        <w:rPr>
          <w:rFonts w:ascii="TimesNewRoman" w:hAnsi="TimesNewRoman" w:eastAsia="黑体" w:cs="TimesNewRoman"/>
          <w:bCs/>
          <w:sz w:val="36"/>
          <w:szCs w:val="36"/>
        </w:rPr>
        <w:t xml:space="preserve">部分 </w:t>
      </w:r>
      <w:r>
        <w:rPr>
          <w:rFonts w:hint="eastAsia" w:ascii="TimesNewRoman" w:hAnsi="TimesNewRoman" w:eastAsia="黑体" w:cs="TimesNewRoman"/>
          <w:bCs/>
          <w:sz w:val="36"/>
          <w:szCs w:val="36"/>
          <w:lang w:eastAsia="zh-CN"/>
        </w:rPr>
        <w:t>2026</w:t>
      </w:r>
      <w:r>
        <w:rPr>
          <w:rFonts w:ascii="TimesNewRoman" w:hAnsi="TimesNewRoman" w:eastAsia="黑体" w:cs="TimesNewRoman"/>
          <w:bCs/>
          <w:sz w:val="36"/>
          <w:szCs w:val="36"/>
        </w:rPr>
        <w:t>年</w:t>
      </w:r>
      <w:r>
        <w:rPr>
          <w:rFonts w:hint="eastAsia" w:ascii="TimesNewRoman" w:hAnsi="TimesNewRoman" w:eastAsia="黑体" w:cs="TimesNewRoman"/>
          <w:bCs/>
          <w:sz w:val="36"/>
          <w:szCs w:val="36"/>
          <w:lang w:eastAsia="zh-CN"/>
        </w:rPr>
        <w:t>单位</w:t>
      </w:r>
      <w:r>
        <w:rPr>
          <w:rFonts w:ascii="TimesNewRoman" w:hAnsi="TimesNewRoman" w:eastAsia="黑体" w:cs="TimesNewRoman"/>
          <w:bCs/>
          <w:sz w:val="36"/>
          <w:szCs w:val="36"/>
        </w:rPr>
        <w:t>预算情况说明</w:t>
      </w:r>
    </w:p>
    <w:p w14:paraId="1B9B51DC">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p>
    <w:p w14:paraId="1AE87BA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一、关于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年收支总表的说明</w:t>
      </w:r>
    </w:p>
    <w:p w14:paraId="6E009784">
      <w:pPr>
        <w:pStyle w:val="3"/>
        <w:topLinePunct/>
        <w:adjustRightInd w:val="0"/>
        <w:snapToGrid w:val="0"/>
        <w:spacing w:beforeAutospacing="0" w:afterAutospacing="0" w:line="580" w:lineRule="exact"/>
        <w:ind w:firstLine="627"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按照综合预算的原则，寿县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rPr>
        <w:t>所有收入和支出均纳入部门预算管理。寿县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年收支总预算</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万元，收入全部是一般公共预算拨款收入，支出包括：社会保障和就业支出、卫生健康支出、农林水支出、住房保障支出。</w:t>
      </w:r>
    </w:p>
    <w:p w14:paraId="559E925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二、关于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年收入总表的说明</w:t>
      </w:r>
    </w:p>
    <w:p w14:paraId="4637A474">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eastAsia="zh-CN"/>
        </w:rPr>
        <w:t>农村能源服务中心2026</w:t>
      </w:r>
      <w:r>
        <w:rPr>
          <w:rFonts w:hint="eastAsia" w:ascii="仿宋_GB2312" w:hAnsi="TimesNewRoman" w:eastAsia="仿宋_GB2312" w:cs="TimesNewRoman"/>
          <w:sz w:val="32"/>
          <w:szCs w:val="32"/>
        </w:rPr>
        <w:t>年收入预算</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万元，其中，本年收入</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59BB8D10">
      <w:pPr>
        <w:numPr>
          <w:ilvl w:val="0"/>
          <w:numId w:val="0"/>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一）本年收入</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万元，收入全部为一般公共预算拨款收入</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增加4.48</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增加13.08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09CF00C3">
      <w:p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53BD8C44">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三、关于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年支出总表的说明</w:t>
      </w:r>
    </w:p>
    <w:p w14:paraId="394A83AE">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年支出预算</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增加4.48</w:t>
      </w:r>
      <w:r>
        <w:rPr>
          <w:rFonts w:hint="eastAsia" w:ascii="仿宋_GB2312" w:hAnsi="TimesNewRoman" w:eastAsia="仿宋_GB2312" w:cs="TimesNewRoman"/>
          <w:sz w:val="32"/>
          <w:szCs w:val="32"/>
        </w:rPr>
        <w:t>万，</w:t>
      </w:r>
      <w:r>
        <w:rPr>
          <w:rFonts w:hint="eastAsia" w:ascii="仿宋_GB2312" w:hAnsi="TimesNewRoman" w:eastAsia="仿宋_GB2312" w:cs="TimesNewRoman"/>
          <w:sz w:val="32"/>
          <w:szCs w:val="32"/>
          <w:lang w:val="en-US" w:eastAsia="zh-CN"/>
        </w:rPr>
        <w:t>增加13.08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其中，基本支出</w:t>
      </w:r>
      <w:r>
        <w:rPr>
          <w:rFonts w:hint="eastAsia" w:ascii="仿宋_GB2312" w:hAnsi="TimesNewRoman" w:eastAsia="仿宋_GB2312" w:cs="TimesNewRoman"/>
          <w:sz w:val="32"/>
          <w:szCs w:val="32"/>
          <w:lang w:val="en-US" w:eastAsia="zh-CN"/>
        </w:rPr>
        <w:t>34.71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89.67</w:t>
      </w:r>
      <w:r>
        <w:rPr>
          <w:rFonts w:hint="eastAsia" w:ascii="仿宋_GB2312" w:hAnsi="TimesNewRoman" w:eastAsia="仿宋_GB2312" w:cs="TimesNewRoman"/>
          <w:sz w:val="32"/>
          <w:szCs w:val="32"/>
        </w:rPr>
        <w:t>%，主要用于保障机构日常运转、完成日常工作任务；项目支出</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10.33</w:t>
      </w:r>
      <w:r>
        <w:rPr>
          <w:rFonts w:hint="eastAsia" w:ascii="仿宋_GB2312" w:hAnsi="TimesNewRoman" w:eastAsia="仿宋_GB2312" w:cs="TimesNewRoman"/>
          <w:sz w:val="32"/>
          <w:szCs w:val="32"/>
        </w:rPr>
        <w:t>%，主要用于</w:t>
      </w:r>
      <w:r>
        <w:rPr>
          <w:rFonts w:hint="eastAsia" w:ascii="仿宋_GB2312" w:hAnsi="TimesNewRoman" w:eastAsia="仿宋_GB2312" w:cs="TimesNewRoman"/>
          <w:sz w:val="32"/>
          <w:szCs w:val="32"/>
          <w:lang w:val="en-US" w:eastAsia="zh-CN"/>
        </w:rPr>
        <w:t>保障</w:t>
      </w:r>
      <w:r>
        <w:rPr>
          <w:rFonts w:hint="eastAsia" w:ascii="仿宋_GB2312" w:hAnsi="TimesNewRoman" w:eastAsia="仿宋_GB2312" w:cs="TimesNewRoman"/>
          <w:bCs/>
          <w:sz w:val="32"/>
          <w:szCs w:val="32"/>
          <w:lang w:eastAsia="zh-CN"/>
        </w:rPr>
        <w:t>全县户用沼气正常维护</w:t>
      </w:r>
      <w:r>
        <w:rPr>
          <w:rFonts w:hint="eastAsia" w:ascii="仿宋_GB2312" w:hAnsi="TimesNewRoman" w:eastAsia="仿宋_GB2312" w:cs="TimesNewRoman"/>
          <w:sz w:val="32"/>
          <w:szCs w:val="32"/>
          <w:lang w:val="en-US" w:eastAsia="zh-CN"/>
        </w:rPr>
        <w:t>。</w:t>
      </w:r>
    </w:p>
    <w:p w14:paraId="2AE24238">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四、关于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年财政拨款收支总表的说明</w:t>
      </w:r>
    </w:p>
    <w:p w14:paraId="0DC0C4AB">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年财政拨款收支预算</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万元。收入按资金来源分为</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一般公共预算拨款</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按资金年度分</w:t>
      </w:r>
      <w:r>
        <w:rPr>
          <w:rFonts w:hint="eastAsia" w:ascii="仿宋_GB2312" w:hAnsi="TimesNewRoman" w:eastAsia="仿宋_GB2312" w:cs="TimesNewRoman"/>
          <w:sz w:val="32"/>
          <w:szCs w:val="32"/>
          <w:lang w:eastAsia="zh-CN"/>
        </w:rPr>
        <w:t>全部为</w:t>
      </w:r>
      <w:r>
        <w:rPr>
          <w:rFonts w:hint="eastAsia" w:ascii="仿宋_GB2312" w:hAnsi="TimesNewRoman" w:eastAsia="仿宋_GB2312" w:cs="TimesNewRoman"/>
          <w:sz w:val="32"/>
          <w:szCs w:val="32"/>
        </w:rPr>
        <w:t>本年财政拨款收入</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万元，上年结转收入</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万元。支出按功能分类分为：社会保障和就业支出</w:t>
      </w:r>
      <w:r>
        <w:rPr>
          <w:rFonts w:hint="eastAsia" w:ascii="仿宋_GB2312" w:hAnsi="TimesNewRoman" w:eastAsia="仿宋_GB2312" w:cs="TimesNewRoman"/>
          <w:sz w:val="32"/>
          <w:szCs w:val="32"/>
          <w:lang w:val="en-US" w:eastAsia="zh-CN"/>
        </w:rPr>
        <w:t>5.08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13.12</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1.11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2.94</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农林水支出</w:t>
      </w:r>
      <w:r>
        <w:rPr>
          <w:rFonts w:hint="eastAsia" w:ascii="仿宋_GB2312" w:hAnsi="TimesNewRoman" w:eastAsia="仿宋_GB2312" w:cs="TimesNewRoman"/>
          <w:sz w:val="32"/>
          <w:szCs w:val="32"/>
          <w:lang w:val="en-US" w:eastAsia="zh-CN"/>
        </w:rPr>
        <w:t>28.60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73.88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3.92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10.13</w:t>
      </w:r>
      <w:r>
        <w:rPr>
          <w:rFonts w:hint="eastAsia" w:ascii="仿宋_GB2312" w:hAnsi="TimesNewRoman" w:eastAsia="仿宋_GB2312" w:cs="TimesNewRoman"/>
          <w:sz w:val="32"/>
          <w:szCs w:val="32"/>
        </w:rPr>
        <w:t>%。</w:t>
      </w:r>
    </w:p>
    <w:p w14:paraId="50D8FB0B">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五、关于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年一般公共预算支出表的说明</w:t>
      </w:r>
    </w:p>
    <w:p w14:paraId="71591A22">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（一）一般公共预算支出规模变化情况。</w:t>
      </w:r>
    </w:p>
    <w:p w14:paraId="066CE941">
      <w:pPr>
        <w:numPr>
          <w:ilvl w:val="0"/>
          <w:numId w:val="0"/>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年一般公共预算支出</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增加4.48</w:t>
      </w:r>
      <w:r>
        <w:rPr>
          <w:rFonts w:hint="eastAsia" w:ascii="仿宋_GB2312" w:hAnsi="TimesNewRoman" w:eastAsia="仿宋_GB2312" w:cs="TimesNewRoman"/>
          <w:sz w:val="32"/>
          <w:szCs w:val="32"/>
        </w:rPr>
        <w:t>万，</w:t>
      </w:r>
      <w:r>
        <w:rPr>
          <w:rFonts w:hint="eastAsia" w:ascii="仿宋_GB2312" w:hAnsi="TimesNewRoman" w:eastAsia="仿宋_GB2312" w:cs="TimesNewRoman"/>
          <w:sz w:val="32"/>
          <w:szCs w:val="32"/>
          <w:lang w:val="en-US" w:eastAsia="zh-CN"/>
        </w:rPr>
        <w:t>增加13.08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78D614CD">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（二）一般公共预算支出结构情况。</w:t>
      </w:r>
    </w:p>
    <w:p w14:paraId="652405BF">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一般公共服务支出</w:t>
      </w:r>
      <w:r>
        <w:rPr>
          <w:rFonts w:hint="eastAsia" w:ascii="仿宋_GB2312" w:hAnsi="TimesNewRoman" w:eastAsia="仿宋_GB2312" w:cs="TimesNewRoman"/>
          <w:sz w:val="32"/>
          <w:szCs w:val="32"/>
          <w:lang w:val="en-US" w:eastAsia="zh-CN"/>
        </w:rPr>
        <w:t>38.71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100</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社会保障和就业支出</w:t>
      </w:r>
      <w:r>
        <w:rPr>
          <w:rFonts w:hint="eastAsia" w:ascii="仿宋_GB2312" w:hAnsi="TimesNewRoman" w:eastAsia="仿宋_GB2312" w:cs="TimesNewRoman"/>
          <w:sz w:val="32"/>
          <w:szCs w:val="32"/>
          <w:lang w:val="en-US" w:eastAsia="zh-CN"/>
        </w:rPr>
        <w:t>5.08</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13.12</w:t>
      </w:r>
      <w:r>
        <w:rPr>
          <w:rFonts w:hint="eastAsia" w:ascii="仿宋_GB2312" w:hAnsi="TimesNewRoman" w:eastAsia="仿宋_GB2312" w:cs="TimesNewRoman"/>
          <w:sz w:val="32"/>
          <w:szCs w:val="32"/>
        </w:rPr>
        <w:t>%；卫生健康支出</w:t>
      </w:r>
      <w:r>
        <w:rPr>
          <w:rFonts w:hint="eastAsia" w:ascii="仿宋_GB2312" w:hAnsi="TimesNewRoman" w:eastAsia="仿宋_GB2312" w:cs="TimesNewRoman"/>
          <w:sz w:val="32"/>
          <w:szCs w:val="32"/>
          <w:lang w:val="en-US" w:eastAsia="zh-CN"/>
        </w:rPr>
        <w:t>1.11</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2.94</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农林水支出</w:t>
      </w:r>
      <w:r>
        <w:rPr>
          <w:rFonts w:hint="eastAsia" w:ascii="仿宋_GB2312" w:hAnsi="TimesNewRoman" w:eastAsia="仿宋_GB2312" w:cs="TimesNewRoman"/>
          <w:sz w:val="32"/>
          <w:szCs w:val="32"/>
          <w:lang w:val="en-US" w:eastAsia="zh-CN"/>
        </w:rPr>
        <w:t>28.60</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73.88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住房保障支出</w:t>
      </w:r>
      <w:r>
        <w:rPr>
          <w:rFonts w:hint="eastAsia" w:ascii="仿宋_GB2312" w:hAnsi="TimesNewRoman" w:eastAsia="仿宋_GB2312" w:cs="TimesNewRoman"/>
          <w:sz w:val="32"/>
          <w:szCs w:val="32"/>
          <w:lang w:val="en-US" w:eastAsia="zh-CN"/>
        </w:rPr>
        <w:t>3.92</w:t>
      </w:r>
      <w:r>
        <w:rPr>
          <w:rFonts w:hint="eastAsia" w:ascii="仿宋_GB2312" w:hAnsi="TimesNewRoman" w:eastAsia="仿宋_GB2312" w:cs="TimesNewRoman"/>
          <w:sz w:val="32"/>
          <w:szCs w:val="32"/>
        </w:rPr>
        <w:t>万元，占</w:t>
      </w:r>
      <w:r>
        <w:rPr>
          <w:rFonts w:hint="eastAsia" w:ascii="仿宋_GB2312" w:hAnsi="TimesNewRoman" w:eastAsia="仿宋_GB2312" w:cs="TimesNewRoman"/>
          <w:sz w:val="32"/>
          <w:szCs w:val="32"/>
          <w:lang w:val="en-US" w:eastAsia="zh-CN"/>
        </w:rPr>
        <w:t>10.13</w:t>
      </w:r>
      <w:r>
        <w:rPr>
          <w:rFonts w:hint="eastAsia" w:ascii="仿宋_GB2312" w:hAnsi="TimesNewRoman" w:eastAsia="仿宋_GB2312" w:cs="TimesNewRoman"/>
          <w:sz w:val="32"/>
          <w:szCs w:val="32"/>
        </w:rPr>
        <w:t>%。</w:t>
      </w:r>
    </w:p>
    <w:p w14:paraId="2AFE9A14">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（三）一般公共预算支出具体使用情况。</w:t>
      </w:r>
    </w:p>
    <w:p w14:paraId="4BD3DD74">
      <w:pPr>
        <w:numPr>
          <w:ilvl w:val="0"/>
          <w:numId w:val="0"/>
        </w:num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1.</w:t>
      </w:r>
      <w:r>
        <w:rPr>
          <w:rFonts w:hint="eastAsia" w:ascii="仿宋_GB2312" w:hAnsi="仿宋" w:eastAsia="仿宋_GB2312"/>
          <w:b/>
          <w:color w:val="auto"/>
          <w:sz w:val="32"/>
          <w:szCs w:val="32"/>
        </w:rPr>
        <w:t>社会保障和就业支出（类）行政事业单位养老支出（款）机关事业单位基本养老保险缴费支出（项）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3.31</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增加0.28</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增加9.24</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3E7031E0">
      <w:pPr>
        <w:numPr>
          <w:ilvl w:val="0"/>
          <w:numId w:val="0"/>
        </w:numPr>
        <w:topLinePunct/>
        <w:adjustRightInd w:val="0"/>
        <w:snapToGrid w:val="0"/>
        <w:spacing w:line="580" w:lineRule="exact"/>
        <w:ind w:firstLine="643" w:firstLineChars="200"/>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rPr>
        <w:t>2.</w:t>
      </w:r>
      <w:r>
        <w:rPr>
          <w:rFonts w:hint="eastAsia" w:ascii="仿宋_GB2312" w:hAnsi="仿宋" w:eastAsia="仿宋_GB2312"/>
          <w:b/>
          <w:color w:val="auto"/>
          <w:sz w:val="32"/>
          <w:szCs w:val="32"/>
        </w:rPr>
        <w:t>社会保障和就业支出（类）行政事业单位养老支出（款）机关事业单位职业年金缴费支出（项）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1.65</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增加0.13</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增加8.55</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0E5B6DA9">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lang w:val="en-US" w:eastAsia="zh-CN"/>
        </w:rPr>
      </w:pPr>
      <w:r>
        <w:rPr>
          <w:rFonts w:hint="eastAsia" w:ascii="仿宋_GB2312" w:hAnsi="TimesNewRoman" w:eastAsia="仿宋_GB2312" w:cs="TimesNewRoman"/>
          <w:b/>
          <w:sz w:val="32"/>
          <w:szCs w:val="32"/>
        </w:rPr>
        <w:t>3.</w:t>
      </w:r>
      <w:r>
        <w:rPr>
          <w:rFonts w:hint="eastAsia" w:ascii="仿宋" w:hAnsi="仿宋" w:eastAsia="仿宋"/>
          <w:b/>
          <w:color w:val="auto"/>
          <w:szCs w:val="32"/>
        </w:rPr>
        <w:t xml:space="preserve"> </w:t>
      </w:r>
      <w:r>
        <w:rPr>
          <w:rFonts w:hint="eastAsia" w:ascii="仿宋_GB2312" w:hAnsi="仿宋" w:eastAsia="仿宋_GB2312"/>
          <w:b/>
          <w:color w:val="auto"/>
          <w:sz w:val="32"/>
          <w:szCs w:val="32"/>
        </w:rPr>
        <w:t>社会保障和就业支出（类）其他社会保障和就业支出（款）其他社会保障和就业支出（项）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0.11</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增加0.01</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增加9.09</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增加原因是工资正常增加。</w:t>
      </w:r>
    </w:p>
    <w:p w14:paraId="04535588">
      <w:pPr>
        <w:numPr>
          <w:ilvl w:val="0"/>
          <w:numId w:val="0"/>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val="en-US" w:eastAsia="zh-CN"/>
        </w:rPr>
        <w:t>4.</w:t>
      </w:r>
      <w:r>
        <w:rPr>
          <w:rFonts w:hint="eastAsia" w:ascii="仿宋_GB2312" w:hAnsi="华文仿宋" w:eastAsia="仿宋_GB2312"/>
          <w:b/>
          <w:bCs/>
          <w:color w:val="auto"/>
          <w:sz w:val="32"/>
          <w:szCs w:val="32"/>
        </w:rPr>
        <w:t>卫生健康支出（类）行政事业单位医疗（款）</w:t>
      </w:r>
      <w:r>
        <w:rPr>
          <w:rFonts w:hint="eastAsia" w:ascii="仿宋_GB2312" w:hAnsi="华文仿宋" w:eastAsia="仿宋_GB2312"/>
          <w:b/>
          <w:bCs/>
          <w:color w:val="auto"/>
          <w:sz w:val="32"/>
          <w:szCs w:val="32"/>
          <w:lang w:val="en-US" w:eastAsia="zh-CN"/>
        </w:rPr>
        <w:t>事业</w:t>
      </w:r>
      <w:r>
        <w:rPr>
          <w:rFonts w:hint="eastAsia" w:ascii="仿宋_GB2312" w:hAnsi="华文仿宋" w:eastAsia="仿宋_GB2312"/>
          <w:b/>
          <w:bCs/>
          <w:color w:val="auto"/>
          <w:sz w:val="32"/>
          <w:szCs w:val="32"/>
        </w:rPr>
        <w:t>单位医疗</w:t>
      </w:r>
      <w:r>
        <w:rPr>
          <w:rFonts w:hint="eastAsia" w:ascii="仿宋_GB2312" w:hAnsi="仿宋" w:eastAsia="仿宋_GB2312"/>
          <w:b/>
          <w:color w:val="auto"/>
          <w:sz w:val="32"/>
          <w:szCs w:val="32"/>
        </w:rPr>
        <w:t>（项）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1.11</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_GB2312" w:hAnsi="TimesNewRoman" w:eastAsia="仿宋_GB2312" w:cs="TimesNewRoman"/>
          <w:sz w:val="32"/>
          <w:szCs w:val="32"/>
          <w:lang w:val="en-US" w:eastAsia="zh-CN"/>
        </w:rPr>
        <w:t>增加0.12</w:t>
      </w:r>
      <w:r>
        <w:rPr>
          <w:rFonts w:hint="eastAsia" w:ascii="仿宋" w:hAnsi="仿宋" w:eastAsia="仿宋"/>
          <w:color w:val="auto"/>
          <w:sz w:val="32"/>
          <w:szCs w:val="32"/>
        </w:rPr>
        <w:t>万元，</w:t>
      </w:r>
      <w:r>
        <w:rPr>
          <w:rFonts w:hint="eastAsia" w:ascii="仿宋_GB2312" w:hAnsi="TimesNewRoman" w:eastAsia="仿宋_GB2312" w:cs="TimesNewRoman"/>
          <w:sz w:val="32"/>
          <w:szCs w:val="32"/>
          <w:lang w:val="en-US" w:eastAsia="zh-CN"/>
        </w:rPr>
        <w:t>增加12.12</w:t>
      </w:r>
      <w:r>
        <w:rPr>
          <w:rFonts w:hint="eastAsia" w:ascii="仿宋" w:hAnsi="仿宋" w:eastAsia="仿宋"/>
          <w:color w:val="auto"/>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4D0DA1DE">
      <w:pPr>
        <w:numPr>
          <w:ilvl w:val="0"/>
          <w:numId w:val="0"/>
        </w:numPr>
        <w:topLinePunct/>
        <w:adjustRightInd w:val="0"/>
        <w:snapToGrid w:val="0"/>
        <w:spacing w:line="580" w:lineRule="exact"/>
        <w:ind w:firstLine="640" w:firstLineChars="200"/>
        <w:rPr>
          <w:rFonts w:hint="eastAsia" w:ascii="仿宋_GB2312" w:hAnsi="TimesNewRoman" w:eastAsia="仿宋_GB2312" w:cs="TimesNewRoman"/>
          <w:sz w:val="32"/>
          <w:szCs w:val="32"/>
        </w:rPr>
      </w:pPr>
      <w:r>
        <w:rPr>
          <w:rFonts w:hint="eastAsia" w:ascii="仿宋" w:hAnsi="仿宋" w:eastAsia="仿宋"/>
          <w:color w:val="auto"/>
          <w:sz w:val="32"/>
          <w:szCs w:val="32"/>
          <w:lang w:val="en-US" w:eastAsia="zh-CN"/>
        </w:rPr>
        <w:t>5.</w:t>
      </w:r>
      <w:r>
        <w:rPr>
          <w:rFonts w:hint="eastAsia" w:ascii="仿宋_GB2312" w:hAnsi="华文仿宋" w:eastAsia="仿宋_GB2312"/>
          <w:b/>
          <w:bCs/>
          <w:color w:val="auto"/>
          <w:sz w:val="32"/>
          <w:szCs w:val="32"/>
        </w:rPr>
        <w:t>农林水支出（类）农业农村（款）</w:t>
      </w:r>
      <w:r>
        <w:rPr>
          <w:rFonts w:hint="eastAsia" w:ascii="仿宋_GB2312" w:hAnsi="华文仿宋" w:eastAsia="仿宋_GB2312"/>
          <w:b/>
          <w:bCs/>
          <w:color w:val="auto"/>
          <w:sz w:val="32"/>
          <w:szCs w:val="32"/>
          <w:lang w:val="en-US" w:eastAsia="zh-CN"/>
        </w:rPr>
        <w:t>事业</w:t>
      </w:r>
      <w:r>
        <w:rPr>
          <w:rFonts w:hint="eastAsia" w:ascii="仿宋_GB2312" w:hAnsi="华文仿宋" w:eastAsia="仿宋_GB2312"/>
          <w:b/>
          <w:bCs/>
          <w:color w:val="auto"/>
          <w:sz w:val="32"/>
          <w:szCs w:val="32"/>
        </w:rPr>
        <w:t>运行（项）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24.60</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 w:hAnsi="仿宋" w:eastAsia="仿宋"/>
          <w:color w:val="auto"/>
          <w:sz w:val="32"/>
          <w:szCs w:val="32"/>
          <w:lang w:val="en-US" w:eastAsia="zh-CN"/>
        </w:rPr>
        <w:t>增加1.78</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增加7.8</w:t>
      </w:r>
      <w:r>
        <w:rPr>
          <w:rFonts w:hint="eastAsia" w:ascii="仿宋" w:hAnsi="仿宋" w:eastAsia="仿宋"/>
          <w:color w:val="auto"/>
          <w:sz w:val="32"/>
          <w:szCs w:val="32"/>
        </w:rPr>
        <w:t>%，</w:t>
      </w:r>
      <w:r>
        <w:rPr>
          <w:rFonts w:hint="eastAsia" w:ascii="仿宋" w:hAnsi="仿宋" w:eastAsia="仿宋"/>
          <w:color w:val="auto"/>
          <w:sz w:val="32"/>
          <w:szCs w:val="32"/>
          <w:lang w:eastAsia="zh-CN"/>
        </w:rPr>
        <w:t>下降</w:t>
      </w:r>
      <w:r>
        <w:rPr>
          <w:rFonts w:hint="eastAsia" w:ascii="仿宋" w:hAnsi="仿宋" w:eastAsia="仿宋"/>
          <w:color w:val="auto"/>
          <w:sz w:val="32"/>
          <w:szCs w:val="32"/>
        </w:rPr>
        <w:t>原因</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w:t>
      </w:r>
      <w:r>
        <w:rPr>
          <w:rFonts w:hint="eastAsia" w:ascii="仿宋_GB2312" w:hAnsi="TimesNewRoman" w:eastAsia="仿宋_GB2312" w:cs="TimesNewRoman"/>
          <w:sz w:val="32"/>
          <w:szCs w:val="32"/>
          <w:lang w:eastAsia="zh-CN"/>
        </w:rPr>
        <w:t>是</w:t>
      </w:r>
      <w:r>
        <w:rPr>
          <w:rFonts w:hint="eastAsia" w:ascii="仿宋_GB2312" w:hAnsi="TimesNewRoman" w:eastAsia="仿宋_GB2312" w:cs="TimesNewRoman"/>
          <w:sz w:val="32"/>
          <w:szCs w:val="32"/>
          <w:lang w:val="en-US" w:eastAsia="zh-CN"/>
        </w:rPr>
        <w:t>工资正常增加</w:t>
      </w:r>
      <w:r>
        <w:rPr>
          <w:rFonts w:hint="eastAsia" w:ascii="仿宋_GB2312" w:hAnsi="TimesNewRoman" w:eastAsia="仿宋_GB2312" w:cs="TimesNewRoman"/>
          <w:sz w:val="32"/>
          <w:szCs w:val="32"/>
          <w:lang w:eastAsia="zh-CN"/>
        </w:rPr>
        <w:t>。</w:t>
      </w:r>
    </w:p>
    <w:p w14:paraId="3A3F3FFF">
      <w:pPr>
        <w:adjustRightInd w:val="0"/>
        <w:snapToGrid w:val="0"/>
        <w:spacing w:line="600" w:lineRule="exact"/>
        <w:ind w:firstLine="640" w:firstLineChars="200"/>
        <w:rPr>
          <w:rFonts w:hint="eastAsia" w:ascii="仿宋_GB2312" w:hAnsi="TimesNewRoman" w:eastAsia="仿宋_GB2312" w:cs="TimesNewRoman"/>
          <w:color w:val="auto"/>
          <w:sz w:val="32"/>
          <w:szCs w:val="32"/>
          <w:lang w:val="en-US" w:eastAsia="zh-CN"/>
        </w:rPr>
      </w:pPr>
      <w:r>
        <w:rPr>
          <w:rFonts w:hint="eastAsia" w:ascii="仿宋_GB2312" w:hAnsi="TimesNewRoman" w:eastAsia="仿宋_GB2312" w:cs="TimesNewRoman"/>
          <w:color w:val="auto"/>
          <w:sz w:val="32"/>
          <w:szCs w:val="32"/>
          <w:lang w:val="en-US" w:eastAsia="zh-CN"/>
        </w:rPr>
        <w:t>6.</w:t>
      </w:r>
      <w:r>
        <w:rPr>
          <w:rFonts w:hint="eastAsia" w:ascii="仿宋_GB2312" w:hAnsi="华文仿宋" w:eastAsia="仿宋_GB2312"/>
          <w:b/>
          <w:bCs/>
          <w:color w:val="auto"/>
          <w:sz w:val="32"/>
          <w:szCs w:val="32"/>
        </w:rPr>
        <w:t>农林水支出（类）农业农村（款）</w:t>
      </w:r>
      <w:r>
        <w:rPr>
          <w:rFonts w:hint="eastAsia" w:ascii="仿宋_GB2312" w:hAnsi="华文仿宋" w:eastAsia="仿宋_GB2312"/>
          <w:b/>
          <w:bCs/>
          <w:color w:val="auto"/>
          <w:sz w:val="32"/>
          <w:szCs w:val="32"/>
          <w:lang w:val="en-US" w:eastAsia="zh-CN"/>
        </w:rPr>
        <w:t>其他农业农村支出</w:t>
      </w:r>
      <w:r>
        <w:rPr>
          <w:rFonts w:hint="eastAsia" w:ascii="仿宋_GB2312" w:hAnsi="华文仿宋" w:eastAsia="仿宋_GB2312"/>
          <w:b/>
          <w:bCs/>
          <w:color w:val="auto"/>
          <w:sz w:val="32"/>
          <w:szCs w:val="32"/>
        </w:rPr>
        <w:t>（项）</w:t>
      </w:r>
      <w:r>
        <w:rPr>
          <w:rFonts w:hint="eastAsia" w:ascii="仿宋" w:hAnsi="仿宋" w:eastAsia="仿宋"/>
          <w:color w:val="auto"/>
          <w:sz w:val="32"/>
          <w:szCs w:val="32"/>
          <w:lang w:eastAsia="zh-CN"/>
        </w:rPr>
        <w:t>2026</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万元，比</w:t>
      </w:r>
      <w:r>
        <w:rPr>
          <w:rFonts w:hint="eastAsia" w:ascii="仿宋" w:hAnsi="仿宋" w:eastAsia="仿宋"/>
          <w:color w:val="auto"/>
          <w:sz w:val="32"/>
          <w:szCs w:val="32"/>
          <w:lang w:eastAsia="zh-CN"/>
        </w:rPr>
        <w:t>2025年</w:t>
      </w:r>
      <w:r>
        <w:rPr>
          <w:rFonts w:hint="eastAsia" w:ascii="仿宋" w:hAnsi="仿宋" w:eastAsia="仿宋"/>
          <w:color w:val="auto"/>
          <w:sz w:val="32"/>
          <w:szCs w:val="32"/>
        </w:rPr>
        <w:t>预算</w:t>
      </w:r>
      <w:r>
        <w:rPr>
          <w:rFonts w:hint="eastAsia" w:ascii="仿宋_GB2312" w:hAnsi="TimesNewRoman" w:eastAsia="仿宋_GB2312" w:cs="TimesNewRoman"/>
          <w:sz w:val="32"/>
          <w:szCs w:val="32"/>
        </w:rPr>
        <w:t>增加</w:t>
      </w:r>
      <w:r>
        <w:rPr>
          <w:rFonts w:hint="eastAsia" w:ascii="仿宋" w:hAnsi="仿宋" w:eastAsia="仿宋"/>
          <w:color w:val="auto"/>
          <w:sz w:val="32"/>
          <w:szCs w:val="32"/>
          <w:lang w:val="en-US" w:eastAsia="zh-CN"/>
        </w:rPr>
        <w:t>0.5</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增长14.28%，增长</w:t>
      </w:r>
      <w:r>
        <w:rPr>
          <w:rFonts w:hint="eastAsia" w:ascii="仿宋" w:hAnsi="仿宋" w:eastAsia="仿宋"/>
          <w:color w:val="auto"/>
          <w:sz w:val="32"/>
          <w:szCs w:val="32"/>
        </w:rPr>
        <w:t>原因主要是</w:t>
      </w:r>
      <w:r>
        <w:rPr>
          <w:rFonts w:hint="eastAsia" w:ascii="仿宋" w:hAnsi="仿宋" w:eastAsia="仿宋"/>
          <w:color w:val="auto"/>
          <w:sz w:val="32"/>
          <w:szCs w:val="32"/>
          <w:lang w:val="en-US" w:eastAsia="zh-CN"/>
        </w:rPr>
        <w:t>项目资金增加</w:t>
      </w:r>
      <w:r>
        <w:rPr>
          <w:rFonts w:hint="eastAsia" w:ascii="仿宋_GB2312" w:hAnsi="TimesNewRoman" w:eastAsia="仿宋_GB2312" w:cs="TimesNewRoman"/>
          <w:color w:val="auto"/>
          <w:sz w:val="32"/>
          <w:szCs w:val="32"/>
          <w:lang w:eastAsia="zh-CN"/>
        </w:rPr>
        <w:t>。</w:t>
      </w:r>
    </w:p>
    <w:p w14:paraId="4033826C">
      <w:pPr>
        <w:pStyle w:val="3"/>
        <w:topLinePunct/>
        <w:adjustRightInd w:val="0"/>
        <w:snapToGrid w:val="0"/>
        <w:spacing w:beforeAutospacing="0" w:afterAutospacing="0" w:line="580" w:lineRule="exact"/>
        <w:ind w:firstLine="630" w:firstLineChars="196"/>
        <w:jc w:val="both"/>
        <w:rPr>
          <w:rFonts w:hint="eastAsia" w:ascii="仿宋_GB2312" w:hAnsi="TimesNewRoman" w:eastAsia="仿宋_GB2312" w:cs="TimesNewRoman"/>
          <w:sz w:val="32"/>
          <w:szCs w:val="32"/>
        </w:rPr>
      </w:pPr>
      <w:r>
        <w:rPr>
          <w:rFonts w:hint="eastAsia" w:ascii="仿宋_GB2312" w:hAnsi="TimesNewRoman" w:eastAsia="仿宋_GB2312" w:cs="TimesNewRoman"/>
          <w:b/>
          <w:sz w:val="32"/>
          <w:szCs w:val="32"/>
          <w:lang w:val="en-US" w:eastAsia="zh-CN"/>
        </w:rPr>
        <w:t>7</w:t>
      </w:r>
      <w:r>
        <w:rPr>
          <w:rFonts w:hint="eastAsia" w:ascii="仿宋_GB2312" w:hAnsi="TimesNewRoman" w:eastAsia="仿宋_GB2312" w:cs="TimesNewRoman"/>
          <w:b/>
          <w:sz w:val="32"/>
          <w:szCs w:val="32"/>
        </w:rPr>
        <w:t>.住房保障支出（类）住房改革支出（款）住房公积金（项）</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w:t>
      </w:r>
      <w:r>
        <w:rPr>
          <w:rFonts w:hint="eastAsia" w:ascii="仿宋_GB2312" w:hAnsi="TimesNewRoman" w:eastAsia="仿宋_GB2312" w:cs="TimesNewRoman"/>
          <w:sz w:val="32"/>
          <w:szCs w:val="32"/>
          <w:lang w:val="en-US" w:eastAsia="zh-CN"/>
        </w:rPr>
        <w:t>2.6</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增加0.33</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增加14.54</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增加原因是工资正常增加。</w:t>
      </w:r>
    </w:p>
    <w:p w14:paraId="31DCDA4B">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六、关于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年一般公共预算基本支出表的说明</w:t>
      </w:r>
    </w:p>
    <w:p w14:paraId="55BD9AFF">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年一般公共预算基本支出</w:t>
      </w:r>
      <w:r>
        <w:rPr>
          <w:rFonts w:hint="eastAsia" w:ascii="仿宋_GB2312" w:hAnsi="TimesNewRoman" w:eastAsia="仿宋_GB2312" w:cs="TimesNewRoman"/>
          <w:sz w:val="32"/>
          <w:szCs w:val="32"/>
          <w:lang w:val="en-US" w:eastAsia="zh-CN"/>
        </w:rPr>
        <w:t>34.71</w:t>
      </w:r>
      <w:r>
        <w:rPr>
          <w:rFonts w:hint="eastAsia" w:ascii="仿宋_GB2312" w:hAnsi="TimesNewRoman" w:eastAsia="仿宋_GB2312" w:cs="TimesNewRoman"/>
          <w:sz w:val="32"/>
          <w:szCs w:val="32"/>
        </w:rPr>
        <w:t>万元，其中，人员经费</w:t>
      </w:r>
      <w:r>
        <w:rPr>
          <w:rFonts w:hint="eastAsia" w:ascii="仿宋_GB2312" w:hAnsi="TimesNewRoman" w:eastAsia="仿宋_GB2312" w:cs="TimesNewRoman"/>
          <w:sz w:val="32"/>
          <w:szCs w:val="32"/>
          <w:lang w:val="en-US" w:eastAsia="zh-CN"/>
        </w:rPr>
        <w:t>33.43</w:t>
      </w:r>
      <w:r>
        <w:rPr>
          <w:rFonts w:hint="eastAsia" w:ascii="仿宋_GB2312" w:hAnsi="TimesNewRoman" w:eastAsia="仿宋_GB2312" w:cs="TimesNewRoman"/>
          <w:sz w:val="32"/>
          <w:szCs w:val="32"/>
        </w:rPr>
        <w:t>万元，公用经费</w:t>
      </w:r>
      <w:r>
        <w:rPr>
          <w:rFonts w:hint="eastAsia" w:ascii="仿宋_GB2312" w:hAnsi="TimesNewRoman" w:eastAsia="仿宋_GB2312" w:cs="TimesNewRoman"/>
          <w:sz w:val="32"/>
          <w:szCs w:val="32"/>
          <w:lang w:val="en-US" w:eastAsia="zh-CN"/>
        </w:rPr>
        <w:t>1.27</w:t>
      </w:r>
      <w:r>
        <w:rPr>
          <w:rFonts w:hint="eastAsia" w:ascii="仿宋_GB2312" w:hAnsi="TimesNewRoman" w:eastAsia="仿宋_GB2312" w:cs="TimesNewRoman"/>
          <w:sz w:val="32"/>
          <w:szCs w:val="32"/>
        </w:rPr>
        <w:t>万元。</w:t>
      </w:r>
    </w:p>
    <w:p w14:paraId="053C9354">
      <w:pPr>
        <w:topLinePunct/>
        <w:spacing w:line="580" w:lineRule="exact"/>
        <w:ind w:firstLine="640" w:firstLineChars="200"/>
        <w:rPr>
          <w:rFonts w:hint="eastAsia" w:ascii="仿宋_GB2312" w:hAnsi="TimesNewRoman" w:eastAsia="仿宋_GB2312" w:cs="TimesNewRoman"/>
          <w:sz w:val="32"/>
          <w:szCs w:val="32"/>
          <w:u w:val="none"/>
        </w:rPr>
      </w:pPr>
      <w:r>
        <w:rPr>
          <w:rFonts w:hint="eastAsia" w:ascii="仿宋_GB2312" w:hAnsi="TimesNewRoman" w:eastAsia="仿宋_GB2312" w:cs="TimesNewRoman"/>
          <w:sz w:val="32"/>
          <w:szCs w:val="32"/>
        </w:rPr>
        <w:t>（一）人员经费</w:t>
      </w:r>
      <w:r>
        <w:rPr>
          <w:rFonts w:hint="eastAsia" w:ascii="仿宋_GB2312" w:hAnsi="TimesNewRoman" w:eastAsia="仿宋_GB2312" w:cs="TimesNewRoman"/>
          <w:sz w:val="32"/>
          <w:szCs w:val="32"/>
          <w:lang w:val="en-US" w:eastAsia="zh-CN"/>
        </w:rPr>
        <w:t>33.43</w:t>
      </w:r>
      <w:r>
        <w:rPr>
          <w:rFonts w:hint="eastAsia" w:ascii="仿宋_GB2312" w:hAnsi="TimesNewRoman" w:eastAsia="仿宋_GB2312" w:cs="TimesNewRoman"/>
          <w:sz w:val="32"/>
          <w:szCs w:val="32"/>
        </w:rPr>
        <w:t>万元，主要包括:</w:t>
      </w:r>
      <w:r>
        <w:rPr>
          <w:rFonts w:hint="eastAsia" w:ascii="仿宋_GB2312" w:hAnsi="TimesNewRoman" w:eastAsia="仿宋_GB2312" w:cs="TimesNewRoman"/>
          <w:sz w:val="32"/>
          <w:szCs w:val="32"/>
          <w:u w:val="none"/>
        </w:rPr>
        <w:t>基本工资、津贴补贴、奖金、绩效工资、机关事业单位基本养老保险费、职业年金缴费、职工基本医疗保险缴费、其他社会保障缴费、住房公积金、其他工资福利支出、退休费、生活补助、其他</w:t>
      </w:r>
      <w:r>
        <w:rPr>
          <w:rFonts w:hint="eastAsia" w:ascii="仿宋_GB2312" w:hAnsi="TimesNewRoman" w:eastAsia="仿宋_GB2312" w:cs="TimesNewRoman"/>
          <w:sz w:val="32"/>
          <w:szCs w:val="32"/>
          <w:u w:val="none"/>
          <w:lang w:eastAsia="zh-CN"/>
        </w:rPr>
        <w:t>对</w:t>
      </w:r>
      <w:r>
        <w:rPr>
          <w:rFonts w:hint="eastAsia" w:ascii="仿宋_GB2312" w:hAnsi="TimesNewRoman" w:eastAsia="仿宋_GB2312" w:cs="TimesNewRoman"/>
          <w:sz w:val="32"/>
          <w:szCs w:val="32"/>
          <w:u w:val="none"/>
        </w:rPr>
        <w:t>个人和家庭的补助支出。</w:t>
      </w:r>
    </w:p>
    <w:p w14:paraId="075D027A">
      <w:pPr>
        <w:topLinePunct/>
        <w:spacing w:line="58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（二）公用经费</w:t>
      </w:r>
      <w:r>
        <w:rPr>
          <w:rFonts w:hint="eastAsia" w:ascii="仿宋_GB2312" w:hAnsi="TimesNewRoman" w:eastAsia="仿宋_GB2312" w:cs="TimesNewRoman"/>
          <w:sz w:val="32"/>
          <w:szCs w:val="32"/>
          <w:lang w:val="en-US" w:eastAsia="zh-CN"/>
        </w:rPr>
        <w:t>1.27</w:t>
      </w:r>
      <w:r>
        <w:rPr>
          <w:rFonts w:hint="eastAsia" w:ascii="仿宋_GB2312" w:hAnsi="TimesNewRoman" w:eastAsia="仿宋_GB2312" w:cs="TimesNewRoman"/>
          <w:sz w:val="32"/>
          <w:szCs w:val="32"/>
        </w:rPr>
        <w:t>万元，主要包括：办公费、邮电费、差旅费、公务接待费、工会经费、福利费、其他交通费用</w:t>
      </w:r>
      <w:r>
        <w:rPr>
          <w:rFonts w:hint="eastAsia" w:ascii="仿宋_GB2312" w:hAnsi="TimesNewRoman" w:eastAsia="仿宋_GB2312" w:cs="TimesNewRoman"/>
          <w:sz w:val="32"/>
          <w:szCs w:val="32"/>
          <w:lang w:eastAsia="zh-CN"/>
        </w:rPr>
        <w:t>、</w:t>
      </w:r>
      <w:r>
        <w:rPr>
          <w:rFonts w:hint="eastAsia" w:ascii="仿宋_GB2312" w:hAnsi="TimesNewRoman" w:eastAsia="仿宋_GB2312" w:cs="TimesNewRoman"/>
          <w:sz w:val="32"/>
          <w:szCs w:val="32"/>
        </w:rPr>
        <w:t>其他商品服务支出。</w:t>
      </w:r>
    </w:p>
    <w:p w14:paraId="298920B5">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七、关于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年政府性基金预算支出表的说明</w:t>
      </w:r>
    </w:p>
    <w:p w14:paraId="617BEC9E">
      <w:pPr>
        <w:pStyle w:val="3"/>
        <w:topLinePunct/>
        <w:adjustRightInd w:val="0"/>
        <w:snapToGrid w:val="0"/>
        <w:spacing w:beforeAutospacing="0" w:afterAutospacing="0" w:line="580" w:lineRule="exact"/>
        <w:ind w:firstLine="640" w:firstLineChars="200"/>
        <w:jc w:val="both"/>
        <w:rPr>
          <w:rFonts w:hint="eastAsia" w:ascii="楷体_GB2312" w:hAnsi="TimesNewRoman" w:eastAsia="楷体_GB2312" w:cs="TimesNewRoman"/>
          <w:b/>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年没有政府性基金预算拨款收入，也没有使用政府性基金预算拨款安排的支出。</w:t>
      </w:r>
    </w:p>
    <w:p w14:paraId="036F2032">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八、关于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年国有资本经营预算支出表的说明</w:t>
      </w:r>
    </w:p>
    <w:p w14:paraId="23C2610E">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年没有国有资本经营预算拨款收入，也没有使用国有资本经营预算拨款安排的支出。</w:t>
      </w:r>
    </w:p>
    <w:p w14:paraId="2B7F5BCD">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九、关于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年项目支出表的说明</w:t>
      </w:r>
    </w:p>
    <w:p w14:paraId="14729C6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年预算共安排项目支出</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万元，比</w:t>
      </w:r>
      <w:r>
        <w:rPr>
          <w:rFonts w:hint="eastAsia" w:ascii="仿宋_GB2312" w:hAnsi="TimesNewRoman" w:eastAsia="仿宋_GB2312" w:cs="TimesNewRoman"/>
          <w:sz w:val="32"/>
          <w:szCs w:val="32"/>
          <w:lang w:eastAsia="zh-CN"/>
        </w:rPr>
        <w:t>2025年</w:t>
      </w:r>
      <w:r>
        <w:rPr>
          <w:rFonts w:hint="eastAsia" w:ascii="仿宋_GB2312" w:hAnsi="TimesNewRoman" w:eastAsia="仿宋_GB2312" w:cs="TimesNewRoman"/>
          <w:sz w:val="32"/>
          <w:szCs w:val="32"/>
        </w:rPr>
        <w:t>预算</w:t>
      </w:r>
      <w:r>
        <w:rPr>
          <w:rFonts w:hint="eastAsia" w:ascii="仿宋_GB2312" w:hAnsi="TimesNewRoman" w:eastAsia="仿宋_GB2312" w:cs="TimesNewRoman"/>
          <w:sz w:val="32"/>
          <w:szCs w:val="32"/>
          <w:lang w:val="en-US" w:eastAsia="zh-CN"/>
        </w:rPr>
        <w:t>增加0.5</w:t>
      </w:r>
      <w:r>
        <w:rPr>
          <w:rFonts w:hint="eastAsia" w:ascii="仿宋_GB2312" w:hAnsi="TimesNewRoman" w:eastAsia="仿宋_GB2312" w:cs="TimesNewRoman"/>
          <w:sz w:val="32"/>
          <w:szCs w:val="32"/>
        </w:rPr>
        <w:t>万元，</w:t>
      </w:r>
      <w:r>
        <w:rPr>
          <w:rFonts w:hint="eastAsia" w:ascii="仿宋_GB2312" w:hAnsi="TimesNewRoman" w:eastAsia="仿宋_GB2312" w:cs="TimesNewRoman"/>
          <w:sz w:val="32"/>
          <w:szCs w:val="32"/>
          <w:lang w:val="en-US" w:eastAsia="zh-CN"/>
        </w:rPr>
        <w:t>增加14.28</w:t>
      </w:r>
      <w:r>
        <w:rPr>
          <w:rFonts w:hint="eastAsia" w:ascii="仿宋_GB2312" w:hAnsi="TimesNewRoman" w:eastAsia="仿宋_GB2312" w:cs="TimesNewRoman"/>
          <w:sz w:val="32"/>
          <w:szCs w:val="32"/>
        </w:rPr>
        <w:t>%，</w:t>
      </w:r>
      <w:r>
        <w:rPr>
          <w:rFonts w:hint="eastAsia" w:ascii="仿宋_GB2312" w:hAnsi="TimesNewRoman" w:eastAsia="仿宋_GB2312" w:cs="TimesNewRoman"/>
          <w:sz w:val="32"/>
          <w:szCs w:val="32"/>
          <w:lang w:val="en-US" w:eastAsia="zh-CN"/>
        </w:rPr>
        <w:t>增加</w:t>
      </w:r>
      <w:r>
        <w:rPr>
          <w:rFonts w:hint="eastAsia" w:ascii="仿宋_GB2312" w:hAnsi="TimesNewRoman" w:eastAsia="仿宋_GB2312" w:cs="TimesNewRoman"/>
          <w:sz w:val="32"/>
          <w:szCs w:val="32"/>
        </w:rPr>
        <w:t>原因主要是</w:t>
      </w:r>
      <w:r>
        <w:rPr>
          <w:rFonts w:hint="eastAsia" w:ascii="仿宋_GB2312" w:hAnsi="TimesNewRoman" w:eastAsia="仿宋_GB2312" w:cs="TimesNewRoman"/>
          <w:sz w:val="32"/>
          <w:szCs w:val="32"/>
          <w:lang w:val="en-US" w:eastAsia="zh-CN"/>
        </w:rPr>
        <w:t>项目开支增加</w:t>
      </w:r>
      <w:r>
        <w:rPr>
          <w:rFonts w:hint="eastAsia" w:ascii="仿宋_GB2312" w:hAnsi="TimesNewRoman" w:eastAsia="仿宋_GB2312" w:cs="TimesNewRoman"/>
          <w:sz w:val="32"/>
          <w:szCs w:val="32"/>
        </w:rPr>
        <w:t>。主要包括：本年财政拨款安排</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万元，全部为一般公共预算拨款安排</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万元，财政拨款上年结转安排 0万元。</w:t>
      </w:r>
    </w:p>
    <w:p w14:paraId="7FE7B8FE">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年政府采购支出表的说明</w:t>
      </w:r>
    </w:p>
    <w:p w14:paraId="641FAAC1">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年没有使用一般公共预算拨款、政府性基金预算拨款、国有资本经营预算拨款、财政专户管理资金和单位资金安排的政府采购支出。</w:t>
      </w:r>
    </w:p>
    <w:p w14:paraId="7F28F341">
      <w:pPr>
        <w:pStyle w:val="3"/>
        <w:topLinePunct/>
        <w:adjustRightInd w:val="0"/>
        <w:snapToGrid w:val="0"/>
        <w:spacing w:beforeAutospacing="0" w:afterAutospacing="0" w:line="58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十一、关于</w:t>
      </w:r>
      <w:r>
        <w:rPr>
          <w:rFonts w:hint="eastAsia" w:ascii="楷体_GB2312" w:hAnsi="TimesNewRoman" w:eastAsia="楷体_GB2312" w:cs="TimesNewRoman"/>
          <w:b/>
          <w:sz w:val="32"/>
          <w:szCs w:val="32"/>
          <w:lang w:eastAsia="zh-CN"/>
        </w:rPr>
        <w:t>2026</w:t>
      </w:r>
      <w:r>
        <w:rPr>
          <w:rFonts w:hint="eastAsia" w:ascii="楷体_GB2312" w:hAnsi="TimesNewRoman" w:eastAsia="楷体_GB2312" w:cs="TimesNewRoman"/>
          <w:b/>
          <w:sz w:val="32"/>
          <w:szCs w:val="32"/>
        </w:rPr>
        <w:t>年政府购买服务支出表的说明</w:t>
      </w:r>
    </w:p>
    <w:p w14:paraId="4ABE2377">
      <w:pPr>
        <w:pStyle w:val="3"/>
        <w:topLinePunct/>
        <w:adjustRightInd w:val="0"/>
        <w:snapToGrid w:val="0"/>
        <w:spacing w:beforeAutospacing="0" w:afterAutospacing="0" w:line="580" w:lineRule="exact"/>
        <w:ind w:firstLine="640" w:firstLineChars="200"/>
        <w:jc w:val="both"/>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年没有安排政府购买服务支出。</w:t>
      </w:r>
    </w:p>
    <w:p w14:paraId="387E7B76">
      <w:pPr>
        <w:pStyle w:val="3"/>
        <w:topLinePunct/>
        <w:adjustRightInd w:val="0"/>
        <w:snapToGrid w:val="0"/>
        <w:spacing w:beforeAutospacing="0" w:afterAutospacing="0" w:line="580" w:lineRule="exact"/>
        <w:ind w:firstLine="643" w:firstLineChars="200"/>
        <w:jc w:val="both"/>
        <w:rPr>
          <w:rFonts w:ascii="楷体_GB2312" w:hAnsi="TimesNewRoman" w:eastAsia="楷体_GB2312" w:cs="TimesNewRoman"/>
          <w:b/>
          <w:sz w:val="32"/>
          <w:szCs w:val="32"/>
        </w:rPr>
      </w:pPr>
      <w:r>
        <w:rPr>
          <w:rFonts w:hint="eastAsia" w:ascii="楷体_GB2312" w:hAnsi="TimesNewRoman" w:eastAsia="楷体_GB2312" w:cs="TimesNewRoman"/>
          <w:b/>
          <w:sz w:val="32"/>
          <w:szCs w:val="32"/>
        </w:rPr>
        <w:t>十二、</w:t>
      </w:r>
      <w:r>
        <w:rPr>
          <w:rFonts w:hint="eastAsia" w:ascii="楷体_GB2312" w:hAnsi="TimesNewRoman" w:eastAsia="楷体_GB2312" w:cs="TimesNewRoman"/>
          <w:b/>
          <w:sz w:val="32"/>
          <w:szCs w:val="32"/>
          <w:lang w:eastAsia="zh-CN"/>
        </w:rPr>
        <w:t>关于2026</w:t>
      </w:r>
      <w:r>
        <w:rPr>
          <w:rFonts w:ascii="楷体_GB2312" w:hAnsi="TimesNewRoman" w:eastAsia="楷体_GB2312" w:cs="TimesNewRoman"/>
          <w:b/>
          <w:sz w:val="32"/>
          <w:szCs w:val="32"/>
        </w:rPr>
        <w:t>年一般公共预算“三公”经费支出情况说明</w:t>
      </w:r>
    </w:p>
    <w:p w14:paraId="786A2740">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寿县</w:t>
      </w:r>
      <w:r>
        <w:rPr>
          <w:rFonts w:hint="eastAsia" w:ascii="仿宋_GB2312" w:hAnsi="TimesNewRoman" w:eastAsia="仿宋_GB2312" w:cs="TimesNewRoman"/>
          <w:kern w:val="0"/>
          <w:sz w:val="32"/>
          <w:szCs w:val="32"/>
          <w:lang w:val="en-US" w:eastAsia="zh-CN"/>
        </w:rPr>
        <w:t>农村能源服务中心</w:t>
      </w:r>
      <w:r>
        <w:rPr>
          <w:rFonts w:hint="eastAsia" w:ascii="仿宋_GB2312" w:hAnsi="TimesNewRoman" w:eastAsia="仿宋_GB2312" w:cs="TimesNewRoman"/>
          <w:kern w:val="0"/>
          <w:sz w:val="32"/>
          <w:szCs w:val="32"/>
          <w:lang w:eastAsia="zh-CN"/>
        </w:rPr>
        <w:t>2026</w:t>
      </w:r>
      <w:r>
        <w:rPr>
          <w:rFonts w:hint="eastAsia" w:ascii="仿宋_GB2312" w:hAnsi="TimesNewRoman" w:eastAsia="仿宋_GB2312" w:cs="TimesNewRoman"/>
          <w:kern w:val="0"/>
          <w:sz w:val="32"/>
          <w:szCs w:val="32"/>
        </w:rPr>
        <w:t>年一般公共预算“三公”经费支出预算为</w:t>
      </w:r>
      <w:r>
        <w:rPr>
          <w:rFonts w:hint="eastAsia" w:ascii="仿宋_GB2312" w:hAnsi="TimesNewRoman" w:eastAsia="仿宋_GB2312" w:cs="TimesNewRoman"/>
          <w:kern w:val="0"/>
          <w:sz w:val="32"/>
          <w:szCs w:val="32"/>
          <w:lang w:val="en-US" w:eastAsia="zh-CN"/>
        </w:rPr>
        <w:t>0.2</w:t>
      </w:r>
      <w:r>
        <w:rPr>
          <w:rFonts w:hint="eastAsia"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lang w:val="en-US" w:eastAsia="zh-CN"/>
        </w:rPr>
        <w:t>与</w:t>
      </w:r>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w:t>
      </w:r>
      <w:r>
        <w:rPr>
          <w:rFonts w:hint="eastAsia" w:ascii="仿宋_GB2312" w:hAnsi="TimesNewRoman" w:eastAsia="仿宋_GB2312" w:cs="TimesNewRoman"/>
          <w:kern w:val="0"/>
          <w:sz w:val="32"/>
          <w:szCs w:val="32"/>
          <w:lang w:val="en-US" w:eastAsia="zh-CN"/>
        </w:rPr>
        <w:t>持平</w:t>
      </w:r>
      <w:r>
        <w:rPr>
          <w:rFonts w:hint="eastAsia" w:ascii="仿宋_GB2312" w:hAnsi="TimesNewRoman" w:eastAsia="仿宋_GB2312" w:cs="TimesNewRoman"/>
          <w:kern w:val="0"/>
          <w:sz w:val="32"/>
          <w:szCs w:val="32"/>
          <w:lang w:eastAsia="zh-CN"/>
        </w:rPr>
        <w:t>。</w:t>
      </w:r>
      <w:r>
        <w:rPr>
          <w:rFonts w:hint="eastAsia" w:ascii="仿宋_GB2312" w:hAnsi="TimesNewRoman" w:eastAsia="仿宋_GB2312" w:cs="TimesNewRoman"/>
          <w:kern w:val="0"/>
          <w:sz w:val="32"/>
          <w:szCs w:val="32"/>
        </w:rPr>
        <w:t>其中：因公出国（境）费支出预算为0万元，公务接待费支出预算为</w:t>
      </w:r>
      <w:r>
        <w:rPr>
          <w:rFonts w:hint="eastAsia" w:ascii="仿宋_GB2312" w:hAnsi="TimesNewRoman" w:eastAsia="仿宋_GB2312" w:cs="TimesNewRoman"/>
          <w:kern w:val="0"/>
          <w:sz w:val="32"/>
          <w:szCs w:val="32"/>
          <w:lang w:val="en-US" w:eastAsia="zh-CN"/>
        </w:rPr>
        <w:t>0.2</w:t>
      </w:r>
      <w:r>
        <w:rPr>
          <w:rFonts w:hint="eastAsia" w:ascii="仿宋_GB2312" w:hAnsi="TimesNewRoman" w:eastAsia="仿宋_GB2312" w:cs="TimesNewRoman"/>
          <w:kern w:val="0"/>
          <w:sz w:val="32"/>
          <w:szCs w:val="32"/>
        </w:rPr>
        <w:t>万元，公务用车购置及运行费支出预算为</w:t>
      </w:r>
      <w:r>
        <w:rPr>
          <w:rFonts w:hint="eastAsia" w:ascii="仿宋_GB2312" w:hAnsi="TimesNewRoman" w:eastAsia="仿宋_GB2312" w:cs="TimesNewRoman"/>
          <w:kern w:val="0"/>
          <w:sz w:val="32"/>
          <w:szCs w:val="32"/>
          <w:lang w:val="en-US" w:eastAsia="zh-CN"/>
        </w:rPr>
        <w:t>0</w:t>
      </w:r>
      <w:r>
        <w:rPr>
          <w:rFonts w:hint="eastAsia" w:ascii="仿宋_GB2312" w:hAnsi="TimesNewRoman" w:eastAsia="仿宋_GB2312" w:cs="TimesNewRoman"/>
          <w:kern w:val="0"/>
          <w:sz w:val="32"/>
          <w:szCs w:val="32"/>
        </w:rPr>
        <w:t>万元。具体情况如下：</w:t>
      </w:r>
    </w:p>
    <w:p w14:paraId="04D0509A">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（一）因公出国（境）费支出预算0万元。</w:t>
      </w:r>
    </w:p>
    <w:p w14:paraId="00DEE0FB">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lang w:val="en-US" w:eastAsia="zh-CN"/>
        </w:rPr>
      </w:pPr>
      <w:r>
        <w:rPr>
          <w:rFonts w:hint="eastAsia" w:ascii="仿宋_GB2312" w:hAnsi="TimesNewRoman" w:eastAsia="仿宋_GB2312" w:cs="TimesNewRoman"/>
          <w:kern w:val="0"/>
          <w:sz w:val="32"/>
          <w:szCs w:val="32"/>
        </w:rPr>
        <w:t>（二）公务用车购置及运行费支出预算</w:t>
      </w:r>
      <w:r>
        <w:rPr>
          <w:rFonts w:hint="eastAsia" w:ascii="仿宋_GB2312" w:hAnsi="TimesNewRoman" w:eastAsia="仿宋_GB2312" w:cs="TimesNewRoman"/>
          <w:kern w:val="0"/>
          <w:sz w:val="32"/>
          <w:szCs w:val="32"/>
          <w:lang w:val="en-US" w:eastAsia="zh-CN"/>
        </w:rPr>
        <w:t>0</w:t>
      </w:r>
      <w:r>
        <w:rPr>
          <w:rFonts w:hint="eastAsia" w:ascii="仿宋_GB2312" w:hAnsi="TimesNewRoman" w:eastAsia="仿宋_GB2312" w:cs="TimesNewRoman"/>
          <w:kern w:val="0"/>
          <w:sz w:val="32"/>
          <w:szCs w:val="32"/>
        </w:rPr>
        <w:t>万元</w:t>
      </w:r>
      <w:r>
        <w:rPr>
          <w:rFonts w:hint="eastAsia" w:ascii="仿宋_GB2312" w:hAnsi="TimesNewRoman" w:eastAsia="仿宋_GB2312" w:cs="TimesNewRoman"/>
          <w:kern w:val="0"/>
          <w:sz w:val="32"/>
          <w:szCs w:val="32"/>
          <w:lang w:eastAsia="zh-CN"/>
        </w:rPr>
        <w:t>。</w:t>
      </w:r>
    </w:p>
    <w:p w14:paraId="53DD4472">
      <w:pPr>
        <w:pStyle w:val="3"/>
        <w:topLinePunct/>
        <w:adjustRightInd w:val="0"/>
        <w:snapToGrid w:val="0"/>
        <w:spacing w:beforeAutospacing="0" w:afterAutospacing="0" w:line="560" w:lineRule="exact"/>
        <w:ind w:firstLine="640" w:firstLineChars="200"/>
        <w:jc w:val="both"/>
        <w:rPr>
          <w:rFonts w:hint="eastAsia" w:ascii="仿宋_GB2312" w:hAnsi="TimesNewRoman" w:eastAsia="仿宋_GB2312" w:cs="TimesNewRoman"/>
          <w:kern w:val="0"/>
          <w:sz w:val="32"/>
          <w:szCs w:val="32"/>
        </w:rPr>
      </w:pPr>
      <w:r>
        <w:rPr>
          <w:rFonts w:hint="eastAsia" w:ascii="仿宋_GB2312" w:hAnsi="TimesNewRoman" w:eastAsia="仿宋_GB2312" w:cs="TimesNewRoman"/>
          <w:kern w:val="0"/>
          <w:sz w:val="32"/>
          <w:szCs w:val="32"/>
        </w:rPr>
        <w:t>（三）公务接待费支出预算</w:t>
      </w:r>
      <w:r>
        <w:rPr>
          <w:rFonts w:hint="eastAsia" w:ascii="仿宋_GB2312" w:hAnsi="TimesNewRoman" w:eastAsia="仿宋_GB2312" w:cs="TimesNewRoman"/>
          <w:kern w:val="0"/>
          <w:sz w:val="32"/>
          <w:szCs w:val="32"/>
          <w:lang w:val="en-US" w:eastAsia="zh-CN"/>
        </w:rPr>
        <w:t>0.2</w:t>
      </w:r>
      <w:r>
        <w:rPr>
          <w:rFonts w:hint="eastAsia" w:ascii="仿宋_GB2312" w:hAnsi="TimesNewRoman" w:eastAsia="仿宋_GB2312" w:cs="TimesNewRoman"/>
          <w:kern w:val="0"/>
          <w:sz w:val="32"/>
          <w:szCs w:val="32"/>
        </w:rPr>
        <w:t>万元，与</w:t>
      </w:r>
      <w:r>
        <w:rPr>
          <w:rFonts w:hint="eastAsia" w:ascii="仿宋_GB2312" w:hAnsi="TimesNewRoman" w:eastAsia="仿宋_GB2312" w:cs="TimesNewRoman"/>
          <w:kern w:val="0"/>
          <w:sz w:val="32"/>
          <w:szCs w:val="32"/>
          <w:lang w:eastAsia="zh-CN"/>
        </w:rPr>
        <w:t>2025年</w:t>
      </w:r>
      <w:r>
        <w:rPr>
          <w:rFonts w:hint="eastAsia" w:ascii="仿宋_GB2312" w:hAnsi="TimesNewRoman" w:eastAsia="仿宋_GB2312" w:cs="TimesNewRoman"/>
          <w:kern w:val="0"/>
          <w:sz w:val="32"/>
          <w:szCs w:val="32"/>
        </w:rPr>
        <w:t>预算</w:t>
      </w:r>
      <w:r>
        <w:rPr>
          <w:rFonts w:hint="eastAsia" w:ascii="仿宋_GB2312" w:hAnsi="TimesNewRoman" w:eastAsia="仿宋_GB2312" w:cs="TimesNewRoman"/>
          <w:kern w:val="0"/>
          <w:sz w:val="32"/>
          <w:szCs w:val="32"/>
          <w:lang w:val="en-US" w:eastAsia="zh-CN"/>
        </w:rPr>
        <w:t>减少0.2万元</w:t>
      </w:r>
      <w:r>
        <w:rPr>
          <w:rFonts w:hint="eastAsia" w:ascii="仿宋_GB2312" w:hAnsi="TimesNewRoman" w:eastAsia="仿宋_GB2312" w:cs="TimesNewRoman"/>
          <w:kern w:val="0"/>
          <w:sz w:val="32"/>
          <w:szCs w:val="32"/>
        </w:rPr>
        <w:t>，原因主要是</w:t>
      </w:r>
      <w:r>
        <w:rPr>
          <w:rFonts w:hint="eastAsia" w:ascii="仿宋_GB2312" w:hAnsi="TimesNewRoman" w:eastAsia="仿宋_GB2312" w:cs="TimesNewRoman"/>
          <w:kern w:val="0"/>
          <w:sz w:val="32"/>
          <w:szCs w:val="32"/>
          <w:lang w:val="en-US" w:eastAsia="zh-CN"/>
        </w:rPr>
        <w:t>控制三公经费支出</w:t>
      </w:r>
      <w:r>
        <w:rPr>
          <w:rFonts w:hint="eastAsia" w:ascii="仿宋_GB2312" w:hAnsi="TimesNewRoman" w:eastAsia="仿宋_GB2312" w:cs="TimesNewRoman"/>
          <w:kern w:val="0"/>
          <w:sz w:val="32"/>
          <w:szCs w:val="32"/>
        </w:rPr>
        <w:t>。该项经费主要用于接待上级及兄弟县区相关单位业务指导和工作调研等公务往来支出。经费使用严格执行《党政机关厉行节约反对浪费条例》（中发〔2013〕13号）和《寿县党政机关公务接待管理规定》（寿办发〔2015〕2号）规定。</w:t>
      </w:r>
    </w:p>
    <w:p w14:paraId="64EA36A5">
      <w:pPr>
        <w:pStyle w:val="3"/>
        <w:topLinePunct/>
        <w:adjustRightInd w:val="0"/>
        <w:snapToGrid w:val="0"/>
        <w:spacing w:beforeAutospacing="0" w:afterAutospacing="0" w:line="560" w:lineRule="exact"/>
        <w:ind w:firstLine="643" w:firstLineChars="200"/>
        <w:jc w:val="both"/>
        <w:rPr>
          <w:rFonts w:hint="eastAsia" w:ascii="楷体_GB2312" w:hAnsi="TimesNewRoman" w:eastAsia="楷体_GB2312" w:cs="TimesNewRoman"/>
          <w:b/>
          <w:sz w:val="32"/>
          <w:szCs w:val="32"/>
        </w:rPr>
      </w:pPr>
      <w:r>
        <w:rPr>
          <w:rFonts w:hint="eastAsia" w:ascii="楷体_GB2312" w:hAnsi="TimesNewRoman" w:eastAsia="楷体_GB2312" w:cs="TimesNewRoman"/>
          <w:b/>
          <w:sz w:val="32"/>
          <w:szCs w:val="32"/>
        </w:rPr>
        <w:t>十三、其他重要事项情况说明</w:t>
      </w:r>
    </w:p>
    <w:p w14:paraId="42B9138C">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（一）项目及绩效目标情况。</w:t>
      </w:r>
    </w:p>
    <w:p w14:paraId="057EE6F1">
      <w:pPr>
        <w:topLinePunct/>
        <w:adjustRightInd w:val="0"/>
        <w:snapToGrid w:val="0"/>
        <w:spacing w:line="58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1.“</w:t>
      </w:r>
      <w:r>
        <w:rPr>
          <w:rFonts w:hint="eastAsia" w:ascii="仿宋_GB2312" w:hAnsi="TimesNewRoman" w:eastAsia="仿宋_GB2312" w:cs="TimesNewRoman"/>
          <w:b/>
          <w:sz w:val="32"/>
          <w:szCs w:val="32"/>
          <w:lang w:val="en-US" w:eastAsia="zh-CN"/>
        </w:rPr>
        <w:t>农村能源建设工作经费</w:t>
      </w:r>
      <w:r>
        <w:rPr>
          <w:rFonts w:hint="eastAsia" w:ascii="仿宋_GB2312" w:hAnsi="TimesNewRoman" w:eastAsia="仿宋_GB2312" w:cs="TimesNewRoman"/>
          <w:b/>
          <w:sz w:val="32"/>
          <w:szCs w:val="32"/>
        </w:rPr>
        <w:t>”项目。</w:t>
      </w:r>
    </w:p>
    <w:p w14:paraId="525723EF">
      <w:pPr>
        <w:adjustRightInd w:val="0"/>
        <w:snapToGrid w:val="0"/>
        <w:spacing w:line="600" w:lineRule="exact"/>
        <w:ind w:firstLine="640" w:firstLineChars="200"/>
        <w:rPr>
          <w:rFonts w:ascii="仿宋_GB2312" w:hAnsi="楷体" w:eastAsia="仿宋_GB2312"/>
          <w:sz w:val="32"/>
          <w:szCs w:val="32"/>
        </w:rPr>
      </w:pPr>
      <w:r>
        <w:rPr>
          <w:rFonts w:hint="eastAsia" w:ascii="仿宋_GB2312" w:hAnsi="楷体" w:eastAsia="仿宋_GB2312"/>
          <w:sz w:val="32"/>
          <w:szCs w:val="32"/>
        </w:rPr>
        <w:t>（1）项目概述。</w:t>
      </w:r>
      <w:r>
        <w:rPr>
          <w:rFonts w:hint="eastAsia" w:ascii="仿宋_GB2312" w:hAnsi="楷体" w:eastAsia="仿宋_GB2312"/>
          <w:sz w:val="32"/>
          <w:szCs w:val="32"/>
          <w:lang w:eastAsia="zh-CN"/>
        </w:rPr>
        <w:t>对境内</w:t>
      </w:r>
      <w:r>
        <w:rPr>
          <w:rFonts w:hint="eastAsia" w:ascii="仿宋_GB2312" w:hAnsi="楷体" w:eastAsia="仿宋_GB2312"/>
          <w:sz w:val="32"/>
          <w:szCs w:val="32"/>
          <w:lang w:val="en-US" w:eastAsia="zh-CN"/>
        </w:rPr>
        <w:t>32073口户用沼气池，62个养殖小区中小型沼气工程和2处大中型沼气工程进行后续服务工作。</w:t>
      </w:r>
      <w:r>
        <w:rPr>
          <w:rFonts w:hint="eastAsia" w:ascii="仿宋_GB2312" w:hAnsi="楷体" w:eastAsia="仿宋_GB2312"/>
          <w:sz w:val="32"/>
          <w:szCs w:val="32"/>
        </w:rPr>
        <w:t>（2）立项依据。</w:t>
      </w:r>
      <w:r>
        <w:rPr>
          <w:rFonts w:hint="eastAsia" w:ascii="仿宋_GB2312" w:hAnsi="楷体" w:eastAsia="仿宋_GB2312"/>
          <w:sz w:val="32"/>
          <w:szCs w:val="32"/>
          <w:lang w:eastAsia="zh-CN"/>
        </w:rPr>
        <w:t>农村能源管理办法</w:t>
      </w:r>
      <w:r>
        <w:rPr>
          <w:rFonts w:hint="eastAsia" w:ascii="仿宋_GB2312" w:hAnsi="楷体" w:eastAsia="仿宋_GB2312"/>
          <w:sz w:val="32"/>
          <w:szCs w:val="32"/>
        </w:rPr>
        <w:t>。</w:t>
      </w:r>
    </w:p>
    <w:p w14:paraId="7A640C18">
      <w:pPr>
        <w:spacing w:line="600" w:lineRule="exact"/>
        <w:ind w:firstLine="585" w:firstLineChars="183"/>
        <w:rPr>
          <w:rFonts w:ascii="仿宋_GB2312" w:hAnsi="楷体" w:eastAsia="仿宋_GB2312"/>
          <w:sz w:val="32"/>
          <w:szCs w:val="32"/>
          <w:u w:val="single"/>
        </w:rPr>
      </w:pPr>
      <w:r>
        <w:rPr>
          <w:rFonts w:hint="eastAsia" w:ascii="仿宋_GB2312" w:hAnsi="楷体" w:eastAsia="仿宋_GB2312"/>
          <w:sz w:val="32"/>
          <w:szCs w:val="32"/>
        </w:rPr>
        <w:t>（3）实施主体。</w:t>
      </w:r>
      <w:r>
        <w:rPr>
          <w:rFonts w:hint="eastAsia" w:ascii="仿宋" w:hAnsi="仿宋" w:eastAsia="仿宋" w:cs="Times New Roman"/>
          <w:kern w:val="2"/>
          <w:sz w:val="32"/>
          <w:szCs w:val="32"/>
          <w:lang w:eastAsia="zh-CN"/>
        </w:rPr>
        <w:t>寿县农村能源服务中心</w:t>
      </w:r>
      <w:r>
        <w:rPr>
          <w:rFonts w:hint="eastAsia" w:ascii="仿宋_GB2312" w:hAnsi="楷体" w:eastAsia="仿宋_GB2312"/>
          <w:sz w:val="32"/>
          <w:szCs w:val="32"/>
        </w:rPr>
        <w:t>。</w:t>
      </w:r>
    </w:p>
    <w:p w14:paraId="51BD58AD">
      <w:pPr>
        <w:adjustRightInd w:val="0"/>
        <w:snapToGrid w:val="0"/>
        <w:spacing w:line="600" w:lineRule="exact"/>
        <w:ind w:firstLine="640" w:firstLineChars="200"/>
        <w:rPr>
          <w:rFonts w:ascii="仿宋_GB2312" w:hAnsi="仿宋" w:eastAsia="仿宋_GB2312"/>
          <w:sz w:val="32"/>
          <w:szCs w:val="32"/>
        </w:rPr>
      </w:pPr>
      <w:r>
        <w:rPr>
          <w:rFonts w:hint="eastAsia" w:ascii="仿宋_GB2312" w:hAnsi="楷体" w:eastAsia="仿宋_GB2312"/>
          <w:sz w:val="32"/>
          <w:szCs w:val="32"/>
        </w:rPr>
        <w:t>（4）起止时间。</w:t>
      </w: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年1-12月。</w:t>
      </w:r>
    </w:p>
    <w:p w14:paraId="339B6FBE">
      <w:pPr>
        <w:adjustRightInd w:val="0"/>
        <w:snapToGrid w:val="0"/>
        <w:spacing w:line="600" w:lineRule="exact"/>
        <w:ind w:firstLine="640" w:firstLineChars="200"/>
        <w:rPr>
          <w:rFonts w:hint="default" w:ascii="仿宋_GB2312" w:hAnsi="楷体" w:eastAsia="仿宋_GB2312"/>
          <w:sz w:val="32"/>
          <w:szCs w:val="32"/>
          <w:lang w:val="en-US" w:eastAsia="zh-CN"/>
        </w:rPr>
      </w:pPr>
      <w:r>
        <w:rPr>
          <w:rFonts w:hint="eastAsia" w:ascii="仿宋_GB2312" w:hAnsi="楷体" w:eastAsia="仿宋_GB2312"/>
          <w:sz w:val="32"/>
          <w:szCs w:val="32"/>
        </w:rPr>
        <w:t>（5）项目内容。</w:t>
      </w:r>
      <w:r>
        <w:rPr>
          <w:rFonts w:hint="eastAsia" w:ascii="仿宋_GB2312" w:hAnsi="楷体" w:eastAsia="仿宋_GB2312"/>
          <w:sz w:val="32"/>
          <w:szCs w:val="32"/>
          <w:lang w:eastAsia="zh-CN"/>
        </w:rPr>
        <w:t>对境内</w:t>
      </w:r>
      <w:r>
        <w:rPr>
          <w:rFonts w:hint="eastAsia" w:ascii="仿宋_GB2312" w:hAnsi="楷体" w:eastAsia="仿宋_GB2312"/>
          <w:sz w:val="32"/>
          <w:szCs w:val="32"/>
          <w:lang w:val="en-US" w:eastAsia="zh-CN"/>
        </w:rPr>
        <w:t>32073口户用沼气池，62个养殖小区中小型沼气工程和2处大中型沼气工程进行后续服务工作。</w:t>
      </w:r>
    </w:p>
    <w:p w14:paraId="047E8EDA">
      <w:pPr>
        <w:adjustRightInd w:val="0"/>
        <w:snapToGrid w:val="0"/>
        <w:spacing w:line="600" w:lineRule="exact"/>
        <w:ind w:firstLine="640" w:firstLineChars="200"/>
        <w:rPr>
          <w:rFonts w:ascii="仿宋_GB2312" w:hAnsi="仿宋" w:eastAsia="仿宋_GB2312"/>
          <w:sz w:val="32"/>
          <w:szCs w:val="32"/>
        </w:rPr>
      </w:pPr>
      <w:r>
        <w:rPr>
          <w:rFonts w:hint="eastAsia" w:ascii="仿宋_GB2312" w:hAnsi="楷体" w:eastAsia="仿宋_GB2312"/>
          <w:sz w:val="32"/>
          <w:szCs w:val="32"/>
        </w:rPr>
        <w:t>（6）年度预算安排。</w:t>
      </w:r>
      <w:r>
        <w:rPr>
          <w:rFonts w:hint="eastAsia" w:ascii="仿宋_GB2312" w:hAnsi="仿宋" w:eastAsia="仿宋_GB2312"/>
          <w:sz w:val="32"/>
          <w:szCs w:val="32"/>
          <w:lang w:val="en-US" w:eastAsia="zh-CN"/>
        </w:rPr>
        <w:t>4</w:t>
      </w:r>
      <w:r>
        <w:rPr>
          <w:rFonts w:hint="eastAsia" w:ascii="仿宋_GB2312" w:hAnsi="仿宋" w:eastAsia="仿宋_GB2312"/>
          <w:sz w:val="32"/>
          <w:szCs w:val="32"/>
        </w:rPr>
        <w:t>万元。</w:t>
      </w:r>
    </w:p>
    <w:p w14:paraId="13FE07F8">
      <w:pPr>
        <w:topLinePunct/>
        <w:adjustRightInd w:val="0"/>
        <w:snapToGrid w:val="0"/>
        <w:spacing w:line="58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rPr>
        <w:t>（7）绩效目标。</w:t>
      </w:r>
      <w:r>
        <w:rPr>
          <w:rFonts w:hint="eastAsia" w:ascii="仿宋_GB2312" w:hAnsi="楷体" w:eastAsia="仿宋_GB2312"/>
          <w:sz w:val="32"/>
          <w:szCs w:val="32"/>
          <w:lang w:eastAsia="zh-CN"/>
        </w:rPr>
        <w:t>依托</w:t>
      </w:r>
      <w:r>
        <w:rPr>
          <w:rFonts w:hint="eastAsia" w:ascii="仿宋_GB2312" w:hAnsi="楷体" w:eastAsia="仿宋_GB2312"/>
          <w:sz w:val="32"/>
          <w:szCs w:val="32"/>
          <w:lang w:val="en-US" w:eastAsia="zh-CN"/>
        </w:rPr>
        <w:t>91个村级沼气服务网点，</w:t>
      </w:r>
      <w:r>
        <w:rPr>
          <w:rFonts w:hint="eastAsia" w:ascii="仿宋_GB2312" w:hAnsi="楷体" w:eastAsia="仿宋_GB2312"/>
          <w:sz w:val="32"/>
          <w:szCs w:val="32"/>
          <w:lang w:eastAsia="zh-CN"/>
        </w:rPr>
        <w:t>对境内</w:t>
      </w:r>
      <w:r>
        <w:rPr>
          <w:rFonts w:hint="eastAsia" w:ascii="仿宋_GB2312" w:hAnsi="楷体" w:eastAsia="仿宋_GB2312"/>
          <w:sz w:val="32"/>
          <w:szCs w:val="32"/>
          <w:lang w:val="en-US" w:eastAsia="zh-CN"/>
        </w:rPr>
        <w:t>32073口户用沼气池，62个养殖小区中小型沼气工程和2处大中型沼气工程进行后续服务工作，确保正常使用，发挥效益。</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5C9C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21082457">
            <w:pPr>
              <w:widowControl/>
              <w:jc w:val="center"/>
              <w:textAlignment w:val="center"/>
              <w:rPr>
                <w:rFonts w:ascii="宋体" w:cs="宋体"/>
                <w:b/>
                <w:bCs/>
                <w:szCs w:val="32"/>
              </w:rPr>
            </w:pPr>
            <w:r>
              <w:rPr>
                <w:rFonts w:hint="eastAsia" w:ascii="宋体" w:hAnsi="宋体" w:cs="宋体"/>
                <w:b/>
                <w:color w:val="000000"/>
                <w:kern w:val="0"/>
                <w:sz w:val="28"/>
                <w:szCs w:val="28"/>
                <w:lang w:bidi="ar"/>
              </w:rPr>
              <w:t>项目支出绩效目标表</w:t>
            </w:r>
          </w:p>
        </w:tc>
      </w:tr>
      <w:tr w14:paraId="6978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5E288210">
            <w:pPr>
              <w:widowControl/>
              <w:jc w:val="center"/>
              <w:textAlignment w:val="center"/>
              <w:rPr>
                <w:rFonts w:ascii="宋体" w:cs="宋体"/>
                <w:sz w:val="20"/>
              </w:rPr>
            </w:pPr>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eastAsia="zh-CN" w:bidi="ar"/>
              </w:rPr>
              <w:t>2026</w:t>
            </w:r>
            <w:r>
              <w:rPr>
                <w:rFonts w:hint="eastAsia" w:ascii="宋体" w:hAnsi="宋体" w:cs="宋体"/>
                <w:color w:val="000000"/>
                <w:kern w:val="0"/>
                <w:sz w:val="20"/>
                <w:szCs w:val="20"/>
                <w:lang w:bidi="ar"/>
              </w:rPr>
              <w:t xml:space="preserve">年度）                                </w:t>
            </w:r>
          </w:p>
        </w:tc>
      </w:tr>
      <w:tr w14:paraId="4486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620FA7D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项目名称</w:t>
            </w:r>
          </w:p>
        </w:tc>
        <w:tc>
          <w:tcPr>
            <w:tcW w:w="7577" w:type="dxa"/>
            <w:gridSpan w:val="4"/>
            <w:noWrap w:val="0"/>
            <w:vAlign w:val="center"/>
          </w:tcPr>
          <w:p w14:paraId="1306B6FF">
            <w:pPr>
              <w:spacing w:line="260" w:lineRule="exact"/>
              <w:jc w:val="center"/>
              <w:rPr>
                <w:rFonts w:hint="default" w:ascii="宋体" w:eastAsia="宋体" w:cs="宋体"/>
                <w:sz w:val="18"/>
                <w:szCs w:val="18"/>
                <w:lang w:val="en-US" w:eastAsia="zh-CN"/>
              </w:rPr>
            </w:pPr>
            <w:r>
              <w:rPr>
                <w:rFonts w:hint="eastAsia"/>
                <w:color w:val="auto"/>
                <w:sz w:val="20"/>
                <w:szCs w:val="20"/>
              </w:rPr>
              <w:t>农村能源建设工作经费</w:t>
            </w:r>
          </w:p>
        </w:tc>
      </w:tr>
      <w:tr w14:paraId="37219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443" w:type="dxa"/>
            <w:gridSpan w:val="3"/>
            <w:noWrap w:val="0"/>
            <w:vAlign w:val="center"/>
          </w:tcPr>
          <w:p w14:paraId="5B899C48">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主管</w:t>
            </w:r>
            <w:r>
              <w:rPr>
                <w:rFonts w:hint="eastAsia" w:ascii="宋体" w:hAnsi="宋体" w:cs="宋体"/>
                <w:color w:val="000000"/>
                <w:kern w:val="0"/>
                <w:sz w:val="18"/>
                <w:szCs w:val="18"/>
                <w:lang w:eastAsia="zh-CN" w:bidi="ar"/>
              </w:rPr>
              <w:t>单位</w:t>
            </w:r>
            <w:r>
              <w:rPr>
                <w:rFonts w:hint="eastAsia" w:ascii="宋体" w:hAnsi="宋体" w:cs="宋体"/>
                <w:color w:val="000000"/>
                <w:kern w:val="0"/>
                <w:sz w:val="18"/>
                <w:szCs w:val="18"/>
                <w:lang w:bidi="ar"/>
              </w:rPr>
              <w:t xml:space="preserve">   及代码</w:t>
            </w:r>
          </w:p>
        </w:tc>
        <w:tc>
          <w:tcPr>
            <w:tcW w:w="3349" w:type="dxa"/>
            <w:gridSpan w:val="2"/>
            <w:noWrap w:val="0"/>
            <w:vAlign w:val="center"/>
          </w:tcPr>
          <w:p w14:paraId="1FD3E307">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140-寿县农业农村局</w:t>
            </w:r>
          </w:p>
        </w:tc>
        <w:tc>
          <w:tcPr>
            <w:tcW w:w="1848" w:type="dxa"/>
            <w:noWrap w:val="0"/>
            <w:vAlign w:val="center"/>
          </w:tcPr>
          <w:p w14:paraId="06026B6E">
            <w:pPr>
              <w:spacing w:line="260" w:lineRule="exact"/>
              <w:jc w:val="center"/>
              <w:textAlignment w:val="center"/>
              <w:rPr>
                <w:sz w:val="18"/>
                <w:szCs w:val="18"/>
              </w:rPr>
            </w:pPr>
            <w:r>
              <w:rPr>
                <w:rFonts w:hint="eastAsia" w:ascii="宋体" w:hAnsi="宋体" w:cs="宋体"/>
                <w:color w:val="000000"/>
                <w:kern w:val="0"/>
                <w:sz w:val="18"/>
                <w:szCs w:val="18"/>
                <w:lang w:bidi="ar"/>
              </w:rPr>
              <w:t>实施单位</w:t>
            </w:r>
          </w:p>
        </w:tc>
        <w:tc>
          <w:tcPr>
            <w:tcW w:w="2380" w:type="dxa"/>
            <w:noWrap w:val="0"/>
            <w:vAlign w:val="center"/>
          </w:tcPr>
          <w:p w14:paraId="69B0AF75">
            <w:pPr>
              <w:spacing w:line="260" w:lineRule="exact"/>
              <w:jc w:val="center"/>
              <w:rPr>
                <w:rFonts w:hint="default" w:eastAsia="宋体"/>
                <w:sz w:val="18"/>
                <w:szCs w:val="18"/>
                <w:lang w:val="en-US" w:eastAsia="zh-CN"/>
              </w:rPr>
            </w:pPr>
            <w:r>
              <w:rPr>
                <w:rFonts w:hint="eastAsia"/>
                <w:sz w:val="18"/>
                <w:szCs w:val="18"/>
                <w:lang w:val="en-US" w:eastAsia="zh-CN"/>
              </w:rPr>
              <w:t>140007-寿县农村能源服务中心</w:t>
            </w:r>
          </w:p>
        </w:tc>
      </w:tr>
      <w:tr w14:paraId="794B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noWrap w:val="0"/>
            <w:vAlign w:val="center"/>
          </w:tcPr>
          <w:p w14:paraId="2370AB43">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项目来源</w:t>
            </w:r>
          </w:p>
        </w:tc>
        <w:tc>
          <w:tcPr>
            <w:tcW w:w="3349" w:type="dxa"/>
            <w:gridSpan w:val="2"/>
            <w:noWrap w:val="0"/>
            <w:vAlign w:val="center"/>
          </w:tcPr>
          <w:p w14:paraId="1DF66987">
            <w:pPr>
              <w:spacing w:line="260" w:lineRule="exact"/>
              <w:jc w:val="center"/>
              <w:rPr>
                <w:rFonts w:ascii="宋体" w:cs="宋体"/>
                <w:sz w:val="18"/>
                <w:szCs w:val="18"/>
              </w:rPr>
            </w:pPr>
          </w:p>
        </w:tc>
        <w:tc>
          <w:tcPr>
            <w:tcW w:w="1848" w:type="dxa"/>
            <w:noWrap w:val="0"/>
            <w:vAlign w:val="center"/>
          </w:tcPr>
          <w:p w14:paraId="102BF318">
            <w:pPr>
              <w:spacing w:line="260" w:lineRule="exact"/>
              <w:jc w:val="center"/>
              <w:textAlignment w:val="center"/>
              <w:rPr>
                <w:sz w:val="18"/>
                <w:szCs w:val="18"/>
              </w:rPr>
            </w:pPr>
            <w:r>
              <w:rPr>
                <w:rFonts w:hint="eastAsia" w:ascii="宋体" w:hAnsi="宋体" w:cs="宋体"/>
                <w:color w:val="000000"/>
                <w:kern w:val="0"/>
                <w:sz w:val="18"/>
                <w:szCs w:val="18"/>
                <w:lang w:bidi="ar"/>
              </w:rPr>
              <w:t>项目期</w:t>
            </w:r>
          </w:p>
        </w:tc>
        <w:tc>
          <w:tcPr>
            <w:tcW w:w="2380" w:type="dxa"/>
            <w:noWrap w:val="0"/>
            <w:vAlign w:val="center"/>
          </w:tcPr>
          <w:p w14:paraId="3043CF12">
            <w:pPr>
              <w:spacing w:line="260" w:lineRule="exact"/>
              <w:jc w:val="center"/>
              <w:rPr>
                <w:rFonts w:hint="default" w:eastAsia="宋体"/>
                <w:sz w:val="18"/>
                <w:szCs w:val="18"/>
                <w:lang w:val="en-US" w:eastAsia="zh-CN"/>
              </w:rPr>
            </w:pPr>
            <w:r>
              <w:rPr>
                <w:rFonts w:hint="eastAsia"/>
                <w:sz w:val="18"/>
                <w:szCs w:val="18"/>
                <w:lang w:val="en-US" w:eastAsia="zh-CN"/>
              </w:rPr>
              <w:t>2026年度</w:t>
            </w:r>
          </w:p>
        </w:tc>
      </w:tr>
      <w:tr w14:paraId="2BD7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noWrap w:val="0"/>
            <w:vAlign w:val="center"/>
          </w:tcPr>
          <w:p w14:paraId="33F0658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项目资金</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（万元）</w:t>
            </w:r>
          </w:p>
        </w:tc>
        <w:tc>
          <w:tcPr>
            <w:tcW w:w="3349" w:type="dxa"/>
            <w:gridSpan w:val="2"/>
            <w:noWrap w:val="0"/>
            <w:vAlign w:val="center"/>
          </w:tcPr>
          <w:p w14:paraId="5F05526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年度资金总额：</w:t>
            </w:r>
          </w:p>
        </w:tc>
        <w:tc>
          <w:tcPr>
            <w:tcW w:w="4228" w:type="dxa"/>
            <w:gridSpan w:val="2"/>
            <w:noWrap w:val="0"/>
            <w:vAlign w:val="center"/>
          </w:tcPr>
          <w:p w14:paraId="0974DE15">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4</w:t>
            </w:r>
          </w:p>
        </w:tc>
      </w:tr>
      <w:tr w14:paraId="2FCD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000AEFAC">
            <w:pPr>
              <w:spacing w:line="260" w:lineRule="exact"/>
              <w:jc w:val="center"/>
              <w:rPr>
                <w:rFonts w:ascii="宋体" w:cs="宋体"/>
                <w:sz w:val="18"/>
                <w:szCs w:val="18"/>
              </w:rPr>
            </w:pPr>
          </w:p>
        </w:tc>
        <w:tc>
          <w:tcPr>
            <w:tcW w:w="3349" w:type="dxa"/>
            <w:gridSpan w:val="2"/>
            <w:noWrap w:val="0"/>
            <w:vAlign w:val="center"/>
          </w:tcPr>
          <w:p w14:paraId="08B63335">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其中：财政拨款</w:t>
            </w:r>
          </w:p>
        </w:tc>
        <w:tc>
          <w:tcPr>
            <w:tcW w:w="4228" w:type="dxa"/>
            <w:gridSpan w:val="2"/>
            <w:noWrap w:val="0"/>
            <w:vAlign w:val="center"/>
          </w:tcPr>
          <w:p w14:paraId="22963FEB">
            <w:pPr>
              <w:spacing w:line="260" w:lineRule="exact"/>
              <w:jc w:val="right"/>
              <w:rPr>
                <w:rFonts w:hint="default" w:ascii="宋体" w:eastAsia="宋体" w:cs="宋体"/>
                <w:sz w:val="18"/>
                <w:szCs w:val="18"/>
                <w:lang w:val="en-US" w:eastAsia="zh-CN"/>
              </w:rPr>
            </w:pPr>
            <w:r>
              <w:rPr>
                <w:rFonts w:hint="eastAsia" w:ascii="宋体" w:cs="宋体"/>
                <w:sz w:val="18"/>
                <w:szCs w:val="18"/>
                <w:lang w:val="en-US" w:eastAsia="zh-CN"/>
              </w:rPr>
              <w:t>4</w:t>
            </w:r>
          </w:p>
        </w:tc>
      </w:tr>
      <w:tr w14:paraId="01CA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46155B4D">
            <w:pPr>
              <w:spacing w:line="260" w:lineRule="exact"/>
              <w:jc w:val="center"/>
              <w:rPr>
                <w:rFonts w:ascii="宋体" w:cs="宋体"/>
                <w:sz w:val="18"/>
                <w:szCs w:val="18"/>
              </w:rPr>
            </w:pPr>
          </w:p>
        </w:tc>
        <w:tc>
          <w:tcPr>
            <w:tcW w:w="3349" w:type="dxa"/>
            <w:gridSpan w:val="2"/>
            <w:noWrap w:val="0"/>
            <w:vAlign w:val="center"/>
          </w:tcPr>
          <w:p w14:paraId="013D2EA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上年结转</w:t>
            </w:r>
          </w:p>
        </w:tc>
        <w:tc>
          <w:tcPr>
            <w:tcW w:w="4228" w:type="dxa"/>
            <w:gridSpan w:val="2"/>
            <w:noWrap w:val="0"/>
            <w:vAlign w:val="center"/>
          </w:tcPr>
          <w:p w14:paraId="033CB906">
            <w:pPr>
              <w:spacing w:line="260" w:lineRule="exact"/>
              <w:jc w:val="center"/>
              <w:rPr>
                <w:rFonts w:ascii="宋体" w:cs="宋体"/>
                <w:sz w:val="18"/>
                <w:szCs w:val="18"/>
              </w:rPr>
            </w:pPr>
          </w:p>
        </w:tc>
      </w:tr>
      <w:tr w14:paraId="24E8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noWrap w:val="0"/>
            <w:vAlign w:val="center"/>
          </w:tcPr>
          <w:p w14:paraId="30FB05E4">
            <w:pPr>
              <w:spacing w:line="260" w:lineRule="exact"/>
              <w:jc w:val="center"/>
              <w:rPr>
                <w:rFonts w:ascii="宋体" w:cs="宋体"/>
                <w:sz w:val="18"/>
                <w:szCs w:val="18"/>
              </w:rPr>
            </w:pPr>
          </w:p>
        </w:tc>
        <w:tc>
          <w:tcPr>
            <w:tcW w:w="3349" w:type="dxa"/>
            <w:gridSpan w:val="2"/>
            <w:noWrap w:val="0"/>
            <w:vAlign w:val="center"/>
          </w:tcPr>
          <w:p w14:paraId="0F44B2CF">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 xml:space="preserve">         其他资金</w:t>
            </w:r>
          </w:p>
        </w:tc>
        <w:tc>
          <w:tcPr>
            <w:tcW w:w="4228" w:type="dxa"/>
            <w:gridSpan w:val="2"/>
            <w:noWrap w:val="0"/>
            <w:vAlign w:val="center"/>
          </w:tcPr>
          <w:p w14:paraId="0B122AB0">
            <w:pPr>
              <w:spacing w:line="260" w:lineRule="exact"/>
              <w:jc w:val="right"/>
              <w:rPr>
                <w:rFonts w:ascii="宋体" w:cs="宋体"/>
                <w:sz w:val="18"/>
                <w:szCs w:val="18"/>
              </w:rPr>
            </w:pPr>
          </w:p>
        </w:tc>
      </w:tr>
      <w:tr w14:paraId="68CB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noWrap w:val="0"/>
            <w:vAlign w:val="center"/>
          </w:tcPr>
          <w:p w14:paraId="3CB53B6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年度</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目标</w:t>
            </w:r>
          </w:p>
        </w:tc>
        <w:tc>
          <w:tcPr>
            <w:tcW w:w="8582" w:type="dxa"/>
            <w:gridSpan w:val="6"/>
            <w:noWrap w:val="0"/>
            <w:vAlign w:val="center"/>
          </w:tcPr>
          <w:p w14:paraId="5B42FB77">
            <w:pPr>
              <w:spacing w:line="260" w:lineRule="exact"/>
              <w:jc w:val="left"/>
              <w:rPr>
                <w:rFonts w:ascii="宋体" w:cs="宋体"/>
                <w:sz w:val="18"/>
                <w:szCs w:val="18"/>
              </w:rPr>
            </w:pPr>
            <w:r>
              <w:rPr>
                <w:rFonts w:hint="eastAsia"/>
                <w:color w:val="auto"/>
                <w:sz w:val="18"/>
                <w:szCs w:val="18"/>
              </w:rPr>
              <w:t>对境内32073口户用沼气池，62个养殖小区中小型沼气工程和2处大中型沼气工程进行后续服务工作。</w:t>
            </w:r>
          </w:p>
        </w:tc>
      </w:tr>
      <w:tr w14:paraId="053D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noWrap w:val="0"/>
            <w:vAlign w:val="center"/>
          </w:tcPr>
          <w:p w14:paraId="13517E7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绩</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效</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标</w:t>
            </w:r>
          </w:p>
        </w:tc>
        <w:tc>
          <w:tcPr>
            <w:tcW w:w="723" w:type="dxa"/>
            <w:noWrap w:val="0"/>
            <w:vAlign w:val="center"/>
          </w:tcPr>
          <w:p w14:paraId="15E7DC69">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一级</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指标</w:t>
            </w:r>
          </w:p>
        </w:tc>
        <w:tc>
          <w:tcPr>
            <w:tcW w:w="759" w:type="dxa"/>
            <w:gridSpan w:val="2"/>
            <w:noWrap w:val="0"/>
            <w:vAlign w:val="center"/>
          </w:tcPr>
          <w:p w14:paraId="45CF0A4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二级指标</w:t>
            </w:r>
          </w:p>
        </w:tc>
        <w:tc>
          <w:tcPr>
            <w:tcW w:w="2872" w:type="dxa"/>
            <w:noWrap w:val="0"/>
            <w:vAlign w:val="center"/>
          </w:tcPr>
          <w:p w14:paraId="11A7DE1F">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三级指标</w:t>
            </w:r>
          </w:p>
        </w:tc>
        <w:tc>
          <w:tcPr>
            <w:tcW w:w="4228" w:type="dxa"/>
            <w:gridSpan w:val="2"/>
            <w:noWrap w:val="0"/>
            <w:vAlign w:val="center"/>
          </w:tcPr>
          <w:p w14:paraId="61959B5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指标值</w:t>
            </w:r>
          </w:p>
        </w:tc>
      </w:tr>
      <w:tr w14:paraId="108C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BE57E12">
            <w:pPr>
              <w:spacing w:line="260" w:lineRule="exact"/>
              <w:jc w:val="center"/>
              <w:rPr>
                <w:rFonts w:ascii="宋体" w:cs="宋体"/>
                <w:sz w:val="18"/>
                <w:szCs w:val="18"/>
              </w:rPr>
            </w:pPr>
          </w:p>
        </w:tc>
        <w:tc>
          <w:tcPr>
            <w:tcW w:w="723" w:type="dxa"/>
            <w:vMerge w:val="restart"/>
            <w:noWrap w:val="0"/>
            <w:vAlign w:val="center"/>
          </w:tcPr>
          <w:p w14:paraId="43FFCBE7">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产出指标</w:t>
            </w:r>
          </w:p>
        </w:tc>
        <w:tc>
          <w:tcPr>
            <w:tcW w:w="759" w:type="dxa"/>
            <w:gridSpan w:val="2"/>
            <w:vMerge w:val="restart"/>
            <w:noWrap w:val="0"/>
            <w:vAlign w:val="center"/>
          </w:tcPr>
          <w:p w14:paraId="1432FDBC">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数量指标</w:t>
            </w:r>
          </w:p>
        </w:tc>
        <w:tc>
          <w:tcPr>
            <w:tcW w:w="2872" w:type="dxa"/>
            <w:noWrap w:val="0"/>
            <w:vAlign w:val="center"/>
          </w:tcPr>
          <w:p w14:paraId="373C4F0B">
            <w:pPr>
              <w:rPr>
                <w:rFonts w:ascii="宋体" w:cs="宋体"/>
                <w:sz w:val="18"/>
                <w:szCs w:val="18"/>
              </w:rPr>
            </w:pPr>
            <w:r>
              <w:rPr>
                <w:rFonts w:hint="eastAsia" w:cs="Times New Roman"/>
                <w:color w:val="auto"/>
                <w:sz w:val="18"/>
                <w:szCs w:val="18"/>
                <w:lang w:val="en-US" w:eastAsia="zh-CN"/>
              </w:rPr>
              <w:t>指标1：</w:t>
            </w:r>
            <w:r>
              <w:rPr>
                <w:rFonts w:hint="eastAsia" w:ascii="Times New Roman" w:hAnsi="Times New Roman" w:eastAsia="宋体" w:cs="Times New Roman"/>
                <w:color w:val="auto"/>
                <w:sz w:val="18"/>
                <w:szCs w:val="18"/>
                <w:lang w:eastAsia="zh-CN"/>
              </w:rPr>
              <w:t>服务户用沼气和沼气工程户数</w:t>
            </w:r>
          </w:p>
        </w:tc>
        <w:tc>
          <w:tcPr>
            <w:tcW w:w="4228" w:type="dxa"/>
            <w:gridSpan w:val="2"/>
            <w:noWrap w:val="0"/>
            <w:vAlign w:val="center"/>
          </w:tcPr>
          <w:p w14:paraId="711830F5">
            <w:pPr>
              <w:rPr>
                <w:rFonts w:ascii="宋体" w:cs="宋体"/>
                <w:sz w:val="18"/>
                <w:szCs w:val="18"/>
              </w:rPr>
            </w:pPr>
            <w:r>
              <w:rPr>
                <w:rFonts w:hint="eastAsia" w:ascii="Times New Roman" w:hAnsi="Times New Roman" w:eastAsia="宋体" w:cs="Times New Roman"/>
                <w:color w:val="auto"/>
                <w:sz w:val="18"/>
                <w:szCs w:val="18"/>
              </w:rPr>
              <w:t>≥</w:t>
            </w:r>
            <w:r>
              <w:rPr>
                <w:rFonts w:hint="eastAsia" w:ascii="Times New Roman" w:hAnsi="Times New Roman" w:eastAsia="宋体" w:cs="Times New Roman"/>
                <w:color w:val="auto"/>
                <w:sz w:val="18"/>
                <w:szCs w:val="18"/>
                <w:lang w:val="en-US" w:eastAsia="zh-CN"/>
              </w:rPr>
              <w:t>3.2万户</w:t>
            </w:r>
          </w:p>
        </w:tc>
      </w:tr>
      <w:tr w14:paraId="74CC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0764FF8">
            <w:pPr>
              <w:spacing w:line="260" w:lineRule="exact"/>
              <w:jc w:val="center"/>
              <w:rPr>
                <w:rFonts w:ascii="宋体" w:cs="宋体"/>
                <w:sz w:val="18"/>
                <w:szCs w:val="18"/>
              </w:rPr>
            </w:pPr>
          </w:p>
        </w:tc>
        <w:tc>
          <w:tcPr>
            <w:tcW w:w="723" w:type="dxa"/>
            <w:vMerge w:val="continue"/>
            <w:noWrap w:val="0"/>
            <w:vAlign w:val="center"/>
          </w:tcPr>
          <w:p w14:paraId="4FDC1E38">
            <w:pPr>
              <w:spacing w:line="260" w:lineRule="exact"/>
              <w:jc w:val="center"/>
              <w:rPr>
                <w:rFonts w:ascii="宋体" w:cs="宋体"/>
                <w:sz w:val="18"/>
                <w:szCs w:val="18"/>
              </w:rPr>
            </w:pPr>
          </w:p>
        </w:tc>
        <w:tc>
          <w:tcPr>
            <w:tcW w:w="759" w:type="dxa"/>
            <w:gridSpan w:val="2"/>
            <w:vMerge w:val="continue"/>
            <w:noWrap w:val="0"/>
            <w:vAlign w:val="center"/>
          </w:tcPr>
          <w:p w14:paraId="370E33E4">
            <w:pPr>
              <w:spacing w:line="260" w:lineRule="exact"/>
              <w:jc w:val="center"/>
              <w:rPr>
                <w:rFonts w:ascii="宋体" w:cs="宋体"/>
                <w:sz w:val="18"/>
                <w:szCs w:val="18"/>
              </w:rPr>
            </w:pPr>
          </w:p>
        </w:tc>
        <w:tc>
          <w:tcPr>
            <w:tcW w:w="2872" w:type="dxa"/>
            <w:noWrap w:val="0"/>
            <w:vAlign w:val="center"/>
          </w:tcPr>
          <w:p w14:paraId="55F10726">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0892C6E8">
            <w:pPr>
              <w:spacing w:line="260" w:lineRule="exact"/>
              <w:jc w:val="center"/>
              <w:rPr>
                <w:rFonts w:ascii="宋体" w:cs="宋体"/>
                <w:sz w:val="18"/>
                <w:szCs w:val="18"/>
              </w:rPr>
            </w:pPr>
          </w:p>
        </w:tc>
      </w:tr>
      <w:tr w14:paraId="65EE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660ABF3">
            <w:pPr>
              <w:spacing w:line="260" w:lineRule="exact"/>
              <w:jc w:val="center"/>
              <w:rPr>
                <w:rFonts w:ascii="宋体" w:cs="宋体"/>
                <w:sz w:val="18"/>
                <w:szCs w:val="18"/>
              </w:rPr>
            </w:pPr>
          </w:p>
        </w:tc>
        <w:tc>
          <w:tcPr>
            <w:tcW w:w="723" w:type="dxa"/>
            <w:vMerge w:val="continue"/>
            <w:noWrap w:val="0"/>
            <w:vAlign w:val="center"/>
          </w:tcPr>
          <w:p w14:paraId="453C02B4">
            <w:pPr>
              <w:spacing w:line="260" w:lineRule="exact"/>
              <w:jc w:val="center"/>
              <w:rPr>
                <w:rFonts w:ascii="宋体" w:cs="宋体"/>
                <w:sz w:val="18"/>
                <w:szCs w:val="18"/>
              </w:rPr>
            </w:pPr>
          </w:p>
        </w:tc>
        <w:tc>
          <w:tcPr>
            <w:tcW w:w="759" w:type="dxa"/>
            <w:gridSpan w:val="2"/>
            <w:vMerge w:val="restart"/>
            <w:noWrap w:val="0"/>
            <w:vAlign w:val="center"/>
          </w:tcPr>
          <w:p w14:paraId="3F748151">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质量指标</w:t>
            </w:r>
          </w:p>
        </w:tc>
        <w:tc>
          <w:tcPr>
            <w:tcW w:w="2872" w:type="dxa"/>
            <w:noWrap w:val="0"/>
            <w:vAlign w:val="center"/>
          </w:tcPr>
          <w:p w14:paraId="6F20AF18">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指标1：经费支出合规性</w:t>
            </w:r>
          </w:p>
        </w:tc>
        <w:tc>
          <w:tcPr>
            <w:tcW w:w="4228" w:type="dxa"/>
            <w:gridSpan w:val="2"/>
            <w:noWrap w:val="0"/>
            <w:vAlign w:val="center"/>
          </w:tcPr>
          <w:p w14:paraId="32870082">
            <w:pPr>
              <w:spacing w:line="260" w:lineRule="exact"/>
              <w:jc w:val="center"/>
              <w:rPr>
                <w:rFonts w:ascii="宋体" w:cs="宋体"/>
                <w:sz w:val="18"/>
                <w:szCs w:val="18"/>
              </w:rPr>
            </w:pPr>
            <w:r>
              <w:rPr>
                <w:rFonts w:hint="eastAsia" w:ascii="宋体" w:cs="宋体"/>
                <w:sz w:val="18"/>
                <w:szCs w:val="18"/>
              </w:rPr>
              <w:t>严格执行相关财经法规、制度</w:t>
            </w:r>
          </w:p>
        </w:tc>
      </w:tr>
      <w:tr w14:paraId="313A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8559A43">
            <w:pPr>
              <w:spacing w:line="260" w:lineRule="exact"/>
              <w:jc w:val="center"/>
              <w:rPr>
                <w:rFonts w:ascii="宋体" w:cs="宋体"/>
                <w:sz w:val="18"/>
                <w:szCs w:val="18"/>
              </w:rPr>
            </w:pPr>
          </w:p>
        </w:tc>
        <w:tc>
          <w:tcPr>
            <w:tcW w:w="723" w:type="dxa"/>
            <w:vMerge w:val="continue"/>
            <w:noWrap w:val="0"/>
            <w:vAlign w:val="center"/>
          </w:tcPr>
          <w:p w14:paraId="59A428FB">
            <w:pPr>
              <w:spacing w:line="260" w:lineRule="exact"/>
              <w:jc w:val="center"/>
              <w:rPr>
                <w:rFonts w:ascii="宋体" w:cs="宋体"/>
                <w:sz w:val="18"/>
                <w:szCs w:val="18"/>
              </w:rPr>
            </w:pPr>
          </w:p>
        </w:tc>
        <w:tc>
          <w:tcPr>
            <w:tcW w:w="759" w:type="dxa"/>
            <w:gridSpan w:val="2"/>
            <w:vMerge w:val="continue"/>
            <w:noWrap w:val="0"/>
            <w:vAlign w:val="center"/>
          </w:tcPr>
          <w:p w14:paraId="56893B9C">
            <w:pPr>
              <w:spacing w:line="260" w:lineRule="exact"/>
              <w:jc w:val="center"/>
              <w:rPr>
                <w:rFonts w:ascii="宋体" w:cs="宋体"/>
                <w:sz w:val="18"/>
                <w:szCs w:val="18"/>
              </w:rPr>
            </w:pPr>
          </w:p>
        </w:tc>
        <w:tc>
          <w:tcPr>
            <w:tcW w:w="2872" w:type="dxa"/>
            <w:noWrap w:val="0"/>
            <w:vAlign w:val="center"/>
          </w:tcPr>
          <w:p w14:paraId="1C6C2D38">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6EBF9766">
            <w:pPr>
              <w:spacing w:line="260" w:lineRule="exact"/>
              <w:jc w:val="center"/>
              <w:rPr>
                <w:rFonts w:ascii="宋体" w:cs="宋体"/>
                <w:sz w:val="18"/>
                <w:szCs w:val="18"/>
              </w:rPr>
            </w:pPr>
          </w:p>
        </w:tc>
      </w:tr>
      <w:tr w14:paraId="58F7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0EA39AB">
            <w:pPr>
              <w:spacing w:line="260" w:lineRule="exact"/>
              <w:jc w:val="center"/>
              <w:rPr>
                <w:rFonts w:ascii="宋体" w:cs="宋体"/>
                <w:sz w:val="18"/>
                <w:szCs w:val="18"/>
              </w:rPr>
            </w:pPr>
          </w:p>
        </w:tc>
        <w:tc>
          <w:tcPr>
            <w:tcW w:w="723" w:type="dxa"/>
            <w:vMerge w:val="continue"/>
            <w:noWrap w:val="0"/>
            <w:vAlign w:val="center"/>
          </w:tcPr>
          <w:p w14:paraId="6E34D3BE">
            <w:pPr>
              <w:spacing w:line="260" w:lineRule="exact"/>
              <w:jc w:val="center"/>
              <w:rPr>
                <w:rFonts w:ascii="宋体" w:cs="宋体"/>
                <w:sz w:val="18"/>
                <w:szCs w:val="18"/>
              </w:rPr>
            </w:pPr>
          </w:p>
        </w:tc>
        <w:tc>
          <w:tcPr>
            <w:tcW w:w="759" w:type="dxa"/>
            <w:gridSpan w:val="2"/>
            <w:vMerge w:val="restart"/>
            <w:noWrap w:val="0"/>
            <w:vAlign w:val="center"/>
          </w:tcPr>
          <w:p w14:paraId="519CE77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时效指标</w:t>
            </w:r>
          </w:p>
        </w:tc>
        <w:tc>
          <w:tcPr>
            <w:tcW w:w="2872" w:type="dxa"/>
            <w:noWrap w:val="0"/>
            <w:vAlign w:val="center"/>
          </w:tcPr>
          <w:p w14:paraId="61FB2E1B">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指标1：项目完成及时性</w:t>
            </w:r>
          </w:p>
        </w:tc>
        <w:tc>
          <w:tcPr>
            <w:tcW w:w="4228" w:type="dxa"/>
            <w:gridSpan w:val="2"/>
            <w:noWrap w:val="0"/>
            <w:vAlign w:val="center"/>
          </w:tcPr>
          <w:p w14:paraId="4F3C584A">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2026年12月</w:t>
            </w:r>
          </w:p>
        </w:tc>
      </w:tr>
      <w:tr w14:paraId="607B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10B6FF7">
            <w:pPr>
              <w:spacing w:line="260" w:lineRule="exact"/>
              <w:jc w:val="center"/>
              <w:rPr>
                <w:rFonts w:ascii="宋体" w:cs="宋体"/>
                <w:sz w:val="18"/>
                <w:szCs w:val="18"/>
              </w:rPr>
            </w:pPr>
          </w:p>
        </w:tc>
        <w:tc>
          <w:tcPr>
            <w:tcW w:w="723" w:type="dxa"/>
            <w:vMerge w:val="continue"/>
            <w:noWrap w:val="0"/>
            <w:vAlign w:val="center"/>
          </w:tcPr>
          <w:p w14:paraId="35AD79D8">
            <w:pPr>
              <w:spacing w:line="260" w:lineRule="exact"/>
              <w:jc w:val="center"/>
              <w:rPr>
                <w:rFonts w:ascii="宋体" w:cs="宋体"/>
                <w:sz w:val="18"/>
                <w:szCs w:val="18"/>
              </w:rPr>
            </w:pPr>
          </w:p>
        </w:tc>
        <w:tc>
          <w:tcPr>
            <w:tcW w:w="759" w:type="dxa"/>
            <w:gridSpan w:val="2"/>
            <w:vMerge w:val="continue"/>
            <w:noWrap w:val="0"/>
            <w:vAlign w:val="center"/>
          </w:tcPr>
          <w:p w14:paraId="17944A2B">
            <w:pPr>
              <w:spacing w:line="260" w:lineRule="exact"/>
              <w:jc w:val="center"/>
              <w:rPr>
                <w:rFonts w:ascii="宋体" w:cs="宋体"/>
                <w:sz w:val="18"/>
                <w:szCs w:val="18"/>
              </w:rPr>
            </w:pPr>
          </w:p>
        </w:tc>
        <w:tc>
          <w:tcPr>
            <w:tcW w:w="2872" w:type="dxa"/>
            <w:noWrap w:val="0"/>
            <w:vAlign w:val="center"/>
          </w:tcPr>
          <w:p w14:paraId="1507A7D0">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5B50B8E0">
            <w:pPr>
              <w:spacing w:line="260" w:lineRule="exact"/>
              <w:jc w:val="center"/>
              <w:rPr>
                <w:rFonts w:ascii="宋体" w:cs="宋体"/>
                <w:sz w:val="18"/>
                <w:szCs w:val="18"/>
              </w:rPr>
            </w:pPr>
          </w:p>
        </w:tc>
      </w:tr>
      <w:tr w14:paraId="4B5E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A522DEC">
            <w:pPr>
              <w:spacing w:line="260" w:lineRule="exact"/>
              <w:jc w:val="center"/>
              <w:rPr>
                <w:rFonts w:ascii="宋体" w:cs="宋体"/>
                <w:sz w:val="18"/>
                <w:szCs w:val="18"/>
              </w:rPr>
            </w:pPr>
          </w:p>
        </w:tc>
        <w:tc>
          <w:tcPr>
            <w:tcW w:w="723" w:type="dxa"/>
            <w:vMerge w:val="continue"/>
            <w:noWrap w:val="0"/>
            <w:vAlign w:val="center"/>
          </w:tcPr>
          <w:p w14:paraId="5E837449">
            <w:pPr>
              <w:spacing w:line="260" w:lineRule="exact"/>
              <w:jc w:val="center"/>
              <w:rPr>
                <w:rFonts w:ascii="宋体" w:cs="宋体"/>
                <w:sz w:val="18"/>
                <w:szCs w:val="18"/>
              </w:rPr>
            </w:pPr>
          </w:p>
        </w:tc>
        <w:tc>
          <w:tcPr>
            <w:tcW w:w="759" w:type="dxa"/>
            <w:gridSpan w:val="2"/>
            <w:vMerge w:val="restart"/>
            <w:noWrap w:val="0"/>
            <w:vAlign w:val="center"/>
          </w:tcPr>
          <w:p w14:paraId="563880CA">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成本指标</w:t>
            </w:r>
          </w:p>
        </w:tc>
        <w:tc>
          <w:tcPr>
            <w:tcW w:w="2872" w:type="dxa"/>
            <w:noWrap w:val="0"/>
            <w:vAlign w:val="center"/>
          </w:tcPr>
          <w:p w14:paraId="7494B4C2">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5"/>
                <w:szCs w:val="15"/>
                <w:lang w:bidi="ar"/>
              </w:rPr>
              <w:t>开展</w:t>
            </w:r>
            <w:r>
              <w:rPr>
                <w:rFonts w:hint="eastAsia" w:ascii="宋体" w:hAnsi="宋体" w:cs="宋体"/>
                <w:color w:val="000000"/>
                <w:kern w:val="0"/>
                <w:sz w:val="15"/>
                <w:szCs w:val="15"/>
                <w:lang w:val="en-US" w:eastAsia="zh-CN" w:bidi="ar"/>
              </w:rPr>
              <w:t>农村能源</w:t>
            </w:r>
            <w:r>
              <w:rPr>
                <w:rFonts w:hint="eastAsia" w:ascii="宋体" w:hAnsi="宋体" w:cs="宋体"/>
                <w:color w:val="000000"/>
                <w:kern w:val="0"/>
                <w:sz w:val="15"/>
                <w:szCs w:val="15"/>
                <w:lang w:bidi="ar"/>
              </w:rPr>
              <w:t>相关经费支出</w:t>
            </w:r>
          </w:p>
        </w:tc>
        <w:tc>
          <w:tcPr>
            <w:tcW w:w="4228" w:type="dxa"/>
            <w:gridSpan w:val="2"/>
            <w:noWrap w:val="0"/>
            <w:vAlign w:val="center"/>
          </w:tcPr>
          <w:p w14:paraId="2DA37FB1">
            <w:pPr>
              <w:spacing w:line="260" w:lineRule="exact"/>
              <w:jc w:val="center"/>
              <w:rPr>
                <w:rFonts w:ascii="宋体" w:cs="宋体"/>
                <w:sz w:val="18"/>
                <w:szCs w:val="18"/>
              </w:rPr>
            </w:pPr>
            <w:r>
              <w:rPr>
                <w:rFonts w:hint="eastAsia" w:ascii="宋体" w:cs="宋体"/>
                <w:sz w:val="18"/>
                <w:szCs w:val="18"/>
              </w:rPr>
              <w:t>≤</w:t>
            </w:r>
            <w:r>
              <w:rPr>
                <w:rFonts w:hint="eastAsia" w:ascii="宋体" w:cs="宋体"/>
                <w:sz w:val="18"/>
                <w:szCs w:val="18"/>
                <w:lang w:val="en-US" w:eastAsia="zh-CN"/>
              </w:rPr>
              <w:t>4</w:t>
            </w:r>
            <w:r>
              <w:rPr>
                <w:rFonts w:hint="eastAsia" w:ascii="宋体" w:cs="宋体"/>
                <w:sz w:val="18"/>
                <w:szCs w:val="18"/>
              </w:rPr>
              <w:t>万元</w:t>
            </w:r>
          </w:p>
        </w:tc>
      </w:tr>
      <w:tr w14:paraId="7696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8498B6B">
            <w:pPr>
              <w:spacing w:line="260" w:lineRule="exact"/>
              <w:jc w:val="center"/>
              <w:rPr>
                <w:rFonts w:ascii="宋体" w:cs="宋体"/>
                <w:sz w:val="18"/>
                <w:szCs w:val="18"/>
              </w:rPr>
            </w:pPr>
          </w:p>
        </w:tc>
        <w:tc>
          <w:tcPr>
            <w:tcW w:w="723" w:type="dxa"/>
            <w:vMerge w:val="continue"/>
            <w:noWrap w:val="0"/>
            <w:vAlign w:val="center"/>
          </w:tcPr>
          <w:p w14:paraId="723E4A79">
            <w:pPr>
              <w:spacing w:line="260" w:lineRule="exact"/>
              <w:jc w:val="center"/>
              <w:rPr>
                <w:rFonts w:ascii="宋体" w:cs="宋体"/>
                <w:sz w:val="18"/>
                <w:szCs w:val="18"/>
              </w:rPr>
            </w:pPr>
          </w:p>
        </w:tc>
        <w:tc>
          <w:tcPr>
            <w:tcW w:w="759" w:type="dxa"/>
            <w:gridSpan w:val="2"/>
            <w:vMerge w:val="continue"/>
            <w:noWrap w:val="0"/>
            <w:vAlign w:val="center"/>
          </w:tcPr>
          <w:p w14:paraId="1ABA1082">
            <w:pPr>
              <w:spacing w:line="260" w:lineRule="exact"/>
              <w:jc w:val="center"/>
              <w:rPr>
                <w:rFonts w:ascii="宋体" w:cs="宋体"/>
                <w:sz w:val="18"/>
                <w:szCs w:val="18"/>
              </w:rPr>
            </w:pPr>
          </w:p>
        </w:tc>
        <w:tc>
          <w:tcPr>
            <w:tcW w:w="2872" w:type="dxa"/>
            <w:noWrap w:val="0"/>
            <w:vAlign w:val="center"/>
          </w:tcPr>
          <w:p w14:paraId="37022268">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77918438">
            <w:pPr>
              <w:spacing w:line="260" w:lineRule="exact"/>
              <w:jc w:val="center"/>
              <w:rPr>
                <w:rFonts w:ascii="宋体" w:cs="宋体"/>
                <w:sz w:val="18"/>
                <w:szCs w:val="18"/>
              </w:rPr>
            </w:pPr>
          </w:p>
        </w:tc>
      </w:tr>
      <w:tr w14:paraId="3DDD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2BA3CFF3">
            <w:pPr>
              <w:spacing w:line="260" w:lineRule="exact"/>
              <w:jc w:val="center"/>
              <w:rPr>
                <w:rFonts w:ascii="宋体" w:cs="宋体"/>
                <w:sz w:val="18"/>
                <w:szCs w:val="18"/>
              </w:rPr>
            </w:pPr>
          </w:p>
        </w:tc>
        <w:tc>
          <w:tcPr>
            <w:tcW w:w="723" w:type="dxa"/>
            <w:vMerge w:val="restart"/>
            <w:noWrap w:val="0"/>
            <w:vAlign w:val="center"/>
          </w:tcPr>
          <w:p w14:paraId="4A089515">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效益指标</w:t>
            </w:r>
          </w:p>
        </w:tc>
        <w:tc>
          <w:tcPr>
            <w:tcW w:w="759" w:type="dxa"/>
            <w:gridSpan w:val="2"/>
            <w:vMerge w:val="restart"/>
            <w:noWrap w:val="0"/>
            <w:vAlign w:val="center"/>
          </w:tcPr>
          <w:p w14:paraId="7EFFF6E6">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经济效益指标</w:t>
            </w:r>
          </w:p>
        </w:tc>
        <w:tc>
          <w:tcPr>
            <w:tcW w:w="2872" w:type="dxa"/>
            <w:noWrap w:val="0"/>
            <w:vAlign w:val="center"/>
          </w:tcPr>
          <w:p w14:paraId="5F1B964A">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p>
        </w:tc>
        <w:tc>
          <w:tcPr>
            <w:tcW w:w="4228" w:type="dxa"/>
            <w:gridSpan w:val="2"/>
            <w:noWrap w:val="0"/>
            <w:vAlign w:val="center"/>
          </w:tcPr>
          <w:p w14:paraId="56B94EB2">
            <w:pPr>
              <w:spacing w:line="260" w:lineRule="exact"/>
              <w:jc w:val="center"/>
              <w:rPr>
                <w:rFonts w:ascii="宋体" w:cs="宋体"/>
                <w:sz w:val="18"/>
                <w:szCs w:val="18"/>
              </w:rPr>
            </w:pPr>
          </w:p>
        </w:tc>
      </w:tr>
      <w:tr w14:paraId="6DD0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41539139">
            <w:pPr>
              <w:spacing w:line="260" w:lineRule="exact"/>
              <w:jc w:val="center"/>
              <w:rPr>
                <w:rFonts w:ascii="宋体" w:cs="宋体"/>
                <w:sz w:val="18"/>
                <w:szCs w:val="18"/>
              </w:rPr>
            </w:pPr>
          </w:p>
        </w:tc>
        <w:tc>
          <w:tcPr>
            <w:tcW w:w="723" w:type="dxa"/>
            <w:vMerge w:val="continue"/>
            <w:noWrap w:val="0"/>
            <w:vAlign w:val="center"/>
          </w:tcPr>
          <w:p w14:paraId="75B07C3D">
            <w:pPr>
              <w:spacing w:line="260" w:lineRule="exact"/>
              <w:jc w:val="center"/>
              <w:rPr>
                <w:rFonts w:ascii="宋体" w:cs="宋体"/>
                <w:sz w:val="18"/>
                <w:szCs w:val="18"/>
              </w:rPr>
            </w:pPr>
          </w:p>
        </w:tc>
        <w:tc>
          <w:tcPr>
            <w:tcW w:w="759" w:type="dxa"/>
            <w:gridSpan w:val="2"/>
            <w:vMerge w:val="continue"/>
            <w:noWrap w:val="0"/>
            <w:vAlign w:val="center"/>
          </w:tcPr>
          <w:p w14:paraId="1BE5298A">
            <w:pPr>
              <w:spacing w:line="260" w:lineRule="exact"/>
              <w:jc w:val="center"/>
              <w:rPr>
                <w:rFonts w:ascii="宋体" w:cs="宋体"/>
                <w:sz w:val="18"/>
                <w:szCs w:val="18"/>
              </w:rPr>
            </w:pPr>
          </w:p>
        </w:tc>
        <w:tc>
          <w:tcPr>
            <w:tcW w:w="2872" w:type="dxa"/>
            <w:noWrap w:val="0"/>
            <w:vAlign w:val="center"/>
          </w:tcPr>
          <w:p w14:paraId="2E0528BF">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121E3A73">
            <w:pPr>
              <w:spacing w:line="260" w:lineRule="exact"/>
              <w:jc w:val="center"/>
              <w:rPr>
                <w:rFonts w:ascii="宋体" w:cs="宋体"/>
                <w:sz w:val="18"/>
                <w:szCs w:val="18"/>
              </w:rPr>
            </w:pPr>
          </w:p>
        </w:tc>
      </w:tr>
      <w:tr w14:paraId="360D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4266DA7">
            <w:pPr>
              <w:spacing w:line="260" w:lineRule="exact"/>
              <w:jc w:val="center"/>
              <w:rPr>
                <w:rFonts w:ascii="宋体" w:cs="宋体"/>
                <w:sz w:val="18"/>
                <w:szCs w:val="18"/>
              </w:rPr>
            </w:pPr>
          </w:p>
        </w:tc>
        <w:tc>
          <w:tcPr>
            <w:tcW w:w="723" w:type="dxa"/>
            <w:vMerge w:val="continue"/>
            <w:noWrap w:val="0"/>
            <w:vAlign w:val="center"/>
          </w:tcPr>
          <w:p w14:paraId="1D652A94">
            <w:pPr>
              <w:spacing w:line="260" w:lineRule="exact"/>
              <w:jc w:val="center"/>
              <w:rPr>
                <w:rFonts w:ascii="宋体" w:cs="宋体"/>
                <w:sz w:val="18"/>
                <w:szCs w:val="18"/>
              </w:rPr>
            </w:pPr>
          </w:p>
        </w:tc>
        <w:tc>
          <w:tcPr>
            <w:tcW w:w="759" w:type="dxa"/>
            <w:gridSpan w:val="2"/>
            <w:vMerge w:val="restart"/>
            <w:noWrap w:val="0"/>
            <w:vAlign w:val="center"/>
          </w:tcPr>
          <w:p w14:paraId="31942432">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社会效益指标</w:t>
            </w:r>
          </w:p>
        </w:tc>
        <w:tc>
          <w:tcPr>
            <w:tcW w:w="2872" w:type="dxa"/>
            <w:noWrap w:val="0"/>
            <w:vAlign w:val="center"/>
          </w:tcPr>
          <w:p w14:paraId="38942895">
            <w:pPr>
              <w:spacing w:line="260" w:lineRule="exact"/>
              <w:jc w:val="left"/>
              <w:textAlignment w:val="center"/>
              <w:rPr>
                <w:rFonts w:hint="default" w:ascii="宋体" w:eastAsia="宋体" w:cs="宋体"/>
                <w:sz w:val="18"/>
                <w:szCs w:val="18"/>
                <w:lang w:val="en-US" w:eastAsia="zh-CN"/>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农村能源正常运转</w:t>
            </w:r>
          </w:p>
        </w:tc>
        <w:tc>
          <w:tcPr>
            <w:tcW w:w="4228" w:type="dxa"/>
            <w:gridSpan w:val="2"/>
            <w:noWrap w:val="0"/>
            <w:vAlign w:val="center"/>
          </w:tcPr>
          <w:p w14:paraId="7065FAE2">
            <w:pPr>
              <w:spacing w:line="260" w:lineRule="exact"/>
              <w:jc w:val="center"/>
              <w:rPr>
                <w:rFonts w:ascii="宋体" w:cs="宋体"/>
                <w:sz w:val="18"/>
                <w:szCs w:val="18"/>
              </w:rPr>
            </w:pPr>
            <w:r>
              <w:rPr>
                <w:rFonts w:hint="eastAsia" w:ascii="Times New Roman" w:hAnsi="Times New Roman" w:eastAsia="宋体" w:cs="Times New Roman"/>
                <w:color w:val="auto"/>
                <w:sz w:val="18"/>
                <w:szCs w:val="18"/>
                <w:lang w:eastAsia="zh-CN"/>
              </w:rPr>
              <w:t>消耗</w:t>
            </w:r>
            <w:r>
              <w:rPr>
                <w:rFonts w:hint="eastAsia" w:ascii="Times New Roman" w:hAnsi="Times New Roman" w:eastAsia="宋体" w:cs="Times New Roman"/>
                <w:color w:val="auto"/>
                <w:sz w:val="18"/>
                <w:szCs w:val="18"/>
                <w:lang w:val="en-US" w:eastAsia="zh-CN"/>
              </w:rPr>
              <w:t>3万吨秸秆</w:t>
            </w:r>
          </w:p>
        </w:tc>
      </w:tr>
      <w:tr w14:paraId="1CB2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57B99BBA">
            <w:pPr>
              <w:spacing w:line="260" w:lineRule="exact"/>
              <w:jc w:val="center"/>
              <w:rPr>
                <w:rFonts w:ascii="宋体" w:cs="宋体"/>
                <w:sz w:val="18"/>
                <w:szCs w:val="18"/>
              </w:rPr>
            </w:pPr>
          </w:p>
        </w:tc>
        <w:tc>
          <w:tcPr>
            <w:tcW w:w="723" w:type="dxa"/>
            <w:vMerge w:val="continue"/>
            <w:noWrap w:val="0"/>
            <w:vAlign w:val="center"/>
          </w:tcPr>
          <w:p w14:paraId="3910DC82">
            <w:pPr>
              <w:spacing w:line="260" w:lineRule="exact"/>
              <w:jc w:val="center"/>
              <w:rPr>
                <w:rFonts w:ascii="宋体" w:cs="宋体"/>
                <w:sz w:val="18"/>
                <w:szCs w:val="18"/>
              </w:rPr>
            </w:pPr>
          </w:p>
        </w:tc>
        <w:tc>
          <w:tcPr>
            <w:tcW w:w="759" w:type="dxa"/>
            <w:gridSpan w:val="2"/>
            <w:vMerge w:val="continue"/>
            <w:noWrap w:val="0"/>
            <w:vAlign w:val="center"/>
          </w:tcPr>
          <w:p w14:paraId="1EA970A9">
            <w:pPr>
              <w:spacing w:line="260" w:lineRule="exact"/>
              <w:jc w:val="center"/>
              <w:rPr>
                <w:rFonts w:ascii="宋体" w:cs="宋体"/>
                <w:sz w:val="18"/>
                <w:szCs w:val="18"/>
              </w:rPr>
            </w:pPr>
          </w:p>
        </w:tc>
        <w:tc>
          <w:tcPr>
            <w:tcW w:w="2872" w:type="dxa"/>
            <w:noWrap w:val="0"/>
            <w:vAlign w:val="center"/>
          </w:tcPr>
          <w:p w14:paraId="1E9BB730">
            <w:pPr>
              <w:spacing w:line="260" w:lineRule="exact"/>
              <w:jc w:val="left"/>
              <w:textAlignment w:val="center"/>
              <w:rPr>
                <w:rFonts w:ascii="宋体" w:cs="宋体"/>
                <w:sz w:val="18"/>
                <w:szCs w:val="18"/>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2D86B0BD">
            <w:pPr>
              <w:spacing w:line="260" w:lineRule="exact"/>
              <w:jc w:val="center"/>
              <w:rPr>
                <w:rFonts w:ascii="宋体" w:cs="宋体"/>
                <w:sz w:val="18"/>
                <w:szCs w:val="18"/>
              </w:rPr>
            </w:pPr>
          </w:p>
        </w:tc>
      </w:tr>
      <w:tr w14:paraId="1450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010D4C95">
            <w:pPr>
              <w:spacing w:line="260" w:lineRule="exact"/>
              <w:jc w:val="center"/>
              <w:rPr>
                <w:rFonts w:ascii="宋体" w:cs="宋体"/>
                <w:sz w:val="18"/>
                <w:szCs w:val="18"/>
              </w:rPr>
            </w:pPr>
          </w:p>
        </w:tc>
        <w:tc>
          <w:tcPr>
            <w:tcW w:w="723" w:type="dxa"/>
            <w:vMerge w:val="continue"/>
            <w:noWrap w:val="0"/>
            <w:vAlign w:val="center"/>
          </w:tcPr>
          <w:p w14:paraId="0565B9C8">
            <w:pPr>
              <w:spacing w:line="260" w:lineRule="exact"/>
              <w:jc w:val="center"/>
              <w:rPr>
                <w:rFonts w:ascii="宋体" w:cs="宋体"/>
                <w:sz w:val="18"/>
                <w:szCs w:val="18"/>
              </w:rPr>
            </w:pPr>
          </w:p>
        </w:tc>
        <w:tc>
          <w:tcPr>
            <w:tcW w:w="759" w:type="dxa"/>
            <w:gridSpan w:val="2"/>
            <w:vMerge w:val="restart"/>
            <w:noWrap w:val="0"/>
            <w:vAlign w:val="center"/>
          </w:tcPr>
          <w:p w14:paraId="2E23A37E">
            <w:pPr>
              <w:spacing w:line="260" w:lineRule="exact"/>
              <w:jc w:val="center"/>
              <w:textAlignment w:val="center"/>
              <w:rPr>
                <w:rFonts w:ascii="宋体" w:cs="宋体"/>
                <w:sz w:val="18"/>
                <w:szCs w:val="18"/>
              </w:rPr>
            </w:pPr>
            <w:r>
              <w:rPr>
                <w:rFonts w:hint="eastAsia" w:ascii="宋体" w:hAnsi="宋体" w:cs="宋体"/>
                <w:color w:val="000000"/>
                <w:kern w:val="0"/>
                <w:sz w:val="18"/>
                <w:szCs w:val="18"/>
                <w:lang w:bidi="ar"/>
              </w:rPr>
              <w:t>生态效益指标</w:t>
            </w:r>
          </w:p>
        </w:tc>
        <w:tc>
          <w:tcPr>
            <w:tcW w:w="2872" w:type="dxa"/>
            <w:noWrap w:val="0"/>
            <w:vAlign w:val="center"/>
          </w:tcPr>
          <w:p w14:paraId="4BA51869">
            <w:pPr>
              <w:spacing w:line="260" w:lineRule="exact"/>
              <w:jc w:val="left"/>
              <w:textAlignment w:val="center"/>
              <w:rPr>
                <w:rFonts w:ascii="宋体" w:cs="宋体"/>
                <w:sz w:val="18"/>
                <w:szCs w:val="18"/>
              </w:rPr>
            </w:pPr>
            <w:r>
              <w:rPr>
                <w:rFonts w:hint="eastAsia" w:ascii="宋体" w:hAnsi="宋体" w:cs="宋体"/>
                <w:color w:val="000000"/>
                <w:kern w:val="0"/>
                <w:sz w:val="18"/>
                <w:szCs w:val="18"/>
                <w:lang w:bidi="ar"/>
              </w:rPr>
              <w:t>指标1：</w:t>
            </w:r>
            <w:r>
              <w:rPr>
                <w:rFonts w:hint="eastAsia" w:ascii="宋体" w:hAnsi="宋体" w:cs="宋体"/>
                <w:color w:val="000000"/>
                <w:kern w:val="0"/>
                <w:sz w:val="18"/>
                <w:szCs w:val="18"/>
                <w:lang w:val="en-US" w:eastAsia="zh-CN" w:bidi="ar"/>
              </w:rPr>
              <w:t>农村能源</w:t>
            </w:r>
            <w:r>
              <w:rPr>
                <w:rFonts w:hint="eastAsia" w:ascii="宋体" w:hAnsi="宋体" w:cs="宋体"/>
                <w:color w:val="000000"/>
                <w:kern w:val="0"/>
                <w:sz w:val="18"/>
                <w:szCs w:val="18"/>
                <w:lang w:bidi="ar"/>
              </w:rPr>
              <w:t>的利用率</w:t>
            </w:r>
          </w:p>
        </w:tc>
        <w:tc>
          <w:tcPr>
            <w:tcW w:w="4228" w:type="dxa"/>
            <w:gridSpan w:val="2"/>
            <w:noWrap w:val="0"/>
            <w:vAlign w:val="center"/>
          </w:tcPr>
          <w:p w14:paraId="21D17C66">
            <w:pPr>
              <w:spacing w:line="260" w:lineRule="exact"/>
              <w:jc w:val="center"/>
              <w:rPr>
                <w:rFonts w:hint="default" w:ascii="宋体" w:eastAsia="宋体" w:cs="宋体"/>
                <w:sz w:val="18"/>
                <w:szCs w:val="18"/>
                <w:lang w:val="en-US" w:eastAsia="zh-CN"/>
              </w:rPr>
            </w:pPr>
            <w:r>
              <w:rPr>
                <w:rFonts w:hint="eastAsia" w:ascii="宋体" w:cs="宋体"/>
                <w:sz w:val="18"/>
                <w:szCs w:val="18"/>
                <w:lang w:val="en-US" w:eastAsia="zh-CN"/>
              </w:rPr>
              <w:t>正常增长</w:t>
            </w:r>
          </w:p>
        </w:tc>
      </w:tr>
      <w:tr w14:paraId="15F8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7312E087">
            <w:pPr>
              <w:spacing w:line="260" w:lineRule="exact"/>
              <w:jc w:val="center"/>
              <w:rPr>
                <w:rFonts w:ascii="宋体" w:cs="宋体"/>
                <w:sz w:val="18"/>
                <w:szCs w:val="18"/>
              </w:rPr>
            </w:pPr>
          </w:p>
        </w:tc>
        <w:tc>
          <w:tcPr>
            <w:tcW w:w="723" w:type="dxa"/>
            <w:vMerge w:val="continue"/>
            <w:noWrap w:val="0"/>
            <w:vAlign w:val="center"/>
          </w:tcPr>
          <w:p w14:paraId="1CFB9E74">
            <w:pPr>
              <w:spacing w:line="260" w:lineRule="exact"/>
              <w:jc w:val="center"/>
              <w:rPr>
                <w:rFonts w:ascii="宋体" w:cs="宋体"/>
                <w:sz w:val="18"/>
                <w:szCs w:val="18"/>
              </w:rPr>
            </w:pPr>
          </w:p>
        </w:tc>
        <w:tc>
          <w:tcPr>
            <w:tcW w:w="759" w:type="dxa"/>
            <w:gridSpan w:val="2"/>
            <w:vMerge w:val="continue"/>
            <w:noWrap w:val="0"/>
            <w:vAlign w:val="center"/>
          </w:tcPr>
          <w:p w14:paraId="23D1F80D">
            <w:pPr>
              <w:spacing w:line="260" w:lineRule="exact"/>
              <w:jc w:val="center"/>
              <w:rPr>
                <w:rFonts w:ascii="宋体" w:cs="宋体"/>
                <w:sz w:val="18"/>
                <w:szCs w:val="18"/>
              </w:rPr>
            </w:pPr>
          </w:p>
        </w:tc>
        <w:tc>
          <w:tcPr>
            <w:tcW w:w="2872" w:type="dxa"/>
            <w:noWrap w:val="0"/>
            <w:vAlign w:val="center"/>
          </w:tcPr>
          <w:p w14:paraId="7D1283BF">
            <w:pPr>
              <w:spacing w:line="260" w:lineRule="exact"/>
              <w:jc w:val="left"/>
              <w:textAlignment w:val="center"/>
              <w:rPr>
                <w:rFonts w:hint="eastAsia" w:ascii="汉仪中秀体简" w:hAnsi="汉仪中秀体简" w:eastAsia="汉仪中秀体简" w:cs="汉仪中秀体简"/>
                <w:color w:val="000000"/>
                <w:kern w:val="0"/>
                <w:sz w:val="18"/>
                <w:szCs w:val="18"/>
                <w:lang w:bidi="ar"/>
              </w:rPr>
            </w:pPr>
            <w:r>
              <w:rPr>
                <w:rFonts w:ascii="汉仪中秀体简" w:hAnsi="汉仪中秀体简" w:eastAsia="汉仪中秀体简" w:cs="汉仪中秀体简"/>
                <w:color w:val="000000"/>
                <w:kern w:val="0"/>
                <w:sz w:val="18"/>
                <w:szCs w:val="18"/>
                <w:lang w:bidi="ar"/>
              </w:rPr>
              <w:t>…</w:t>
            </w:r>
          </w:p>
        </w:tc>
        <w:tc>
          <w:tcPr>
            <w:tcW w:w="4228" w:type="dxa"/>
            <w:gridSpan w:val="2"/>
            <w:noWrap w:val="0"/>
            <w:vAlign w:val="center"/>
          </w:tcPr>
          <w:p w14:paraId="25BAF17F">
            <w:pPr>
              <w:spacing w:line="260" w:lineRule="exact"/>
              <w:jc w:val="left"/>
              <w:textAlignment w:val="center"/>
              <w:rPr>
                <w:rFonts w:ascii="汉仪中秀体简" w:hAnsi="汉仪中秀体简" w:eastAsia="汉仪中秀体简" w:cs="汉仪中秀体简"/>
                <w:color w:val="000000"/>
                <w:kern w:val="0"/>
                <w:sz w:val="18"/>
                <w:szCs w:val="18"/>
                <w:lang w:bidi="ar"/>
              </w:rPr>
            </w:pPr>
          </w:p>
        </w:tc>
      </w:tr>
      <w:tr w14:paraId="03EA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noWrap w:val="0"/>
            <w:vAlign w:val="center"/>
          </w:tcPr>
          <w:p w14:paraId="2317BE35">
            <w:pPr>
              <w:spacing w:line="260" w:lineRule="exact"/>
              <w:jc w:val="center"/>
              <w:rPr>
                <w:rFonts w:ascii="宋体" w:cs="宋体"/>
                <w:sz w:val="18"/>
                <w:szCs w:val="18"/>
              </w:rPr>
            </w:pPr>
          </w:p>
        </w:tc>
        <w:tc>
          <w:tcPr>
            <w:tcW w:w="723" w:type="dxa"/>
            <w:vMerge w:val="continue"/>
            <w:noWrap w:val="0"/>
            <w:vAlign w:val="center"/>
          </w:tcPr>
          <w:p w14:paraId="3A7D7AF9">
            <w:pPr>
              <w:spacing w:line="260" w:lineRule="exact"/>
              <w:jc w:val="center"/>
              <w:rPr>
                <w:rFonts w:ascii="宋体" w:cs="宋体"/>
                <w:sz w:val="18"/>
                <w:szCs w:val="18"/>
              </w:rPr>
            </w:pPr>
          </w:p>
        </w:tc>
        <w:tc>
          <w:tcPr>
            <w:tcW w:w="759" w:type="dxa"/>
            <w:gridSpan w:val="2"/>
            <w:vMerge w:val="restart"/>
            <w:noWrap w:val="0"/>
            <w:vAlign w:val="center"/>
          </w:tcPr>
          <w:p w14:paraId="2ADCF277">
            <w:pPr>
              <w:spacing w:line="260" w:lineRule="exact"/>
              <w:jc w:val="center"/>
              <w:rPr>
                <w:rFonts w:hint="eastAsia" w:ascii="宋体" w:hAnsi="宋体" w:cs="宋体"/>
                <w:sz w:val="18"/>
                <w:szCs w:val="18"/>
              </w:rPr>
            </w:pPr>
            <w:r>
              <w:rPr>
                <w:rFonts w:hint="eastAsia" w:ascii="宋体" w:hAnsi="宋体" w:cs="宋体"/>
                <w:sz w:val="18"/>
                <w:szCs w:val="18"/>
              </w:rPr>
              <w:t>可持续影响指标</w:t>
            </w:r>
          </w:p>
        </w:tc>
        <w:tc>
          <w:tcPr>
            <w:tcW w:w="2872" w:type="dxa"/>
            <w:noWrap w:val="0"/>
            <w:vAlign w:val="center"/>
          </w:tcPr>
          <w:p w14:paraId="1FD3DDAC">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指标1：</w:t>
            </w:r>
            <w:r>
              <w:rPr>
                <w:rFonts w:hint="eastAsia" w:ascii="Times New Roman" w:hAnsi="Times New Roman" w:eastAsia="宋体" w:cs="Times New Roman"/>
                <w:color w:val="auto"/>
                <w:sz w:val="18"/>
                <w:szCs w:val="18"/>
                <w:lang w:eastAsia="zh-CN"/>
              </w:rPr>
              <w:t>项目可持续性</w:t>
            </w:r>
          </w:p>
        </w:tc>
        <w:tc>
          <w:tcPr>
            <w:tcW w:w="4228" w:type="dxa"/>
            <w:gridSpan w:val="2"/>
            <w:noWrap w:val="0"/>
            <w:vAlign w:val="center"/>
          </w:tcPr>
          <w:p w14:paraId="04103C0F">
            <w:pPr>
              <w:spacing w:line="260" w:lineRule="exact"/>
              <w:jc w:val="center"/>
              <w:rPr>
                <w:rFonts w:ascii="宋体" w:cs="宋体"/>
                <w:sz w:val="18"/>
                <w:szCs w:val="18"/>
              </w:rPr>
            </w:pPr>
            <w:r>
              <w:rPr>
                <w:rFonts w:hint="eastAsia" w:ascii="Times New Roman" w:hAnsi="Times New Roman" w:eastAsia="宋体" w:cs="Times New Roman"/>
                <w:color w:val="auto"/>
                <w:sz w:val="18"/>
                <w:szCs w:val="18"/>
                <w:lang w:eastAsia="zh-CN"/>
              </w:rPr>
              <w:t>改善乡村环境条件</w:t>
            </w:r>
          </w:p>
        </w:tc>
      </w:tr>
      <w:tr w14:paraId="302E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38" w:type="dxa"/>
            <w:vMerge w:val="continue"/>
            <w:noWrap w:val="0"/>
            <w:vAlign w:val="center"/>
          </w:tcPr>
          <w:p w14:paraId="7919927D">
            <w:pPr>
              <w:spacing w:line="260" w:lineRule="exact"/>
              <w:jc w:val="center"/>
              <w:rPr>
                <w:rFonts w:ascii="宋体" w:cs="宋体"/>
                <w:sz w:val="18"/>
                <w:szCs w:val="18"/>
              </w:rPr>
            </w:pPr>
          </w:p>
        </w:tc>
        <w:tc>
          <w:tcPr>
            <w:tcW w:w="723" w:type="dxa"/>
            <w:vMerge w:val="continue"/>
            <w:noWrap w:val="0"/>
            <w:vAlign w:val="center"/>
          </w:tcPr>
          <w:p w14:paraId="12CAC6D6">
            <w:pPr>
              <w:spacing w:line="260" w:lineRule="exact"/>
              <w:jc w:val="center"/>
              <w:rPr>
                <w:rFonts w:ascii="宋体" w:cs="宋体"/>
                <w:sz w:val="18"/>
                <w:szCs w:val="18"/>
              </w:rPr>
            </w:pPr>
          </w:p>
        </w:tc>
        <w:tc>
          <w:tcPr>
            <w:tcW w:w="759" w:type="dxa"/>
            <w:gridSpan w:val="2"/>
            <w:vMerge w:val="continue"/>
            <w:noWrap w:val="0"/>
            <w:vAlign w:val="center"/>
          </w:tcPr>
          <w:p w14:paraId="324E5686">
            <w:pPr>
              <w:spacing w:line="260" w:lineRule="exact"/>
              <w:jc w:val="center"/>
              <w:rPr>
                <w:rFonts w:hint="eastAsia" w:ascii="宋体" w:hAnsi="宋体" w:cs="宋体"/>
                <w:sz w:val="18"/>
                <w:szCs w:val="18"/>
              </w:rPr>
            </w:pPr>
          </w:p>
        </w:tc>
        <w:tc>
          <w:tcPr>
            <w:tcW w:w="2872" w:type="dxa"/>
            <w:noWrap w:val="0"/>
            <w:vAlign w:val="center"/>
          </w:tcPr>
          <w:p w14:paraId="7C3AF457">
            <w:pPr>
              <w:spacing w:line="26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4228" w:type="dxa"/>
            <w:gridSpan w:val="2"/>
            <w:noWrap w:val="0"/>
            <w:vAlign w:val="center"/>
          </w:tcPr>
          <w:p w14:paraId="5E7E7171">
            <w:pPr>
              <w:spacing w:line="260" w:lineRule="exact"/>
              <w:jc w:val="center"/>
              <w:rPr>
                <w:rFonts w:ascii="宋体" w:cs="宋体"/>
                <w:sz w:val="18"/>
                <w:szCs w:val="18"/>
              </w:rPr>
            </w:pPr>
          </w:p>
        </w:tc>
      </w:tr>
      <w:tr w14:paraId="3401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3A4037B7">
            <w:pPr>
              <w:spacing w:line="260" w:lineRule="exact"/>
              <w:jc w:val="center"/>
              <w:rPr>
                <w:rFonts w:ascii="宋体" w:cs="宋体"/>
                <w:sz w:val="18"/>
                <w:szCs w:val="18"/>
              </w:rPr>
            </w:pPr>
          </w:p>
        </w:tc>
        <w:tc>
          <w:tcPr>
            <w:tcW w:w="723" w:type="dxa"/>
            <w:vMerge w:val="restart"/>
            <w:noWrap w:val="0"/>
            <w:vAlign w:val="center"/>
          </w:tcPr>
          <w:p w14:paraId="4C9D200E">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759" w:type="dxa"/>
            <w:gridSpan w:val="2"/>
            <w:vMerge w:val="restart"/>
            <w:noWrap w:val="0"/>
            <w:vAlign w:val="center"/>
          </w:tcPr>
          <w:p w14:paraId="0FC82D84">
            <w:pPr>
              <w:spacing w:line="260" w:lineRule="exact"/>
              <w:jc w:val="center"/>
              <w:rPr>
                <w:rFonts w:hint="eastAsia" w:ascii="宋体" w:hAnsi="宋体" w:cs="宋体"/>
                <w:sz w:val="18"/>
                <w:szCs w:val="18"/>
              </w:rPr>
            </w:pPr>
            <w:r>
              <w:rPr>
                <w:rFonts w:hint="eastAsia" w:ascii="宋体" w:hAnsi="宋体" w:cs="宋体"/>
                <w:sz w:val="18"/>
                <w:szCs w:val="18"/>
              </w:rPr>
              <w:t>满意度指标</w:t>
            </w:r>
          </w:p>
        </w:tc>
        <w:tc>
          <w:tcPr>
            <w:tcW w:w="2872" w:type="dxa"/>
            <w:noWrap w:val="0"/>
            <w:vAlign w:val="center"/>
          </w:tcPr>
          <w:p w14:paraId="5630E6CD">
            <w:pP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eastAsia="zh-CN"/>
              </w:rPr>
              <w:t>服务户用沼气和沼气工程户数</w:t>
            </w:r>
          </w:p>
        </w:tc>
        <w:tc>
          <w:tcPr>
            <w:tcW w:w="4228" w:type="dxa"/>
            <w:gridSpan w:val="2"/>
            <w:noWrap w:val="0"/>
            <w:vAlign w:val="center"/>
          </w:tcPr>
          <w:p w14:paraId="69C233E4">
            <w:pPr>
              <w:spacing w:line="260" w:lineRule="exact"/>
              <w:jc w:val="center"/>
              <w:rPr>
                <w:rFonts w:ascii="宋体" w:cs="宋体"/>
                <w:sz w:val="18"/>
                <w:szCs w:val="18"/>
              </w:rPr>
            </w:pPr>
            <w:r>
              <w:rPr>
                <w:rFonts w:hint="eastAsia" w:ascii="宋体" w:cs="宋体"/>
                <w:sz w:val="18"/>
                <w:szCs w:val="18"/>
              </w:rPr>
              <w:t>≥95%</w:t>
            </w:r>
          </w:p>
        </w:tc>
      </w:tr>
      <w:tr w14:paraId="5D8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noWrap w:val="0"/>
            <w:vAlign w:val="center"/>
          </w:tcPr>
          <w:p w14:paraId="1C4DF476">
            <w:pPr>
              <w:spacing w:line="260" w:lineRule="exact"/>
              <w:jc w:val="center"/>
              <w:rPr>
                <w:rFonts w:ascii="宋体" w:cs="宋体"/>
                <w:sz w:val="18"/>
                <w:szCs w:val="18"/>
              </w:rPr>
            </w:pPr>
          </w:p>
        </w:tc>
        <w:tc>
          <w:tcPr>
            <w:tcW w:w="723" w:type="dxa"/>
            <w:vMerge w:val="continue"/>
            <w:noWrap w:val="0"/>
            <w:vAlign w:val="center"/>
          </w:tcPr>
          <w:p w14:paraId="25293683">
            <w:pPr>
              <w:spacing w:line="260" w:lineRule="exact"/>
              <w:jc w:val="center"/>
              <w:rPr>
                <w:rFonts w:hint="eastAsia" w:ascii="宋体" w:hAnsi="宋体" w:cs="宋体"/>
                <w:sz w:val="18"/>
                <w:szCs w:val="18"/>
              </w:rPr>
            </w:pPr>
          </w:p>
        </w:tc>
        <w:tc>
          <w:tcPr>
            <w:tcW w:w="759" w:type="dxa"/>
            <w:gridSpan w:val="2"/>
            <w:vMerge w:val="continue"/>
            <w:noWrap w:val="0"/>
            <w:vAlign w:val="center"/>
          </w:tcPr>
          <w:p w14:paraId="541CC611">
            <w:pPr>
              <w:spacing w:line="260" w:lineRule="exact"/>
              <w:jc w:val="center"/>
              <w:rPr>
                <w:rFonts w:hint="eastAsia" w:ascii="宋体" w:hAnsi="宋体" w:cs="宋体"/>
                <w:sz w:val="18"/>
                <w:szCs w:val="18"/>
              </w:rPr>
            </w:pPr>
          </w:p>
        </w:tc>
        <w:tc>
          <w:tcPr>
            <w:tcW w:w="2872" w:type="dxa"/>
            <w:noWrap w:val="0"/>
            <w:vAlign w:val="center"/>
          </w:tcPr>
          <w:p w14:paraId="27ED0F57">
            <w:pPr>
              <w:spacing w:line="260" w:lineRule="exact"/>
              <w:jc w:val="left"/>
              <w:textAlignment w:val="center"/>
              <w:rPr>
                <w:rFonts w:hint="eastAsia" w:ascii="宋体" w:hAnsi="宋体" w:cs="宋体"/>
                <w:sz w:val="18"/>
                <w:szCs w:val="18"/>
              </w:rPr>
            </w:pPr>
            <w:r>
              <w:rPr>
                <w:rFonts w:hint="eastAsia" w:ascii="宋体" w:hAnsi="宋体" w:cs="宋体"/>
                <w:color w:val="000000"/>
                <w:kern w:val="0"/>
                <w:sz w:val="18"/>
                <w:szCs w:val="18"/>
                <w:lang w:bidi="ar"/>
              </w:rPr>
              <w:t>…</w:t>
            </w:r>
          </w:p>
        </w:tc>
        <w:tc>
          <w:tcPr>
            <w:tcW w:w="4228" w:type="dxa"/>
            <w:gridSpan w:val="2"/>
            <w:noWrap w:val="0"/>
            <w:vAlign w:val="center"/>
          </w:tcPr>
          <w:p w14:paraId="1215B3E8">
            <w:pPr>
              <w:spacing w:line="260" w:lineRule="exact"/>
              <w:jc w:val="center"/>
              <w:rPr>
                <w:rFonts w:ascii="宋体" w:cs="宋体"/>
                <w:sz w:val="18"/>
                <w:szCs w:val="18"/>
              </w:rPr>
            </w:pPr>
          </w:p>
        </w:tc>
      </w:tr>
    </w:tbl>
    <w:p w14:paraId="39480E7E">
      <w:pPr>
        <w:topLinePunct/>
        <w:adjustRightInd w:val="0"/>
        <w:snapToGrid w:val="0"/>
        <w:spacing w:line="580" w:lineRule="exact"/>
        <w:ind w:firstLine="640" w:firstLineChars="200"/>
        <w:rPr>
          <w:rFonts w:hint="eastAsia" w:ascii="仿宋_GB2312" w:hAnsi="TimesNewRoman" w:eastAsia="仿宋_GB2312" w:cs="TimesNewRoman"/>
          <w:sz w:val="32"/>
          <w:szCs w:val="32"/>
        </w:rPr>
      </w:pPr>
    </w:p>
    <w:p w14:paraId="5C1BA459">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（二）机关运行经费。</w:t>
      </w:r>
    </w:p>
    <w:p w14:paraId="632806E4">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rPr>
        <w:t>为非参照公务员法管理的事业单位，按照</w:t>
      </w:r>
      <w:r>
        <w:rPr>
          <w:rFonts w:hint="eastAsia" w:ascii="仿宋_GB2312" w:hAnsi="TimesNewRoman" w:eastAsia="仿宋_GB2312" w:cs="TimesNewRoman"/>
          <w:sz w:val="32"/>
          <w:szCs w:val="32"/>
          <w:lang w:eastAsia="zh-CN"/>
        </w:rPr>
        <w:t>单位</w:t>
      </w:r>
      <w:r>
        <w:rPr>
          <w:rFonts w:hint="eastAsia" w:ascii="仿宋_GB2312" w:hAnsi="TimesNewRoman" w:eastAsia="仿宋_GB2312" w:cs="TimesNewRoman"/>
          <w:sz w:val="32"/>
          <w:szCs w:val="32"/>
        </w:rPr>
        <w:t>预算机关运行经费口径，</w:t>
      </w: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年无机关运行经费财政拨款预算。</w:t>
      </w:r>
    </w:p>
    <w:p w14:paraId="3B71044D">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（三）政府采购情况。</w:t>
      </w:r>
    </w:p>
    <w:p w14:paraId="42FA0A6D">
      <w:pPr>
        <w:topLinePunct/>
        <w:adjustRightInd w:val="0"/>
        <w:snapToGrid w:val="0"/>
        <w:spacing w:line="560" w:lineRule="exact"/>
        <w:ind w:left="638" w:leftChars="304" w:firstLine="0" w:firstLineChars="0"/>
        <w:rPr>
          <w:rFonts w:hint="eastAsia" w:ascii="仿宋_GB2312" w:hAnsi="TimesNewRoman" w:eastAsia="仿宋_GB2312" w:cs="TimesNewRoman"/>
          <w:b/>
          <w:sz w:val="32"/>
          <w:szCs w:val="32"/>
        </w:rPr>
      </w:pPr>
      <w:r>
        <w:rPr>
          <w:rFonts w:hint="eastAsia" w:ascii="仿宋_GB2312" w:hAnsi="TimesNewRoman" w:eastAsia="仿宋_GB2312" w:cs="TimesNewRoman"/>
          <w:kern w:val="0"/>
          <w:sz w:val="32"/>
          <w:szCs w:val="32"/>
        </w:rPr>
        <w:t>寿县农村能源服务中心202</w:t>
      </w:r>
      <w:r>
        <w:rPr>
          <w:rFonts w:hint="eastAsia" w:ascii="仿宋_GB2312" w:hAnsi="TimesNewRoman" w:eastAsia="仿宋_GB2312" w:cs="TimesNewRoman"/>
          <w:kern w:val="0"/>
          <w:sz w:val="32"/>
          <w:szCs w:val="32"/>
          <w:lang w:val="en-US" w:eastAsia="zh-CN"/>
        </w:rPr>
        <w:t>6</w:t>
      </w:r>
      <w:r>
        <w:rPr>
          <w:rFonts w:hint="eastAsia" w:ascii="仿宋_GB2312" w:hAnsi="TimesNewRoman" w:eastAsia="仿宋_GB2312" w:cs="TimesNewRoman"/>
          <w:kern w:val="0"/>
          <w:sz w:val="32"/>
          <w:szCs w:val="32"/>
        </w:rPr>
        <w:t>年政府采购预算0万元。</w:t>
      </w:r>
      <w:r>
        <w:rPr>
          <w:rFonts w:hint="eastAsia" w:ascii="仿宋_GB2312" w:hAnsi="TimesNewRoman" w:eastAsia="仿宋_GB2312" w:cs="TimesNewRoman"/>
          <w:b/>
          <w:sz w:val="32"/>
          <w:szCs w:val="32"/>
        </w:rPr>
        <w:t>（四）国有资产占有使用情况。</w:t>
      </w:r>
    </w:p>
    <w:p w14:paraId="0F5E25F7">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rPr>
        <w:t>截至202</w:t>
      </w:r>
      <w:r>
        <w:rPr>
          <w:rFonts w:hint="eastAsia" w:ascii="仿宋_GB2312" w:hAnsi="TimesNewRoman" w:eastAsia="仿宋_GB2312" w:cs="TimesNewRoman"/>
          <w:sz w:val="32"/>
          <w:szCs w:val="32"/>
          <w:lang w:val="en-US" w:eastAsia="zh-CN"/>
        </w:rPr>
        <w:t>5</w:t>
      </w:r>
      <w:r>
        <w:rPr>
          <w:rFonts w:hint="eastAsia" w:ascii="仿宋_GB2312" w:hAnsi="TimesNewRoman" w:eastAsia="仿宋_GB2312" w:cs="TimesNewRoman"/>
          <w:sz w:val="32"/>
          <w:szCs w:val="32"/>
        </w:rPr>
        <w:t>年12月31日，</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val="en-US" w:eastAsia="zh-CN"/>
        </w:rPr>
        <w:t>农村能源服务中心</w:t>
      </w:r>
      <w:r>
        <w:rPr>
          <w:rFonts w:hint="eastAsia" w:ascii="仿宋_GB2312" w:hAnsi="TimesNewRoman" w:eastAsia="仿宋_GB2312" w:cs="TimesNewRoman"/>
          <w:sz w:val="32"/>
          <w:szCs w:val="32"/>
        </w:rPr>
        <w:t>共有车辆</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辆。单价50万元以上的通用设备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台（套），单价100万元以上的专用设备</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台（套）。</w:t>
      </w:r>
    </w:p>
    <w:p w14:paraId="236F1A3F">
      <w:pPr>
        <w:topLinePunct/>
        <w:adjustRightInd w:val="0"/>
        <w:snapToGrid w:val="0"/>
        <w:spacing w:line="560" w:lineRule="exact"/>
        <w:ind w:firstLine="640" w:firstLineChars="200"/>
        <w:rPr>
          <w:rFonts w:hint="eastAsia" w:ascii="仿宋_GB2312" w:hAnsi="TimesNewRoman" w:eastAsia="仿宋_GB2312" w:cs="TimesNewRoman"/>
          <w:sz w:val="32"/>
          <w:szCs w:val="32"/>
        </w:rPr>
      </w:pP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年部门预算安排购置公务用车</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辆，购置费</w:t>
      </w:r>
      <w:r>
        <w:rPr>
          <w:rFonts w:hint="eastAsia" w:ascii="仿宋_GB2312" w:hAnsi="TimesNewRoman" w:eastAsia="仿宋_GB2312" w:cs="TimesNewRoman"/>
          <w:sz w:val="32"/>
          <w:szCs w:val="32"/>
          <w:lang w:val="en-US" w:eastAsia="zh-CN"/>
        </w:rPr>
        <w:t>0</w:t>
      </w:r>
      <w:r>
        <w:rPr>
          <w:rFonts w:hint="eastAsia" w:ascii="仿宋_GB2312" w:hAnsi="TimesNewRoman" w:eastAsia="仿宋_GB2312" w:cs="TimesNewRoman"/>
          <w:sz w:val="32"/>
          <w:szCs w:val="32"/>
        </w:rPr>
        <w:t>万元。</w:t>
      </w:r>
    </w:p>
    <w:p w14:paraId="0741A111">
      <w:pPr>
        <w:topLinePunct/>
        <w:adjustRightInd w:val="0"/>
        <w:snapToGrid w:val="0"/>
        <w:spacing w:line="560" w:lineRule="exact"/>
        <w:ind w:firstLine="643" w:firstLineChars="200"/>
        <w:rPr>
          <w:rFonts w:hint="eastAsia" w:ascii="仿宋_GB2312" w:hAnsi="TimesNewRoman" w:eastAsia="仿宋_GB2312" w:cs="TimesNewRoman"/>
          <w:b/>
          <w:sz w:val="32"/>
          <w:szCs w:val="32"/>
        </w:rPr>
      </w:pPr>
      <w:r>
        <w:rPr>
          <w:rFonts w:hint="eastAsia" w:ascii="仿宋_GB2312" w:hAnsi="TimesNewRoman" w:eastAsia="仿宋_GB2312" w:cs="TimesNewRoman"/>
          <w:b/>
          <w:sz w:val="32"/>
          <w:szCs w:val="32"/>
        </w:rPr>
        <w:t>（五）绩效目标设置情况。</w:t>
      </w:r>
    </w:p>
    <w:p w14:paraId="099A4EC7">
      <w:pPr>
        <w:topLinePunct/>
        <w:adjustRightInd w:val="0"/>
        <w:snapToGrid w:val="0"/>
        <w:spacing w:line="560" w:lineRule="exact"/>
        <w:ind w:firstLine="640" w:firstLineChars="200"/>
        <w:rPr>
          <w:rFonts w:ascii="TimesNewRoman" w:hAnsi="TimesNewRoman" w:eastAsia="黑体" w:cs="TimesNewRoman"/>
          <w:sz w:val="36"/>
          <w:szCs w:val="36"/>
        </w:rPr>
      </w:pPr>
      <w:r>
        <w:rPr>
          <w:rFonts w:hint="eastAsia" w:ascii="仿宋_GB2312" w:hAnsi="TimesNewRoman" w:eastAsia="仿宋_GB2312" w:cs="TimesNewRoman"/>
          <w:sz w:val="32"/>
          <w:szCs w:val="32"/>
          <w:lang w:eastAsia="zh-CN"/>
        </w:rPr>
        <w:t>2026</w:t>
      </w:r>
      <w:r>
        <w:rPr>
          <w:rFonts w:hint="eastAsia" w:ascii="仿宋_GB2312" w:hAnsi="TimesNewRoman" w:eastAsia="仿宋_GB2312" w:cs="TimesNewRoman"/>
          <w:sz w:val="32"/>
          <w:szCs w:val="32"/>
        </w:rPr>
        <w:t>年，</w:t>
      </w:r>
      <w:r>
        <w:rPr>
          <w:rFonts w:hint="eastAsia" w:ascii="仿宋_GB2312" w:hAnsi="TimesNewRoman" w:eastAsia="仿宋_GB2312" w:cs="TimesNewRoman"/>
          <w:kern w:val="0"/>
          <w:sz w:val="32"/>
          <w:szCs w:val="32"/>
        </w:rPr>
        <w:t>寿县</w:t>
      </w:r>
      <w:r>
        <w:rPr>
          <w:rFonts w:hint="eastAsia" w:ascii="仿宋_GB2312" w:hAnsi="TimesNewRoman" w:eastAsia="仿宋_GB2312" w:cs="TimesNewRoman"/>
          <w:sz w:val="32"/>
          <w:szCs w:val="32"/>
          <w:lang w:val="en-US" w:eastAsia="zh-CN"/>
        </w:rPr>
        <w:t>农村能源服务中心1</w:t>
      </w:r>
      <w:r>
        <w:rPr>
          <w:rFonts w:hint="eastAsia" w:ascii="仿宋_GB2312" w:hAnsi="TimesNewRoman" w:eastAsia="仿宋_GB2312" w:cs="TimesNewRoman"/>
          <w:sz w:val="32"/>
          <w:szCs w:val="32"/>
        </w:rPr>
        <w:t>个项目实行了绩效目标管理，涉及一般公共预算当年财政拨款</w:t>
      </w:r>
      <w:r>
        <w:rPr>
          <w:rFonts w:hint="eastAsia" w:ascii="仿宋_GB2312" w:hAnsi="TimesNewRoman" w:eastAsia="仿宋_GB2312" w:cs="TimesNewRoman"/>
          <w:sz w:val="32"/>
          <w:szCs w:val="32"/>
          <w:lang w:val="en-US" w:eastAsia="zh-CN"/>
        </w:rPr>
        <w:t>4</w:t>
      </w:r>
      <w:r>
        <w:rPr>
          <w:rFonts w:hint="eastAsia" w:ascii="仿宋_GB2312" w:hAnsi="TimesNewRoman" w:eastAsia="仿宋_GB2312" w:cs="TimesNewRoman"/>
          <w:sz w:val="32"/>
          <w:szCs w:val="32"/>
        </w:rPr>
        <w:t>万元。</w:t>
      </w:r>
    </w:p>
    <w:p w14:paraId="42B54905">
      <w:pPr>
        <w:topLinePunct/>
        <w:adjustRightInd w:val="0"/>
        <w:snapToGrid w:val="0"/>
        <w:spacing w:line="560" w:lineRule="exact"/>
        <w:rPr>
          <w:rFonts w:ascii="TimesNewRoman" w:hAnsi="TimesNewRoman" w:eastAsia="黑体" w:cs="TimesNewRoman"/>
          <w:sz w:val="36"/>
          <w:szCs w:val="36"/>
        </w:rPr>
      </w:pPr>
    </w:p>
    <w:p w14:paraId="4BA96085">
      <w:pPr>
        <w:topLinePunct/>
        <w:adjustRightInd w:val="0"/>
        <w:snapToGrid w:val="0"/>
        <w:spacing w:line="560" w:lineRule="exact"/>
        <w:jc w:val="center"/>
        <w:rPr>
          <w:rFonts w:ascii="TimesNewRoman" w:hAnsi="TimesNewRoman" w:eastAsia="黑体" w:cs="TimesNewRoman"/>
          <w:sz w:val="36"/>
          <w:szCs w:val="36"/>
        </w:rPr>
      </w:pPr>
      <w:r>
        <w:rPr>
          <w:rFonts w:ascii="TimesNewRoman" w:hAnsi="TimesNewRoman" w:eastAsia="黑体" w:cs="TimesNewRoman"/>
          <w:sz w:val="36"/>
          <w:szCs w:val="36"/>
        </w:rPr>
        <w:t>第</w:t>
      </w:r>
      <w:r>
        <w:rPr>
          <w:rFonts w:hint="eastAsia" w:ascii="TimesNewRoman" w:hAnsi="TimesNewRoman" w:eastAsia="黑体" w:cs="TimesNewRoman"/>
          <w:sz w:val="36"/>
          <w:szCs w:val="36"/>
        </w:rPr>
        <w:t>三</w:t>
      </w:r>
      <w:r>
        <w:rPr>
          <w:rFonts w:ascii="TimesNewRoman" w:hAnsi="TimesNewRoman" w:eastAsia="黑体" w:cs="TimesNewRoman"/>
          <w:sz w:val="36"/>
          <w:szCs w:val="36"/>
        </w:rPr>
        <w:t>部分</w:t>
      </w:r>
      <w:r>
        <w:rPr>
          <w:rFonts w:hint="eastAsia" w:ascii="TimesNewRoman" w:hAnsi="TimesNewRoman" w:eastAsia="黑体" w:cs="TimesNewRoman"/>
          <w:sz w:val="36"/>
          <w:szCs w:val="36"/>
        </w:rPr>
        <w:t xml:space="preserve"> </w:t>
      </w:r>
      <w:r>
        <w:rPr>
          <w:rFonts w:ascii="TimesNewRoman" w:hAnsi="TimesNewRoman" w:eastAsia="黑体" w:cs="TimesNewRoman"/>
          <w:sz w:val="36"/>
          <w:szCs w:val="36"/>
        </w:rPr>
        <w:t>名词解释</w:t>
      </w:r>
    </w:p>
    <w:p w14:paraId="743872BF">
      <w:pPr>
        <w:topLinePunct/>
        <w:adjustRightInd w:val="0"/>
        <w:snapToGrid w:val="0"/>
        <w:spacing w:line="560" w:lineRule="exact"/>
        <w:rPr>
          <w:rFonts w:ascii="TimesNewRoman" w:hAnsi="TimesNewRoman" w:eastAsia="黑体" w:cs="TimesNewRoman"/>
          <w:szCs w:val="32"/>
        </w:rPr>
      </w:pPr>
    </w:p>
    <w:p w14:paraId="764133D4">
      <w:pPr>
        <w:topLinePunct/>
        <w:adjustRightInd w:val="0"/>
        <w:snapToGrid w:val="0"/>
        <w:spacing w:line="560" w:lineRule="exact"/>
        <w:ind w:firstLine="640" w:firstLineChars="200"/>
        <w:rPr>
          <w:rFonts w:ascii="TimesNewRoman" w:hAnsi="TimesNewRoman" w:cs="TimesNewRoman"/>
          <w:sz w:val="32"/>
          <w:szCs w:val="32"/>
        </w:rPr>
      </w:pPr>
      <w:r>
        <w:rPr>
          <w:rFonts w:hint="eastAsia" w:ascii="楷体_GB2312" w:hAnsi="TimesNewRoman" w:eastAsia="楷体_GB2312" w:cs="TimesNewRoman"/>
          <w:sz w:val="32"/>
          <w:szCs w:val="32"/>
        </w:rPr>
        <w:t>一、财政拨款收入</w:t>
      </w:r>
      <w:r>
        <w:rPr>
          <w:rFonts w:hint="eastAsia" w:ascii="楷体_GB2312" w:hAnsi="TimesNewRoman" w:eastAsia="楷体_GB2312" w:cs="TimesNewRoman"/>
          <w:b/>
          <w:sz w:val="32"/>
          <w:szCs w:val="32"/>
        </w:rPr>
        <w:t>：</w:t>
      </w:r>
      <w:r>
        <w:rPr>
          <w:rFonts w:ascii="TimesNewRoman" w:hAnsi="TimesNewRoman" w:cs="TimesNewRoman"/>
          <w:sz w:val="32"/>
          <w:szCs w:val="32"/>
        </w:rPr>
        <w:t>指</w:t>
      </w:r>
      <w:r>
        <w:rPr>
          <w:rFonts w:hint="eastAsia" w:ascii="TimesNewRoman" w:hAnsi="TimesNewRoman" w:cs="TimesNewRoman"/>
          <w:sz w:val="32"/>
          <w:szCs w:val="32"/>
          <w:lang w:eastAsia="zh-CN"/>
        </w:rPr>
        <w:t>单位</w:t>
      </w:r>
      <w:r>
        <w:rPr>
          <w:rFonts w:ascii="TimesNewRoman" w:hAnsi="TimesNewRoman" w:cs="TimesNewRoman"/>
          <w:sz w:val="32"/>
          <w:szCs w:val="32"/>
        </w:rPr>
        <w:t>或单位从同级财政</w:t>
      </w:r>
      <w:r>
        <w:rPr>
          <w:rFonts w:hint="eastAsia" w:ascii="TimesNewRoman" w:hAnsi="TimesNewRoman" w:cs="TimesNewRoman"/>
          <w:sz w:val="32"/>
          <w:szCs w:val="32"/>
          <w:lang w:eastAsia="zh-CN"/>
        </w:rPr>
        <w:t>单位</w:t>
      </w:r>
      <w:r>
        <w:rPr>
          <w:rFonts w:ascii="TimesNewRoman" w:hAnsi="TimesNewRoman" w:cs="TimesNewRoman"/>
          <w:sz w:val="32"/>
          <w:szCs w:val="32"/>
        </w:rPr>
        <w:t>取得的财政预算资金。</w:t>
      </w:r>
    </w:p>
    <w:p w14:paraId="721C2784">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ascii="楷体_GB2312" w:hAnsi="TimesNewRoman" w:eastAsia="楷体_GB2312" w:cs="TimesNewRoman"/>
          <w:kern w:val="2"/>
          <w:sz w:val="32"/>
          <w:szCs w:val="32"/>
        </w:rPr>
        <w:t>二、上年结转：</w:t>
      </w:r>
      <w:r>
        <w:rPr>
          <w:rFonts w:ascii="TimesNewRoman" w:hAnsi="TimesNewRoman" w:eastAsia="仿宋_GB2312" w:cs="TimesNewRoman"/>
          <w:sz w:val="32"/>
          <w:szCs w:val="32"/>
        </w:rPr>
        <w:t>指以前年度安排、结转到本年仍按原用途继续使用的资金。</w:t>
      </w:r>
    </w:p>
    <w:p w14:paraId="7DFFD2F9">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hint="eastAsia" w:ascii="楷体_GB2312" w:hAnsi="TimesNewRoman" w:eastAsia="楷体_GB2312" w:cs="TimesNewRoman"/>
          <w:kern w:val="2"/>
          <w:sz w:val="32"/>
          <w:szCs w:val="32"/>
          <w:lang w:val="en-US" w:eastAsia="zh-CN"/>
        </w:rPr>
        <w:t>三</w:t>
      </w:r>
      <w:r>
        <w:rPr>
          <w:rFonts w:ascii="楷体_GB2312" w:hAnsi="TimesNewRoman" w:eastAsia="楷体_GB2312" w:cs="TimesNewRoman"/>
          <w:kern w:val="2"/>
          <w:sz w:val="32"/>
          <w:szCs w:val="32"/>
        </w:rPr>
        <w:t>、结转下年：</w:t>
      </w:r>
      <w:r>
        <w:rPr>
          <w:rFonts w:ascii="TimesNewRoman" w:hAnsi="TimesNewRoman" w:eastAsia="仿宋_GB2312" w:cs="TimesNewRoman"/>
          <w:sz w:val="32"/>
          <w:szCs w:val="32"/>
        </w:rPr>
        <w:t>指以前年度预算安排、因客观条件发生变化无法按原计划实施，需以后年度按原用途继续使用的资金。</w:t>
      </w:r>
    </w:p>
    <w:p w14:paraId="669188EA">
      <w:pPr>
        <w:pStyle w:val="3"/>
        <w:topLinePunct/>
        <w:adjustRightInd w:val="0"/>
        <w:snapToGrid w:val="0"/>
        <w:spacing w:beforeAutospacing="0" w:afterAutospacing="0" w:line="560" w:lineRule="exact"/>
        <w:ind w:firstLine="627" w:firstLineChars="196"/>
        <w:jc w:val="both"/>
        <w:rPr>
          <w:rFonts w:ascii="TimesNewRoman" w:hAnsi="TimesNewRoman" w:eastAsia="仿宋_GB2312" w:cs="TimesNewRoman"/>
          <w:sz w:val="32"/>
          <w:szCs w:val="32"/>
        </w:rPr>
      </w:pPr>
      <w:r>
        <w:rPr>
          <w:rFonts w:hint="eastAsia" w:ascii="楷体_GB2312" w:hAnsi="TimesNewRoman" w:eastAsia="楷体_GB2312" w:cs="TimesNewRoman"/>
          <w:kern w:val="2"/>
          <w:sz w:val="32"/>
          <w:szCs w:val="32"/>
          <w:lang w:val="en-US" w:eastAsia="zh-CN"/>
        </w:rPr>
        <w:t>四</w:t>
      </w:r>
      <w:r>
        <w:rPr>
          <w:rFonts w:ascii="楷体_GB2312" w:hAnsi="TimesNewRoman" w:eastAsia="楷体_GB2312" w:cs="TimesNewRoman"/>
          <w:kern w:val="2"/>
          <w:sz w:val="32"/>
          <w:szCs w:val="32"/>
        </w:rPr>
        <w:t>、基本支出：</w:t>
      </w:r>
      <w:r>
        <w:rPr>
          <w:rFonts w:ascii="TimesNewRoman" w:hAnsi="TimesNewRoman" w:eastAsia="仿宋_GB2312" w:cs="TimesNewRoman"/>
          <w:sz w:val="32"/>
          <w:szCs w:val="32"/>
        </w:rPr>
        <w:t>指为保障机构正常运转、完成日常工作任务而发生的人员支出和公用支出。</w:t>
      </w:r>
    </w:p>
    <w:p w14:paraId="3964412A">
      <w:pPr>
        <w:pStyle w:val="3"/>
        <w:topLinePunct/>
        <w:spacing w:beforeAutospacing="0" w:afterAutospacing="0" w:line="560" w:lineRule="exact"/>
        <w:ind w:firstLine="480" w:firstLineChars="150"/>
        <w:jc w:val="both"/>
        <w:rPr>
          <w:rStyle w:val="6"/>
          <w:rFonts w:ascii="TimesNewRoman" w:hAnsi="TimesNewRoman" w:eastAsia="楷体_GB2312" w:cs="TimesNewRoman"/>
          <w:b w:val="0"/>
          <w:sz w:val="32"/>
          <w:szCs w:val="32"/>
        </w:rPr>
      </w:pPr>
      <w:r>
        <w:rPr>
          <w:rFonts w:hint="eastAsia" w:ascii="楷体_GB2312" w:hAnsi="TimesNewRoman" w:eastAsia="楷体_GB2312" w:cs="TimesNewRoman"/>
          <w:kern w:val="2"/>
          <w:sz w:val="32"/>
          <w:szCs w:val="32"/>
          <w:lang w:val="en-US" w:eastAsia="zh-CN"/>
        </w:rPr>
        <w:t>五</w:t>
      </w:r>
      <w:r>
        <w:rPr>
          <w:rFonts w:ascii="楷体_GB2312" w:hAnsi="TimesNewRoman" w:eastAsia="楷体_GB2312" w:cs="TimesNewRoman"/>
          <w:kern w:val="2"/>
          <w:sz w:val="32"/>
          <w:szCs w:val="32"/>
        </w:rPr>
        <w:t>、项目支出：</w:t>
      </w:r>
      <w:r>
        <w:rPr>
          <w:rFonts w:ascii="TimesNewRoman" w:hAnsi="TimesNewRoman" w:eastAsia="仿宋_GB2312" w:cs="TimesNewRoman"/>
          <w:sz w:val="32"/>
          <w:szCs w:val="32"/>
        </w:rPr>
        <w:t>指在除基本支出之外的支出，主要用于完成特定的工作任务和事业发展目标。</w:t>
      </w:r>
      <w:r>
        <w:rPr>
          <w:rFonts w:ascii="TimesNewRoman" w:hAnsi="TimesNewRoman" w:eastAsia="仿宋_GB2312" w:cs="TimesNewRoman"/>
          <w:sz w:val="32"/>
          <w:szCs w:val="32"/>
        </w:rPr>
        <w:br w:type="textWrapping"/>
      </w:r>
      <w:r>
        <w:rPr>
          <w:rFonts w:ascii="楷体_GB2312" w:hAnsi="TimesNewRoman" w:eastAsia="楷体_GB2312" w:cs="TimesNewRoman"/>
          <w:kern w:val="2"/>
          <w:sz w:val="32"/>
          <w:szCs w:val="32"/>
        </w:rPr>
        <w:t xml:space="preserve">  </w:t>
      </w:r>
    </w:p>
    <w:p w14:paraId="2B4E718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A74F52-3168-4E59-A798-F416E854EAF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embedRegular r:id="rId2" w:fontKey="{022AA5B8-78AE-4C23-91C0-60380993B4C3}"/>
  </w:font>
  <w:font w:name="Arial Unicode MS">
    <w:panose1 w:val="020B0604020202020204"/>
    <w:charset w:val="86"/>
    <w:family w:val="auto"/>
    <w:pitch w:val="default"/>
    <w:sig w:usb0="FFFFFFFF" w:usb1="E9FFFFFF" w:usb2="0000003F" w:usb3="00000000" w:csb0="603F01FF" w:csb1="FFFF0000"/>
    <w:embedRegular r:id="rId3" w:fontKey="{3D9594CA-6F68-4C29-8C26-D75E15A2C0F2}"/>
  </w:font>
  <w:font w:name="TimesNewRoman">
    <w:altName w:val="Segoe Print"/>
    <w:panose1 w:val="02020603050405020304"/>
    <w:charset w:val="00"/>
    <w:family w:val="auto"/>
    <w:pitch w:val="default"/>
    <w:sig w:usb0="00000000" w:usb1="00000000" w:usb2="00000029" w:usb3="00000000" w:csb0="600001FF" w:csb1="FFFF0000"/>
    <w:embedRegular r:id="rId4" w:fontKey="{1FB53761-8900-41BE-B4EF-24F364E794E6}"/>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FD26C299-047D-42B2-BBBE-61358EAD501A}"/>
  </w:font>
  <w:font w:name="仿宋">
    <w:panose1 w:val="02010609060101010101"/>
    <w:charset w:val="86"/>
    <w:family w:val="modern"/>
    <w:pitch w:val="default"/>
    <w:sig w:usb0="800002BF" w:usb1="38CF7CFA" w:usb2="00000016" w:usb3="00000000" w:csb0="00040001" w:csb1="00000000"/>
    <w:embedRegular r:id="rId6" w:fontKey="{4AD0EE14-8C85-4CD3-98DD-A112F949B70E}"/>
  </w:font>
  <w:font w:name="楷体_GB2312">
    <w:panose1 w:val="02010609030101010101"/>
    <w:charset w:val="86"/>
    <w:family w:val="modern"/>
    <w:pitch w:val="default"/>
    <w:sig w:usb0="00000001" w:usb1="080E0000" w:usb2="00000000" w:usb3="00000000" w:csb0="00040000" w:csb1="00000000"/>
    <w:embedRegular r:id="rId7" w:fontKey="{FBA7A2E1-8609-4BB9-8959-7E80545AFE4D}"/>
  </w:font>
  <w:font w:name="华文仿宋">
    <w:panose1 w:val="02010600040101010101"/>
    <w:charset w:val="86"/>
    <w:family w:val="auto"/>
    <w:pitch w:val="default"/>
    <w:sig w:usb0="00000287" w:usb1="080F0000" w:usb2="00000000" w:usb3="00000000" w:csb0="0004009F" w:csb1="DFD70000"/>
    <w:embedRegular r:id="rId8" w:fontKey="{E4503F47-F5EE-45A8-B076-90F18E2F2ED8}"/>
  </w:font>
  <w:font w:name="楷体">
    <w:panose1 w:val="02010609060101010101"/>
    <w:charset w:val="86"/>
    <w:family w:val="modern"/>
    <w:pitch w:val="default"/>
    <w:sig w:usb0="800002BF" w:usb1="38CF7CFA" w:usb2="00000016" w:usb3="00000000" w:csb0="00040001" w:csb1="00000000"/>
    <w:embedRegular r:id="rId9" w:fontKey="{E95BB57C-64AD-4450-B37A-BBC54AF777E9}"/>
  </w:font>
  <w:font w:name="汉仪中秀体简">
    <w:altName w:val="华文中宋"/>
    <w:panose1 w:val="00000000000000000000"/>
    <w:charset w:val="00"/>
    <w:family w:val="auto"/>
    <w:pitch w:val="default"/>
    <w:sig w:usb0="00000000" w:usb1="00000000" w:usb2="00000000" w:usb3="00000000" w:csb0="00040001" w:csb1="00000000"/>
    <w:embedRegular r:id="rId10" w:fontKey="{A35038C2-CBE8-4B21-AC9B-9E57A12B7482}"/>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A3077">
    <w:pPr>
      <w:pStyle w:val="2"/>
      <w:ind w:right="180"/>
      <w:jc w:val="right"/>
    </w:pPr>
    <w:r>
      <w:rPr>
        <w:rFonts w:hint="eastAsia" w:ascii="宋体" w:hAnsi="宋体"/>
        <w:sz w:val="28"/>
        <w:szCs w:val="28"/>
      </w:rP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rFonts w:hint="eastAsia"/>
        <w:sz w:val="28"/>
        <w:szCs w:val="28"/>
      </w:rPr>
      <w:t xml:space="preserve"> </w:t>
    </w:r>
    <w:r>
      <w:rPr>
        <w:rFonts w:hint="eastAsia" w:ascii="宋体" w:hAnsi="宋体"/>
        <w:sz w:val="28"/>
        <w:szCs w:val="28"/>
      </w:rPr>
      <w:t xml:space="preserve">— </w:t>
    </w:r>
  </w:p>
  <w:p w14:paraId="50258C6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C2F1B"/>
    <w:rsid w:val="09B00C08"/>
    <w:rsid w:val="0D3C2F1B"/>
    <w:rsid w:val="0EB14497"/>
    <w:rsid w:val="0F096081"/>
    <w:rsid w:val="159E7B39"/>
    <w:rsid w:val="1BFD6F6E"/>
    <w:rsid w:val="20D94EF4"/>
    <w:rsid w:val="33A54FFD"/>
    <w:rsid w:val="33AD6DC9"/>
    <w:rsid w:val="39EB1CA6"/>
    <w:rsid w:val="3A207699"/>
    <w:rsid w:val="3AAF36D1"/>
    <w:rsid w:val="3E481E73"/>
    <w:rsid w:val="424D2BAE"/>
    <w:rsid w:val="45DB181E"/>
    <w:rsid w:val="460666CE"/>
    <w:rsid w:val="48036E0A"/>
    <w:rsid w:val="4FFF25AD"/>
    <w:rsid w:val="535E2CC4"/>
    <w:rsid w:val="55EC478E"/>
    <w:rsid w:val="59AB3566"/>
    <w:rsid w:val="5FAF7D14"/>
    <w:rsid w:val="65B758C8"/>
    <w:rsid w:val="65BD7702"/>
    <w:rsid w:val="6B5521F6"/>
    <w:rsid w:val="6D064B23"/>
    <w:rsid w:val="6DF36FB0"/>
    <w:rsid w:val="751006C2"/>
    <w:rsid w:val="7AE90699"/>
    <w:rsid w:val="7F7F8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ascii="Calibri" w:hAnsi="Calibri"/>
      <w:kern w:val="0"/>
      <w:sz w:val="24"/>
    </w:rPr>
  </w:style>
  <w:style w:type="character" w:styleId="6">
    <w:name w:val="Strong"/>
    <w:basedOn w:val="5"/>
    <w:qFormat/>
    <w:uiPriority w:val="0"/>
    <w:rPr>
      <w:b/>
      <w:bCs/>
    </w:rPr>
  </w:style>
  <w:style w:type="paragraph" w:customStyle="1" w:styleId="7">
    <w:name w:val="p0"/>
    <w:basedOn w:val="1"/>
    <w:qFormat/>
    <w:uiPriority w:val="0"/>
    <w:pPr>
      <w:spacing w:before="0" w:beforeAutospacing="0" w:after="0" w:afterAutospacing="0"/>
      <w:ind w:left="0" w:right="0"/>
      <w:jc w:val="both"/>
    </w:pPr>
    <w:rPr>
      <w:rFonts w:hint="default" w:ascii="Calibri" w:hAnsi="Calibri" w:cs="Calibri"/>
      <w:kern w:val="0"/>
      <w:sz w:val="21"/>
      <w:szCs w:val="21"/>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3916</Words>
  <Characters>4474</Characters>
  <Lines>0</Lines>
  <Paragraphs>0</Paragraphs>
  <TotalTime>13</TotalTime>
  <ScaleCrop>false</ScaleCrop>
  <LinksUpToDate>false</LinksUpToDate>
  <CharactersWithSpaces>4544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2025-01-22T23:28:00Z</dcterms:created>
  <dc:creator>风之语</dc:creator>
  <cp:lastModifiedBy>无语</cp:lastModifiedBy>
  <dcterms:modified xsi:type="dcterms:W3CDTF">2026-02-06T00:41:26Z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0121326434BA4FDC8CCAF2B81582ED5D_13</vt:lpwstr>
  </property>
  <property fmtid="{D5CDD505-2E9C-101B-9397-08002B2CF9AE}" pid="4" name="KSOTemplateDocerSaveRecord">
    <vt:lpwstr>eyJoZGlkIjoiZWUwNTQ4ODNlNzdmNmRiOGM5MDExMjZiNThmYmMzMjQiLCJ1c2VySWQiOiI0NTc1ODE5MDEifQ==</vt:lpwstr>
  </property>
</Properties>
</file>