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EE9610">
      <w:pPr>
        <w:spacing w:line="560" w:lineRule="exact"/>
        <w:jc w:val="center"/>
        <w:rPr>
          <w:rFonts w:hint="eastAsia" w:ascii="方正小标宋_GBK" w:hAnsi="TimesNewRoman" w:eastAsia="方正小标宋_GBK" w:cs="TimesNewRoman"/>
          <w:sz w:val="44"/>
          <w:szCs w:val="44"/>
        </w:rPr>
      </w:pPr>
    </w:p>
    <w:p w14:paraId="2C350DB9">
      <w:pPr>
        <w:spacing w:line="560" w:lineRule="exact"/>
        <w:jc w:val="center"/>
        <w:rPr>
          <w:rFonts w:hint="eastAsia" w:ascii="方正小标宋_GBK" w:hAnsi="TimesNewRoman" w:eastAsia="方正小标宋_GBK" w:cs="TimesNewRoman"/>
          <w:sz w:val="44"/>
          <w:szCs w:val="44"/>
        </w:rPr>
      </w:pPr>
    </w:p>
    <w:p w14:paraId="610352DD">
      <w:pPr>
        <w:spacing w:line="560" w:lineRule="exact"/>
        <w:jc w:val="center"/>
        <w:rPr>
          <w:rFonts w:hint="eastAsia" w:ascii="方正小标宋_GBK" w:hAnsi="TimesNewRoman" w:eastAsia="方正小标宋_GBK" w:cs="TimesNewRoman"/>
          <w:sz w:val="44"/>
          <w:szCs w:val="44"/>
        </w:rPr>
      </w:pPr>
    </w:p>
    <w:p w14:paraId="66335145">
      <w:pPr>
        <w:spacing w:line="560" w:lineRule="exact"/>
        <w:jc w:val="center"/>
        <w:rPr>
          <w:rFonts w:hint="eastAsia" w:ascii="方正小标宋_GBK" w:hAnsi="TimesNewRoman" w:eastAsia="方正小标宋_GBK" w:cs="TimesNewRoman"/>
          <w:sz w:val="44"/>
          <w:szCs w:val="44"/>
        </w:rPr>
      </w:pPr>
    </w:p>
    <w:p w14:paraId="7C867A88">
      <w:pPr>
        <w:spacing w:line="560" w:lineRule="exact"/>
        <w:jc w:val="center"/>
        <w:rPr>
          <w:rFonts w:hint="eastAsia" w:ascii="方正小标宋简体" w:hAnsi="方正小标宋简体" w:eastAsia="方正小标宋简体" w:cs="TimesNewRoman"/>
          <w:sz w:val="44"/>
          <w:szCs w:val="44"/>
        </w:rPr>
      </w:pPr>
      <w:r>
        <w:rPr>
          <w:rFonts w:hint="eastAsia" w:ascii="方正小标宋简体" w:hAnsi="方正小标宋简体" w:eastAsia="方正小标宋简体" w:cs="TimesNewRoman"/>
          <w:sz w:val="44"/>
          <w:szCs w:val="44"/>
        </w:rPr>
        <w:t>寿县</w:t>
      </w:r>
      <w:r>
        <w:rPr>
          <w:rFonts w:hint="eastAsia" w:ascii="方正小标宋简体" w:hAnsi="方正小标宋简体" w:eastAsia="方正小标宋简体" w:cs="TimesNewRoman"/>
          <w:sz w:val="44"/>
          <w:szCs w:val="44"/>
          <w:lang w:val="en-US" w:eastAsia="zh-CN"/>
        </w:rPr>
        <w:t>农业技术推广中心</w:t>
      </w:r>
      <w:r>
        <w:rPr>
          <w:rFonts w:hint="eastAsia" w:ascii="方正小标宋简体" w:hAnsi="方正小标宋简体" w:eastAsia="方正小标宋简体" w:cs="TimesNewRoman"/>
          <w:sz w:val="44"/>
          <w:szCs w:val="44"/>
          <w:lang w:eastAsia="zh-CN"/>
        </w:rPr>
        <w:t>2026</w:t>
      </w:r>
      <w:r>
        <w:rPr>
          <w:rFonts w:hint="eastAsia" w:ascii="方正小标宋简体" w:hAnsi="方正小标宋简体" w:eastAsia="方正小标宋简体" w:cs="TimesNewRoman"/>
          <w:sz w:val="44"/>
          <w:szCs w:val="44"/>
        </w:rPr>
        <w:t>年</w:t>
      </w:r>
      <w:r>
        <w:rPr>
          <w:rFonts w:hint="eastAsia" w:ascii="方正小标宋简体" w:hAnsi="方正小标宋简体" w:eastAsia="方正小标宋简体" w:cs="TimesNewRoman"/>
          <w:sz w:val="44"/>
          <w:szCs w:val="44"/>
          <w:lang w:eastAsia="zh-CN"/>
        </w:rPr>
        <w:t>单位</w:t>
      </w:r>
      <w:r>
        <w:rPr>
          <w:rFonts w:hint="eastAsia" w:ascii="方正小标宋简体" w:hAnsi="方正小标宋简体" w:eastAsia="方正小标宋简体" w:cs="TimesNewRoman"/>
          <w:sz w:val="44"/>
          <w:szCs w:val="44"/>
        </w:rPr>
        <w:t>预算</w:t>
      </w:r>
    </w:p>
    <w:p w14:paraId="7F459832">
      <w:pPr>
        <w:pStyle w:val="3"/>
        <w:adjustRightInd w:val="0"/>
        <w:snapToGrid w:val="0"/>
        <w:spacing w:line="560" w:lineRule="exact"/>
        <w:jc w:val="center"/>
        <w:outlineLvl w:val="0"/>
        <w:rPr>
          <w:rFonts w:hint="eastAsia" w:ascii="方正小标宋简体" w:hAnsi="方正小标宋简体" w:eastAsia="方正小标宋简体" w:cs="TimesNewRoman"/>
          <w:sz w:val="32"/>
          <w:szCs w:val="32"/>
        </w:rPr>
      </w:pPr>
    </w:p>
    <w:p w14:paraId="0E28BBB3">
      <w:pPr>
        <w:pStyle w:val="3"/>
        <w:adjustRightInd w:val="0"/>
        <w:snapToGrid w:val="0"/>
        <w:spacing w:line="560" w:lineRule="exact"/>
        <w:jc w:val="center"/>
        <w:rPr>
          <w:rFonts w:hint="eastAsia" w:ascii="仿宋_GB2312" w:hAnsi="TimesNewRoman" w:eastAsia="仿宋_GB2312" w:cs="TimesNewRoman"/>
          <w:bCs/>
          <w:sz w:val="32"/>
          <w:szCs w:val="32"/>
        </w:rPr>
      </w:pPr>
    </w:p>
    <w:p w14:paraId="1F2C1807">
      <w:pPr>
        <w:pStyle w:val="3"/>
        <w:adjustRightInd w:val="0"/>
        <w:snapToGrid w:val="0"/>
        <w:spacing w:line="560" w:lineRule="exact"/>
        <w:jc w:val="center"/>
        <w:rPr>
          <w:rFonts w:hint="eastAsia" w:ascii="仿宋_GB2312" w:hAnsi="TimesNewRoman" w:eastAsia="仿宋_GB2312" w:cs="TimesNewRoman"/>
          <w:bCs/>
          <w:sz w:val="32"/>
          <w:szCs w:val="32"/>
        </w:rPr>
      </w:pPr>
    </w:p>
    <w:p w14:paraId="3818A966">
      <w:pPr>
        <w:pStyle w:val="3"/>
        <w:adjustRightInd w:val="0"/>
        <w:snapToGrid w:val="0"/>
        <w:spacing w:line="560" w:lineRule="exact"/>
        <w:jc w:val="center"/>
        <w:rPr>
          <w:rFonts w:hint="eastAsia" w:ascii="仿宋_GB2312" w:hAnsi="TimesNewRoman" w:eastAsia="仿宋_GB2312" w:cs="TimesNewRoman"/>
          <w:bCs/>
          <w:sz w:val="32"/>
          <w:szCs w:val="32"/>
        </w:rPr>
      </w:pPr>
    </w:p>
    <w:p w14:paraId="06E680E8">
      <w:pPr>
        <w:pStyle w:val="3"/>
        <w:adjustRightInd w:val="0"/>
        <w:snapToGrid w:val="0"/>
        <w:spacing w:line="560" w:lineRule="exact"/>
        <w:jc w:val="center"/>
        <w:rPr>
          <w:rFonts w:hint="eastAsia" w:ascii="仿宋_GB2312" w:hAnsi="TimesNewRoman" w:eastAsia="仿宋_GB2312" w:cs="TimesNewRoman"/>
          <w:bCs/>
          <w:sz w:val="32"/>
          <w:szCs w:val="32"/>
        </w:rPr>
      </w:pPr>
    </w:p>
    <w:p w14:paraId="3A599E28">
      <w:pPr>
        <w:pStyle w:val="3"/>
        <w:adjustRightInd w:val="0"/>
        <w:snapToGrid w:val="0"/>
        <w:spacing w:line="560" w:lineRule="exact"/>
        <w:jc w:val="center"/>
        <w:rPr>
          <w:rFonts w:hint="eastAsia" w:ascii="仿宋_GB2312" w:hAnsi="TimesNewRoman" w:eastAsia="仿宋_GB2312" w:cs="TimesNewRoman"/>
          <w:bCs/>
          <w:sz w:val="32"/>
          <w:szCs w:val="32"/>
        </w:rPr>
      </w:pPr>
    </w:p>
    <w:p w14:paraId="29D79773">
      <w:pPr>
        <w:pStyle w:val="3"/>
        <w:adjustRightInd w:val="0"/>
        <w:snapToGrid w:val="0"/>
        <w:spacing w:line="560" w:lineRule="exact"/>
        <w:jc w:val="center"/>
        <w:rPr>
          <w:rFonts w:hint="eastAsia" w:ascii="仿宋_GB2312" w:hAnsi="TimesNewRoman" w:eastAsia="仿宋_GB2312" w:cs="TimesNewRoman"/>
          <w:bCs/>
          <w:sz w:val="32"/>
          <w:szCs w:val="32"/>
        </w:rPr>
      </w:pPr>
    </w:p>
    <w:p w14:paraId="127C48D7">
      <w:pPr>
        <w:pStyle w:val="3"/>
        <w:adjustRightInd w:val="0"/>
        <w:snapToGrid w:val="0"/>
        <w:spacing w:line="560" w:lineRule="exact"/>
        <w:jc w:val="center"/>
        <w:rPr>
          <w:rFonts w:hint="eastAsia" w:ascii="仿宋_GB2312" w:hAnsi="TimesNewRoman" w:eastAsia="仿宋_GB2312" w:cs="TimesNewRoman"/>
          <w:bCs/>
          <w:sz w:val="32"/>
          <w:szCs w:val="32"/>
        </w:rPr>
      </w:pPr>
    </w:p>
    <w:p w14:paraId="6DF47958">
      <w:pPr>
        <w:pStyle w:val="3"/>
        <w:adjustRightInd w:val="0"/>
        <w:snapToGrid w:val="0"/>
        <w:spacing w:line="560" w:lineRule="exact"/>
        <w:jc w:val="center"/>
        <w:rPr>
          <w:rFonts w:hint="eastAsia" w:ascii="仿宋_GB2312" w:hAnsi="TimesNewRoman" w:eastAsia="仿宋_GB2312" w:cs="TimesNewRoman"/>
          <w:bCs/>
          <w:sz w:val="32"/>
          <w:szCs w:val="32"/>
        </w:rPr>
      </w:pPr>
    </w:p>
    <w:p w14:paraId="480788BC">
      <w:pPr>
        <w:pStyle w:val="3"/>
        <w:adjustRightInd w:val="0"/>
        <w:snapToGrid w:val="0"/>
        <w:spacing w:line="560" w:lineRule="exact"/>
        <w:jc w:val="center"/>
        <w:rPr>
          <w:rFonts w:hint="eastAsia" w:ascii="仿宋_GB2312" w:hAnsi="TimesNewRoman" w:eastAsia="仿宋_GB2312" w:cs="TimesNewRoman"/>
          <w:bCs/>
          <w:sz w:val="32"/>
          <w:szCs w:val="32"/>
        </w:rPr>
      </w:pPr>
    </w:p>
    <w:p w14:paraId="3279AB15">
      <w:pPr>
        <w:pStyle w:val="3"/>
        <w:adjustRightInd w:val="0"/>
        <w:snapToGrid w:val="0"/>
        <w:spacing w:line="560" w:lineRule="exact"/>
        <w:jc w:val="center"/>
        <w:rPr>
          <w:rFonts w:hint="eastAsia" w:ascii="方正小标宋_GBK" w:hAnsi="TimesNewRoman" w:eastAsia="方正小标宋_GBK" w:cs="TimesNewRoman"/>
          <w:bCs/>
          <w:sz w:val="44"/>
          <w:szCs w:val="44"/>
        </w:rPr>
      </w:pPr>
      <w:r>
        <w:rPr>
          <w:rFonts w:hint="eastAsia" w:ascii="仿宋_GB2312" w:hAnsi="TimesNewRoman" w:eastAsia="仿宋_GB2312" w:cs="TimesNewRoman"/>
          <w:bCs/>
          <w:sz w:val="32"/>
          <w:szCs w:val="32"/>
          <w:lang w:eastAsia="zh-CN"/>
        </w:rPr>
        <w:t>2026</w:t>
      </w:r>
      <w:r>
        <w:rPr>
          <w:rFonts w:hint="eastAsia" w:ascii="仿宋_GB2312" w:hAnsi="TimesNewRoman" w:eastAsia="仿宋_GB2312" w:cs="TimesNewRoman"/>
          <w:bCs/>
          <w:sz w:val="32"/>
          <w:szCs w:val="32"/>
        </w:rPr>
        <w:t>年1月</w:t>
      </w:r>
    </w:p>
    <w:p w14:paraId="38050811">
      <w:pPr>
        <w:pStyle w:val="3"/>
        <w:adjustRightInd w:val="0"/>
        <w:snapToGrid w:val="0"/>
        <w:spacing w:line="560" w:lineRule="exact"/>
        <w:jc w:val="center"/>
        <w:rPr>
          <w:rFonts w:hint="eastAsia" w:ascii="方正小标宋_GBK" w:hAnsi="TimesNewRoman" w:eastAsia="方正小标宋_GBK" w:cs="TimesNewRoman"/>
          <w:bCs/>
          <w:sz w:val="44"/>
          <w:szCs w:val="44"/>
        </w:rPr>
      </w:pPr>
    </w:p>
    <w:p w14:paraId="543DFCAA">
      <w:pPr>
        <w:pStyle w:val="3"/>
        <w:adjustRightInd w:val="0"/>
        <w:snapToGrid w:val="0"/>
        <w:spacing w:line="560" w:lineRule="exact"/>
        <w:jc w:val="center"/>
        <w:rPr>
          <w:rFonts w:hint="eastAsia" w:ascii="方正小标宋_GBK" w:hAnsi="TimesNewRoman" w:eastAsia="方正小标宋_GBK" w:cs="TimesNewRoman"/>
          <w:bCs/>
          <w:sz w:val="44"/>
          <w:szCs w:val="44"/>
        </w:rPr>
      </w:pPr>
    </w:p>
    <w:p w14:paraId="3C18FD12">
      <w:pPr>
        <w:pStyle w:val="3"/>
        <w:adjustRightInd w:val="0"/>
        <w:snapToGrid w:val="0"/>
        <w:spacing w:line="560" w:lineRule="exact"/>
        <w:jc w:val="center"/>
        <w:rPr>
          <w:rFonts w:hint="eastAsia" w:ascii="方正小标宋_GBK" w:hAnsi="TimesNewRoman" w:eastAsia="方正小标宋_GBK" w:cs="TimesNewRoman"/>
          <w:bCs/>
          <w:sz w:val="40"/>
          <w:szCs w:val="44"/>
        </w:rPr>
      </w:pPr>
      <w:r>
        <w:rPr>
          <w:rFonts w:hint="eastAsia" w:ascii="方正小标宋_GBK" w:hAnsi="TimesNewRoman" w:eastAsia="方正小标宋_GBK" w:cs="TimesNewRoman"/>
          <w:bCs/>
          <w:sz w:val="40"/>
          <w:szCs w:val="44"/>
        </w:rPr>
        <w:t>目  录</w:t>
      </w:r>
    </w:p>
    <w:p w14:paraId="66B883A7">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p>
    <w:p w14:paraId="3F263B94">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 xml:space="preserve">第一部分 </w:t>
      </w:r>
      <w:r>
        <w:rPr>
          <w:rFonts w:hint="eastAsia" w:ascii="黑体" w:hAnsi="黑体" w:eastAsia="黑体" w:cs="TimesNewRoman"/>
          <w:sz w:val="32"/>
          <w:szCs w:val="32"/>
          <w:lang w:eastAsia="zh-CN"/>
        </w:rPr>
        <w:t>单位</w:t>
      </w:r>
      <w:r>
        <w:rPr>
          <w:rFonts w:ascii="黑体" w:hAnsi="黑体" w:eastAsia="黑体" w:cs="TimesNewRoman"/>
          <w:sz w:val="32"/>
          <w:szCs w:val="32"/>
        </w:rPr>
        <w:t>概况</w:t>
      </w:r>
    </w:p>
    <w:p w14:paraId="2553AFDA">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1.主要职责</w:t>
      </w:r>
    </w:p>
    <w:p w14:paraId="36B346D6">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2.</w:t>
      </w:r>
      <w:r>
        <w:rPr>
          <w:rFonts w:hint="eastAsia" w:ascii="仿宋_GB2312" w:hAnsi="TimesNewRoman" w:eastAsia="仿宋_GB2312" w:cs="TimesNewRoman"/>
          <w:bCs/>
          <w:sz w:val="32"/>
          <w:szCs w:val="32"/>
          <w:lang w:eastAsia="zh-CN"/>
        </w:rPr>
        <w:t>单位</w:t>
      </w:r>
      <w:r>
        <w:rPr>
          <w:rFonts w:hint="eastAsia" w:ascii="仿宋_GB2312" w:hAnsi="TimesNewRoman" w:eastAsia="仿宋_GB2312" w:cs="TimesNewRoman"/>
          <w:bCs/>
          <w:sz w:val="32"/>
          <w:szCs w:val="32"/>
        </w:rPr>
        <w:t>预算构成</w:t>
      </w:r>
    </w:p>
    <w:p w14:paraId="000D84BA">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3.</w:t>
      </w:r>
      <w:r>
        <w:rPr>
          <w:rFonts w:hint="eastAsia" w:ascii="仿宋_GB2312" w:hAnsi="TimesNewRoman" w:eastAsia="仿宋_GB2312" w:cs="TimesNewRoman"/>
          <w:bCs/>
          <w:sz w:val="32"/>
          <w:szCs w:val="32"/>
          <w:lang w:eastAsia="zh-CN"/>
        </w:rPr>
        <w:t>2026</w:t>
      </w:r>
      <w:r>
        <w:rPr>
          <w:rFonts w:hint="eastAsia" w:ascii="仿宋_GB2312" w:hAnsi="TimesNewRoman" w:eastAsia="仿宋_GB2312" w:cs="TimesNewRoman"/>
          <w:bCs/>
          <w:sz w:val="32"/>
          <w:szCs w:val="32"/>
        </w:rPr>
        <w:t>年度主要工作任务</w:t>
      </w:r>
    </w:p>
    <w:p w14:paraId="7E824D54">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二</w:t>
      </w:r>
      <w:r>
        <w:rPr>
          <w:rFonts w:ascii="黑体" w:hAnsi="黑体" w:eastAsia="黑体" w:cs="TimesNewRoman"/>
          <w:sz w:val="32"/>
          <w:szCs w:val="32"/>
        </w:rPr>
        <w:t xml:space="preserve">部分 </w:t>
      </w:r>
      <w:r>
        <w:rPr>
          <w:rFonts w:hint="eastAsia" w:ascii="黑体" w:hAnsi="黑体" w:eastAsia="黑体" w:cs="TimesNewRoman"/>
          <w:sz w:val="32"/>
          <w:szCs w:val="32"/>
          <w:lang w:eastAsia="zh-CN"/>
        </w:rPr>
        <w:t>2026</w:t>
      </w:r>
      <w:r>
        <w:rPr>
          <w:rFonts w:ascii="黑体" w:hAnsi="黑体" w:eastAsia="黑体" w:cs="TimesNewRoman"/>
          <w:sz w:val="32"/>
          <w:szCs w:val="32"/>
        </w:rPr>
        <w:t>年</w:t>
      </w:r>
      <w:r>
        <w:rPr>
          <w:rFonts w:hint="eastAsia" w:ascii="黑体" w:hAnsi="黑体" w:eastAsia="黑体" w:cs="TimesNewRoman"/>
          <w:sz w:val="32"/>
          <w:szCs w:val="32"/>
          <w:lang w:eastAsia="zh-CN"/>
        </w:rPr>
        <w:t>单位</w:t>
      </w:r>
      <w:r>
        <w:rPr>
          <w:rFonts w:ascii="黑体" w:hAnsi="黑体" w:eastAsia="黑体" w:cs="TimesNewRoman"/>
          <w:sz w:val="32"/>
          <w:szCs w:val="32"/>
        </w:rPr>
        <w:t>预算情况说明</w:t>
      </w:r>
    </w:p>
    <w:p w14:paraId="4A532B42">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年收支总表的说明</w:t>
      </w:r>
    </w:p>
    <w:p w14:paraId="7C3C2193">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2.关于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年收入总表的说明</w:t>
      </w:r>
    </w:p>
    <w:p w14:paraId="79BDD38A">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3.关于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年支出总表的说明</w:t>
      </w:r>
    </w:p>
    <w:p w14:paraId="00F7FC1B">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4.关于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年财政拨款收支总表的说明</w:t>
      </w:r>
    </w:p>
    <w:p w14:paraId="47F76DD7">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5.关于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年一般公共预算支出表的说明</w:t>
      </w:r>
    </w:p>
    <w:p w14:paraId="687F361E">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6.关于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年一般公共预算基本支出表的说明</w:t>
      </w:r>
    </w:p>
    <w:p w14:paraId="620B036D">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7.关于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年政府性基金预算支出表的说明</w:t>
      </w:r>
    </w:p>
    <w:p w14:paraId="7F503F35">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8.关于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年国有资本经营预算支出表的说明</w:t>
      </w:r>
    </w:p>
    <w:p w14:paraId="73552324">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9.关于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年项目支出表的说明</w:t>
      </w:r>
    </w:p>
    <w:p w14:paraId="3A14FED0">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10.关于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年政府采购支出表的说明</w:t>
      </w:r>
    </w:p>
    <w:p w14:paraId="3D68D637">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11.关于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年政府购买服务支出表的说明</w:t>
      </w:r>
    </w:p>
    <w:p w14:paraId="4BBBD57F">
      <w:pPr>
        <w:pStyle w:val="3"/>
        <w:topLinePunct/>
        <w:adjustRightInd w:val="0"/>
        <w:snapToGrid w:val="0"/>
        <w:spacing w:beforeAutospacing="0" w:afterAutospacing="0" w:line="560" w:lineRule="exact"/>
        <w:ind w:firstLine="640" w:firstLineChars="200"/>
        <w:jc w:val="both"/>
        <w:rPr>
          <w:rFonts w:hint="default" w:ascii="仿宋_GB2312" w:hAnsi="TimesNewRoman" w:eastAsia="仿宋_GB2312" w:cs="TimesNewRoman"/>
          <w:bCs/>
          <w:sz w:val="32"/>
          <w:szCs w:val="32"/>
          <w:lang w:val="en-US" w:eastAsia="zh-CN"/>
        </w:rPr>
      </w:pPr>
      <w:r>
        <w:rPr>
          <w:rFonts w:hint="eastAsia" w:ascii="仿宋_GB2312" w:hAnsi="TimesNewRoman" w:eastAsia="仿宋_GB2312" w:cs="TimesNewRoman"/>
          <w:bCs/>
          <w:sz w:val="32"/>
          <w:szCs w:val="32"/>
          <w:lang w:val="en-US" w:eastAsia="zh-CN"/>
        </w:rPr>
        <w:t>12.关于2026年一般公共预算“三公”经费支出情况说明</w:t>
      </w:r>
    </w:p>
    <w:p w14:paraId="5EA3E353">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w:t>
      </w:r>
      <w:r>
        <w:rPr>
          <w:rFonts w:hint="eastAsia" w:ascii="仿宋_GB2312" w:hAnsi="TimesNewRoman" w:eastAsia="仿宋_GB2312" w:cs="TimesNewRoman"/>
          <w:bCs/>
          <w:sz w:val="32"/>
          <w:szCs w:val="32"/>
          <w:lang w:val="en-US" w:eastAsia="zh-CN"/>
        </w:rPr>
        <w:t>3</w:t>
      </w:r>
      <w:r>
        <w:rPr>
          <w:rFonts w:ascii="仿宋_GB2312" w:hAnsi="TimesNewRoman" w:eastAsia="仿宋_GB2312" w:cs="TimesNewRoman"/>
          <w:bCs/>
          <w:sz w:val="32"/>
          <w:szCs w:val="32"/>
        </w:rPr>
        <w:t>.其他重要事项情况说明</w:t>
      </w:r>
    </w:p>
    <w:p w14:paraId="3E67CE63">
      <w:pPr>
        <w:widowControl w:val="0"/>
        <w:topLinePunct/>
        <w:adjustRightInd w:val="0"/>
        <w:snapToGrid w:val="0"/>
        <w:spacing w:beforeAutospacing="0" w:afterAutospacing="0" w:line="560" w:lineRule="exact"/>
        <w:ind w:firstLine="640" w:firstLineChars="200"/>
        <w:jc w:val="both"/>
        <w:rPr>
          <w:rFonts w:ascii="仿宋_GB2312" w:hAnsi="TimesNewRoman" w:eastAsia="仿宋_GB2312" w:cs="TimesNewRoman"/>
          <w:bCs/>
          <w:color w:val="auto"/>
          <w:sz w:val="32"/>
          <w:szCs w:val="32"/>
        </w:rPr>
      </w:pPr>
      <w:r>
        <w:rPr>
          <w:rFonts w:ascii="仿宋" w:hAnsi="仿宋" w:eastAsia="仿宋" w:cs="仿宋"/>
          <w:b w:val="0"/>
          <w:bCs w:val="0"/>
          <w:i w:val="0"/>
          <w:iCs w:val="0"/>
          <w:caps w:val="0"/>
          <w:color w:val="auto"/>
          <w:spacing w:val="0"/>
          <w:kern w:val="0"/>
          <w:sz w:val="32"/>
          <w:szCs w:val="32"/>
          <w:shd w:val="clear" w:color="auto" w:fill="FFFFFF"/>
          <w:lang w:val="en-US" w:eastAsia="zh-CN" w:bidi="ar-SA"/>
        </w:rPr>
        <w:t>（</w:t>
      </w:r>
      <w:r>
        <w:rPr>
          <w:rFonts w:hint="eastAsia" w:ascii="仿宋" w:hAnsi="仿宋" w:eastAsia="仿宋" w:cs="仿宋"/>
          <w:b w:val="0"/>
          <w:bCs w:val="0"/>
          <w:i w:val="0"/>
          <w:iCs w:val="0"/>
          <w:caps w:val="0"/>
          <w:color w:val="auto"/>
          <w:spacing w:val="0"/>
          <w:kern w:val="0"/>
          <w:sz w:val="32"/>
          <w:szCs w:val="32"/>
          <w:shd w:val="clear" w:color="auto" w:fill="FFFFFF"/>
          <w:lang w:val="en-US" w:eastAsia="zh-CN" w:bidi="ar-SA"/>
        </w:rPr>
        <w:t>2026年预算表见附件）</w:t>
      </w:r>
    </w:p>
    <w:p w14:paraId="2BE4C990">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三</w:t>
      </w:r>
      <w:r>
        <w:rPr>
          <w:rFonts w:ascii="黑体" w:hAnsi="黑体" w:eastAsia="黑体" w:cs="TimesNewRoman"/>
          <w:sz w:val="32"/>
          <w:szCs w:val="32"/>
        </w:rPr>
        <w:t>部分 名词解释</w:t>
      </w:r>
    </w:p>
    <w:p w14:paraId="1DF1F6F0">
      <w:pPr>
        <w:pStyle w:val="3"/>
        <w:topLinePunct/>
        <w:adjustRightInd w:val="0"/>
        <w:snapToGrid w:val="0"/>
        <w:spacing w:beforeAutospacing="0" w:afterAutospacing="0" w:line="560" w:lineRule="exact"/>
        <w:ind w:firstLine="643" w:firstLineChars="200"/>
        <w:jc w:val="both"/>
        <w:rPr>
          <w:rFonts w:ascii="TimesNewRoman" w:hAnsi="TimesNewRoman" w:eastAsia="仿宋_GB2312" w:cs="TimesNewRoman"/>
          <w:b/>
          <w:sz w:val="32"/>
          <w:szCs w:val="32"/>
        </w:rPr>
      </w:pPr>
    </w:p>
    <w:p w14:paraId="7BDA90F2">
      <w:pPr>
        <w:pStyle w:val="3"/>
        <w:topLinePunct/>
        <w:adjustRightInd w:val="0"/>
        <w:snapToGrid w:val="0"/>
        <w:spacing w:beforeAutospacing="0" w:afterAutospacing="0" w:line="560" w:lineRule="exact"/>
        <w:jc w:val="both"/>
        <w:rPr>
          <w:rFonts w:ascii="TimesNewRoman" w:hAnsi="TimesNewRoman" w:eastAsia="黑体" w:cs="TimesNewRoman"/>
          <w:bCs/>
          <w:sz w:val="36"/>
          <w:szCs w:val="36"/>
        </w:rPr>
      </w:pPr>
    </w:p>
    <w:p w14:paraId="0498A0DB">
      <w:pPr>
        <w:pStyle w:val="3"/>
        <w:topLinePunct/>
        <w:adjustRightInd w:val="0"/>
        <w:snapToGrid w:val="0"/>
        <w:spacing w:beforeAutospacing="0" w:afterAutospacing="0" w:line="560" w:lineRule="exact"/>
        <w:jc w:val="both"/>
        <w:rPr>
          <w:rFonts w:ascii="TimesNewRoman" w:hAnsi="TimesNewRoman" w:eastAsia="黑体" w:cs="TimesNewRoman"/>
          <w:bCs/>
          <w:sz w:val="36"/>
          <w:szCs w:val="36"/>
        </w:rPr>
      </w:pPr>
    </w:p>
    <w:p w14:paraId="179B3A3E">
      <w:pPr>
        <w:pStyle w:val="3"/>
        <w:topLinePunct/>
        <w:adjustRightInd w:val="0"/>
        <w:snapToGrid w:val="0"/>
        <w:spacing w:beforeAutospacing="0" w:afterAutospacing="0" w:line="560" w:lineRule="exact"/>
        <w:ind w:firstLine="2520" w:firstLineChars="700"/>
        <w:jc w:val="both"/>
        <w:rPr>
          <w:rFonts w:ascii="TimesNewRoman" w:hAnsi="TimesNewRoman" w:eastAsia="黑体" w:cs="TimesNewRoman"/>
          <w:bCs/>
          <w:sz w:val="36"/>
          <w:szCs w:val="36"/>
        </w:rPr>
      </w:pPr>
      <w:r>
        <w:rPr>
          <w:rFonts w:ascii="TimesNewRoman" w:hAnsi="TimesNewRoman" w:eastAsia="黑体" w:cs="TimesNewRoman"/>
          <w:bCs/>
          <w:sz w:val="36"/>
          <w:szCs w:val="36"/>
        </w:rPr>
        <w:t xml:space="preserve">第一部分 </w:t>
      </w:r>
      <w:r>
        <w:rPr>
          <w:rFonts w:hint="eastAsia" w:ascii="TimesNewRoman" w:hAnsi="TimesNewRoman" w:eastAsia="黑体" w:cs="TimesNewRoman"/>
          <w:bCs/>
          <w:sz w:val="36"/>
          <w:szCs w:val="36"/>
          <w:lang w:eastAsia="zh-CN"/>
        </w:rPr>
        <w:t>单位</w:t>
      </w:r>
      <w:r>
        <w:rPr>
          <w:rFonts w:ascii="TimesNewRoman" w:hAnsi="TimesNewRoman" w:eastAsia="黑体" w:cs="TimesNewRoman"/>
          <w:bCs/>
          <w:sz w:val="36"/>
          <w:szCs w:val="36"/>
        </w:rPr>
        <w:t>概况</w:t>
      </w:r>
    </w:p>
    <w:p w14:paraId="17F77F03">
      <w:pPr>
        <w:pStyle w:val="3"/>
        <w:topLinePunct/>
        <w:adjustRightInd w:val="0"/>
        <w:snapToGrid w:val="0"/>
        <w:spacing w:beforeAutospacing="0" w:afterAutospacing="0" w:line="560" w:lineRule="exact"/>
        <w:ind w:firstLine="627" w:firstLineChars="196"/>
        <w:jc w:val="both"/>
        <w:rPr>
          <w:rFonts w:ascii="TimesNewRoman" w:hAnsi="TimesNewRoman" w:eastAsia="黑体" w:cs="TimesNewRoman"/>
          <w:bCs/>
          <w:sz w:val="32"/>
          <w:szCs w:val="32"/>
        </w:rPr>
      </w:pPr>
    </w:p>
    <w:p w14:paraId="4D7AF2A7">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bCs/>
          <w:sz w:val="32"/>
          <w:szCs w:val="32"/>
        </w:rPr>
      </w:pPr>
      <w:r>
        <w:rPr>
          <w:rFonts w:hint="eastAsia" w:ascii="楷体_GB2312" w:hAnsi="TimesNewRoman" w:eastAsia="楷体_GB2312" w:cs="TimesNewRoman"/>
          <w:b/>
          <w:bCs/>
          <w:sz w:val="32"/>
          <w:szCs w:val="32"/>
        </w:rPr>
        <w:t>一、主要职责</w:t>
      </w:r>
    </w:p>
    <w:p w14:paraId="2742A7A3">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承担公益性技术推广服务职能。为全县粮食生产三大行动、粮油高产创建等重大农业项目提供技术保障；制定并组织实施全县农业技术推广计划；农业新品种、新技术、新成果的引进、试验、示范、推广；农业科技和市场信息的传递；实施农业项目；植物检疫，农作物病虫草害及农业灾害监测、预报、防治和处置；农产品质量安全监测及农民技术培训等工作。</w:t>
      </w:r>
    </w:p>
    <w:p w14:paraId="342EF5CD">
      <w:pPr>
        <w:pStyle w:val="3"/>
        <w:topLinePunct/>
        <w:adjustRightInd w:val="0"/>
        <w:snapToGrid w:val="0"/>
        <w:spacing w:beforeAutospacing="0" w:afterAutospacing="0" w:line="580" w:lineRule="exact"/>
        <w:ind w:firstLine="643" w:firstLineChars="200"/>
        <w:jc w:val="both"/>
        <w:rPr>
          <w:rFonts w:ascii="楷体_GB2312" w:hAnsi="TimesNewRoman" w:eastAsia="楷体_GB2312" w:cs="TimesNewRoman"/>
          <w:b/>
          <w:bCs/>
          <w:sz w:val="32"/>
          <w:szCs w:val="32"/>
        </w:rPr>
      </w:pPr>
      <w:r>
        <w:rPr>
          <w:rFonts w:hint="eastAsia" w:ascii="楷体_GB2312" w:hAnsi="TimesNewRoman" w:eastAsia="楷体_GB2312" w:cs="TimesNewRoman"/>
          <w:b/>
          <w:bCs/>
          <w:sz w:val="32"/>
          <w:szCs w:val="32"/>
        </w:rPr>
        <w:t>二、</w:t>
      </w:r>
      <w:r>
        <w:rPr>
          <w:rFonts w:hint="eastAsia" w:ascii="楷体_GB2312" w:hAnsi="TimesNewRoman" w:eastAsia="楷体_GB2312" w:cs="TimesNewRoman"/>
          <w:b/>
          <w:bCs/>
          <w:sz w:val="32"/>
          <w:szCs w:val="32"/>
          <w:lang w:eastAsia="zh-CN"/>
        </w:rPr>
        <w:t>单位</w:t>
      </w:r>
      <w:r>
        <w:rPr>
          <w:rFonts w:ascii="楷体_GB2312" w:hAnsi="TimesNewRoman" w:eastAsia="楷体_GB2312" w:cs="TimesNewRoman"/>
          <w:b/>
          <w:bCs/>
          <w:sz w:val="32"/>
          <w:szCs w:val="32"/>
        </w:rPr>
        <w:t>预算构成</w:t>
      </w:r>
    </w:p>
    <w:p w14:paraId="16BA907D">
      <w:pPr>
        <w:pStyle w:val="3"/>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bCs/>
          <w:sz w:val="32"/>
          <w:szCs w:val="32"/>
        </w:rPr>
      </w:pP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val="en-US" w:eastAsia="zh-CN"/>
        </w:rPr>
        <w:t>农业技术推广中心</w:t>
      </w:r>
      <w:r>
        <w:rPr>
          <w:rFonts w:hint="eastAsia" w:ascii="仿宋_GB2312" w:hAnsi="TimesNewRoman" w:eastAsia="仿宋_GB2312" w:cs="TimesNewRoman"/>
          <w:bCs/>
          <w:sz w:val="32"/>
          <w:szCs w:val="32"/>
          <w:lang w:eastAsia="zh-CN"/>
        </w:rPr>
        <w:t>2026</w:t>
      </w:r>
      <w:r>
        <w:rPr>
          <w:rFonts w:hint="eastAsia" w:ascii="仿宋_GB2312" w:hAnsi="TimesNewRoman" w:eastAsia="仿宋_GB2312" w:cs="TimesNewRoman"/>
          <w:bCs/>
          <w:sz w:val="32"/>
          <w:szCs w:val="32"/>
        </w:rPr>
        <w:t>年度单位预算仅包括单位本级预算，无其他下属单位预算。</w:t>
      </w:r>
    </w:p>
    <w:p w14:paraId="5418517E">
      <w:pPr>
        <w:pStyle w:val="3"/>
        <w:topLinePunct/>
        <w:adjustRightInd w:val="0"/>
        <w:snapToGrid w:val="0"/>
        <w:spacing w:beforeAutospacing="0" w:afterAutospacing="0" w:line="580" w:lineRule="exact"/>
        <w:ind w:firstLine="643" w:firstLineChars="200"/>
        <w:jc w:val="both"/>
        <w:rPr>
          <w:rFonts w:ascii="TimesNewRoman" w:hAnsi="TimesNewRoman" w:eastAsia="仿宋_GB2312" w:cs="TimesNewRoman"/>
          <w:bCs/>
          <w:sz w:val="32"/>
          <w:szCs w:val="32"/>
        </w:rPr>
      </w:pPr>
      <w:r>
        <w:rPr>
          <w:rFonts w:hint="eastAsia" w:ascii="楷体_GB2312" w:hAnsi="TimesNewRoman" w:eastAsia="楷体_GB2312" w:cs="TimesNewRoman"/>
          <w:b/>
          <w:bCs/>
          <w:sz w:val="32"/>
          <w:szCs w:val="32"/>
        </w:rPr>
        <w:t>三、</w:t>
      </w:r>
      <w:r>
        <w:rPr>
          <w:rFonts w:hint="eastAsia" w:ascii="楷体_GB2312" w:hAnsi="TimesNewRoman" w:eastAsia="楷体_GB2312" w:cs="TimesNewRoman"/>
          <w:b/>
          <w:bCs/>
          <w:sz w:val="32"/>
          <w:szCs w:val="32"/>
          <w:lang w:eastAsia="zh-CN"/>
        </w:rPr>
        <w:t>2026</w:t>
      </w:r>
      <w:r>
        <w:rPr>
          <w:rFonts w:hint="eastAsia" w:ascii="楷体_GB2312" w:hAnsi="TimesNewRoman" w:eastAsia="楷体_GB2312" w:cs="TimesNewRoman"/>
          <w:b/>
          <w:bCs/>
          <w:sz w:val="32"/>
          <w:szCs w:val="32"/>
        </w:rPr>
        <w:t>年度主要工作任务</w:t>
      </w:r>
    </w:p>
    <w:p w14:paraId="0C6C87F5">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（一）发布并推介了</w:t>
      </w:r>
      <w:r>
        <w:rPr>
          <w:rFonts w:hint="eastAsia" w:ascii="仿宋_GB2312" w:hAnsi="TimesNewRoman" w:eastAsia="仿宋_GB2312" w:cs="TimesNewRoman"/>
          <w:bCs/>
          <w:sz w:val="32"/>
          <w:szCs w:val="32"/>
          <w:lang w:eastAsia="zh-CN"/>
        </w:rPr>
        <w:t>2026</w:t>
      </w:r>
      <w:r>
        <w:rPr>
          <w:rFonts w:hint="eastAsia" w:ascii="仿宋_GB2312" w:hAnsi="TimesNewRoman" w:eastAsia="仿宋_GB2312" w:cs="TimesNewRoman"/>
          <w:bCs/>
          <w:sz w:val="32"/>
          <w:szCs w:val="32"/>
        </w:rPr>
        <w:t>年春播和秋播作物主导品种和主推技术。</w:t>
      </w:r>
    </w:p>
    <w:p w14:paraId="7710F29F">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 xml:space="preserve">（二）开展农业面源污染防治，加强无公害农产品质量检测，规范农业生态环境监测和耕地环境质量类别划分。 </w:t>
      </w:r>
    </w:p>
    <w:p w14:paraId="53F31D5D">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 xml:space="preserve">（三）推进耕地保护与质量提升项目实施。规范土壤墒情监测，做好土壤取样化验工作。 </w:t>
      </w:r>
    </w:p>
    <w:p w14:paraId="048D68A8">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（四）制定农作物重大病虫害防治预案，及时发布病虫情报。推进农作物病虫害绿色防控，降低农药使用量。</w:t>
      </w:r>
    </w:p>
    <w:p w14:paraId="1231E5EF">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（五）稳步推进农产品质量安全检测工作，制定农产品质量安全监测工作方案。</w:t>
      </w:r>
    </w:p>
    <w:p w14:paraId="1333F1AC">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0230DB10">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58FEC608">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第</w:t>
      </w:r>
      <w:r>
        <w:rPr>
          <w:rFonts w:hint="eastAsia" w:ascii="TimesNewRoman" w:hAnsi="TimesNewRoman" w:eastAsia="黑体" w:cs="TimesNewRoman"/>
          <w:bCs/>
          <w:sz w:val="36"/>
          <w:szCs w:val="36"/>
        </w:rPr>
        <w:t>二</w:t>
      </w:r>
      <w:r>
        <w:rPr>
          <w:rFonts w:ascii="TimesNewRoman" w:hAnsi="TimesNewRoman" w:eastAsia="黑体" w:cs="TimesNewRoman"/>
          <w:bCs/>
          <w:sz w:val="36"/>
          <w:szCs w:val="36"/>
        </w:rPr>
        <w:t xml:space="preserve">部分 </w:t>
      </w:r>
      <w:r>
        <w:rPr>
          <w:rFonts w:hint="eastAsia" w:ascii="TimesNewRoman" w:hAnsi="TimesNewRoman" w:eastAsia="黑体" w:cs="TimesNewRoman"/>
          <w:bCs/>
          <w:sz w:val="36"/>
          <w:szCs w:val="36"/>
          <w:lang w:eastAsia="zh-CN"/>
        </w:rPr>
        <w:t>2026</w:t>
      </w:r>
      <w:r>
        <w:rPr>
          <w:rFonts w:ascii="TimesNewRoman" w:hAnsi="TimesNewRoman" w:eastAsia="黑体" w:cs="TimesNewRoman"/>
          <w:bCs/>
          <w:sz w:val="36"/>
          <w:szCs w:val="36"/>
        </w:rPr>
        <w:t>年</w:t>
      </w:r>
      <w:r>
        <w:rPr>
          <w:rFonts w:hint="eastAsia" w:ascii="TimesNewRoman" w:hAnsi="TimesNewRoman" w:eastAsia="黑体" w:cs="TimesNewRoman"/>
          <w:bCs/>
          <w:sz w:val="36"/>
          <w:szCs w:val="36"/>
          <w:lang w:eastAsia="zh-CN"/>
        </w:rPr>
        <w:t>单位</w:t>
      </w:r>
      <w:r>
        <w:rPr>
          <w:rFonts w:ascii="TimesNewRoman" w:hAnsi="TimesNewRoman" w:eastAsia="黑体" w:cs="TimesNewRoman"/>
          <w:bCs/>
          <w:sz w:val="36"/>
          <w:szCs w:val="36"/>
        </w:rPr>
        <w:t>预算情况说明</w:t>
      </w:r>
    </w:p>
    <w:p w14:paraId="6F16E342">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p>
    <w:p w14:paraId="6E527A0C">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一、关于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年收支总表的说明</w:t>
      </w:r>
    </w:p>
    <w:p w14:paraId="238D0747">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按照综合预算的原则，寿县</w:t>
      </w:r>
      <w:r>
        <w:rPr>
          <w:rFonts w:hint="eastAsia" w:ascii="仿宋_GB2312" w:hAnsi="TimesNewRoman" w:eastAsia="仿宋_GB2312" w:cs="TimesNewRoman"/>
          <w:sz w:val="32"/>
          <w:szCs w:val="32"/>
          <w:lang w:val="en-US" w:eastAsia="zh-CN"/>
        </w:rPr>
        <w:t>农业技术推广中心</w:t>
      </w:r>
      <w:r>
        <w:rPr>
          <w:rFonts w:hint="eastAsia" w:ascii="仿宋_GB2312" w:hAnsi="TimesNewRoman" w:eastAsia="仿宋_GB2312" w:cs="TimesNewRoman"/>
          <w:sz w:val="32"/>
          <w:szCs w:val="32"/>
        </w:rPr>
        <w:t>所有收入和支出均纳入部门预算管理。寿县</w:t>
      </w:r>
      <w:r>
        <w:rPr>
          <w:rFonts w:hint="eastAsia" w:ascii="仿宋_GB2312" w:hAnsi="TimesNewRoman" w:eastAsia="仿宋_GB2312" w:cs="TimesNewRoman"/>
          <w:sz w:val="32"/>
          <w:szCs w:val="32"/>
          <w:lang w:val="en-US" w:eastAsia="zh-CN"/>
        </w:rPr>
        <w:t>农业技术推广中心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年收支总预算</w:t>
      </w:r>
      <w:r>
        <w:rPr>
          <w:rFonts w:hint="eastAsia" w:ascii="仿宋_GB2312" w:hAnsi="TimesNewRoman" w:eastAsia="仿宋_GB2312" w:cs="TimesNewRoman"/>
          <w:sz w:val="32"/>
          <w:szCs w:val="32"/>
          <w:lang w:val="en-US" w:eastAsia="zh-CN"/>
        </w:rPr>
        <w:t>922.43</w:t>
      </w:r>
      <w:r>
        <w:rPr>
          <w:rFonts w:hint="eastAsia" w:ascii="仿宋_GB2312" w:hAnsi="TimesNewRoman" w:eastAsia="仿宋_GB2312" w:cs="TimesNewRoman"/>
          <w:sz w:val="32"/>
          <w:szCs w:val="32"/>
        </w:rPr>
        <w:t>万元，收入全部是一般公共预算拨款收入，支出包括：社会保障和就业支出、卫生健康支出、农林水支出、住房保障支出。</w:t>
      </w:r>
    </w:p>
    <w:p w14:paraId="7455BC94">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二、关于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年收入总表的说明</w:t>
      </w:r>
    </w:p>
    <w:p w14:paraId="41DDC61E">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kern w:val="0"/>
          <w:sz w:val="32"/>
          <w:szCs w:val="32"/>
        </w:rPr>
        <w:t>寿县</w:t>
      </w:r>
      <w:r>
        <w:rPr>
          <w:rFonts w:hint="eastAsia" w:ascii="仿宋_GB2312" w:hAnsi="TimesNewRoman" w:eastAsia="仿宋_GB2312" w:cs="TimesNewRoman"/>
          <w:sz w:val="32"/>
          <w:szCs w:val="32"/>
          <w:lang w:eastAsia="zh-CN"/>
        </w:rPr>
        <w:t>农业技术推广中心2026</w:t>
      </w:r>
      <w:r>
        <w:rPr>
          <w:rFonts w:hint="eastAsia" w:ascii="仿宋_GB2312" w:hAnsi="TimesNewRoman" w:eastAsia="仿宋_GB2312" w:cs="TimesNewRoman"/>
          <w:sz w:val="32"/>
          <w:szCs w:val="32"/>
        </w:rPr>
        <w:t>年收入预算</w:t>
      </w:r>
      <w:r>
        <w:rPr>
          <w:rFonts w:hint="eastAsia" w:ascii="仿宋_GB2312" w:hAnsi="TimesNewRoman" w:eastAsia="仿宋_GB2312" w:cs="TimesNewRoman"/>
          <w:sz w:val="32"/>
          <w:szCs w:val="32"/>
          <w:lang w:val="en-US" w:eastAsia="zh-CN"/>
        </w:rPr>
        <w:t>922.43</w:t>
      </w:r>
      <w:r>
        <w:rPr>
          <w:rFonts w:hint="eastAsia" w:ascii="仿宋_GB2312" w:hAnsi="TimesNewRoman" w:eastAsia="仿宋_GB2312" w:cs="TimesNewRoman"/>
          <w:sz w:val="32"/>
          <w:szCs w:val="32"/>
        </w:rPr>
        <w:t>万元，其中，本年收入</w:t>
      </w:r>
      <w:r>
        <w:rPr>
          <w:rFonts w:hint="eastAsia" w:ascii="仿宋_GB2312" w:hAnsi="TimesNewRoman" w:eastAsia="仿宋_GB2312" w:cs="TimesNewRoman"/>
          <w:sz w:val="32"/>
          <w:szCs w:val="32"/>
          <w:lang w:val="en-US" w:eastAsia="zh-CN"/>
        </w:rPr>
        <w:t>922.43</w:t>
      </w:r>
      <w:r>
        <w:rPr>
          <w:rFonts w:hint="eastAsia" w:ascii="仿宋_GB2312" w:hAnsi="TimesNewRoman" w:eastAsia="仿宋_GB2312" w:cs="TimesNewRoman"/>
          <w:sz w:val="32"/>
          <w:szCs w:val="32"/>
        </w:rPr>
        <w:t>万元，上年结转收入</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765B5515">
      <w:pPr>
        <w:numPr>
          <w:ilvl w:val="0"/>
          <w:numId w:val="0"/>
        </w:num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一）本年收入</w:t>
      </w:r>
      <w:r>
        <w:rPr>
          <w:rFonts w:hint="eastAsia" w:ascii="仿宋_GB2312" w:hAnsi="TimesNewRoman" w:eastAsia="仿宋_GB2312" w:cs="TimesNewRoman"/>
          <w:sz w:val="32"/>
          <w:szCs w:val="32"/>
          <w:lang w:val="en-US" w:eastAsia="zh-CN"/>
        </w:rPr>
        <w:t>922.43</w:t>
      </w:r>
      <w:r>
        <w:rPr>
          <w:rFonts w:hint="eastAsia" w:ascii="仿宋_GB2312" w:hAnsi="TimesNewRoman" w:eastAsia="仿宋_GB2312" w:cs="TimesNewRoman"/>
          <w:sz w:val="32"/>
          <w:szCs w:val="32"/>
        </w:rPr>
        <w:t>万元，收入全部为一般公共预算拨款收入</w:t>
      </w:r>
      <w:r>
        <w:rPr>
          <w:rFonts w:hint="eastAsia" w:ascii="仿宋_GB2312" w:hAnsi="TimesNewRoman" w:eastAsia="仿宋_GB2312" w:cs="TimesNewRoman"/>
          <w:sz w:val="32"/>
          <w:szCs w:val="32"/>
          <w:lang w:val="en-US" w:eastAsia="zh-CN"/>
        </w:rPr>
        <w:t>922.43</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100</w:t>
      </w:r>
      <w:r>
        <w:rPr>
          <w:rFonts w:hint="eastAsia" w:ascii="仿宋_GB2312" w:hAnsi="TimesNewRoman" w:eastAsia="仿宋_GB2312" w:cs="TimesNewRoman"/>
          <w:sz w:val="32"/>
          <w:szCs w:val="32"/>
        </w:rPr>
        <w:t>%，比</w:t>
      </w:r>
      <w:r>
        <w:rPr>
          <w:rFonts w:hint="eastAsia" w:ascii="仿宋_GB2312" w:hAnsi="TimesNewRoman" w:eastAsia="仿宋_GB2312" w:cs="TimesNewRoman"/>
          <w:sz w:val="32"/>
          <w:szCs w:val="32"/>
          <w:lang w:eastAsia="zh-CN"/>
        </w:rPr>
        <w:t>2025年</w:t>
      </w:r>
      <w:r>
        <w:rPr>
          <w:rFonts w:hint="eastAsia" w:ascii="仿宋_GB2312" w:hAnsi="TimesNewRoman" w:eastAsia="仿宋_GB2312" w:cs="TimesNewRoman"/>
          <w:sz w:val="32"/>
          <w:szCs w:val="32"/>
        </w:rPr>
        <w:t>预算</w:t>
      </w:r>
      <w:r>
        <w:rPr>
          <w:rFonts w:hint="eastAsia" w:ascii="仿宋_GB2312" w:hAnsi="TimesNewRoman" w:eastAsia="仿宋_GB2312" w:cs="TimesNewRoman"/>
          <w:sz w:val="32"/>
          <w:szCs w:val="32"/>
          <w:lang w:val="en-US" w:eastAsia="zh-CN"/>
        </w:rPr>
        <w:t>增加74.23</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增加8.75</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增加</w:t>
      </w:r>
      <w:r>
        <w:rPr>
          <w:rFonts w:hint="eastAsia" w:ascii="仿宋_GB2312" w:hAnsi="TimesNewRoman" w:eastAsia="仿宋_GB2312" w:cs="TimesNewRoman"/>
          <w:sz w:val="32"/>
          <w:szCs w:val="32"/>
        </w:rPr>
        <w:t>原因主要</w:t>
      </w:r>
      <w:r>
        <w:rPr>
          <w:rFonts w:hint="eastAsia" w:ascii="仿宋_GB2312" w:hAnsi="TimesNewRoman" w:eastAsia="仿宋_GB2312" w:cs="TimesNewRoman"/>
          <w:sz w:val="32"/>
          <w:szCs w:val="32"/>
          <w:lang w:val="en-US" w:eastAsia="zh-CN"/>
        </w:rPr>
        <w:t>是职工的工资正常增长</w:t>
      </w:r>
      <w:r>
        <w:rPr>
          <w:rFonts w:hint="eastAsia" w:ascii="仿宋_GB2312" w:hAnsi="TimesNewRoman" w:eastAsia="仿宋_GB2312" w:cs="TimesNewRoman"/>
          <w:sz w:val="32"/>
          <w:szCs w:val="32"/>
          <w:lang w:eastAsia="zh-CN"/>
        </w:rPr>
        <w:t>。</w:t>
      </w:r>
    </w:p>
    <w:p w14:paraId="02FC82A0">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（二）上年结转收入</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6EAC8E9C">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三、关于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年支出总表的说明</w:t>
      </w:r>
    </w:p>
    <w:p w14:paraId="311C15A6">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农业技术推广中心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年支出预算</w:t>
      </w:r>
      <w:r>
        <w:rPr>
          <w:rFonts w:hint="eastAsia" w:ascii="仿宋_GB2312" w:hAnsi="TimesNewRoman" w:eastAsia="仿宋_GB2312" w:cs="TimesNewRoman"/>
          <w:sz w:val="32"/>
          <w:szCs w:val="32"/>
          <w:lang w:val="en-US" w:eastAsia="zh-CN"/>
        </w:rPr>
        <w:t>922.43</w:t>
      </w:r>
      <w:r>
        <w:rPr>
          <w:rFonts w:hint="eastAsia" w:ascii="仿宋_GB2312" w:hAnsi="TimesNewRoman" w:eastAsia="仿宋_GB2312" w:cs="TimesNewRoman"/>
          <w:sz w:val="32"/>
          <w:szCs w:val="32"/>
        </w:rPr>
        <w:t>万元，比</w:t>
      </w:r>
      <w:r>
        <w:rPr>
          <w:rFonts w:hint="eastAsia" w:ascii="仿宋_GB2312" w:hAnsi="TimesNewRoman" w:eastAsia="仿宋_GB2312" w:cs="TimesNewRoman"/>
          <w:sz w:val="32"/>
          <w:szCs w:val="32"/>
          <w:lang w:eastAsia="zh-CN"/>
        </w:rPr>
        <w:t>2025年</w:t>
      </w:r>
      <w:r>
        <w:rPr>
          <w:rFonts w:hint="eastAsia" w:ascii="仿宋_GB2312" w:hAnsi="TimesNewRoman" w:eastAsia="仿宋_GB2312" w:cs="TimesNewRoman"/>
          <w:sz w:val="32"/>
          <w:szCs w:val="32"/>
        </w:rPr>
        <w:t>预算</w:t>
      </w:r>
      <w:r>
        <w:rPr>
          <w:rFonts w:hint="eastAsia" w:ascii="仿宋_GB2312" w:hAnsi="TimesNewRoman" w:eastAsia="仿宋_GB2312" w:cs="TimesNewRoman"/>
          <w:sz w:val="32"/>
          <w:szCs w:val="32"/>
          <w:lang w:val="en-US" w:eastAsia="zh-CN"/>
        </w:rPr>
        <w:t>增加74.23万元，增加8.75%，增加原因主要是职工的工资正常增长。</w:t>
      </w:r>
      <w:r>
        <w:rPr>
          <w:rFonts w:hint="eastAsia" w:ascii="仿宋_GB2312" w:hAnsi="TimesNewRoman" w:eastAsia="仿宋_GB2312" w:cs="TimesNewRoman"/>
          <w:sz w:val="32"/>
          <w:szCs w:val="32"/>
        </w:rPr>
        <w:t>其中，基本支出</w:t>
      </w:r>
      <w:r>
        <w:rPr>
          <w:rFonts w:hint="eastAsia" w:ascii="仿宋_GB2312" w:hAnsi="TimesNewRoman" w:eastAsia="仿宋_GB2312" w:cs="TimesNewRoman"/>
          <w:sz w:val="32"/>
          <w:szCs w:val="32"/>
          <w:lang w:val="en-US" w:eastAsia="zh-CN"/>
        </w:rPr>
        <w:t>851.43</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92.30</w:t>
      </w:r>
      <w:r>
        <w:rPr>
          <w:rFonts w:hint="eastAsia" w:ascii="仿宋_GB2312" w:hAnsi="TimesNewRoman" w:eastAsia="仿宋_GB2312" w:cs="TimesNewRoman"/>
          <w:sz w:val="32"/>
          <w:szCs w:val="32"/>
        </w:rPr>
        <w:t>%，主要用于保障机构日常运转、完成日常工作任务；项目支出</w:t>
      </w:r>
      <w:r>
        <w:rPr>
          <w:rFonts w:hint="eastAsia" w:ascii="仿宋_GB2312" w:hAnsi="TimesNewRoman" w:eastAsia="仿宋_GB2312" w:cs="TimesNewRoman"/>
          <w:sz w:val="32"/>
          <w:szCs w:val="32"/>
          <w:lang w:val="en-US" w:eastAsia="zh-CN"/>
        </w:rPr>
        <w:t>71</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7.70</w:t>
      </w:r>
      <w:r>
        <w:rPr>
          <w:rFonts w:hint="eastAsia" w:ascii="仿宋_GB2312" w:hAnsi="TimesNewRoman" w:eastAsia="仿宋_GB2312" w:cs="TimesNewRoman"/>
          <w:sz w:val="32"/>
          <w:szCs w:val="32"/>
        </w:rPr>
        <w:t>%，主要用于</w:t>
      </w:r>
      <w:r>
        <w:rPr>
          <w:rFonts w:hint="eastAsia" w:ascii="仿宋_GB2312" w:hAnsi="TimesNewRoman" w:eastAsia="仿宋_GB2312" w:cs="TimesNewRoman"/>
          <w:sz w:val="32"/>
          <w:szCs w:val="32"/>
          <w:lang w:val="en-US" w:eastAsia="zh-CN"/>
        </w:rPr>
        <w:t>农业技术推广、植物检疫、农作物病虫草害及农业灾害监测、防治、处置和农产品质量安全监测等</w:t>
      </w:r>
      <w:r>
        <w:rPr>
          <w:rFonts w:hint="eastAsia" w:ascii="仿宋_GB2312" w:hAnsi="TimesNewRoman" w:eastAsia="仿宋_GB2312" w:cs="TimesNewRoman"/>
          <w:sz w:val="32"/>
          <w:szCs w:val="32"/>
          <w:lang w:eastAsia="zh-CN"/>
        </w:rPr>
        <w:t>重点工作支出。</w:t>
      </w:r>
    </w:p>
    <w:p w14:paraId="3F7069D6">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四、关于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年财政拨款收支总表的说明</w:t>
      </w:r>
    </w:p>
    <w:p w14:paraId="437ABC88">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农业技术推广中心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年财政拨款收支预算</w:t>
      </w:r>
      <w:r>
        <w:rPr>
          <w:rFonts w:hint="eastAsia" w:ascii="仿宋_GB2312" w:hAnsi="TimesNewRoman" w:eastAsia="仿宋_GB2312" w:cs="TimesNewRoman"/>
          <w:sz w:val="32"/>
          <w:szCs w:val="32"/>
          <w:lang w:val="en-US" w:eastAsia="zh-CN"/>
        </w:rPr>
        <w:t>922.43</w:t>
      </w:r>
      <w:r>
        <w:rPr>
          <w:rFonts w:hint="eastAsia" w:ascii="仿宋_GB2312" w:hAnsi="TimesNewRoman" w:eastAsia="仿宋_GB2312" w:cs="TimesNewRoman"/>
          <w:sz w:val="32"/>
          <w:szCs w:val="32"/>
        </w:rPr>
        <w:t>万元。收入按资金来源分为</w:t>
      </w:r>
      <w:r>
        <w:rPr>
          <w:rFonts w:hint="eastAsia" w:ascii="仿宋_GB2312" w:hAnsi="TimesNewRoman" w:eastAsia="仿宋_GB2312" w:cs="TimesNewRoman"/>
          <w:sz w:val="32"/>
          <w:szCs w:val="32"/>
          <w:lang w:eastAsia="zh-CN"/>
        </w:rPr>
        <w:t>全部为</w:t>
      </w:r>
      <w:r>
        <w:rPr>
          <w:rFonts w:hint="eastAsia" w:ascii="仿宋_GB2312" w:hAnsi="TimesNewRoman" w:eastAsia="仿宋_GB2312" w:cs="TimesNewRoman"/>
          <w:sz w:val="32"/>
          <w:szCs w:val="32"/>
        </w:rPr>
        <w:t>一般公共预算拨款</w:t>
      </w:r>
      <w:r>
        <w:rPr>
          <w:rFonts w:hint="eastAsia" w:ascii="仿宋_GB2312" w:hAnsi="TimesNewRoman" w:eastAsia="仿宋_GB2312" w:cs="TimesNewRoman"/>
          <w:sz w:val="32"/>
          <w:szCs w:val="32"/>
          <w:lang w:val="en-US" w:eastAsia="zh-CN"/>
        </w:rPr>
        <w:t>922.43</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按资金年度分</w:t>
      </w:r>
      <w:r>
        <w:rPr>
          <w:rFonts w:hint="eastAsia" w:ascii="仿宋_GB2312" w:hAnsi="TimesNewRoman" w:eastAsia="仿宋_GB2312" w:cs="TimesNewRoman"/>
          <w:sz w:val="32"/>
          <w:szCs w:val="32"/>
          <w:lang w:eastAsia="zh-CN"/>
        </w:rPr>
        <w:t>全部为</w:t>
      </w:r>
      <w:r>
        <w:rPr>
          <w:rFonts w:hint="eastAsia" w:ascii="仿宋_GB2312" w:hAnsi="TimesNewRoman" w:eastAsia="仿宋_GB2312" w:cs="TimesNewRoman"/>
          <w:sz w:val="32"/>
          <w:szCs w:val="32"/>
        </w:rPr>
        <w:t>本年财政拨款收入</w:t>
      </w:r>
      <w:r>
        <w:rPr>
          <w:rFonts w:hint="eastAsia" w:ascii="仿宋_GB2312" w:hAnsi="TimesNewRoman" w:eastAsia="仿宋_GB2312" w:cs="TimesNewRoman"/>
          <w:sz w:val="32"/>
          <w:szCs w:val="32"/>
          <w:lang w:val="en-US" w:eastAsia="zh-CN"/>
        </w:rPr>
        <w:t>922.43</w:t>
      </w:r>
      <w:r>
        <w:rPr>
          <w:rFonts w:hint="eastAsia" w:ascii="仿宋_GB2312" w:hAnsi="TimesNewRoman" w:eastAsia="仿宋_GB2312" w:cs="TimesNewRoman"/>
          <w:sz w:val="32"/>
          <w:szCs w:val="32"/>
        </w:rPr>
        <w:t>万元，上年结转收入</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万元。支出按功能分类分为：社会保障和就业支出</w:t>
      </w:r>
      <w:r>
        <w:rPr>
          <w:rFonts w:hint="eastAsia" w:ascii="仿宋_GB2312" w:hAnsi="TimesNewRoman" w:eastAsia="仿宋_GB2312" w:cs="TimesNewRoman"/>
          <w:sz w:val="32"/>
          <w:szCs w:val="32"/>
          <w:lang w:val="en-US" w:eastAsia="zh-CN"/>
        </w:rPr>
        <w:t>109.94</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11.92</w:t>
      </w:r>
      <w:r>
        <w:rPr>
          <w:rFonts w:hint="eastAsia" w:ascii="仿宋_GB2312" w:hAnsi="TimesNewRoman" w:eastAsia="仿宋_GB2312" w:cs="TimesNewRoman"/>
          <w:sz w:val="32"/>
          <w:szCs w:val="32"/>
        </w:rPr>
        <w:t>%；卫生健康支出</w:t>
      </w:r>
      <w:r>
        <w:rPr>
          <w:rFonts w:hint="eastAsia" w:ascii="仿宋_GB2312" w:hAnsi="TimesNewRoman" w:eastAsia="仿宋_GB2312" w:cs="TimesNewRoman"/>
          <w:sz w:val="32"/>
          <w:szCs w:val="32"/>
          <w:lang w:val="en-US" w:eastAsia="zh-CN"/>
        </w:rPr>
        <w:t>24.19</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2.62</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eastAsia="zh-CN"/>
        </w:rPr>
        <w:t>农林水支出</w:t>
      </w:r>
      <w:r>
        <w:rPr>
          <w:rFonts w:hint="eastAsia" w:ascii="仿宋_GB2312" w:hAnsi="TimesNewRoman" w:eastAsia="仿宋_GB2312" w:cs="TimesNewRoman"/>
          <w:sz w:val="32"/>
          <w:szCs w:val="32"/>
          <w:lang w:val="en-US" w:eastAsia="zh-CN"/>
        </w:rPr>
        <w:t>692.16</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75.04</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96.14</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10.42</w:t>
      </w:r>
      <w:r>
        <w:rPr>
          <w:rFonts w:hint="eastAsia" w:ascii="仿宋_GB2312" w:hAnsi="TimesNewRoman" w:eastAsia="仿宋_GB2312" w:cs="TimesNewRoman"/>
          <w:sz w:val="32"/>
          <w:szCs w:val="32"/>
        </w:rPr>
        <w:t>%。</w:t>
      </w:r>
    </w:p>
    <w:p w14:paraId="2CAF4737">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五、关于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年一般公共预算支出表的说明</w:t>
      </w:r>
    </w:p>
    <w:p w14:paraId="6A7309B3">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（一）一般公共预算支出规模变化情况。</w:t>
      </w:r>
    </w:p>
    <w:p w14:paraId="72768BD4">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农业技术推广中心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年一般公共预算支出</w:t>
      </w:r>
      <w:r>
        <w:rPr>
          <w:rFonts w:hint="eastAsia" w:ascii="仿宋_GB2312" w:hAnsi="TimesNewRoman" w:eastAsia="仿宋_GB2312" w:cs="TimesNewRoman"/>
          <w:sz w:val="32"/>
          <w:szCs w:val="32"/>
          <w:lang w:val="en-US" w:eastAsia="zh-CN"/>
        </w:rPr>
        <w:t>922.43</w:t>
      </w:r>
      <w:r>
        <w:rPr>
          <w:rFonts w:hint="eastAsia" w:ascii="仿宋_GB2312" w:hAnsi="TimesNewRoman" w:eastAsia="仿宋_GB2312" w:cs="TimesNewRoman"/>
          <w:sz w:val="32"/>
          <w:szCs w:val="32"/>
        </w:rPr>
        <w:t>万元，比</w:t>
      </w:r>
      <w:r>
        <w:rPr>
          <w:rFonts w:hint="eastAsia" w:ascii="仿宋_GB2312" w:hAnsi="TimesNewRoman" w:eastAsia="仿宋_GB2312" w:cs="TimesNewRoman"/>
          <w:sz w:val="32"/>
          <w:szCs w:val="32"/>
          <w:lang w:eastAsia="zh-CN"/>
        </w:rPr>
        <w:t>2025年</w:t>
      </w:r>
      <w:r>
        <w:rPr>
          <w:rFonts w:hint="eastAsia" w:ascii="仿宋_GB2312" w:hAnsi="TimesNewRoman" w:eastAsia="仿宋_GB2312" w:cs="TimesNewRoman"/>
          <w:sz w:val="32"/>
          <w:szCs w:val="32"/>
        </w:rPr>
        <w:t>预算</w:t>
      </w:r>
      <w:r>
        <w:rPr>
          <w:rFonts w:hint="eastAsia" w:ascii="仿宋_GB2312" w:hAnsi="TimesNewRoman" w:eastAsia="仿宋_GB2312" w:cs="TimesNewRoman"/>
          <w:sz w:val="32"/>
          <w:szCs w:val="32"/>
          <w:lang w:val="en-US" w:eastAsia="zh-CN"/>
        </w:rPr>
        <w:t>增加74.23万元，增加8.75%，增加原因主要是职工的工资正常增长。</w:t>
      </w:r>
    </w:p>
    <w:p w14:paraId="5A051CEF">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（二）一般公共预算支出结构情况。</w:t>
      </w:r>
    </w:p>
    <w:p w14:paraId="594F5C87">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一般公共服务支出</w:t>
      </w:r>
      <w:r>
        <w:rPr>
          <w:rFonts w:hint="eastAsia" w:ascii="仿宋_GB2312" w:hAnsi="TimesNewRoman" w:eastAsia="仿宋_GB2312" w:cs="TimesNewRoman"/>
          <w:sz w:val="32"/>
          <w:szCs w:val="32"/>
          <w:lang w:val="en-US" w:eastAsia="zh-CN"/>
        </w:rPr>
        <w:t>922.43</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100</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社会保障和就业支出</w:t>
      </w:r>
      <w:r>
        <w:rPr>
          <w:rFonts w:hint="eastAsia" w:ascii="仿宋_GB2312" w:hAnsi="TimesNewRoman" w:eastAsia="仿宋_GB2312" w:cs="TimesNewRoman"/>
          <w:sz w:val="32"/>
          <w:szCs w:val="32"/>
          <w:lang w:val="en-US" w:eastAsia="zh-CN"/>
        </w:rPr>
        <w:t>109.94万元，占11.92%；卫生健康支出24.19万元，占2.62%；农林水支出692.16万元，占75.04%；住房保障支出96.14万元，占10.42%。</w:t>
      </w:r>
    </w:p>
    <w:p w14:paraId="52C513A1">
      <w:pPr>
        <w:topLinePunct/>
        <w:adjustRightInd w:val="0"/>
        <w:snapToGrid w:val="0"/>
        <w:spacing w:line="58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（三）一般公共预算支出具体使用情况。</w:t>
      </w:r>
    </w:p>
    <w:p w14:paraId="18A3BCED">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b/>
          <w:sz w:val="32"/>
          <w:szCs w:val="32"/>
        </w:rPr>
        <w:t>1.</w:t>
      </w:r>
      <w:r>
        <w:rPr>
          <w:rFonts w:hint="eastAsia" w:ascii="仿宋_GB2312" w:hAnsi="仿宋" w:eastAsia="仿宋_GB2312"/>
          <w:b/>
          <w:color w:val="auto"/>
          <w:sz w:val="32"/>
          <w:szCs w:val="32"/>
        </w:rPr>
        <w:t>社会保障和就业支出（类）行政事业单位养老支出（款）机关事业单位基本养老保险缴费支出（项）</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年预算</w:t>
      </w:r>
      <w:r>
        <w:rPr>
          <w:rFonts w:hint="eastAsia" w:ascii="仿宋_GB2312" w:hAnsi="TimesNewRoman" w:eastAsia="仿宋_GB2312" w:cs="TimesNewRoman"/>
          <w:sz w:val="32"/>
          <w:szCs w:val="32"/>
          <w:lang w:val="en-US" w:eastAsia="zh-CN"/>
        </w:rPr>
        <w:t>71.66</w:t>
      </w:r>
      <w:r>
        <w:rPr>
          <w:rFonts w:hint="eastAsia" w:ascii="仿宋_GB2312" w:hAnsi="TimesNewRoman" w:eastAsia="仿宋_GB2312" w:cs="TimesNewRoman"/>
          <w:sz w:val="32"/>
          <w:szCs w:val="32"/>
        </w:rPr>
        <w:t>万元，比</w:t>
      </w:r>
      <w:r>
        <w:rPr>
          <w:rFonts w:hint="eastAsia" w:ascii="仿宋_GB2312" w:hAnsi="TimesNewRoman" w:eastAsia="仿宋_GB2312" w:cs="TimesNewRoman"/>
          <w:sz w:val="32"/>
          <w:szCs w:val="32"/>
          <w:lang w:eastAsia="zh-CN"/>
        </w:rPr>
        <w:t>2025年</w:t>
      </w:r>
      <w:r>
        <w:rPr>
          <w:rFonts w:hint="eastAsia" w:ascii="仿宋_GB2312" w:hAnsi="TimesNewRoman" w:eastAsia="仿宋_GB2312" w:cs="TimesNewRoman"/>
          <w:sz w:val="32"/>
          <w:szCs w:val="32"/>
        </w:rPr>
        <w:t>预算</w:t>
      </w:r>
      <w:r>
        <w:rPr>
          <w:rFonts w:hint="eastAsia" w:ascii="仿宋_GB2312" w:hAnsi="TimesNewRoman" w:eastAsia="仿宋_GB2312" w:cs="TimesNewRoman"/>
          <w:sz w:val="32"/>
          <w:szCs w:val="32"/>
          <w:lang w:val="en-US" w:eastAsia="zh-CN"/>
        </w:rPr>
        <w:t>增加4.52</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增长6.73</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增加</w:t>
      </w:r>
      <w:r>
        <w:rPr>
          <w:rFonts w:hint="eastAsia" w:ascii="仿宋_GB2312" w:hAnsi="TimesNewRoman" w:eastAsia="仿宋_GB2312" w:cs="TimesNewRoman"/>
          <w:sz w:val="32"/>
          <w:szCs w:val="32"/>
        </w:rPr>
        <w:t>原因主要是</w:t>
      </w:r>
      <w:r>
        <w:rPr>
          <w:rFonts w:hint="eastAsia" w:ascii="仿宋_GB2312" w:hAnsi="TimesNewRoman" w:eastAsia="仿宋_GB2312" w:cs="TimesNewRoman"/>
          <w:sz w:val="32"/>
          <w:szCs w:val="32"/>
          <w:lang w:val="en-US" w:eastAsia="zh-CN"/>
        </w:rPr>
        <w:t>职工的工资正常增长。</w:t>
      </w:r>
    </w:p>
    <w:p w14:paraId="3DFC8886">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b/>
          <w:sz w:val="32"/>
          <w:szCs w:val="32"/>
        </w:rPr>
        <w:t>2.</w:t>
      </w:r>
      <w:r>
        <w:rPr>
          <w:rFonts w:hint="eastAsia" w:ascii="仿宋_GB2312" w:hAnsi="仿宋" w:eastAsia="仿宋_GB2312"/>
          <w:b/>
          <w:color w:val="auto"/>
          <w:sz w:val="32"/>
          <w:szCs w:val="32"/>
        </w:rPr>
        <w:t>社会保障和就业支出（类）行政事业单位养老支出（款）机关事业单位职业年金缴费支出（项）</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年预算</w:t>
      </w:r>
      <w:r>
        <w:rPr>
          <w:rFonts w:hint="eastAsia" w:ascii="仿宋_GB2312" w:hAnsi="TimesNewRoman" w:eastAsia="仿宋_GB2312" w:cs="TimesNewRoman"/>
          <w:sz w:val="32"/>
          <w:szCs w:val="32"/>
          <w:lang w:val="en-US" w:eastAsia="zh-CN"/>
        </w:rPr>
        <w:t>35.83</w:t>
      </w:r>
      <w:r>
        <w:rPr>
          <w:rFonts w:hint="eastAsia" w:ascii="仿宋_GB2312" w:hAnsi="TimesNewRoman" w:eastAsia="仿宋_GB2312" w:cs="TimesNewRoman"/>
          <w:sz w:val="32"/>
          <w:szCs w:val="32"/>
        </w:rPr>
        <w:t>万元，比</w:t>
      </w:r>
      <w:r>
        <w:rPr>
          <w:rFonts w:hint="eastAsia" w:ascii="仿宋_GB2312" w:hAnsi="TimesNewRoman" w:eastAsia="仿宋_GB2312" w:cs="TimesNewRoman"/>
          <w:sz w:val="32"/>
          <w:szCs w:val="32"/>
          <w:lang w:eastAsia="zh-CN"/>
        </w:rPr>
        <w:t>2025年</w:t>
      </w:r>
      <w:r>
        <w:rPr>
          <w:rFonts w:hint="eastAsia" w:ascii="仿宋_GB2312" w:hAnsi="TimesNewRoman" w:eastAsia="仿宋_GB2312" w:cs="TimesNewRoman"/>
          <w:sz w:val="32"/>
          <w:szCs w:val="32"/>
        </w:rPr>
        <w:t>预算</w:t>
      </w:r>
      <w:r>
        <w:rPr>
          <w:rFonts w:hint="eastAsia" w:ascii="仿宋_GB2312" w:hAnsi="TimesNewRoman" w:eastAsia="仿宋_GB2312" w:cs="TimesNewRoman"/>
          <w:sz w:val="32"/>
          <w:szCs w:val="32"/>
          <w:lang w:val="en-US" w:eastAsia="zh-CN"/>
        </w:rPr>
        <w:t>增加2.26</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增长6.73</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增加原因主要是职工的工资正常增长。</w:t>
      </w:r>
    </w:p>
    <w:p w14:paraId="0D1B1728">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b/>
          <w:sz w:val="32"/>
          <w:szCs w:val="32"/>
        </w:rPr>
        <w:t>3.</w:t>
      </w:r>
      <w:r>
        <w:rPr>
          <w:rFonts w:hint="eastAsia" w:ascii="仿宋" w:hAnsi="仿宋" w:eastAsia="仿宋"/>
          <w:b/>
          <w:color w:val="auto"/>
          <w:szCs w:val="32"/>
        </w:rPr>
        <w:t xml:space="preserve"> </w:t>
      </w:r>
      <w:r>
        <w:rPr>
          <w:rFonts w:hint="eastAsia" w:ascii="仿宋_GB2312" w:hAnsi="仿宋" w:eastAsia="仿宋_GB2312"/>
          <w:b/>
          <w:color w:val="auto"/>
          <w:sz w:val="32"/>
          <w:szCs w:val="32"/>
        </w:rPr>
        <w:t>社会保障和就业支出（类）其他社会保障和就业支出（款）其他社会保障和就业支出（项）</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年预算</w:t>
      </w:r>
      <w:r>
        <w:rPr>
          <w:rFonts w:hint="eastAsia" w:ascii="仿宋_GB2312" w:hAnsi="TimesNewRoman" w:eastAsia="仿宋_GB2312" w:cs="TimesNewRoman"/>
          <w:sz w:val="32"/>
          <w:szCs w:val="32"/>
          <w:lang w:val="en-US" w:eastAsia="zh-CN"/>
        </w:rPr>
        <w:t>2.45</w:t>
      </w:r>
      <w:r>
        <w:rPr>
          <w:rFonts w:hint="eastAsia" w:ascii="仿宋_GB2312" w:hAnsi="TimesNewRoman" w:eastAsia="仿宋_GB2312" w:cs="TimesNewRoman"/>
          <w:sz w:val="32"/>
          <w:szCs w:val="32"/>
        </w:rPr>
        <w:t>万元，比</w:t>
      </w:r>
      <w:r>
        <w:rPr>
          <w:rFonts w:hint="eastAsia" w:ascii="仿宋_GB2312" w:hAnsi="TimesNewRoman" w:eastAsia="仿宋_GB2312" w:cs="TimesNewRoman"/>
          <w:sz w:val="32"/>
          <w:szCs w:val="32"/>
          <w:lang w:eastAsia="zh-CN"/>
        </w:rPr>
        <w:t>2025年</w:t>
      </w:r>
      <w:r>
        <w:rPr>
          <w:rFonts w:hint="eastAsia" w:ascii="仿宋_GB2312" w:hAnsi="TimesNewRoman" w:eastAsia="仿宋_GB2312" w:cs="TimesNewRoman"/>
          <w:sz w:val="32"/>
          <w:szCs w:val="32"/>
        </w:rPr>
        <w:t>预算</w:t>
      </w:r>
      <w:r>
        <w:rPr>
          <w:rFonts w:hint="eastAsia" w:ascii="仿宋_GB2312" w:hAnsi="TimesNewRoman" w:eastAsia="仿宋_GB2312" w:cs="TimesNewRoman"/>
          <w:sz w:val="32"/>
          <w:szCs w:val="32"/>
          <w:lang w:val="en-US" w:eastAsia="zh-CN"/>
        </w:rPr>
        <w:t>增加0.21</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增长9.37</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增加原因主要是职工的工资正常增长。</w:t>
      </w:r>
    </w:p>
    <w:p w14:paraId="2DB52E04">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lang w:val="en-US" w:eastAsia="zh-CN"/>
        </w:rPr>
        <w:t>4.</w:t>
      </w:r>
      <w:r>
        <w:rPr>
          <w:rFonts w:hint="eastAsia" w:ascii="仿宋_GB2312" w:hAnsi="华文仿宋" w:eastAsia="仿宋_GB2312"/>
          <w:b/>
          <w:bCs/>
          <w:color w:val="auto"/>
          <w:sz w:val="32"/>
          <w:szCs w:val="32"/>
        </w:rPr>
        <w:t>卫生健康支出（类）行政事业单位医疗（款）</w:t>
      </w:r>
      <w:r>
        <w:rPr>
          <w:rFonts w:hint="eastAsia" w:ascii="仿宋_GB2312" w:hAnsi="华文仿宋" w:eastAsia="仿宋_GB2312"/>
          <w:b/>
          <w:bCs/>
          <w:color w:val="auto"/>
          <w:sz w:val="32"/>
          <w:szCs w:val="32"/>
          <w:lang w:val="en-US" w:eastAsia="zh-CN"/>
        </w:rPr>
        <w:t>事业</w:t>
      </w:r>
      <w:r>
        <w:rPr>
          <w:rFonts w:hint="eastAsia" w:ascii="仿宋_GB2312" w:hAnsi="华文仿宋" w:eastAsia="仿宋_GB2312"/>
          <w:b/>
          <w:bCs/>
          <w:color w:val="auto"/>
          <w:sz w:val="32"/>
          <w:szCs w:val="32"/>
        </w:rPr>
        <w:t>单位医疗</w:t>
      </w:r>
      <w:r>
        <w:rPr>
          <w:rFonts w:hint="eastAsia" w:ascii="仿宋_GB2312" w:hAnsi="仿宋" w:eastAsia="仿宋_GB2312"/>
          <w:b/>
          <w:color w:val="auto"/>
          <w:sz w:val="32"/>
          <w:szCs w:val="32"/>
        </w:rPr>
        <w:t>（项）</w:t>
      </w:r>
      <w:r>
        <w:rPr>
          <w:rFonts w:hint="eastAsia" w:ascii="仿宋" w:hAnsi="仿宋" w:eastAsia="仿宋"/>
          <w:color w:val="auto"/>
          <w:sz w:val="32"/>
          <w:szCs w:val="32"/>
          <w:lang w:eastAsia="zh-CN"/>
        </w:rPr>
        <w:t>2026</w:t>
      </w:r>
      <w:r>
        <w:rPr>
          <w:rFonts w:hint="eastAsia" w:ascii="仿宋" w:hAnsi="仿宋" w:eastAsia="仿宋"/>
          <w:color w:val="auto"/>
          <w:sz w:val="32"/>
          <w:szCs w:val="32"/>
        </w:rPr>
        <w:t>年预算</w:t>
      </w:r>
      <w:r>
        <w:rPr>
          <w:rFonts w:hint="eastAsia" w:ascii="仿宋" w:hAnsi="仿宋" w:eastAsia="仿宋"/>
          <w:color w:val="auto"/>
          <w:sz w:val="32"/>
          <w:szCs w:val="32"/>
          <w:lang w:val="en-US" w:eastAsia="zh-CN"/>
        </w:rPr>
        <w:t>24.19</w:t>
      </w:r>
      <w:r>
        <w:rPr>
          <w:rFonts w:hint="eastAsia" w:ascii="仿宋" w:hAnsi="仿宋" w:eastAsia="仿宋"/>
          <w:color w:val="auto"/>
          <w:sz w:val="32"/>
          <w:szCs w:val="32"/>
        </w:rPr>
        <w:t>万元，比</w:t>
      </w:r>
      <w:r>
        <w:rPr>
          <w:rFonts w:hint="eastAsia" w:ascii="仿宋" w:hAnsi="仿宋" w:eastAsia="仿宋"/>
          <w:color w:val="auto"/>
          <w:sz w:val="32"/>
          <w:szCs w:val="32"/>
          <w:lang w:eastAsia="zh-CN"/>
        </w:rPr>
        <w:t>2025年</w:t>
      </w:r>
      <w:r>
        <w:rPr>
          <w:rFonts w:hint="eastAsia" w:ascii="仿宋" w:hAnsi="仿宋" w:eastAsia="仿宋"/>
          <w:color w:val="auto"/>
          <w:sz w:val="32"/>
          <w:szCs w:val="32"/>
        </w:rPr>
        <w:t>预算</w:t>
      </w:r>
      <w:r>
        <w:rPr>
          <w:rFonts w:hint="eastAsia" w:ascii="仿宋_GB2312" w:hAnsi="TimesNewRoman" w:eastAsia="仿宋_GB2312" w:cs="TimesNewRoman"/>
          <w:sz w:val="32"/>
          <w:szCs w:val="32"/>
          <w:lang w:val="en-US" w:eastAsia="zh-CN"/>
        </w:rPr>
        <w:t>增加2.07</w:t>
      </w:r>
      <w:r>
        <w:rPr>
          <w:rFonts w:hint="eastAsia" w:ascii="仿宋" w:hAnsi="仿宋" w:eastAsia="仿宋"/>
          <w:color w:val="auto"/>
          <w:sz w:val="32"/>
          <w:szCs w:val="32"/>
        </w:rPr>
        <w:t>万元，</w:t>
      </w:r>
      <w:r>
        <w:rPr>
          <w:rFonts w:hint="eastAsia" w:ascii="仿宋_GB2312" w:hAnsi="TimesNewRoman" w:eastAsia="仿宋_GB2312" w:cs="TimesNewRoman"/>
          <w:sz w:val="32"/>
          <w:szCs w:val="32"/>
          <w:lang w:val="en-US" w:eastAsia="zh-CN"/>
        </w:rPr>
        <w:t>增长9.36</w:t>
      </w:r>
      <w:r>
        <w:rPr>
          <w:rFonts w:hint="eastAsia" w:ascii="仿宋" w:hAnsi="仿宋" w:eastAsia="仿宋"/>
          <w:color w:val="auto"/>
          <w:sz w:val="32"/>
          <w:szCs w:val="32"/>
        </w:rPr>
        <w:t>%，</w:t>
      </w:r>
      <w:r>
        <w:rPr>
          <w:rFonts w:hint="eastAsia" w:ascii="仿宋_GB2312" w:hAnsi="TimesNewRoman" w:eastAsia="仿宋_GB2312" w:cs="TimesNewRoman"/>
          <w:sz w:val="32"/>
          <w:szCs w:val="32"/>
          <w:lang w:val="en-US" w:eastAsia="zh-CN"/>
        </w:rPr>
        <w:t>增加原因主要是职工的工资正常增长。</w:t>
      </w:r>
    </w:p>
    <w:p w14:paraId="4A977509">
      <w:pPr>
        <w:adjustRightInd w:val="0"/>
        <w:snapToGrid w:val="0"/>
        <w:spacing w:line="600" w:lineRule="exact"/>
        <w:ind w:firstLine="640" w:firstLineChars="200"/>
        <w:rPr>
          <w:rFonts w:hint="eastAsia" w:ascii="仿宋_GB2312" w:hAnsi="TimesNewRoman" w:eastAsia="仿宋_GB2312" w:cs="TimesNewRoman"/>
          <w:color w:val="auto"/>
          <w:sz w:val="32"/>
          <w:szCs w:val="32"/>
          <w:lang w:eastAsia="zh-CN"/>
        </w:rPr>
      </w:pPr>
      <w:r>
        <w:rPr>
          <w:rFonts w:hint="eastAsia" w:ascii="仿宋" w:hAnsi="仿宋" w:eastAsia="仿宋"/>
          <w:color w:val="auto"/>
          <w:sz w:val="32"/>
          <w:szCs w:val="32"/>
          <w:lang w:val="en-US" w:eastAsia="zh-CN"/>
        </w:rPr>
        <w:t>5.</w:t>
      </w:r>
      <w:r>
        <w:rPr>
          <w:rFonts w:hint="eastAsia" w:ascii="仿宋_GB2312" w:hAnsi="华文仿宋" w:eastAsia="仿宋_GB2312"/>
          <w:b/>
          <w:bCs/>
          <w:color w:val="auto"/>
          <w:sz w:val="32"/>
          <w:szCs w:val="32"/>
        </w:rPr>
        <w:t>农林水支出（类）农业农村（款）</w:t>
      </w:r>
      <w:r>
        <w:rPr>
          <w:rFonts w:hint="eastAsia" w:ascii="仿宋_GB2312" w:hAnsi="华文仿宋" w:eastAsia="仿宋_GB2312"/>
          <w:b/>
          <w:bCs/>
          <w:color w:val="auto"/>
          <w:sz w:val="32"/>
          <w:szCs w:val="32"/>
          <w:lang w:val="en-US" w:eastAsia="zh-CN"/>
        </w:rPr>
        <w:t>事业</w:t>
      </w:r>
      <w:r>
        <w:rPr>
          <w:rFonts w:hint="eastAsia" w:ascii="仿宋_GB2312" w:hAnsi="华文仿宋" w:eastAsia="仿宋_GB2312"/>
          <w:b/>
          <w:bCs/>
          <w:color w:val="auto"/>
          <w:sz w:val="32"/>
          <w:szCs w:val="32"/>
        </w:rPr>
        <w:t>运行（项）</w:t>
      </w:r>
      <w:r>
        <w:rPr>
          <w:rFonts w:hint="eastAsia" w:ascii="仿宋" w:hAnsi="仿宋" w:eastAsia="仿宋"/>
          <w:color w:val="auto"/>
          <w:sz w:val="32"/>
          <w:szCs w:val="32"/>
          <w:lang w:eastAsia="zh-CN"/>
        </w:rPr>
        <w:t>2026</w:t>
      </w:r>
      <w:r>
        <w:rPr>
          <w:rFonts w:hint="eastAsia" w:ascii="仿宋" w:hAnsi="仿宋" w:eastAsia="仿宋"/>
          <w:color w:val="auto"/>
          <w:sz w:val="32"/>
          <w:szCs w:val="32"/>
        </w:rPr>
        <w:t>年预算</w:t>
      </w:r>
      <w:r>
        <w:rPr>
          <w:rFonts w:hint="eastAsia" w:ascii="仿宋" w:hAnsi="仿宋" w:eastAsia="仿宋"/>
          <w:color w:val="auto"/>
          <w:sz w:val="32"/>
          <w:szCs w:val="32"/>
          <w:lang w:val="en-US" w:eastAsia="zh-CN"/>
        </w:rPr>
        <w:t>621.16</w:t>
      </w:r>
      <w:r>
        <w:rPr>
          <w:rFonts w:hint="eastAsia" w:ascii="仿宋" w:hAnsi="仿宋" w:eastAsia="仿宋"/>
          <w:color w:val="auto"/>
          <w:sz w:val="32"/>
          <w:szCs w:val="32"/>
        </w:rPr>
        <w:t>万元，比</w:t>
      </w:r>
      <w:r>
        <w:rPr>
          <w:rFonts w:hint="eastAsia" w:ascii="仿宋" w:hAnsi="仿宋" w:eastAsia="仿宋"/>
          <w:color w:val="auto"/>
          <w:sz w:val="32"/>
          <w:szCs w:val="32"/>
          <w:lang w:eastAsia="zh-CN"/>
        </w:rPr>
        <w:t>2025年</w:t>
      </w:r>
      <w:r>
        <w:rPr>
          <w:rFonts w:hint="eastAsia" w:ascii="仿宋" w:hAnsi="仿宋" w:eastAsia="仿宋"/>
          <w:color w:val="auto"/>
          <w:sz w:val="32"/>
          <w:szCs w:val="32"/>
        </w:rPr>
        <w:t>预算</w:t>
      </w:r>
      <w:r>
        <w:rPr>
          <w:rFonts w:hint="eastAsia" w:ascii="仿宋" w:hAnsi="仿宋" w:eastAsia="仿宋"/>
          <w:color w:val="auto"/>
          <w:sz w:val="32"/>
          <w:szCs w:val="32"/>
          <w:lang w:val="en-US" w:eastAsia="zh-CN"/>
        </w:rPr>
        <w:t>增加26.08</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增长4.38</w:t>
      </w:r>
      <w:r>
        <w:rPr>
          <w:rFonts w:hint="eastAsia" w:ascii="仿宋" w:hAnsi="仿宋" w:eastAsia="仿宋"/>
          <w:color w:val="auto"/>
          <w:sz w:val="32"/>
          <w:szCs w:val="32"/>
        </w:rPr>
        <w:t>%，</w:t>
      </w:r>
      <w:r>
        <w:rPr>
          <w:rFonts w:hint="eastAsia" w:ascii="仿宋" w:hAnsi="仿宋" w:eastAsia="仿宋"/>
          <w:color w:val="auto"/>
          <w:sz w:val="32"/>
          <w:szCs w:val="32"/>
          <w:lang w:eastAsia="zh-CN"/>
        </w:rPr>
        <w:t>增加原因主要是职工的工资正常增长。</w:t>
      </w:r>
    </w:p>
    <w:p w14:paraId="5B4902D5">
      <w:pPr>
        <w:adjustRightInd w:val="0"/>
        <w:snapToGrid w:val="0"/>
        <w:spacing w:line="600" w:lineRule="exact"/>
        <w:ind w:firstLine="640" w:firstLineChars="200"/>
        <w:rPr>
          <w:rFonts w:hint="eastAsia" w:ascii="仿宋_GB2312" w:hAnsi="TimesNewRoman" w:eastAsia="仿宋_GB2312" w:cs="TimesNewRoman"/>
          <w:color w:val="auto"/>
          <w:sz w:val="32"/>
          <w:szCs w:val="32"/>
          <w:lang w:val="en-US" w:eastAsia="zh-CN"/>
        </w:rPr>
      </w:pPr>
      <w:r>
        <w:rPr>
          <w:rFonts w:hint="eastAsia" w:ascii="仿宋_GB2312" w:hAnsi="TimesNewRoman" w:eastAsia="仿宋_GB2312" w:cs="TimesNewRoman"/>
          <w:color w:val="auto"/>
          <w:sz w:val="32"/>
          <w:szCs w:val="32"/>
          <w:lang w:val="en-US" w:eastAsia="zh-CN"/>
        </w:rPr>
        <w:t>6.</w:t>
      </w:r>
      <w:r>
        <w:rPr>
          <w:rFonts w:hint="eastAsia" w:ascii="仿宋_GB2312" w:hAnsi="华文仿宋" w:eastAsia="仿宋_GB2312"/>
          <w:b/>
          <w:bCs/>
          <w:color w:val="auto"/>
          <w:sz w:val="32"/>
          <w:szCs w:val="32"/>
        </w:rPr>
        <w:t>农林水支出（类）农业农村（款）</w:t>
      </w:r>
      <w:r>
        <w:rPr>
          <w:rFonts w:hint="eastAsia" w:ascii="仿宋_GB2312" w:hAnsi="华文仿宋" w:eastAsia="仿宋_GB2312"/>
          <w:b/>
          <w:bCs/>
          <w:color w:val="auto"/>
          <w:sz w:val="32"/>
          <w:szCs w:val="32"/>
          <w:lang w:val="en-US" w:eastAsia="zh-CN"/>
        </w:rPr>
        <w:t>科技转化与推广服务</w:t>
      </w:r>
      <w:r>
        <w:rPr>
          <w:rFonts w:hint="eastAsia" w:ascii="仿宋_GB2312" w:hAnsi="华文仿宋" w:eastAsia="仿宋_GB2312"/>
          <w:b/>
          <w:bCs/>
          <w:color w:val="auto"/>
          <w:sz w:val="32"/>
          <w:szCs w:val="32"/>
        </w:rPr>
        <w:t>（项）</w:t>
      </w:r>
      <w:r>
        <w:rPr>
          <w:rFonts w:hint="eastAsia" w:ascii="仿宋" w:hAnsi="仿宋" w:eastAsia="仿宋"/>
          <w:color w:val="auto"/>
          <w:sz w:val="32"/>
          <w:szCs w:val="32"/>
          <w:lang w:eastAsia="zh-CN"/>
        </w:rPr>
        <w:t>2026</w:t>
      </w:r>
      <w:r>
        <w:rPr>
          <w:rFonts w:hint="eastAsia" w:ascii="仿宋" w:hAnsi="仿宋" w:eastAsia="仿宋"/>
          <w:color w:val="auto"/>
          <w:sz w:val="32"/>
          <w:szCs w:val="32"/>
        </w:rPr>
        <w:t>年预算</w:t>
      </w:r>
      <w:r>
        <w:rPr>
          <w:rFonts w:hint="eastAsia" w:ascii="仿宋" w:hAnsi="仿宋" w:eastAsia="仿宋"/>
          <w:color w:val="auto"/>
          <w:sz w:val="32"/>
          <w:szCs w:val="32"/>
          <w:lang w:val="en-US" w:eastAsia="zh-CN"/>
        </w:rPr>
        <w:t>71</w:t>
      </w:r>
      <w:r>
        <w:rPr>
          <w:rFonts w:hint="eastAsia" w:ascii="仿宋" w:hAnsi="仿宋" w:eastAsia="仿宋"/>
          <w:color w:val="auto"/>
          <w:sz w:val="32"/>
          <w:szCs w:val="32"/>
        </w:rPr>
        <w:t>万元，比</w:t>
      </w:r>
      <w:r>
        <w:rPr>
          <w:rFonts w:hint="eastAsia" w:ascii="仿宋" w:hAnsi="仿宋" w:eastAsia="仿宋"/>
          <w:color w:val="auto"/>
          <w:sz w:val="32"/>
          <w:szCs w:val="32"/>
          <w:lang w:eastAsia="zh-CN"/>
        </w:rPr>
        <w:t>2025年</w:t>
      </w:r>
      <w:r>
        <w:rPr>
          <w:rFonts w:hint="eastAsia" w:ascii="仿宋" w:hAnsi="仿宋" w:eastAsia="仿宋"/>
          <w:color w:val="auto"/>
          <w:sz w:val="32"/>
          <w:szCs w:val="32"/>
        </w:rPr>
        <w:t>预算</w:t>
      </w:r>
      <w:r>
        <w:rPr>
          <w:rFonts w:hint="eastAsia" w:ascii="仿宋_GB2312" w:hAnsi="TimesNewRoman" w:eastAsia="仿宋_GB2312" w:cs="TimesNewRoman"/>
          <w:sz w:val="32"/>
          <w:szCs w:val="32"/>
          <w:lang w:val="en-US" w:eastAsia="zh-CN"/>
        </w:rPr>
        <w:t>减少6.7</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减少8.62%，减少</w:t>
      </w:r>
      <w:r>
        <w:rPr>
          <w:rFonts w:hint="eastAsia" w:ascii="仿宋" w:hAnsi="仿宋" w:eastAsia="仿宋"/>
          <w:color w:val="auto"/>
          <w:sz w:val="32"/>
          <w:szCs w:val="32"/>
        </w:rPr>
        <w:t>原因主要是</w:t>
      </w:r>
      <w:r>
        <w:rPr>
          <w:rFonts w:hint="eastAsia" w:ascii="仿宋" w:hAnsi="仿宋" w:eastAsia="仿宋"/>
          <w:color w:val="auto"/>
          <w:sz w:val="32"/>
          <w:szCs w:val="32"/>
          <w:lang w:val="en-US" w:eastAsia="zh-CN"/>
        </w:rPr>
        <w:t>节约经费支出</w:t>
      </w:r>
      <w:r>
        <w:rPr>
          <w:rFonts w:hint="eastAsia" w:ascii="仿宋_GB2312" w:hAnsi="TimesNewRoman" w:eastAsia="仿宋_GB2312" w:cs="TimesNewRoman"/>
          <w:color w:val="auto"/>
          <w:sz w:val="32"/>
          <w:szCs w:val="32"/>
          <w:lang w:eastAsia="zh-CN"/>
        </w:rPr>
        <w:t>。</w:t>
      </w:r>
    </w:p>
    <w:p w14:paraId="4B78D383">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lang w:val="en-US" w:eastAsia="zh-CN"/>
        </w:rPr>
        <w:t>7</w:t>
      </w:r>
      <w:r>
        <w:rPr>
          <w:rFonts w:hint="eastAsia" w:ascii="仿宋_GB2312" w:hAnsi="TimesNewRoman" w:eastAsia="仿宋_GB2312" w:cs="TimesNewRoman"/>
          <w:b/>
          <w:sz w:val="32"/>
          <w:szCs w:val="32"/>
        </w:rPr>
        <w:t>.住房保障支出（类）住房改革支出（款）住房公积金（项）</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年预算</w:t>
      </w:r>
      <w:r>
        <w:rPr>
          <w:rFonts w:hint="eastAsia" w:ascii="仿宋_GB2312" w:hAnsi="TimesNewRoman" w:eastAsia="仿宋_GB2312" w:cs="TimesNewRoman"/>
          <w:sz w:val="32"/>
          <w:szCs w:val="32"/>
          <w:lang w:val="en-US" w:eastAsia="zh-CN"/>
        </w:rPr>
        <w:t>56.33</w:t>
      </w:r>
      <w:r>
        <w:rPr>
          <w:rFonts w:hint="eastAsia" w:ascii="仿宋_GB2312" w:hAnsi="TimesNewRoman" w:eastAsia="仿宋_GB2312" w:cs="TimesNewRoman"/>
          <w:sz w:val="32"/>
          <w:szCs w:val="32"/>
        </w:rPr>
        <w:t>万元，比</w:t>
      </w:r>
      <w:r>
        <w:rPr>
          <w:rFonts w:hint="eastAsia" w:ascii="仿宋_GB2312" w:hAnsi="TimesNewRoman" w:eastAsia="仿宋_GB2312" w:cs="TimesNewRoman"/>
          <w:sz w:val="32"/>
          <w:szCs w:val="32"/>
          <w:lang w:eastAsia="zh-CN"/>
        </w:rPr>
        <w:t>2025年</w:t>
      </w:r>
      <w:r>
        <w:rPr>
          <w:rFonts w:hint="eastAsia" w:ascii="仿宋_GB2312" w:hAnsi="TimesNewRoman" w:eastAsia="仿宋_GB2312" w:cs="TimesNewRoman"/>
          <w:sz w:val="32"/>
          <w:szCs w:val="32"/>
        </w:rPr>
        <w:t>预算</w:t>
      </w:r>
      <w:r>
        <w:rPr>
          <w:rFonts w:hint="eastAsia" w:ascii="仿宋_GB2312" w:hAnsi="TimesNewRoman" w:eastAsia="仿宋_GB2312" w:cs="TimesNewRoman"/>
          <w:sz w:val="32"/>
          <w:szCs w:val="32"/>
          <w:lang w:val="en-US" w:eastAsia="zh-CN"/>
        </w:rPr>
        <w:t>增加5.97</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增长11.85</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增加原因主要是职工的工资正常增长。</w:t>
      </w:r>
    </w:p>
    <w:p w14:paraId="4E09C51C">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六、关于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年一般公共预算基本支出表的说明</w:t>
      </w:r>
    </w:p>
    <w:p w14:paraId="1735AFEF">
      <w:pPr>
        <w:topLinePunct/>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农业技术推广中心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年一般公共预算基本支出</w:t>
      </w:r>
      <w:r>
        <w:rPr>
          <w:rFonts w:hint="eastAsia" w:ascii="仿宋_GB2312" w:hAnsi="TimesNewRoman" w:eastAsia="仿宋_GB2312" w:cs="TimesNewRoman"/>
          <w:sz w:val="32"/>
          <w:szCs w:val="32"/>
          <w:lang w:val="en-US" w:eastAsia="zh-CN"/>
        </w:rPr>
        <w:t>851.43</w:t>
      </w:r>
      <w:r>
        <w:rPr>
          <w:rFonts w:hint="eastAsia" w:ascii="仿宋_GB2312" w:hAnsi="TimesNewRoman" w:eastAsia="仿宋_GB2312" w:cs="TimesNewRoman"/>
          <w:sz w:val="32"/>
          <w:szCs w:val="32"/>
        </w:rPr>
        <w:t>万元，其中，人员经费</w:t>
      </w:r>
      <w:r>
        <w:rPr>
          <w:rFonts w:hint="eastAsia" w:ascii="仿宋_GB2312" w:hAnsi="TimesNewRoman" w:eastAsia="仿宋_GB2312" w:cs="TimesNewRoman"/>
          <w:sz w:val="32"/>
          <w:szCs w:val="32"/>
          <w:lang w:val="en-US" w:eastAsia="zh-CN"/>
        </w:rPr>
        <w:t>827.35</w:t>
      </w:r>
      <w:r>
        <w:rPr>
          <w:rFonts w:hint="eastAsia" w:ascii="仿宋_GB2312" w:hAnsi="TimesNewRoman" w:eastAsia="仿宋_GB2312" w:cs="TimesNewRoman"/>
          <w:sz w:val="32"/>
          <w:szCs w:val="32"/>
        </w:rPr>
        <w:t>万元，公用经费</w:t>
      </w:r>
      <w:r>
        <w:rPr>
          <w:rFonts w:hint="eastAsia" w:ascii="仿宋_GB2312" w:hAnsi="TimesNewRoman" w:eastAsia="仿宋_GB2312" w:cs="TimesNewRoman"/>
          <w:sz w:val="32"/>
          <w:szCs w:val="32"/>
          <w:lang w:val="en-US" w:eastAsia="zh-CN"/>
        </w:rPr>
        <w:t>24.08</w:t>
      </w:r>
      <w:r>
        <w:rPr>
          <w:rFonts w:hint="eastAsia" w:ascii="仿宋_GB2312" w:hAnsi="TimesNewRoman" w:eastAsia="仿宋_GB2312" w:cs="TimesNewRoman"/>
          <w:sz w:val="32"/>
          <w:szCs w:val="32"/>
        </w:rPr>
        <w:t>万元。</w:t>
      </w:r>
    </w:p>
    <w:p w14:paraId="0AE42122">
      <w:pPr>
        <w:topLinePunct/>
        <w:spacing w:line="580" w:lineRule="exact"/>
        <w:ind w:firstLine="640" w:firstLineChars="200"/>
        <w:rPr>
          <w:rFonts w:hint="eastAsia" w:ascii="仿宋_GB2312" w:hAnsi="TimesNewRoman" w:eastAsia="仿宋_GB2312" w:cs="TimesNewRoman"/>
          <w:sz w:val="32"/>
          <w:szCs w:val="32"/>
          <w:u w:val="none"/>
        </w:rPr>
      </w:pPr>
      <w:r>
        <w:rPr>
          <w:rFonts w:hint="eastAsia" w:ascii="仿宋_GB2312" w:hAnsi="TimesNewRoman" w:eastAsia="仿宋_GB2312" w:cs="TimesNewRoman"/>
          <w:sz w:val="32"/>
          <w:szCs w:val="32"/>
        </w:rPr>
        <w:t>（一）人员经费</w:t>
      </w:r>
      <w:r>
        <w:rPr>
          <w:rFonts w:hint="eastAsia" w:ascii="仿宋_GB2312" w:hAnsi="TimesNewRoman" w:eastAsia="仿宋_GB2312" w:cs="TimesNewRoman"/>
          <w:sz w:val="32"/>
          <w:szCs w:val="32"/>
          <w:lang w:val="en-US" w:eastAsia="zh-CN"/>
        </w:rPr>
        <w:t>827.35</w:t>
      </w:r>
      <w:r>
        <w:rPr>
          <w:rFonts w:hint="eastAsia" w:ascii="仿宋_GB2312" w:hAnsi="TimesNewRoman" w:eastAsia="仿宋_GB2312" w:cs="TimesNewRoman"/>
          <w:sz w:val="32"/>
          <w:szCs w:val="32"/>
        </w:rPr>
        <w:t>万元，主要包括:</w:t>
      </w:r>
      <w:r>
        <w:rPr>
          <w:rFonts w:hint="eastAsia" w:ascii="仿宋_GB2312" w:hAnsi="TimesNewRoman" w:eastAsia="仿宋_GB2312" w:cs="TimesNewRoman"/>
          <w:sz w:val="32"/>
          <w:szCs w:val="32"/>
          <w:u w:val="none"/>
        </w:rPr>
        <w:t>基本工资、津贴补贴、奖金、绩效工资、机关事业单位基本养老保险费、职业年金缴费、职工基本医疗保险缴费、其他社会保障缴费、住房公积金、其他工资福利支出、离休费、退休费、生活补助、其他</w:t>
      </w:r>
      <w:r>
        <w:rPr>
          <w:rFonts w:hint="eastAsia" w:ascii="仿宋_GB2312" w:hAnsi="TimesNewRoman" w:eastAsia="仿宋_GB2312" w:cs="TimesNewRoman"/>
          <w:sz w:val="32"/>
          <w:szCs w:val="32"/>
          <w:u w:val="none"/>
          <w:lang w:eastAsia="zh-CN"/>
        </w:rPr>
        <w:t>对</w:t>
      </w:r>
      <w:r>
        <w:rPr>
          <w:rFonts w:hint="eastAsia" w:ascii="仿宋_GB2312" w:hAnsi="TimesNewRoman" w:eastAsia="仿宋_GB2312" w:cs="TimesNewRoman"/>
          <w:sz w:val="32"/>
          <w:szCs w:val="32"/>
          <w:u w:val="none"/>
        </w:rPr>
        <w:t>个人和家庭的补助支出。</w:t>
      </w:r>
    </w:p>
    <w:p w14:paraId="34881BA9">
      <w:pPr>
        <w:topLinePunct/>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（二）公用经费</w:t>
      </w:r>
      <w:r>
        <w:rPr>
          <w:rFonts w:hint="eastAsia" w:ascii="仿宋_GB2312" w:hAnsi="TimesNewRoman" w:eastAsia="仿宋_GB2312" w:cs="TimesNewRoman"/>
          <w:sz w:val="32"/>
          <w:szCs w:val="32"/>
          <w:lang w:val="en-US" w:eastAsia="zh-CN"/>
        </w:rPr>
        <w:t>24.08</w:t>
      </w:r>
      <w:r>
        <w:rPr>
          <w:rFonts w:hint="eastAsia" w:ascii="仿宋_GB2312" w:hAnsi="TimesNewRoman" w:eastAsia="仿宋_GB2312" w:cs="TimesNewRoman"/>
          <w:sz w:val="32"/>
          <w:szCs w:val="32"/>
        </w:rPr>
        <w:t>万元，主要包括：办公费、水费、电费、邮电费、取暖费、物业管理费、差旅费、公务接待费、工会经费、福利费、公务用车运行维护费、其他交通费用</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其他商品服务支出</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办公设备购置。</w:t>
      </w:r>
    </w:p>
    <w:p w14:paraId="4DC6437D">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七、关于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年政府性基金预算支出表的说明</w:t>
      </w:r>
    </w:p>
    <w:p w14:paraId="442CE506">
      <w:pPr>
        <w:pStyle w:val="3"/>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农业技术推广中心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年没有政府性基金预算拨款收入，也没有使用政府性基金预算拨款安排的支出。</w:t>
      </w:r>
    </w:p>
    <w:p w14:paraId="404197F7">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八、关于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年国有资本经营预算支出表的说明</w:t>
      </w:r>
    </w:p>
    <w:p w14:paraId="019F09D2">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农业技术推广中心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年没有国有资本经营预算拨款收入，也没有使用国有资本经营预算拨款安排的支出。</w:t>
      </w:r>
    </w:p>
    <w:p w14:paraId="3D71693F">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九、关于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年项目支出表的说明</w:t>
      </w:r>
    </w:p>
    <w:p w14:paraId="29DC275D">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农业技术推广中心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年预算共安排项目支出</w:t>
      </w:r>
      <w:r>
        <w:rPr>
          <w:rFonts w:hint="eastAsia" w:ascii="仿宋_GB2312" w:hAnsi="TimesNewRoman" w:eastAsia="仿宋_GB2312" w:cs="TimesNewRoman"/>
          <w:sz w:val="32"/>
          <w:szCs w:val="32"/>
          <w:lang w:val="en-US" w:eastAsia="zh-CN"/>
        </w:rPr>
        <w:t>71</w:t>
      </w:r>
      <w:r>
        <w:rPr>
          <w:rFonts w:hint="eastAsia" w:ascii="仿宋_GB2312" w:hAnsi="TimesNewRoman" w:eastAsia="仿宋_GB2312" w:cs="TimesNewRoman"/>
          <w:sz w:val="32"/>
          <w:szCs w:val="32"/>
        </w:rPr>
        <w:t>万元，比</w:t>
      </w:r>
      <w:r>
        <w:rPr>
          <w:rFonts w:hint="eastAsia" w:ascii="仿宋_GB2312" w:hAnsi="TimesNewRoman" w:eastAsia="仿宋_GB2312" w:cs="TimesNewRoman"/>
          <w:sz w:val="32"/>
          <w:szCs w:val="32"/>
          <w:lang w:eastAsia="zh-CN"/>
        </w:rPr>
        <w:t>2025年</w:t>
      </w:r>
      <w:r>
        <w:rPr>
          <w:rFonts w:hint="eastAsia" w:ascii="仿宋_GB2312" w:hAnsi="TimesNewRoman" w:eastAsia="仿宋_GB2312" w:cs="TimesNewRoman"/>
          <w:sz w:val="32"/>
          <w:szCs w:val="32"/>
        </w:rPr>
        <w:t>预算减少6.7万元，减少8.62%，减少原因主要是节约经费支出。主要包括：本年财政拨款安排</w:t>
      </w:r>
      <w:r>
        <w:rPr>
          <w:rFonts w:hint="eastAsia" w:ascii="仿宋_GB2312" w:hAnsi="TimesNewRoman" w:eastAsia="仿宋_GB2312" w:cs="TimesNewRoman"/>
          <w:sz w:val="32"/>
          <w:szCs w:val="32"/>
          <w:lang w:val="en-US" w:eastAsia="zh-CN"/>
        </w:rPr>
        <w:t>71</w:t>
      </w:r>
      <w:r>
        <w:rPr>
          <w:rFonts w:hint="eastAsia" w:ascii="仿宋_GB2312" w:hAnsi="TimesNewRoman" w:eastAsia="仿宋_GB2312" w:cs="TimesNewRoman"/>
          <w:sz w:val="32"/>
          <w:szCs w:val="32"/>
        </w:rPr>
        <w:t>万元，全部为一般公共预算拨款安排</w:t>
      </w:r>
      <w:r>
        <w:rPr>
          <w:rFonts w:hint="eastAsia" w:ascii="仿宋_GB2312" w:hAnsi="TimesNewRoman" w:eastAsia="仿宋_GB2312" w:cs="TimesNewRoman"/>
          <w:sz w:val="32"/>
          <w:szCs w:val="32"/>
          <w:lang w:val="en-US" w:eastAsia="zh-CN"/>
        </w:rPr>
        <w:t>71</w:t>
      </w:r>
      <w:r>
        <w:rPr>
          <w:rFonts w:hint="eastAsia" w:ascii="仿宋_GB2312" w:hAnsi="TimesNewRoman" w:eastAsia="仿宋_GB2312" w:cs="TimesNewRoman"/>
          <w:sz w:val="32"/>
          <w:szCs w:val="32"/>
        </w:rPr>
        <w:t>万元，财政拨款上年结转安排 0万元。</w:t>
      </w:r>
    </w:p>
    <w:p w14:paraId="53E64A29">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年政府采购支出表的说明</w:t>
      </w:r>
    </w:p>
    <w:p w14:paraId="188DF648">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农业技术推广中心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年预算安排政府采购支出</w:t>
      </w:r>
      <w:r>
        <w:rPr>
          <w:rFonts w:hint="eastAsia" w:ascii="仿宋_GB2312" w:hAnsi="TimesNewRoman" w:eastAsia="仿宋_GB2312" w:cs="TimesNewRoman"/>
          <w:sz w:val="32"/>
          <w:szCs w:val="32"/>
          <w:lang w:val="en-US" w:eastAsia="zh-CN"/>
        </w:rPr>
        <w:t>4.5</w:t>
      </w:r>
      <w:r>
        <w:rPr>
          <w:rFonts w:hint="eastAsia" w:ascii="仿宋_GB2312" w:hAnsi="TimesNewRoman" w:eastAsia="仿宋_GB2312" w:cs="TimesNewRoman"/>
          <w:sz w:val="32"/>
          <w:szCs w:val="32"/>
        </w:rPr>
        <w:t>万元，比</w:t>
      </w:r>
      <w:r>
        <w:rPr>
          <w:rFonts w:hint="eastAsia" w:ascii="仿宋_GB2312" w:hAnsi="TimesNewRoman" w:eastAsia="仿宋_GB2312" w:cs="TimesNewRoman"/>
          <w:sz w:val="32"/>
          <w:szCs w:val="32"/>
          <w:lang w:eastAsia="zh-CN"/>
        </w:rPr>
        <w:t>2025年</w:t>
      </w:r>
      <w:r>
        <w:rPr>
          <w:rFonts w:hint="eastAsia" w:ascii="仿宋_GB2312" w:hAnsi="TimesNewRoman" w:eastAsia="仿宋_GB2312" w:cs="TimesNewRoman"/>
          <w:sz w:val="32"/>
          <w:szCs w:val="32"/>
        </w:rPr>
        <w:t>预算</w:t>
      </w:r>
      <w:r>
        <w:rPr>
          <w:rFonts w:hint="eastAsia" w:ascii="仿宋_GB2312" w:hAnsi="TimesNewRoman" w:eastAsia="仿宋_GB2312" w:cs="TimesNewRoman"/>
          <w:sz w:val="32"/>
          <w:szCs w:val="32"/>
          <w:lang w:val="en-US" w:eastAsia="zh-CN"/>
        </w:rPr>
        <w:t>增加2.9</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增长181.25</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增长</w:t>
      </w:r>
      <w:r>
        <w:rPr>
          <w:rFonts w:hint="eastAsia" w:ascii="仿宋_GB2312" w:hAnsi="TimesNewRoman" w:eastAsia="仿宋_GB2312" w:cs="TimesNewRoman"/>
          <w:sz w:val="32"/>
          <w:szCs w:val="32"/>
        </w:rPr>
        <w:t>原因主要是</w:t>
      </w:r>
      <w:r>
        <w:rPr>
          <w:rFonts w:hint="eastAsia" w:ascii="仿宋_GB2312" w:hAnsi="TimesNewRoman" w:eastAsia="仿宋_GB2312" w:cs="TimesNewRoman"/>
          <w:sz w:val="32"/>
          <w:szCs w:val="32"/>
          <w:lang w:val="en-US" w:eastAsia="zh-CN"/>
        </w:rPr>
        <w:t>人员变动，需要新购电脑打印机等</w:t>
      </w:r>
      <w:r>
        <w:rPr>
          <w:rFonts w:hint="eastAsia" w:ascii="仿宋_GB2312" w:hAnsi="TimesNewRoman" w:eastAsia="仿宋_GB2312" w:cs="TimesNewRoman"/>
          <w:sz w:val="32"/>
          <w:szCs w:val="32"/>
        </w:rPr>
        <w:t>。其中，一般公共预算安排</w:t>
      </w:r>
      <w:r>
        <w:rPr>
          <w:rFonts w:hint="eastAsia" w:ascii="仿宋_GB2312" w:hAnsi="TimesNewRoman" w:eastAsia="仿宋_GB2312" w:cs="TimesNewRoman"/>
          <w:sz w:val="32"/>
          <w:szCs w:val="32"/>
          <w:lang w:val="en-US" w:eastAsia="zh-CN"/>
        </w:rPr>
        <w:t>4.5</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100</w:t>
      </w:r>
      <w:r>
        <w:rPr>
          <w:rFonts w:hint="eastAsia" w:ascii="仿宋_GB2312" w:hAnsi="TimesNewRoman" w:eastAsia="仿宋_GB2312" w:cs="TimesNewRoman"/>
          <w:sz w:val="32"/>
          <w:szCs w:val="32"/>
        </w:rPr>
        <w:t>%。</w:t>
      </w:r>
    </w:p>
    <w:p w14:paraId="1A65A0CC">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十一、关于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年政府购买服务支出表的说明</w:t>
      </w:r>
    </w:p>
    <w:p w14:paraId="43AFCE4C">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农业技术推广中心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年没有安排政府购买服务支出。</w:t>
      </w:r>
    </w:p>
    <w:p w14:paraId="11E74925">
      <w:pPr>
        <w:pStyle w:val="3"/>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十二、</w:t>
      </w:r>
      <w:r>
        <w:rPr>
          <w:rFonts w:hint="eastAsia" w:ascii="楷体_GB2312" w:hAnsi="TimesNewRoman" w:eastAsia="楷体_GB2312" w:cs="TimesNewRoman"/>
          <w:b/>
          <w:sz w:val="32"/>
          <w:szCs w:val="32"/>
          <w:lang w:eastAsia="zh-CN"/>
        </w:rPr>
        <w:t>关于2026</w:t>
      </w:r>
      <w:r>
        <w:rPr>
          <w:rFonts w:ascii="楷体_GB2312" w:hAnsi="TimesNewRoman" w:eastAsia="楷体_GB2312" w:cs="TimesNewRoman"/>
          <w:b/>
          <w:sz w:val="32"/>
          <w:szCs w:val="32"/>
        </w:rPr>
        <w:t>年一般公共预算“三公”经费支出情况说明</w:t>
      </w:r>
    </w:p>
    <w:p w14:paraId="21B41D7F">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kern w:val="0"/>
          <w:sz w:val="32"/>
          <w:szCs w:val="32"/>
        </w:rPr>
      </w:pPr>
      <w:r>
        <w:rPr>
          <w:rFonts w:hint="eastAsia" w:ascii="仿宋_GB2312" w:hAnsi="TimesNewRoman" w:eastAsia="仿宋_GB2312" w:cs="TimesNewRoman"/>
          <w:kern w:val="0"/>
          <w:sz w:val="32"/>
          <w:szCs w:val="32"/>
        </w:rPr>
        <w:t>寿县</w:t>
      </w:r>
      <w:r>
        <w:rPr>
          <w:rFonts w:hint="eastAsia" w:ascii="仿宋_GB2312" w:hAnsi="TimesNewRoman" w:eastAsia="仿宋_GB2312" w:cs="TimesNewRoman"/>
          <w:kern w:val="0"/>
          <w:sz w:val="32"/>
          <w:szCs w:val="32"/>
          <w:lang w:val="en-US" w:eastAsia="zh-CN"/>
        </w:rPr>
        <w:t>农业技术推广中心</w:t>
      </w:r>
      <w:r>
        <w:rPr>
          <w:rFonts w:hint="eastAsia" w:ascii="仿宋_GB2312" w:hAnsi="TimesNewRoman" w:eastAsia="仿宋_GB2312" w:cs="TimesNewRoman"/>
          <w:kern w:val="0"/>
          <w:sz w:val="32"/>
          <w:szCs w:val="32"/>
          <w:lang w:eastAsia="zh-CN"/>
        </w:rPr>
        <w:t>2026</w:t>
      </w:r>
      <w:r>
        <w:rPr>
          <w:rFonts w:hint="eastAsia" w:ascii="仿宋_GB2312" w:hAnsi="TimesNewRoman" w:eastAsia="仿宋_GB2312" w:cs="TimesNewRoman"/>
          <w:kern w:val="0"/>
          <w:sz w:val="32"/>
          <w:szCs w:val="32"/>
        </w:rPr>
        <w:t>年一般公共预算“三公”经费支出预算为</w:t>
      </w:r>
      <w:r>
        <w:rPr>
          <w:rFonts w:hint="eastAsia" w:ascii="仿宋_GB2312" w:hAnsi="TimesNewRoman" w:eastAsia="仿宋_GB2312" w:cs="TimesNewRoman"/>
          <w:kern w:val="0"/>
          <w:sz w:val="32"/>
          <w:szCs w:val="32"/>
          <w:lang w:val="en-US" w:eastAsia="zh-CN"/>
        </w:rPr>
        <w:t>9</w:t>
      </w:r>
      <w:r>
        <w:rPr>
          <w:rFonts w:hint="eastAsia" w:ascii="仿宋_GB2312" w:hAnsi="TimesNewRoman" w:eastAsia="仿宋_GB2312" w:cs="TimesNewRoman"/>
          <w:kern w:val="0"/>
          <w:sz w:val="32"/>
          <w:szCs w:val="32"/>
        </w:rPr>
        <w:t>万元，</w:t>
      </w:r>
      <w:r>
        <w:rPr>
          <w:rFonts w:hint="eastAsia" w:ascii="仿宋_GB2312" w:hAnsi="TimesNewRoman" w:eastAsia="仿宋_GB2312" w:cs="TimesNewRoman"/>
          <w:kern w:val="0"/>
          <w:sz w:val="32"/>
          <w:szCs w:val="32"/>
          <w:lang w:val="en-US" w:eastAsia="zh-CN"/>
        </w:rPr>
        <w:t>比</w:t>
      </w:r>
      <w:r>
        <w:rPr>
          <w:rFonts w:hint="eastAsia" w:ascii="仿宋_GB2312" w:hAnsi="TimesNewRoman" w:eastAsia="仿宋_GB2312" w:cs="TimesNewRoman"/>
          <w:kern w:val="0"/>
          <w:sz w:val="32"/>
          <w:szCs w:val="32"/>
          <w:lang w:eastAsia="zh-CN"/>
        </w:rPr>
        <w:t>2025年</w:t>
      </w:r>
      <w:r>
        <w:rPr>
          <w:rFonts w:hint="eastAsia" w:ascii="仿宋_GB2312" w:hAnsi="TimesNewRoman" w:eastAsia="仿宋_GB2312" w:cs="TimesNewRoman"/>
          <w:kern w:val="0"/>
          <w:sz w:val="32"/>
          <w:szCs w:val="32"/>
        </w:rPr>
        <w:t>预算</w:t>
      </w:r>
      <w:r>
        <w:rPr>
          <w:rFonts w:hint="eastAsia" w:ascii="仿宋_GB2312" w:hAnsi="TimesNewRoman" w:eastAsia="仿宋_GB2312" w:cs="TimesNewRoman"/>
          <w:kern w:val="0"/>
          <w:sz w:val="32"/>
          <w:szCs w:val="32"/>
          <w:lang w:val="en-US" w:eastAsia="zh-CN"/>
        </w:rPr>
        <w:t>减少1万元，减少10.00%</w:t>
      </w:r>
      <w:r>
        <w:rPr>
          <w:rFonts w:hint="eastAsia" w:ascii="仿宋_GB2312" w:hAnsi="TimesNewRoman" w:eastAsia="仿宋_GB2312" w:cs="TimesNewRoman"/>
          <w:kern w:val="0"/>
          <w:sz w:val="32"/>
          <w:szCs w:val="32"/>
          <w:lang w:eastAsia="zh-CN"/>
        </w:rPr>
        <w:t>。</w:t>
      </w:r>
      <w:r>
        <w:rPr>
          <w:rFonts w:hint="eastAsia" w:ascii="仿宋_GB2312" w:hAnsi="TimesNewRoman" w:eastAsia="仿宋_GB2312" w:cs="TimesNewRoman"/>
          <w:kern w:val="0"/>
          <w:sz w:val="32"/>
          <w:szCs w:val="32"/>
        </w:rPr>
        <w:t>其中：因公出国（境）费支出预算为0万元，公务接待费支出预算为</w:t>
      </w:r>
      <w:r>
        <w:rPr>
          <w:rFonts w:hint="eastAsia" w:ascii="仿宋_GB2312" w:hAnsi="TimesNewRoman" w:eastAsia="仿宋_GB2312" w:cs="TimesNewRoman"/>
          <w:kern w:val="0"/>
          <w:sz w:val="32"/>
          <w:szCs w:val="32"/>
          <w:lang w:val="en-US" w:eastAsia="zh-CN"/>
        </w:rPr>
        <w:t>2</w:t>
      </w:r>
      <w:r>
        <w:rPr>
          <w:rFonts w:hint="eastAsia" w:ascii="仿宋_GB2312" w:hAnsi="TimesNewRoman" w:eastAsia="仿宋_GB2312" w:cs="TimesNewRoman"/>
          <w:kern w:val="0"/>
          <w:sz w:val="32"/>
          <w:szCs w:val="32"/>
        </w:rPr>
        <w:t>万元，公务用车购置及运行费支出预算为</w:t>
      </w:r>
      <w:r>
        <w:rPr>
          <w:rFonts w:hint="eastAsia" w:ascii="仿宋_GB2312" w:hAnsi="TimesNewRoman" w:eastAsia="仿宋_GB2312" w:cs="TimesNewRoman"/>
          <w:kern w:val="0"/>
          <w:sz w:val="32"/>
          <w:szCs w:val="32"/>
          <w:lang w:val="en-US" w:eastAsia="zh-CN"/>
        </w:rPr>
        <w:t>7</w:t>
      </w:r>
      <w:r>
        <w:rPr>
          <w:rFonts w:hint="eastAsia" w:ascii="仿宋_GB2312" w:hAnsi="TimesNewRoman" w:eastAsia="仿宋_GB2312" w:cs="TimesNewRoman"/>
          <w:kern w:val="0"/>
          <w:sz w:val="32"/>
          <w:szCs w:val="32"/>
        </w:rPr>
        <w:t>万元。具体情况如下：</w:t>
      </w:r>
    </w:p>
    <w:p w14:paraId="733E6116">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kern w:val="0"/>
          <w:sz w:val="32"/>
          <w:szCs w:val="32"/>
        </w:rPr>
      </w:pPr>
      <w:r>
        <w:rPr>
          <w:rFonts w:hint="eastAsia" w:ascii="仿宋_GB2312" w:hAnsi="TimesNewRoman" w:eastAsia="仿宋_GB2312" w:cs="TimesNewRoman"/>
          <w:kern w:val="0"/>
          <w:sz w:val="32"/>
          <w:szCs w:val="32"/>
        </w:rPr>
        <w:t>（一）因公出国（境）费支出预算0万元。</w:t>
      </w:r>
    </w:p>
    <w:p w14:paraId="234426D6">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kern w:val="0"/>
          <w:sz w:val="32"/>
          <w:szCs w:val="32"/>
        </w:rPr>
      </w:pPr>
      <w:r>
        <w:rPr>
          <w:rFonts w:hint="eastAsia" w:ascii="仿宋_GB2312" w:hAnsi="TimesNewRoman" w:eastAsia="仿宋_GB2312" w:cs="TimesNewRoman"/>
          <w:kern w:val="0"/>
          <w:sz w:val="32"/>
          <w:szCs w:val="32"/>
        </w:rPr>
        <w:t>（二）公务用车购置及运行费支出预算</w:t>
      </w:r>
      <w:r>
        <w:rPr>
          <w:rFonts w:hint="eastAsia" w:ascii="仿宋_GB2312" w:hAnsi="TimesNewRoman" w:eastAsia="仿宋_GB2312" w:cs="TimesNewRoman"/>
          <w:kern w:val="0"/>
          <w:sz w:val="32"/>
          <w:szCs w:val="32"/>
          <w:lang w:val="en-US" w:eastAsia="zh-CN"/>
        </w:rPr>
        <w:t>7</w:t>
      </w:r>
      <w:r>
        <w:rPr>
          <w:rFonts w:hint="eastAsia" w:ascii="仿宋_GB2312" w:hAnsi="TimesNewRoman" w:eastAsia="仿宋_GB2312" w:cs="TimesNewRoman"/>
          <w:kern w:val="0"/>
          <w:sz w:val="32"/>
          <w:szCs w:val="32"/>
        </w:rPr>
        <w:t>万元，比</w:t>
      </w:r>
      <w:r>
        <w:rPr>
          <w:rFonts w:hint="eastAsia" w:ascii="仿宋_GB2312" w:hAnsi="TimesNewRoman" w:eastAsia="仿宋_GB2312" w:cs="TimesNewRoman"/>
          <w:kern w:val="0"/>
          <w:sz w:val="32"/>
          <w:szCs w:val="32"/>
          <w:lang w:eastAsia="zh-CN"/>
        </w:rPr>
        <w:t>2025年</w:t>
      </w:r>
      <w:r>
        <w:rPr>
          <w:rFonts w:hint="eastAsia" w:ascii="仿宋_GB2312" w:hAnsi="TimesNewRoman" w:eastAsia="仿宋_GB2312" w:cs="TimesNewRoman"/>
          <w:kern w:val="0"/>
          <w:sz w:val="32"/>
          <w:szCs w:val="32"/>
        </w:rPr>
        <w:t>预算减少</w:t>
      </w:r>
      <w:r>
        <w:rPr>
          <w:rFonts w:hint="eastAsia" w:ascii="仿宋_GB2312" w:hAnsi="TimesNewRoman" w:eastAsia="仿宋_GB2312" w:cs="TimesNewRoman"/>
          <w:kern w:val="0"/>
          <w:sz w:val="32"/>
          <w:szCs w:val="32"/>
          <w:lang w:val="en-US" w:eastAsia="zh-CN"/>
        </w:rPr>
        <w:t>0</w:t>
      </w:r>
      <w:r>
        <w:rPr>
          <w:rFonts w:hint="eastAsia" w:ascii="仿宋_GB2312" w:hAnsi="TimesNewRoman" w:eastAsia="仿宋_GB2312" w:cs="TimesNewRoman"/>
          <w:kern w:val="0"/>
          <w:sz w:val="32"/>
          <w:szCs w:val="32"/>
        </w:rPr>
        <w:t>万元，下降</w:t>
      </w:r>
      <w:r>
        <w:rPr>
          <w:rFonts w:hint="eastAsia" w:ascii="仿宋_GB2312" w:hAnsi="TimesNewRoman" w:eastAsia="仿宋_GB2312" w:cs="TimesNewRoman"/>
          <w:kern w:val="0"/>
          <w:sz w:val="32"/>
          <w:szCs w:val="32"/>
          <w:lang w:val="en-US" w:eastAsia="zh-CN"/>
        </w:rPr>
        <w:t>0</w:t>
      </w:r>
      <w:r>
        <w:rPr>
          <w:rFonts w:hint="eastAsia" w:ascii="仿宋_GB2312" w:hAnsi="TimesNewRoman" w:eastAsia="仿宋_GB2312" w:cs="TimesNewRoman"/>
          <w:kern w:val="0"/>
          <w:sz w:val="32"/>
          <w:szCs w:val="32"/>
        </w:rPr>
        <w:t>%。其中：公务用车运行费</w:t>
      </w:r>
      <w:r>
        <w:rPr>
          <w:rFonts w:hint="eastAsia" w:ascii="仿宋_GB2312" w:hAnsi="TimesNewRoman" w:eastAsia="仿宋_GB2312" w:cs="TimesNewRoman"/>
          <w:kern w:val="0"/>
          <w:sz w:val="32"/>
          <w:szCs w:val="32"/>
          <w:lang w:val="en-US" w:eastAsia="zh-CN"/>
        </w:rPr>
        <w:t>7</w:t>
      </w:r>
      <w:r>
        <w:rPr>
          <w:rFonts w:hint="eastAsia" w:ascii="仿宋_GB2312" w:hAnsi="TimesNewRoman" w:eastAsia="仿宋_GB2312" w:cs="TimesNewRoman"/>
          <w:kern w:val="0"/>
          <w:sz w:val="32"/>
          <w:szCs w:val="32"/>
        </w:rPr>
        <w:t>万元，</w:t>
      </w:r>
      <w:r>
        <w:rPr>
          <w:rFonts w:hint="eastAsia" w:ascii="仿宋_GB2312" w:hAnsi="TimesNewRoman" w:eastAsia="仿宋_GB2312" w:cs="TimesNewRoman"/>
          <w:kern w:val="0"/>
          <w:sz w:val="32"/>
          <w:szCs w:val="32"/>
          <w:lang w:val="en-US" w:eastAsia="zh-CN"/>
        </w:rPr>
        <w:t>与</w:t>
      </w:r>
      <w:r>
        <w:rPr>
          <w:rFonts w:hint="eastAsia" w:ascii="仿宋_GB2312" w:hAnsi="TimesNewRoman" w:eastAsia="仿宋_GB2312" w:cs="TimesNewRoman"/>
          <w:kern w:val="0"/>
          <w:sz w:val="32"/>
          <w:szCs w:val="32"/>
          <w:lang w:eastAsia="zh-CN"/>
        </w:rPr>
        <w:t>2025年</w:t>
      </w:r>
      <w:r>
        <w:rPr>
          <w:rFonts w:hint="eastAsia" w:ascii="仿宋_GB2312" w:hAnsi="TimesNewRoman" w:eastAsia="仿宋_GB2312" w:cs="TimesNewRoman"/>
          <w:kern w:val="0"/>
          <w:sz w:val="32"/>
          <w:szCs w:val="32"/>
        </w:rPr>
        <w:t>预算</w:t>
      </w:r>
      <w:r>
        <w:rPr>
          <w:rFonts w:hint="eastAsia" w:ascii="仿宋_GB2312" w:hAnsi="TimesNewRoman" w:eastAsia="仿宋_GB2312" w:cs="TimesNewRoman"/>
          <w:kern w:val="0"/>
          <w:sz w:val="32"/>
          <w:szCs w:val="32"/>
          <w:lang w:val="en-US" w:eastAsia="zh-CN"/>
        </w:rPr>
        <w:t>持平。</w:t>
      </w:r>
      <w:r>
        <w:rPr>
          <w:rFonts w:hint="eastAsia" w:ascii="仿宋_GB2312" w:hAnsi="TimesNewRoman" w:eastAsia="仿宋_GB2312" w:cs="TimesNewRoman"/>
          <w:kern w:val="0"/>
          <w:sz w:val="32"/>
          <w:szCs w:val="32"/>
        </w:rPr>
        <w:t>原因主要是严格按照《寿县公务用车使用管理暂行办法》（寿车改办〔2016〕7号）、《寿县财政局转发安徽省财政厅关于印发安徽省党政机关执法执勤用车管理办法的通知》（寿财行〔2024〕1号）规定加强车辆管理，减少支出；该项经费主要用于车辆燃料费、维修费、过路过桥费、保险费等支出。公务用车购置费0万元，和上年一样，均未安排公务用车购置预算支出。</w:t>
      </w:r>
    </w:p>
    <w:p w14:paraId="6375020B">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kern w:val="0"/>
          <w:sz w:val="32"/>
          <w:szCs w:val="32"/>
        </w:rPr>
      </w:pPr>
      <w:r>
        <w:rPr>
          <w:rFonts w:hint="eastAsia" w:ascii="仿宋_GB2312" w:hAnsi="TimesNewRoman" w:eastAsia="仿宋_GB2312" w:cs="TimesNewRoman"/>
          <w:kern w:val="0"/>
          <w:sz w:val="32"/>
          <w:szCs w:val="32"/>
        </w:rPr>
        <w:t>（三）公务接待费支出预算</w:t>
      </w:r>
      <w:r>
        <w:rPr>
          <w:rFonts w:hint="eastAsia" w:ascii="仿宋_GB2312" w:hAnsi="TimesNewRoman" w:eastAsia="仿宋_GB2312" w:cs="TimesNewRoman"/>
          <w:kern w:val="0"/>
          <w:sz w:val="32"/>
          <w:szCs w:val="32"/>
          <w:lang w:val="en-US" w:eastAsia="zh-CN"/>
        </w:rPr>
        <w:t>2</w:t>
      </w:r>
      <w:r>
        <w:rPr>
          <w:rFonts w:hint="eastAsia" w:ascii="仿宋_GB2312" w:hAnsi="TimesNewRoman" w:eastAsia="仿宋_GB2312" w:cs="TimesNewRoman"/>
          <w:kern w:val="0"/>
          <w:sz w:val="32"/>
          <w:szCs w:val="32"/>
        </w:rPr>
        <w:t>万元，比</w:t>
      </w:r>
      <w:bookmarkStart w:id="0" w:name="_GoBack"/>
      <w:bookmarkEnd w:id="0"/>
      <w:r>
        <w:rPr>
          <w:rFonts w:hint="eastAsia" w:ascii="仿宋_GB2312" w:hAnsi="TimesNewRoman" w:eastAsia="仿宋_GB2312" w:cs="TimesNewRoman"/>
          <w:kern w:val="0"/>
          <w:sz w:val="32"/>
          <w:szCs w:val="32"/>
          <w:lang w:eastAsia="zh-CN"/>
        </w:rPr>
        <w:t>2025年</w:t>
      </w:r>
      <w:r>
        <w:rPr>
          <w:rFonts w:hint="eastAsia" w:ascii="仿宋_GB2312" w:hAnsi="TimesNewRoman" w:eastAsia="仿宋_GB2312" w:cs="TimesNewRoman"/>
          <w:kern w:val="0"/>
          <w:sz w:val="32"/>
          <w:szCs w:val="32"/>
        </w:rPr>
        <w:t>预算减少</w:t>
      </w:r>
      <w:r>
        <w:rPr>
          <w:rFonts w:hint="eastAsia" w:ascii="仿宋_GB2312" w:hAnsi="TimesNewRoman" w:eastAsia="仿宋_GB2312" w:cs="TimesNewRoman"/>
          <w:kern w:val="0"/>
          <w:sz w:val="32"/>
          <w:szCs w:val="32"/>
          <w:lang w:val="en-US" w:eastAsia="zh-CN"/>
        </w:rPr>
        <w:t>1</w:t>
      </w:r>
      <w:r>
        <w:rPr>
          <w:rFonts w:hint="eastAsia" w:ascii="仿宋_GB2312" w:hAnsi="TimesNewRoman" w:eastAsia="仿宋_GB2312" w:cs="TimesNewRoman"/>
          <w:kern w:val="0"/>
          <w:sz w:val="32"/>
          <w:szCs w:val="32"/>
        </w:rPr>
        <w:t>万元，下降</w:t>
      </w:r>
      <w:r>
        <w:rPr>
          <w:rFonts w:hint="eastAsia" w:ascii="仿宋_GB2312" w:hAnsi="TimesNewRoman" w:eastAsia="仿宋_GB2312" w:cs="TimesNewRoman"/>
          <w:kern w:val="0"/>
          <w:sz w:val="32"/>
          <w:szCs w:val="32"/>
          <w:lang w:val="en-US" w:eastAsia="zh-CN"/>
        </w:rPr>
        <w:t>1</w:t>
      </w:r>
      <w:r>
        <w:rPr>
          <w:rFonts w:hint="eastAsia" w:ascii="仿宋_GB2312" w:hAnsi="TimesNewRoman" w:eastAsia="仿宋_GB2312" w:cs="TimesNewRoman"/>
          <w:kern w:val="0"/>
          <w:sz w:val="32"/>
          <w:szCs w:val="32"/>
        </w:rPr>
        <w:t>0</w:t>
      </w:r>
      <w:r>
        <w:rPr>
          <w:rFonts w:hint="eastAsia" w:ascii="仿宋_GB2312" w:hAnsi="TimesNewRoman" w:eastAsia="仿宋_GB2312" w:cs="TimesNewRoman"/>
          <w:kern w:val="0"/>
          <w:sz w:val="32"/>
          <w:szCs w:val="32"/>
          <w:lang w:val="en-US" w:eastAsia="zh-CN"/>
        </w:rPr>
        <w:t>.00</w:t>
      </w:r>
      <w:r>
        <w:rPr>
          <w:rFonts w:hint="eastAsia" w:ascii="仿宋_GB2312" w:hAnsi="TimesNewRoman" w:eastAsia="仿宋_GB2312" w:cs="TimesNewRoman"/>
          <w:kern w:val="0"/>
          <w:sz w:val="32"/>
          <w:szCs w:val="32"/>
        </w:rPr>
        <w:t>%。原因主要是根据单位实际支出情况安排。该项经费主要用于接待上级及兄弟县区相关单位业务指导和工作调研等公务往来支出。经费使用严格执行《党政机关厉行节约反对浪费条例》（中发〔2013〕13号）和《寿县党政机关公务接待管理规定》（寿办发〔2015〕2号）规定。</w:t>
      </w:r>
    </w:p>
    <w:p w14:paraId="6F50634B">
      <w:pPr>
        <w:pStyle w:val="3"/>
        <w:topLinePunct/>
        <w:adjustRightInd w:val="0"/>
        <w:snapToGrid w:val="0"/>
        <w:spacing w:beforeAutospacing="0" w:afterAutospacing="0" w:line="56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十三、其他重要事项情况说明</w:t>
      </w:r>
    </w:p>
    <w:p w14:paraId="0494C4AB">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（一）项目及绩效目标情况。</w:t>
      </w:r>
    </w:p>
    <w:p w14:paraId="4131EC16">
      <w:pPr>
        <w:topLinePunct/>
        <w:adjustRightInd w:val="0"/>
        <w:snapToGrid w:val="0"/>
        <w:spacing w:line="58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1.“</w:t>
      </w:r>
      <w:r>
        <w:rPr>
          <w:rFonts w:hint="eastAsia" w:ascii="仿宋_GB2312" w:hAnsi="TimesNewRoman" w:eastAsia="仿宋_GB2312" w:cs="TimesNewRoman"/>
          <w:b/>
          <w:sz w:val="32"/>
          <w:szCs w:val="32"/>
          <w:lang w:val="en-US" w:eastAsia="zh-CN"/>
        </w:rPr>
        <w:t>寿县农业技术推广工作</w:t>
      </w:r>
      <w:r>
        <w:rPr>
          <w:rFonts w:hint="eastAsia" w:ascii="仿宋_GB2312" w:hAnsi="TimesNewRoman" w:eastAsia="仿宋_GB2312" w:cs="TimesNewRoman"/>
          <w:b/>
          <w:sz w:val="32"/>
          <w:szCs w:val="32"/>
        </w:rPr>
        <w:t>”项目。</w:t>
      </w:r>
    </w:p>
    <w:p w14:paraId="490D39DA">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1）项目概述和内容。完成小麦一喷三防、水稻机插秧、冬闲田扩种油菜、水稻病虫害统防统治、玉米大豆带状复合种植、秸秆综合利用、秋种等重点工作和重大农业项目的技术服务工作，每年开展苗情监测、土壤墒情监测、病虫情监测、农产品质量安全检测、农业生态保护、植物检疫、田间鉴定、农作物测产预产、农民培训等基础性工作，实施各种新品种、新技术试验示范二十多项。</w:t>
      </w:r>
    </w:p>
    <w:p w14:paraId="392502B5">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（2）立项依据。《中华人民共和国农业技术推广法》《科技强农机械强农促进农民增收行动方案（2022—</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w:t>
      </w:r>
    </w:p>
    <w:p w14:paraId="048CF37D">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（3）实施主体和起止时间。寿县农业技术推广中心，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年1月1日-12月31日</w:t>
      </w:r>
    </w:p>
    <w:p w14:paraId="4B16C0A8">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（4）年度预算安排。</w:t>
      </w:r>
      <w:r>
        <w:rPr>
          <w:rFonts w:hint="eastAsia" w:ascii="仿宋_GB2312" w:hAnsi="TimesNewRoman" w:eastAsia="仿宋_GB2312" w:cs="TimesNewRoman"/>
          <w:sz w:val="32"/>
          <w:szCs w:val="32"/>
          <w:lang w:val="en-US" w:eastAsia="zh-CN"/>
        </w:rPr>
        <w:t>71</w:t>
      </w:r>
      <w:r>
        <w:rPr>
          <w:rFonts w:hint="eastAsia" w:ascii="仿宋_GB2312" w:hAnsi="TimesNewRoman" w:eastAsia="仿宋_GB2312" w:cs="TimesNewRoman"/>
          <w:sz w:val="32"/>
          <w:szCs w:val="32"/>
        </w:rPr>
        <w:t>万元。</w:t>
      </w:r>
    </w:p>
    <w:p w14:paraId="1411E78F">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5）绩效目标。完成小麦一喷三防、水稻机插秧、冬闲田扩种油菜、水稻病虫害统防统治、玉米大豆带状复合种植、秸秆综合利用、秋种等重点工作和重大农业项目的技术服务工作，开展苗情监测、土壤墒情监测、病虫情监测、农产品质量安全检测、农业生态保护、植物检疫、田间鉴定、农作物测产预产、农民培训等基础性工作，实施各种新品种、新技术试验示范二十多项。</w:t>
      </w:r>
    </w:p>
    <w:p w14:paraId="5E7DC358">
      <w:pPr>
        <w:topLinePunct/>
        <w:adjustRightInd w:val="0"/>
        <w:snapToGrid w:val="0"/>
        <w:spacing w:line="580" w:lineRule="exact"/>
        <w:ind w:firstLine="640" w:firstLineChars="200"/>
        <w:rPr>
          <w:rFonts w:hint="eastAsia" w:ascii="仿宋_GB2312" w:hAnsi="TimesNewRoman" w:eastAsia="仿宋_GB2312" w:cs="TimesNewRoman"/>
          <w:sz w:val="32"/>
          <w:szCs w:val="32"/>
        </w:rPr>
      </w:pPr>
    </w:p>
    <w:p w14:paraId="5C40D22E">
      <w:pPr>
        <w:topLinePunct/>
        <w:adjustRightInd w:val="0"/>
        <w:snapToGrid w:val="0"/>
        <w:spacing w:line="580" w:lineRule="exact"/>
        <w:ind w:firstLine="640" w:firstLineChars="200"/>
        <w:rPr>
          <w:rFonts w:hint="eastAsia" w:ascii="仿宋_GB2312" w:hAnsi="TimesNewRoman" w:eastAsia="仿宋_GB2312" w:cs="TimesNewRoman"/>
          <w:sz w:val="32"/>
          <w:szCs w:val="32"/>
        </w:rPr>
      </w:pPr>
    </w:p>
    <w:p w14:paraId="6E59F400">
      <w:pPr>
        <w:topLinePunct/>
        <w:adjustRightInd w:val="0"/>
        <w:snapToGrid w:val="0"/>
        <w:spacing w:line="580" w:lineRule="exact"/>
        <w:ind w:firstLine="640" w:firstLineChars="200"/>
        <w:rPr>
          <w:rFonts w:hint="eastAsia" w:ascii="仿宋_GB2312" w:hAnsi="TimesNewRoman" w:eastAsia="仿宋_GB2312" w:cs="TimesNewRoman"/>
          <w:sz w:val="32"/>
          <w:szCs w:val="32"/>
        </w:rPr>
      </w:pPr>
    </w:p>
    <w:p w14:paraId="26FB8015">
      <w:pPr>
        <w:topLinePunct/>
        <w:adjustRightInd w:val="0"/>
        <w:snapToGrid w:val="0"/>
        <w:spacing w:line="580" w:lineRule="exact"/>
        <w:ind w:firstLine="640" w:firstLineChars="200"/>
        <w:rPr>
          <w:rFonts w:hint="eastAsia" w:ascii="仿宋_GB2312" w:hAnsi="TimesNewRoman" w:eastAsia="仿宋_GB2312" w:cs="TimesNewRoman"/>
          <w:sz w:val="32"/>
          <w:szCs w:val="32"/>
        </w:rPr>
      </w:pPr>
    </w:p>
    <w:p w14:paraId="2D654E21">
      <w:pPr>
        <w:topLinePunct/>
        <w:adjustRightInd w:val="0"/>
        <w:snapToGrid w:val="0"/>
        <w:spacing w:line="580" w:lineRule="exact"/>
        <w:ind w:firstLine="640" w:firstLineChars="200"/>
        <w:rPr>
          <w:rFonts w:hint="eastAsia" w:ascii="仿宋_GB2312" w:hAnsi="TimesNewRoman" w:eastAsia="仿宋_GB2312" w:cs="TimesNewRoman"/>
          <w:sz w:val="32"/>
          <w:szCs w:val="32"/>
        </w:rPr>
      </w:pPr>
    </w:p>
    <w:p w14:paraId="1871A914">
      <w:pPr>
        <w:topLinePunct/>
        <w:adjustRightInd w:val="0"/>
        <w:snapToGrid w:val="0"/>
        <w:spacing w:line="580" w:lineRule="exact"/>
        <w:ind w:firstLine="640" w:firstLineChars="200"/>
        <w:rPr>
          <w:rFonts w:hint="eastAsia" w:ascii="仿宋_GB2312" w:hAnsi="TimesNewRoman" w:eastAsia="仿宋_GB2312" w:cs="TimesNewRoman"/>
          <w:sz w:val="32"/>
          <w:szCs w:val="32"/>
        </w:rPr>
      </w:pPr>
    </w:p>
    <w:p w14:paraId="37A6D273">
      <w:pPr>
        <w:topLinePunct/>
        <w:adjustRightInd w:val="0"/>
        <w:snapToGrid w:val="0"/>
        <w:spacing w:line="580" w:lineRule="exact"/>
        <w:ind w:firstLine="640" w:firstLineChars="200"/>
        <w:rPr>
          <w:rFonts w:hint="eastAsia" w:ascii="仿宋_GB2312" w:hAnsi="TimesNewRoman" w:eastAsia="仿宋_GB2312" w:cs="TimesNewRoman"/>
          <w:sz w:val="32"/>
          <w:szCs w:val="32"/>
        </w:rPr>
      </w:pPr>
    </w:p>
    <w:p w14:paraId="1429F7D6">
      <w:pPr>
        <w:topLinePunct/>
        <w:adjustRightInd w:val="0"/>
        <w:snapToGrid w:val="0"/>
        <w:spacing w:line="580" w:lineRule="exact"/>
        <w:ind w:firstLine="640" w:firstLineChars="200"/>
        <w:rPr>
          <w:rFonts w:hint="eastAsia" w:ascii="仿宋_GB2312" w:hAnsi="TimesNewRoman" w:eastAsia="仿宋_GB2312" w:cs="TimesNewRoman"/>
          <w:sz w:val="32"/>
          <w:szCs w:val="32"/>
        </w:rPr>
      </w:pPr>
    </w:p>
    <w:p w14:paraId="78E9743A">
      <w:pPr>
        <w:topLinePunct/>
        <w:adjustRightInd w:val="0"/>
        <w:snapToGrid w:val="0"/>
        <w:spacing w:line="580" w:lineRule="exact"/>
        <w:ind w:firstLine="640" w:firstLineChars="200"/>
        <w:rPr>
          <w:rFonts w:hint="eastAsia" w:ascii="仿宋_GB2312" w:hAnsi="TimesNewRoman" w:eastAsia="仿宋_GB2312" w:cs="TimesNewRoman"/>
          <w:sz w:val="32"/>
          <w:szCs w:val="32"/>
        </w:rPr>
      </w:pPr>
    </w:p>
    <w:p w14:paraId="7B8C2EEB">
      <w:pPr>
        <w:topLinePunct/>
        <w:adjustRightInd w:val="0"/>
        <w:snapToGrid w:val="0"/>
        <w:spacing w:line="580" w:lineRule="exact"/>
        <w:ind w:firstLine="640" w:firstLineChars="200"/>
        <w:rPr>
          <w:rFonts w:hint="eastAsia" w:ascii="仿宋_GB2312" w:hAnsi="TimesNewRoman" w:eastAsia="仿宋_GB2312" w:cs="TimesNewRoman"/>
          <w:sz w:val="32"/>
          <w:szCs w:val="32"/>
        </w:rPr>
      </w:pPr>
    </w:p>
    <w:p w14:paraId="74A2D4FF">
      <w:pPr>
        <w:topLinePunct/>
        <w:adjustRightInd w:val="0"/>
        <w:snapToGrid w:val="0"/>
        <w:spacing w:line="580" w:lineRule="exact"/>
        <w:ind w:firstLine="640" w:firstLineChars="200"/>
        <w:rPr>
          <w:rFonts w:hint="eastAsia" w:ascii="仿宋_GB2312" w:hAnsi="TimesNewRoman" w:eastAsia="仿宋_GB2312" w:cs="TimesNewRoman"/>
          <w:sz w:val="32"/>
          <w:szCs w:val="32"/>
        </w:rPr>
      </w:pPr>
    </w:p>
    <w:p w14:paraId="0CE7FC34">
      <w:pPr>
        <w:topLinePunct/>
        <w:adjustRightInd w:val="0"/>
        <w:snapToGrid w:val="0"/>
        <w:spacing w:line="580" w:lineRule="exact"/>
        <w:ind w:firstLine="640" w:firstLineChars="200"/>
        <w:rPr>
          <w:rFonts w:hint="eastAsia" w:ascii="仿宋_GB2312" w:hAnsi="TimesNewRoman" w:eastAsia="仿宋_GB2312" w:cs="TimesNewRoman"/>
          <w:sz w:val="32"/>
          <w:szCs w:val="32"/>
        </w:rPr>
      </w:pPr>
    </w:p>
    <w:p w14:paraId="27D833A6">
      <w:pPr>
        <w:topLinePunct/>
        <w:adjustRightInd w:val="0"/>
        <w:snapToGrid w:val="0"/>
        <w:spacing w:line="580" w:lineRule="exact"/>
        <w:ind w:firstLine="640" w:firstLineChars="200"/>
        <w:rPr>
          <w:rFonts w:hint="eastAsia" w:ascii="仿宋_GB2312" w:hAnsi="TimesNewRoman" w:eastAsia="仿宋_GB2312" w:cs="TimesNewRoman"/>
          <w:sz w:val="32"/>
          <w:szCs w:val="32"/>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3B7F3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3" w:hRule="atLeast"/>
        </w:trPr>
        <w:tc>
          <w:tcPr>
            <w:tcW w:w="9020" w:type="dxa"/>
            <w:gridSpan w:val="7"/>
            <w:tcBorders>
              <w:top w:val="nil"/>
              <w:left w:val="nil"/>
              <w:bottom w:val="nil"/>
              <w:right w:val="nil"/>
            </w:tcBorders>
            <w:noWrap w:val="0"/>
            <w:vAlign w:val="center"/>
          </w:tcPr>
          <w:p w14:paraId="6E265577">
            <w:pPr>
              <w:widowControl/>
              <w:jc w:val="center"/>
              <w:textAlignment w:val="center"/>
              <w:rPr>
                <w:rFonts w:ascii="宋体" w:cs="宋体"/>
                <w:b/>
                <w:bCs/>
                <w:szCs w:val="32"/>
              </w:rPr>
            </w:pPr>
            <w:r>
              <w:rPr>
                <w:rFonts w:hint="eastAsia" w:ascii="宋体" w:hAnsi="宋体" w:cs="宋体"/>
                <w:b/>
                <w:color w:val="000000"/>
                <w:kern w:val="0"/>
                <w:sz w:val="28"/>
                <w:szCs w:val="28"/>
                <w:lang w:bidi="ar"/>
              </w:rPr>
              <w:t>项目支出绩效目标表</w:t>
            </w:r>
          </w:p>
        </w:tc>
      </w:tr>
      <w:tr w14:paraId="3CC18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14:paraId="5E0E36C6">
            <w:pPr>
              <w:widowControl/>
              <w:jc w:val="center"/>
              <w:textAlignment w:val="center"/>
              <w:rPr>
                <w:rFonts w:ascii="宋体" w:cs="宋体"/>
                <w:sz w:val="20"/>
              </w:rPr>
            </w:pPr>
            <w:r>
              <w:rPr>
                <w:rFonts w:hint="eastAsia" w:ascii="宋体" w:hAnsi="宋体" w:cs="宋体"/>
                <w:color w:val="000000"/>
                <w:kern w:val="0"/>
                <w:sz w:val="20"/>
                <w:szCs w:val="20"/>
                <w:lang w:bidi="ar"/>
              </w:rPr>
              <w:t xml:space="preserve"> （</w:t>
            </w:r>
            <w:r>
              <w:rPr>
                <w:rFonts w:hint="eastAsia" w:ascii="宋体" w:hAnsi="宋体" w:cs="宋体"/>
                <w:color w:val="000000"/>
                <w:kern w:val="0"/>
                <w:sz w:val="20"/>
                <w:szCs w:val="20"/>
                <w:lang w:eastAsia="zh-CN" w:bidi="ar"/>
              </w:rPr>
              <w:t>2026</w:t>
            </w:r>
            <w:r>
              <w:rPr>
                <w:rFonts w:hint="eastAsia" w:ascii="宋体" w:hAnsi="宋体" w:cs="宋体"/>
                <w:color w:val="000000"/>
                <w:kern w:val="0"/>
                <w:sz w:val="20"/>
                <w:szCs w:val="20"/>
                <w:lang w:bidi="ar"/>
              </w:rPr>
              <w:t xml:space="preserve">年度）                                </w:t>
            </w:r>
          </w:p>
        </w:tc>
      </w:tr>
      <w:tr w14:paraId="595FC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68056304">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4"/>
            <w:noWrap w:val="0"/>
            <w:vAlign w:val="center"/>
          </w:tcPr>
          <w:p w14:paraId="0A4F2B64">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寿县农业技术推广工作项目</w:t>
            </w:r>
          </w:p>
        </w:tc>
      </w:tr>
      <w:tr w14:paraId="437C0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noWrap w:val="0"/>
            <w:vAlign w:val="center"/>
          </w:tcPr>
          <w:p w14:paraId="2899E6BA">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w:t>
            </w:r>
            <w:r>
              <w:rPr>
                <w:rFonts w:hint="eastAsia" w:ascii="宋体" w:hAnsi="宋体" w:cs="宋体"/>
                <w:color w:val="000000"/>
                <w:kern w:val="0"/>
                <w:sz w:val="18"/>
                <w:szCs w:val="18"/>
                <w:lang w:eastAsia="zh-CN" w:bidi="ar"/>
              </w:rPr>
              <w:t>单位</w:t>
            </w:r>
            <w:r>
              <w:rPr>
                <w:rFonts w:hint="eastAsia" w:ascii="宋体" w:hAnsi="宋体" w:cs="宋体"/>
                <w:color w:val="000000"/>
                <w:kern w:val="0"/>
                <w:sz w:val="18"/>
                <w:szCs w:val="18"/>
                <w:lang w:bidi="ar"/>
              </w:rPr>
              <w:t xml:space="preserve">   及代码</w:t>
            </w:r>
          </w:p>
        </w:tc>
        <w:tc>
          <w:tcPr>
            <w:tcW w:w="3349" w:type="dxa"/>
            <w:gridSpan w:val="2"/>
            <w:noWrap w:val="0"/>
            <w:vAlign w:val="center"/>
          </w:tcPr>
          <w:p w14:paraId="49466352">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140-寿县农业农村局</w:t>
            </w:r>
          </w:p>
        </w:tc>
        <w:tc>
          <w:tcPr>
            <w:tcW w:w="1848" w:type="dxa"/>
            <w:noWrap w:val="0"/>
            <w:vAlign w:val="center"/>
          </w:tcPr>
          <w:p w14:paraId="3329C190">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noWrap w:val="0"/>
            <w:vAlign w:val="center"/>
          </w:tcPr>
          <w:p w14:paraId="59FFC835">
            <w:pPr>
              <w:spacing w:line="260" w:lineRule="exact"/>
              <w:jc w:val="center"/>
              <w:rPr>
                <w:rFonts w:hint="default" w:eastAsia="宋体"/>
                <w:sz w:val="18"/>
                <w:szCs w:val="18"/>
                <w:lang w:val="en-US" w:eastAsia="zh-CN"/>
              </w:rPr>
            </w:pPr>
            <w:r>
              <w:rPr>
                <w:rFonts w:hint="eastAsia"/>
                <w:sz w:val="18"/>
                <w:szCs w:val="18"/>
                <w:lang w:val="en-US" w:eastAsia="zh-CN"/>
              </w:rPr>
              <w:t>140006-寿县农业技术推广中心</w:t>
            </w:r>
          </w:p>
        </w:tc>
      </w:tr>
      <w:tr w14:paraId="7EE82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34A2A180">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349" w:type="dxa"/>
            <w:gridSpan w:val="2"/>
            <w:noWrap w:val="0"/>
            <w:vAlign w:val="center"/>
          </w:tcPr>
          <w:p w14:paraId="5F6CAC00">
            <w:pPr>
              <w:spacing w:line="260" w:lineRule="exact"/>
              <w:jc w:val="center"/>
              <w:rPr>
                <w:rFonts w:ascii="宋体" w:cs="宋体"/>
                <w:sz w:val="18"/>
                <w:szCs w:val="18"/>
              </w:rPr>
            </w:pPr>
          </w:p>
        </w:tc>
        <w:tc>
          <w:tcPr>
            <w:tcW w:w="1848" w:type="dxa"/>
            <w:noWrap w:val="0"/>
            <w:vAlign w:val="center"/>
          </w:tcPr>
          <w:p w14:paraId="517EA450">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noWrap w:val="0"/>
            <w:vAlign w:val="center"/>
          </w:tcPr>
          <w:p w14:paraId="1EB74736">
            <w:pPr>
              <w:spacing w:line="260" w:lineRule="exact"/>
              <w:jc w:val="center"/>
              <w:rPr>
                <w:rFonts w:hint="default" w:eastAsia="宋体"/>
                <w:sz w:val="18"/>
                <w:szCs w:val="18"/>
                <w:lang w:val="en-US" w:eastAsia="zh-CN"/>
              </w:rPr>
            </w:pPr>
            <w:r>
              <w:rPr>
                <w:rFonts w:hint="eastAsia"/>
                <w:sz w:val="18"/>
                <w:szCs w:val="18"/>
                <w:lang w:val="en-US" w:eastAsia="zh-CN"/>
              </w:rPr>
              <w:t>2026年度</w:t>
            </w:r>
          </w:p>
        </w:tc>
      </w:tr>
      <w:tr w14:paraId="2A960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noWrap w:val="0"/>
            <w:vAlign w:val="center"/>
          </w:tcPr>
          <w:p w14:paraId="5C2DCCFD">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项目资金</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3349" w:type="dxa"/>
            <w:gridSpan w:val="2"/>
            <w:noWrap w:val="0"/>
            <w:vAlign w:val="center"/>
          </w:tcPr>
          <w:p w14:paraId="0644313E">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年度资金总额：</w:t>
            </w:r>
          </w:p>
        </w:tc>
        <w:tc>
          <w:tcPr>
            <w:tcW w:w="4228" w:type="dxa"/>
            <w:gridSpan w:val="2"/>
            <w:noWrap w:val="0"/>
            <w:vAlign w:val="center"/>
          </w:tcPr>
          <w:p w14:paraId="49560517">
            <w:pPr>
              <w:spacing w:line="260" w:lineRule="exact"/>
              <w:jc w:val="right"/>
              <w:rPr>
                <w:rFonts w:hint="default" w:ascii="宋体" w:eastAsia="宋体" w:cs="宋体"/>
                <w:sz w:val="18"/>
                <w:szCs w:val="18"/>
                <w:lang w:val="en-US" w:eastAsia="zh-CN"/>
              </w:rPr>
            </w:pPr>
            <w:r>
              <w:rPr>
                <w:rFonts w:hint="eastAsia" w:ascii="宋体" w:cs="宋体"/>
                <w:sz w:val="18"/>
                <w:szCs w:val="18"/>
                <w:lang w:val="en-US" w:eastAsia="zh-CN"/>
              </w:rPr>
              <w:t>71</w:t>
            </w:r>
          </w:p>
        </w:tc>
      </w:tr>
      <w:tr w14:paraId="13318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0A406415">
            <w:pPr>
              <w:spacing w:line="260" w:lineRule="exact"/>
              <w:jc w:val="center"/>
              <w:rPr>
                <w:rFonts w:ascii="宋体" w:cs="宋体"/>
                <w:sz w:val="18"/>
                <w:szCs w:val="18"/>
              </w:rPr>
            </w:pPr>
          </w:p>
        </w:tc>
        <w:tc>
          <w:tcPr>
            <w:tcW w:w="3349" w:type="dxa"/>
            <w:gridSpan w:val="2"/>
            <w:noWrap w:val="0"/>
            <w:vAlign w:val="center"/>
          </w:tcPr>
          <w:p w14:paraId="6F47DB14">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4228" w:type="dxa"/>
            <w:gridSpan w:val="2"/>
            <w:noWrap w:val="0"/>
            <w:vAlign w:val="center"/>
          </w:tcPr>
          <w:p w14:paraId="50DF54FF">
            <w:pPr>
              <w:spacing w:line="260" w:lineRule="exact"/>
              <w:jc w:val="right"/>
              <w:rPr>
                <w:rFonts w:hint="default" w:ascii="宋体" w:eastAsia="宋体" w:cs="宋体"/>
                <w:sz w:val="18"/>
                <w:szCs w:val="18"/>
                <w:lang w:val="en-US" w:eastAsia="zh-CN"/>
              </w:rPr>
            </w:pPr>
            <w:r>
              <w:rPr>
                <w:rFonts w:hint="eastAsia" w:ascii="宋体" w:cs="宋体"/>
                <w:sz w:val="18"/>
                <w:szCs w:val="18"/>
                <w:lang w:val="en-US" w:eastAsia="zh-CN"/>
              </w:rPr>
              <w:t>71</w:t>
            </w:r>
          </w:p>
        </w:tc>
      </w:tr>
      <w:tr w14:paraId="46941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6CFA1E3C">
            <w:pPr>
              <w:spacing w:line="260" w:lineRule="exact"/>
              <w:jc w:val="center"/>
              <w:rPr>
                <w:rFonts w:ascii="宋体" w:cs="宋体"/>
                <w:sz w:val="18"/>
                <w:szCs w:val="18"/>
              </w:rPr>
            </w:pPr>
          </w:p>
        </w:tc>
        <w:tc>
          <w:tcPr>
            <w:tcW w:w="3349" w:type="dxa"/>
            <w:gridSpan w:val="2"/>
            <w:noWrap w:val="0"/>
            <w:vAlign w:val="center"/>
          </w:tcPr>
          <w:p w14:paraId="29E1B957">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4228" w:type="dxa"/>
            <w:gridSpan w:val="2"/>
            <w:noWrap w:val="0"/>
            <w:vAlign w:val="center"/>
          </w:tcPr>
          <w:p w14:paraId="15418DF1">
            <w:pPr>
              <w:spacing w:line="260" w:lineRule="exact"/>
              <w:jc w:val="center"/>
              <w:rPr>
                <w:rFonts w:ascii="宋体" w:cs="宋体"/>
                <w:sz w:val="18"/>
                <w:szCs w:val="18"/>
              </w:rPr>
            </w:pPr>
          </w:p>
        </w:tc>
      </w:tr>
      <w:tr w14:paraId="4D52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4BB8C7AD">
            <w:pPr>
              <w:spacing w:line="260" w:lineRule="exact"/>
              <w:jc w:val="center"/>
              <w:rPr>
                <w:rFonts w:ascii="宋体" w:cs="宋体"/>
                <w:sz w:val="18"/>
                <w:szCs w:val="18"/>
              </w:rPr>
            </w:pPr>
          </w:p>
        </w:tc>
        <w:tc>
          <w:tcPr>
            <w:tcW w:w="3349" w:type="dxa"/>
            <w:gridSpan w:val="2"/>
            <w:noWrap w:val="0"/>
            <w:vAlign w:val="center"/>
          </w:tcPr>
          <w:p w14:paraId="7A7AC3F7">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4228" w:type="dxa"/>
            <w:gridSpan w:val="2"/>
            <w:noWrap w:val="0"/>
            <w:vAlign w:val="center"/>
          </w:tcPr>
          <w:p w14:paraId="191ECED9">
            <w:pPr>
              <w:spacing w:line="260" w:lineRule="exact"/>
              <w:jc w:val="right"/>
              <w:rPr>
                <w:rFonts w:ascii="宋体" w:cs="宋体"/>
                <w:sz w:val="18"/>
                <w:szCs w:val="18"/>
              </w:rPr>
            </w:pPr>
          </w:p>
        </w:tc>
      </w:tr>
      <w:tr w14:paraId="2C43C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noWrap w:val="0"/>
            <w:vAlign w:val="center"/>
          </w:tcPr>
          <w:p w14:paraId="1BB31230">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年度</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目标</w:t>
            </w:r>
          </w:p>
        </w:tc>
        <w:tc>
          <w:tcPr>
            <w:tcW w:w="8582" w:type="dxa"/>
            <w:gridSpan w:val="6"/>
            <w:noWrap w:val="0"/>
            <w:vAlign w:val="center"/>
          </w:tcPr>
          <w:p w14:paraId="5A8EE9E6">
            <w:pPr>
              <w:spacing w:line="260" w:lineRule="exact"/>
              <w:jc w:val="left"/>
              <w:rPr>
                <w:rFonts w:ascii="宋体" w:cs="宋体"/>
                <w:sz w:val="18"/>
                <w:szCs w:val="18"/>
              </w:rPr>
            </w:pPr>
            <w:r>
              <w:rPr>
                <w:rFonts w:hint="eastAsia" w:ascii="宋体" w:cs="宋体"/>
                <w:sz w:val="15"/>
                <w:szCs w:val="15"/>
              </w:rPr>
              <w:t>完成全县农技推广职能，包括小麦“一喷三防”、水稻机插秧、油菜扩种、水稻病虫害统防统治、高产指挥田建设、粮食绿色高产高效行动、玉米大豆带状复合种植、秸秆综合利用、秋种等重点工作和重大农业项目的技术服务工作，每年开展苗情监测、土壤墒情监测、病虫情监测、农产品质量安全检测、农业生态环境保护、植物检疫、田间鉴定、农作物测产预产、农民培训等基础性工作，实施各种新品种、新技术试验示范20多项。</w:t>
            </w:r>
          </w:p>
        </w:tc>
      </w:tr>
      <w:tr w14:paraId="4E8EE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noWrap w:val="0"/>
            <w:vAlign w:val="center"/>
          </w:tcPr>
          <w:p w14:paraId="2ECF040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绩</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效</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标</w:t>
            </w:r>
          </w:p>
        </w:tc>
        <w:tc>
          <w:tcPr>
            <w:tcW w:w="723" w:type="dxa"/>
            <w:noWrap w:val="0"/>
            <w:vAlign w:val="center"/>
          </w:tcPr>
          <w:p w14:paraId="2F136CF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一级</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指标</w:t>
            </w:r>
          </w:p>
        </w:tc>
        <w:tc>
          <w:tcPr>
            <w:tcW w:w="759" w:type="dxa"/>
            <w:gridSpan w:val="2"/>
            <w:noWrap w:val="0"/>
            <w:vAlign w:val="center"/>
          </w:tcPr>
          <w:p w14:paraId="7D958C1A">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2872" w:type="dxa"/>
            <w:noWrap w:val="0"/>
            <w:vAlign w:val="center"/>
          </w:tcPr>
          <w:p w14:paraId="51473B18">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4228" w:type="dxa"/>
            <w:gridSpan w:val="2"/>
            <w:noWrap w:val="0"/>
            <w:vAlign w:val="center"/>
          </w:tcPr>
          <w:p w14:paraId="373936F2">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指标值</w:t>
            </w:r>
          </w:p>
        </w:tc>
      </w:tr>
      <w:tr w14:paraId="6BF79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4AFD4E28">
            <w:pPr>
              <w:spacing w:line="260" w:lineRule="exact"/>
              <w:jc w:val="center"/>
              <w:rPr>
                <w:rFonts w:ascii="宋体" w:cs="宋体"/>
                <w:sz w:val="18"/>
                <w:szCs w:val="18"/>
              </w:rPr>
            </w:pPr>
          </w:p>
        </w:tc>
        <w:tc>
          <w:tcPr>
            <w:tcW w:w="723" w:type="dxa"/>
            <w:vMerge w:val="restart"/>
            <w:noWrap w:val="0"/>
            <w:vAlign w:val="center"/>
          </w:tcPr>
          <w:p w14:paraId="64F38258">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759" w:type="dxa"/>
            <w:gridSpan w:val="2"/>
            <w:vMerge w:val="restart"/>
            <w:noWrap w:val="0"/>
            <w:vAlign w:val="center"/>
          </w:tcPr>
          <w:p w14:paraId="0FF9894C">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数量指标</w:t>
            </w:r>
          </w:p>
        </w:tc>
        <w:tc>
          <w:tcPr>
            <w:tcW w:w="2872" w:type="dxa"/>
            <w:noWrap w:val="0"/>
            <w:vAlign w:val="center"/>
          </w:tcPr>
          <w:p w14:paraId="2B5E5DFC">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r>
              <w:rPr>
                <w:rFonts w:hint="eastAsia" w:ascii="宋体" w:hAnsi="宋体" w:cs="宋体"/>
                <w:color w:val="000000"/>
                <w:kern w:val="0"/>
                <w:sz w:val="15"/>
                <w:szCs w:val="15"/>
                <w:lang w:bidi="ar"/>
              </w:rPr>
              <w:t>推广优质水稻、专用小麦品种</w:t>
            </w:r>
          </w:p>
        </w:tc>
        <w:tc>
          <w:tcPr>
            <w:tcW w:w="4228" w:type="dxa"/>
            <w:gridSpan w:val="2"/>
            <w:noWrap w:val="0"/>
            <w:vAlign w:val="center"/>
          </w:tcPr>
          <w:p w14:paraId="26FB9EF4">
            <w:pPr>
              <w:spacing w:line="260" w:lineRule="exact"/>
              <w:jc w:val="center"/>
              <w:rPr>
                <w:rFonts w:ascii="宋体" w:cs="宋体"/>
                <w:sz w:val="18"/>
                <w:szCs w:val="18"/>
              </w:rPr>
            </w:pPr>
            <w:r>
              <w:rPr>
                <w:rFonts w:hint="eastAsia" w:ascii="宋体" w:cs="宋体"/>
                <w:sz w:val="18"/>
                <w:szCs w:val="18"/>
              </w:rPr>
              <w:t>≥10个</w:t>
            </w:r>
          </w:p>
        </w:tc>
      </w:tr>
      <w:tr w14:paraId="1B69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5AD411D8">
            <w:pPr>
              <w:spacing w:line="260" w:lineRule="exact"/>
              <w:jc w:val="center"/>
              <w:rPr>
                <w:rFonts w:ascii="宋体" w:cs="宋体"/>
                <w:sz w:val="18"/>
                <w:szCs w:val="18"/>
              </w:rPr>
            </w:pPr>
          </w:p>
        </w:tc>
        <w:tc>
          <w:tcPr>
            <w:tcW w:w="723" w:type="dxa"/>
            <w:vMerge w:val="continue"/>
            <w:noWrap w:val="0"/>
            <w:vAlign w:val="center"/>
          </w:tcPr>
          <w:p w14:paraId="0B1E0913">
            <w:pPr>
              <w:spacing w:line="260" w:lineRule="exact"/>
              <w:jc w:val="center"/>
              <w:rPr>
                <w:rFonts w:ascii="宋体" w:cs="宋体"/>
                <w:sz w:val="18"/>
                <w:szCs w:val="18"/>
              </w:rPr>
            </w:pPr>
          </w:p>
        </w:tc>
        <w:tc>
          <w:tcPr>
            <w:tcW w:w="759" w:type="dxa"/>
            <w:gridSpan w:val="2"/>
            <w:vMerge w:val="continue"/>
            <w:noWrap w:val="0"/>
            <w:vAlign w:val="center"/>
          </w:tcPr>
          <w:p w14:paraId="0F1D6E81">
            <w:pPr>
              <w:spacing w:line="260" w:lineRule="exact"/>
              <w:jc w:val="center"/>
              <w:rPr>
                <w:rFonts w:ascii="宋体" w:cs="宋体"/>
                <w:sz w:val="18"/>
                <w:szCs w:val="18"/>
              </w:rPr>
            </w:pPr>
          </w:p>
        </w:tc>
        <w:tc>
          <w:tcPr>
            <w:tcW w:w="2872" w:type="dxa"/>
            <w:noWrap w:val="0"/>
            <w:vAlign w:val="center"/>
          </w:tcPr>
          <w:p w14:paraId="24E276BC">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noWrap w:val="0"/>
            <w:vAlign w:val="center"/>
          </w:tcPr>
          <w:p w14:paraId="17B54C96">
            <w:pPr>
              <w:spacing w:line="260" w:lineRule="exact"/>
              <w:jc w:val="center"/>
              <w:rPr>
                <w:rFonts w:ascii="宋体" w:cs="宋体"/>
                <w:sz w:val="18"/>
                <w:szCs w:val="18"/>
              </w:rPr>
            </w:pPr>
          </w:p>
        </w:tc>
      </w:tr>
      <w:tr w14:paraId="25E57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1332EC9A">
            <w:pPr>
              <w:spacing w:line="260" w:lineRule="exact"/>
              <w:jc w:val="center"/>
              <w:rPr>
                <w:rFonts w:ascii="宋体" w:cs="宋体"/>
                <w:sz w:val="18"/>
                <w:szCs w:val="18"/>
              </w:rPr>
            </w:pPr>
          </w:p>
        </w:tc>
        <w:tc>
          <w:tcPr>
            <w:tcW w:w="723" w:type="dxa"/>
            <w:vMerge w:val="continue"/>
            <w:noWrap w:val="0"/>
            <w:vAlign w:val="center"/>
          </w:tcPr>
          <w:p w14:paraId="1E7D5AC9">
            <w:pPr>
              <w:spacing w:line="260" w:lineRule="exact"/>
              <w:jc w:val="center"/>
              <w:rPr>
                <w:rFonts w:ascii="宋体" w:cs="宋体"/>
                <w:sz w:val="18"/>
                <w:szCs w:val="18"/>
              </w:rPr>
            </w:pPr>
          </w:p>
        </w:tc>
        <w:tc>
          <w:tcPr>
            <w:tcW w:w="759" w:type="dxa"/>
            <w:gridSpan w:val="2"/>
            <w:vMerge w:val="restart"/>
            <w:noWrap w:val="0"/>
            <w:vAlign w:val="center"/>
          </w:tcPr>
          <w:p w14:paraId="1FD4C9E7">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质量指标</w:t>
            </w:r>
          </w:p>
        </w:tc>
        <w:tc>
          <w:tcPr>
            <w:tcW w:w="2872" w:type="dxa"/>
            <w:noWrap w:val="0"/>
            <w:vAlign w:val="center"/>
          </w:tcPr>
          <w:p w14:paraId="160A3A14">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指标1：经费支出合规性</w:t>
            </w:r>
          </w:p>
        </w:tc>
        <w:tc>
          <w:tcPr>
            <w:tcW w:w="4228" w:type="dxa"/>
            <w:gridSpan w:val="2"/>
            <w:noWrap w:val="0"/>
            <w:vAlign w:val="center"/>
          </w:tcPr>
          <w:p w14:paraId="09B2BE4D">
            <w:pPr>
              <w:spacing w:line="260" w:lineRule="exact"/>
              <w:jc w:val="center"/>
              <w:rPr>
                <w:rFonts w:ascii="宋体" w:cs="宋体"/>
                <w:sz w:val="18"/>
                <w:szCs w:val="18"/>
              </w:rPr>
            </w:pPr>
            <w:r>
              <w:rPr>
                <w:rFonts w:hint="eastAsia" w:ascii="宋体" w:cs="宋体"/>
                <w:sz w:val="18"/>
                <w:szCs w:val="18"/>
              </w:rPr>
              <w:t>严格执行相关财经法规、制度</w:t>
            </w:r>
          </w:p>
        </w:tc>
      </w:tr>
      <w:tr w14:paraId="23529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78B1DC65">
            <w:pPr>
              <w:spacing w:line="260" w:lineRule="exact"/>
              <w:jc w:val="center"/>
              <w:rPr>
                <w:rFonts w:ascii="宋体" w:cs="宋体"/>
                <w:sz w:val="18"/>
                <w:szCs w:val="18"/>
              </w:rPr>
            </w:pPr>
          </w:p>
        </w:tc>
        <w:tc>
          <w:tcPr>
            <w:tcW w:w="723" w:type="dxa"/>
            <w:vMerge w:val="continue"/>
            <w:noWrap w:val="0"/>
            <w:vAlign w:val="center"/>
          </w:tcPr>
          <w:p w14:paraId="512C1956">
            <w:pPr>
              <w:spacing w:line="260" w:lineRule="exact"/>
              <w:jc w:val="center"/>
              <w:rPr>
                <w:rFonts w:ascii="宋体" w:cs="宋体"/>
                <w:sz w:val="18"/>
                <w:szCs w:val="18"/>
              </w:rPr>
            </w:pPr>
          </w:p>
        </w:tc>
        <w:tc>
          <w:tcPr>
            <w:tcW w:w="759" w:type="dxa"/>
            <w:gridSpan w:val="2"/>
            <w:vMerge w:val="continue"/>
            <w:noWrap w:val="0"/>
            <w:vAlign w:val="center"/>
          </w:tcPr>
          <w:p w14:paraId="2E237685">
            <w:pPr>
              <w:spacing w:line="260" w:lineRule="exact"/>
              <w:jc w:val="center"/>
              <w:rPr>
                <w:rFonts w:ascii="宋体" w:cs="宋体"/>
                <w:sz w:val="18"/>
                <w:szCs w:val="18"/>
              </w:rPr>
            </w:pPr>
          </w:p>
        </w:tc>
        <w:tc>
          <w:tcPr>
            <w:tcW w:w="2872" w:type="dxa"/>
            <w:noWrap w:val="0"/>
            <w:vAlign w:val="center"/>
          </w:tcPr>
          <w:p w14:paraId="28DC3379">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noWrap w:val="0"/>
            <w:vAlign w:val="center"/>
          </w:tcPr>
          <w:p w14:paraId="1EF3AFCB">
            <w:pPr>
              <w:spacing w:line="260" w:lineRule="exact"/>
              <w:jc w:val="center"/>
              <w:rPr>
                <w:rFonts w:ascii="宋体" w:cs="宋体"/>
                <w:sz w:val="18"/>
                <w:szCs w:val="18"/>
              </w:rPr>
            </w:pPr>
          </w:p>
        </w:tc>
      </w:tr>
      <w:tr w14:paraId="0B6D6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61F3C1A4">
            <w:pPr>
              <w:spacing w:line="260" w:lineRule="exact"/>
              <w:jc w:val="center"/>
              <w:rPr>
                <w:rFonts w:ascii="宋体" w:cs="宋体"/>
                <w:sz w:val="18"/>
                <w:szCs w:val="18"/>
              </w:rPr>
            </w:pPr>
          </w:p>
        </w:tc>
        <w:tc>
          <w:tcPr>
            <w:tcW w:w="723" w:type="dxa"/>
            <w:vMerge w:val="continue"/>
            <w:noWrap w:val="0"/>
            <w:vAlign w:val="center"/>
          </w:tcPr>
          <w:p w14:paraId="443CDA2C">
            <w:pPr>
              <w:spacing w:line="260" w:lineRule="exact"/>
              <w:jc w:val="center"/>
              <w:rPr>
                <w:rFonts w:ascii="宋体" w:cs="宋体"/>
                <w:sz w:val="18"/>
                <w:szCs w:val="18"/>
              </w:rPr>
            </w:pPr>
          </w:p>
        </w:tc>
        <w:tc>
          <w:tcPr>
            <w:tcW w:w="759" w:type="dxa"/>
            <w:gridSpan w:val="2"/>
            <w:vMerge w:val="restart"/>
            <w:noWrap w:val="0"/>
            <w:vAlign w:val="center"/>
          </w:tcPr>
          <w:p w14:paraId="1330AC8A">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时效指标</w:t>
            </w:r>
          </w:p>
        </w:tc>
        <w:tc>
          <w:tcPr>
            <w:tcW w:w="2872" w:type="dxa"/>
            <w:noWrap w:val="0"/>
            <w:vAlign w:val="center"/>
          </w:tcPr>
          <w:p w14:paraId="773AA50D">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指标1：项目完成及时性</w:t>
            </w:r>
          </w:p>
        </w:tc>
        <w:tc>
          <w:tcPr>
            <w:tcW w:w="4228" w:type="dxa"/>
            <w:gridSpan w:val="2"/>
            <w:noWrap w:val="0"/>
            <w:vAlign w:val="center"/>
          </w:tcPr>
          <w:p w14:paraId="127D3EC9">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2026年12月</w:t>
            </w:r>
          </w:p>
        </w:tc>
      </w:tr>
      <w:tr w14:paraId="72B99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38A399C6">
            <w:pPr>
              <w:spacing w:line="260" w:lineRule="exact"/>
              <w:jc w:val="center"/>
              <w:rPr>
                <w:rFonts w:ascii="宋体" w:cs="宋体"/>
                <w:sz w:val="18"/>
                <w:szCs w:val="18"/>
              </w:rPr>
            </w:pPr>
          </w:p>
        </w:tc>
        <w:tc>
          <w:tcPr>
            <w:tcW w:w="723" w:type="dxa"/>
            <w:vMerge w:val="continue"/>
            <w:noWrap w:val="0"/>
            <w:vAlign w:val="center"/>
          </w:tcPr>
          <w:p w14:paraId="3DACF7F9">
            <w:pPr>
              <w:spacing w:line="260" w:lineRule="exact"/>
              <w:jc w:val="center"/>
              <w:rPr>
                <w:rFonts w:ascii="宋体" w:cs="宋体"/>
                <w:sz w:val="18"/>
                <w:szCs w:val="18"/>
              </w:rPr>
            </w:pPr>
          </w:p>
        </w:tc>
        <w:tc>
          <w:tcPr>
            <w:tcW w:w="759" w:type="dxa"/>
            <w:gridSpan w:val="2"/>
            <w:vMerge w:val="continue"/>
            <w:noWrap w:val="0"/>
            <w:vAlign w:val="center"/>
          </w:tcPr>
          <w:p w14:paraId="529B8297">
            <w:pPr>
              <w:spacing w:line="260" w:lineRule="exact"/>
              <w:jc w:val="center"/>
              <w:rPr>
                <w:rFonts w:ascii="宋体" w:cs="宋体"/>
                <w:sz w:val="18"/>
                <w:szCs w:val="18"/>
              </w:rPr>
            </w:pPr>
          </w:p>
        </w:tc>
        <w:tc>
          <w:tcPr>
            <w:tcW w:w="2872" w:type="dxa"/>
            <w:noWrap w:val="0"/>
            <w:vAlign w:val="center"/>
          </w:tcPr>
          <w:p w14:paraId="1EB11F79">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noWrap w:val="0"/>
            <w:vAlign w:val="center"/>
          </w:tcPr>
          <w:p w14:paraId="3B0B2FDD">
            <w:pPr>
              <w:spacing w:line="260" w:lineRule="exact"/>
              <w:jc w:val="center"/>
              <w:rPr>
                <w:rFonts w:ascii="宋体" w:cs="宋体"/>
                <w:sz w:val="18"/>
                <w:szCs w:val="18"/>
              </w:rPr>
            </w:pPr>
          </w:p>
        </w:tc>
      </w:tr>
      <w:tr w14:paraId="1AE30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151F4D1B">
            <w:pPr>
              <w:spacing w:line="260" w:lineRule="exact"/>
              <w:jc w:val="center"/>
              <w:rPr>
                <w:rFonts w:ascii="宋体" w:cs="宋体"/>
                <w:sz w:val="18"/>
                <w:szCs w:val="18"/>
              </w:rPr>
            </w:pPr>
          </w:p>
        </w:tc>
        <w:tc>
          <w:tcPr>
            <w:tcW w:w="723" w:type="dxa"/>
            <w:vMerge w:val="continue"/>
            <w:noWrap w:val="0"/>
            <w:vAlign w:val="center"/>
          </w:tcPr>
          <w:p w14:paraId="19866936">
            <w:pPr>
              <w:spacing w:line="260" w:lineRule="exact"/>
              <w:jc w:val="center"/>
              <w:rPr>
                <w:rFonts w:ascii="宋体" w:cs="宋体"/>
                <w:sz w:val="18"/>
                <w:szCs w:val="18"/>
              </w:rPr>
            </w:pPr>
          </w:p>
        </w:tc>
        <w:tc>
          <w:tcPr>
            <w:tcW w:w="759" w:type="dxa"/>
            <w:gridSpan w:val="2"/>
            <w:vMerge w:val="restart"/>
            <w:noWrap w:val="0"/>
            <w:vAlign w:val="center"/>
          </w:tcPr>
          <w:p w14:paraId="6A799663">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成本指标</w:t>
            </w:r>
          </w:p>
        </w:tc>
        <w:tc>
          <w:tcPr>
            <w:tcW w:w="2872" w:type="dxa"/>
            <w:noWrap w:val="0"/>
            <w:vAlign w:val="center"/>
          </w:tcPr>
          <w:p w14:paraId="06D2A1DA">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r>
              <w:rPr>
                <w:rFonts w:hint="eastAsia" w:ascii="宋体" w:hAnsi="宋体" w:cs="宋体"/>
                <w:color w:val="000000"/>
                <w:kern w:val="0"/>
                <w:sz w:val="15"/>
                <w:szCs w:val="15"/>
                <w:lang w:bidi="ar"/>
              </w:rPr>
              <w:t>开展农技推广工作相关经费支出</w:t>
            </w:r>
          </w:p>
        </w:tc>
        <w:tc>
          <w:tcPr>
            <w:tcW w:w="4228" w:type="dxa"/>
            <w:gridSpan w:val="2"/>
            <w:noWrap w:val="0"/>
            <w:vAlign w:val="center"/>
          </w:tcPr>
          <w:p w14:paraId="18F5E10F">
            <w:pPr>
              <w:spacing w:line="260" w:lineRule="exact"/>
              <w:jc w:val="center"/>
              <w:rPr>
                <w:rFonts w:ascii="宋体" w:cs="宋体"/>
                <w:sz w:val="18"/>
                <w:szCs w:val="18"/>
              </w:rPr>
            </w:pPr>
            <w:r>
              <w:rPr>
                <w:rFonts w:hint="eastAsia" w:ascii="宋体" w:cs="宋体"/>
                <w:sz w:val="18"/>
                <w:szCs w:val="18"/>
              </w:rPr>
              <w:t>≤</w:t>
            </w:r>
            <w:r>
              <w:rPr>
                <w:rFonts w:hint="eastAsia" w:ascii="宋体" w:cs="宋体"/>
                <w:sz w:val="18"/>
                <w:szCs w:val="18"/>
                <w:lang w:val="en-US" w:eastAsia="zh-CN"/>
              </w:rPr>
              <w:t>71</w:t>
            </w:r>
            <w:r>
              <w:rPr>
                <w:rFonts w:hint="eastAsia" w:ascii="宋体" w:cs="宋体"/>
                <w:sz w:val="18"/>
                <w:szCs w:val="18"/>
              </w:rPr>
              <w:t>万元</w:t>
            </w:r>
          </w:p>
        </w:tc>
      </w:tr>
      <w:tr w14:paraId="54459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1AA907AC">
            <w:pPr>
              <w:spacing w:line="260" w:lineRule="exact"/>
              <w:jc w:val="center"/>
              <w:rPr>
                <w:rFonts w:ascii="宋体" w:cs="宋体"/>
                <w:sz w:val="18"/>
                <w:szCs w:val="18"/>
              </w:rPr>
            </w:pPr>
          </w:p>
        </w:tc>
        <w:tc>
          <w:tcPr>
            <w:tcW w:w="723" w:type="dxa"/>
            <w:vMerge w:val="continue"/>
            <w:noWrap w:val="0"/>
            <w:vAlign w:val="center"/>
          </w:tcPr>
          <w:p w14:paraId="2A3F0FB0">
            <w:pPr>
              <w:spacing w:line="260" w:lineRule="exact"/>
              <w:jc w:val="center"/>
              <w:rPr>
                <w:rFonts w:ascii="宋体" w:cs="宋体"/>
                <w:sz w:val="18"/>
                <w:szCs w:val="18"/>
              </w:rPr>
            </w:pPr>
          </w:p>
        </w:tc>
        <w:tc>
          <w:tcPr>
            <w:tcW w:w="759" w:type="dxa"/>
            <w:gridSpan w:val="2"/>
            <w:vMerge w:val="continue"/>
            <w:noWrap w:val="0"/>
            <w:vAlign w:val="center"/>
          </w:tcPr>
          <w:p w14:paraId="0A109B1E">
            <w:pPr>
              <w:spacing w:line="260" w:lineRule="exact"/>
              <w:jc w:val="center"/>
              <w:rPr>
                <w:rFonts w:ascii="宋体" w:cs="宋体"/>
                <w:sz w:val="18"/>
                <w:szCs w:val="18"/>
              </w:rPr>
            </w:pPr>
          </w:p>
        </w:tc>
        <w:tc>
          <w:tcPr>
            <w:tcW w:w="2872" w:type="dxa"/>
            <w:noWrap w:val="0"/>
            <w:vAlign w:val="center"/>
          </w:tcPr>
          <w:p w14:paraId="4BABD6EB">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noWrap w:val="0"/>
            <w:vAlign w:val="center"/>
          </w:tcPr>
          <w:p w14:paraId="697C13E3">
            <w:pPr>
              <w:spacing w:line="260" w:lineRule="exact"/>
              <w:jc w:val="center"/>
              <w:rPr>
                <w:rFonts w:ascii="宋体" w:cs="宋体"/>
                <w:sz w:val="18"/>
                <w:szCs w:val="18"/>
              </w:rPr>
            </w:pPr>
          </w:p>
        </w:tc>
      </w:tr>
      <w:tr w14:paraId="02145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4E00069C">
            <w:pPr>
              <w:spacing w:line="260" w:lineRule="exact"/>
              <w:jc w:val="center"/>
              <w:rPr>
                <w:rFonts w:ascii="宋体" w:cs="宋体"/>
                <w:sz w:val="18"/>
                <w:szCs w:val="18"/>
              </w:rPr>
            </w:pPr>
          </w:p>
        </w:tc>
        <w:tc>
          <w:tcPr>
            <w:tcW w:w="723" w:type="dxa"/>
            <w:vMerge w:val="restart"/>
            <w:noWrap w:val="0"/>
            <w:vAlign w:val="center"/>
          </w:tcPr>
          <w:p w14:paraId="61B0773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759" w:type="dxa"/>
            <w:gridSpan w:val="2"/>
            <w:vMerge w:val="restart"/>
            <w:noWrap w:val="0"/>
            <w:vAlign w:val="center"/>
          </w:tcPr>
          <w:p w14:paraId="61FDCCE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经济效益指标</w:t>
            </w:r>
          </w:p>
        </w:tc>
        <w:tc>
          <w:tcPr>
            <w:tcW w:w="2872" w:type="dxa"/>
            <w:noWrap w:val="0"/>
            <w:vAlign w:val="center"/>
          </w:tcPr>
          <w:p w14:paraId="5F613FAF">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指标1：通过良种良法推广，粮食总产年均稳定提高</w:t>
            </w:r>
          </w:p>
        </w:tc>
        <w:tc>
          <w:tcPr>
            <w:tcW w:w="4228" w:type="dxa"/>
            <w:gridSpan w:val="2"/>
            <w:noWrap w:val="0"/>
            <w:vAlign w:val="center"/>
          </w:tcPr>
          <w:p w14:paraId="6C611251">
            <w:pPr>
              <w:spacing w:line="260" w:lineRule="exact"/>
              <w:jc w:val="center"/>
              <w:rPr>
                <w:rFonts w:ascii="宋体" w:cs="宋体"/>
                <w:sz w:val="18"/>
                <w:szCs w:val="18"/>
              </w:rPr>
            </w:pPr>
            <w:r>
              <w:rPr>
                <w:rFonts w:hint="eastAsia" w:ascii="宋体" w:cs="宋体"/>
                <w:sz w:val="18"/>
                <w:szCs w:val="18"/>
              </w:rPr>
              <w:t>≥1%</w:t>
            </w:r>
          </w:p>
        </w:tc>
      </w:tr>
      <w:tr w14:paraId="7D6C6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48EE15D1">
            <w:pPr>
              <w:spacing w:line="260" w:lineRule="exact"/>
              <w:jc w:val="center"/>
              <w:rPr>
                <w:rFonts w:ascii="宋体" w:cs="宋体"/>
                <w:sz w:val="18"/>
                <w:szCs w:val="18"/>
              </w:rPr>
            </w:pPr>
          </w:p>
        </w:tc>
        <w:tc>
          <w:tcPr>
            <w:tcW w:w="723" w:type="dxa"/>
            <w:vMerge w:val="continue"/>
            <w:noWrap w:val="0"/>
            <w:vAlign w:val="center"/>
          </w:tcPr>
          <w:p w14:paraId="13E74E24">
            <w:pPr>
              <w:spacing w:line="260" w:lineRule="exact"/>
              <w:jc w:val="center"/>
              <w:rPr>
                <w:rFonts w:ascii="宋体" w:cs="宋体"/>
                <w:sz w:val="18"/>
                <w:szCs w:val="18"/>
              </w:rPr>
            </w:pPr>
          </w:p>
        </w:tc>
        <w:tc>
          <w:tcPr>
            <w:tcW w:w="759" w:type="dxa"/>
            <w:gridSpan w:val="2"/>
            <w:vMerge w:val="continue"/>
            <w:noWrap w:val="0"/>
            <w:vAlign w:val="center"/>
          </w:tcPr>
          <w:p w14:paraId="34331C94">
            <w:pPr>
              <w:spacing w:line="260" w:lineRule="exact"/>
              <w:jc w:val="center"/>
              <w:rPr>
                <w:rFonts w:ascii="宋体" w:cs="宋体"/>
                <w:sz w:val="18"/>
                <w:szCs w:val="18"/>
              </w:rPr>
            </w:pPr>
          </w:p>
        </w:tc>
        <w:tc>
          <w:tcPr>
            <w:tcW w:w="2872" w:type="dxa"/>
            <w:noWrap w:val="0"/>
            <w:vAlign w:val="center"/>
          </w:tcPr>
          <w:p w14:paraId="3E86234F">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noWrap w:val="0"/>
            <w:vAlign w:val="center"/>
          </w:tcPr>
          <w:p w14:paraId="55F8E72D">
            <w:pPr>
              <w:spacing w:line="260" w:lineRule="exact"/>
              <w:jc w:val="center"/>
              <w:rPr>
                <w:rFonts w:ascii="宋体" w:cs="宋体"/>
                <w:sz w:val="18"/>
                <w:szCs w:val="18"/>
              </w:rPr>
            </w:pPr>
          </w:p>
        </w:tc>
      </w:tr>
      <w:tr w14:paraId="4230D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00341AE3">
            <w:pPr>
              <w:spacing w:line="260" w:lineRule="exact"/>
              <w:jc w:val="center"/>
              <w:rPr>
                <w:rFonts w:ascii="宋体" w:cs="宋体"/>
                <w:sz w:val="18"/>
                <w:szCs w:val="18"/>
              </w:rPr>
            </w:pPr>
          </w:p>
        </w:tc>
        <w:tc>
          <w:tcPr>
            <w:tcW w:w="723" w:type="dxa"/>
            <w:vMerge w:val="continue"/>
            <w:noWrap w:val="0"/>
            <w:vAlign w:val="center"/>
          </w:tcPr>
          <w:p w14:paraId="1119E5E9">
            <w:pPr>
              <w:spacing w:line="260" w:lineRule="exact"/>
              <w:jc w:val="center"/>
              <w:rPr>
                <w:rFonts w:ascii="宋体" w:cs="宋体"/>
                <w:sz w:val="18"/>
                <w:szCs w:val="18"/>
              </w:rPr>
            </w:pPr>
          </w:p>
        </w:tc>
        <w:tc>
          <w:tcPr>
            <w:tcW w:w="759" w:type="dxa"/>
            <w:gridSpan w:val="2"/>
            <w:vMerge w:val="restart"/>
            <w:noWrap w:val="0"/>
            <w:vAlign w:val="center"/>
          </w:tcPr>
          <w:p w14:paraId="13293EA8">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社会效益指标</w:t>
            </w:r>
          </w:p>
        </w:tc>
        <w:tc>
          <w:tcPr>
            <w:tcW w:w="2872" w:type="dxa"/>
            <w:noWrap w:val="0"/>
            <w:vAlign w:val="center"/>
          </w:tcPr>
          <w:p w14:paraId="41DEC1A6">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指标1：粮食绿色发展能力</w:t>
            </w:r>
          </w:p>
        </w:tc>
        <w:tc>
          <w:tcPr>
            <w:tcW w:w="4228" w:type="dxa"/>
            <w:gridSpan w:val="2"/>
            <w:noWrap w:val="0"/>
            <w:vAlign w:val="center"/>
          </w:tcPr>
          <w:p w14:paraId="030F8EEE">
            <w:pPr>
              <w:spacing w:line="260" w:lineRule="exact"/>
              <w:jc w:val="center"/>
              <w:rPr>
                <w:rFonts w:ascii="宋体" w:cs="宋体"/>
                <w:sz w:val="18"/>
                <w:szCs w:val="18"/>
              </w:rPr>
            </w:pPr>
            <w:r>
              <w:rPr>
                <w:rFonts w:hint="eastAsia" w:ascii="宋体" w:cs="宋体"/>
                <w:sz w:val="18"/>
                <w:szCs w:val="18"/>
              </w:rPr>
              <w:t>进一步增强</w:t>
            </w:r>
          </w:p>
        </w:tc>
      </w:tr>
      <w:tr w14:paraId="30911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37ECD0E6">
            <w:pPr>
              <w:spacing w:line="260" w:lineRule="exact"/>
              <w:jc w:val="center"/>
              <w:rPr>
                <w:rFonts w:ascii="宋体" w:cs="宋体"/>
                <w:sz w:val="18"/>
                <w:szCs w:val="18"/>
              </w:rPr>
            </w:pPr>
          </w:p>
        </w:tc>
        <w:tc>
          <w:tcPr>
            <w:tcW w:w="723" w:type="dxa"/>
            <w:vMerge w:val="continue"/>
            <w:noWrap w:val="0"/>
            <w:vAlign w:val="center"/>
          </w:tcPr>
          <w:p w14:paraId="6A498AC4">
            <w:pPr>
              <w:spacing w:line="260" w:lineRule="exact"/>
              <w:jc w:val="center"/>
              <w:rPr>
                <w:rFonts w:ascii="宋体" w:cs="宋体"/>
                <w:sz w:val="18"/>
                <w:szCs w:val="18"/>
              </w:rPr>
            </w:pPr>
          </w:p>
        </w:tc>
        <w:tc>
          <w:tcPr>
            <w:tcW w:w="759" w:type="dxa"/>
            <w:gridSpan w:val="2"/>
            <w:vMerge w:val="continue"/>
            <w:noWrap w:val="0"/>
            <w:vAlign w:val="center"/>
          </w:tcPr>
          <w:p w14:paraId="05C57A48">
            <w:pPr>
              <w:spacing w:line="260" w:lineRule="exact"/>
              <w:jc w:val="center"/>
              <w:rPr>
                <w:rFonts w:ascii="宋体" w:cs="宋体"/>
                <w:sz w:val="18"/>
                <w:szCs w:val="18"/>
              </w:rPr>
            </w:pPr>
          </w:p>
        </w:tc>
        <w:tc>
          <w:tcPr>
            <w:tcW w:w="2872" w:type="dxa"/>
            <w:noWrap w:val="0"/>
            <w:vAlign w:val="center"/>
          </w:tcPr>
          <w:p w14:paraId="3DF881E1">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noWrap w:val="0"/>
            <w:vAlign w:val="center"/>
          </w:tcPr>
          <w:p w14:paraId="5A0560BE">
            <w:pPr>
              <w:spacing w:line="260" w:lineRule="exact"/>
              <w:jc w:val="center"/>
              <w:rPr>
                <w:rFonts w:ascii="宋体" w:cs="宋体"/>
                <w:sz w:val="18"/>
                <w:szCs w:val="18"/>
              </w:rPr>
            </w:pPr>
          </w:p>
        </w:tc>
      </w:tr>
      <w:tr w14:paraId="7CB57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4BB122F8">
            <w:pPr>
              <w:spacing w:line="260" w:lineRule="exact"/>
              <w:jc w:val="center"/>
              <w:rPr>
                <w:rFonts w:ascii="宋体" w:cs="宋体"/>
                <w:sz w:val="18"/>
                <w:szCs w:val="18"/>
              </w:rPr>
            </w:pPr>
          </w:p>
        </w:tc>
        <w:tc>
          <w:tcPr>
            <w:tcW w:w="723" w:type="dxa"/>
            <w:vMerge w:val="continue"/>
            <w:noWrap w:val="0"/>
            <w:vAlign w:val="center"/>
          </w:tcPr>
          <w:p w14:paraId="68DAF079">
            <w:pPr>
              <w:spacing w:line="260" w:lineRule="exact"/>
              <w:jc w:val="center"/>
              <w:rPr>
                <w:rFonts w:ascii="宋体" w:cs="宋体"/>
                <w:sz w:val="18"/>
                <w:szCs w:val="18"/>
              </w:rPr>
            </w:pPr>
          </w:p>
        </w:tc>
        <w:tc>
          <w:tcPr>
            <w:tcW w:w="759" w:type="dxa"/>
            <w:gridSpan w:val="2"/>
            <w:vMerge w:val="restart"/>
            <w:noWrap w:val="0"/>
            <w:vAlign w:val="center"/>
          </w:tcPr>
          <w:p w14:paraId="36890DB8">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生态效益指标</w:t>
            </w:r>
          </w:p>
        </w:tc>
        <w:tc>
          <w:tcPr>
            <w:tcW w:w="2872" w:type="dxa"/>
            <w:noWrap w:val="0"/>
            <w:vAlign w:val="center"/>
          </w:tcPr>
          <w:p w14:paraId="339AA21E">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指标1：肥料和农药的利用率</w:t>
            </w:r>
          </w:p>
        </w:tc>
        <w:tc>
          <w:tcPr>
            <w:tcW w:w="4228" w:type="dxa"/>
            <w:gridSpan w:val="2"/>
            <w:noWrap w:val="0"/>
            <w:vAlign w:val="center"/>
          </w:tcPr>
          <w:p w14:paraId="243F1E17">
            <w:pPr>
              <w:spacing w:line="260" w:lineRule="exact"/>
              <w:jc w:val="center"/>
              <w:rPr>
                <w:rFonts w:ascii="宋体" w:cs="宋体"/>
                <w:sz w:val="18"/>
                <w:szCs w:val="18"/>
              </w:rPr>
            </w:pPr>
            <w:r>
              <w:rPr>
                <w:rFonts w:hint="eastAsia" w:ascii="宋体" w:cs="宋体"/>
                <w:sz w:val="18"/>
                <w:szCs w:val="18"/>
              </w:rPr>
              <w:t>≥42.5%</w:t>
            </w:r>
          </w:p>
        </w:tc>
      </w:tr>
      <w:tr w14:paraId="7D920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7B7A14FF">
            <w:pPr>
              <w:spacing w:line="260" w:lineRule="exact"/>
              <w:jc w:val="center"/>
              <w:rPr>
                <w:rFonts w:ascii="宋体" w:cs="宋体"/>
                <w:sz w:val="18"/>
                <w:szCs w:val="18"/>
              </w:rPr>
            </w:pPr>
          </w:p>
        </w:tc>
        <w:tc>
          <w:tcPr>
            <w:tcW w:w="723" w:type="dxa"/>
            <w:vMerge w:val="continue"/>
            <w:noWrap w:val="0"/>
            <w:vAlign w:val="center"/>
          </w:tcPr>
          <w:p w14:paraId="03245E17">
            <w:pPr>
              <w:spacing w:line="260" w:lineRule="exact"/>
              <w:jc w:val="center"/>
              <w:rPr>
                <w:rFonts w:ascii="宋体" w:cs="宋体"/>
                <w:sz w:val="18"/>
                <w:szCs w:val="18"/>
              </w:rPr>
            </w:pPr>
          </w:p>
        </w:tc>
        <w:tc>
          <w:tcPr>
            <w:tcW w:w="759" w:type="dxa"/>
            <w:gridSpan w:val="2"/>
            <w:vMerge w:val="continue"/>
            <w:noWrap w:val="0"/>
            <w:vAlign w:val="center"/>
          </w:tcPr>
          <w:p w14:paraId="4297FBCD">
            <w:pPr>
              <w:spacing w:line="260" w:lineRule="exact"/>
              <w:jc w:val="center"/>
              <w:rPr>
                <w:rFonts w:ascii="宋体" w:cs="宋体"/>
                <w:sz w:val="18"/>
                <w:szCs w:val="18"/>
              </w:rPr>
            </w:pPr>
          </w:p>
        </w:tc>
        <w:tc>
          <w:tcPr>
            <w:tcW w:w="2872" w:type="dxa"/>
            <w:noWrap w:val="0"/>
            <w:vAlign w:val="center"/>
          </w:tcPr>
          <w:p w14:paraId="2EB18284">
            <w:pPr>
              <w:spacing w:line="260" w:lineRule="exact"/>
              <w:jc w:val="left"/>
              <w:textAlignment w:val="center"/>
              <w:rPr>
                <w:rFonts w:hint="eastAsia" w:ascii="汉仪中秀体简" w:hAnsi="汉仪中秀体简" w:eastAsia="汉仪中秀体简" w:cs="汉仪中秀体简"/>
                <w:color w:val="000000"/>
                <w:kern w:val="0"/>
                <w:sz w:val="18"/>
                <w:szCs w:val="18"/>
                <w:lang w:bidi="ar"/>
              </w:rPr>
            </w:pPr>
            <w:r>
              <w:rPr>
                <w:rFonts w:ascii="汉仪中秀体简" w:hAnsi="汉仪中秀体简" w:eastAsia="汉仪中秀体简" w:cs="汉仪中秀体简"/>
                <w:color w:val="000000"/>
                <w:kern w:val="0"/>
                <w:sz w:val="18"/>
                <w:szCs w:val="18"/>
                <w:lang w:bidi="ar"/>
              </w:rPr>
              <w:t>…</w:t>
            </w:r>
          </w:p>
        </w:tc>
        <w:tc>
          <w:tcPr>
            <w:tcW w:w="4228" w:type="dxa"/>
            <w:gridSpan w:val="2"/>
            <w:noWrap w:val="0"/>
            <w:vAlign w:val="center"/>
          </w:tcPr>
          <w:p w14:paraId="1416A7E9">
            <w:pPr>
              <w:spacing w:line="260" w:lineRule="exact"/>
              <w:jc w:val="left"/>
              <w:textAlignment w:val="center"/>
              <w:rPr>
                <w:rFonts w:ascii="汉仪中秀体简" w:hAnsi="汉仪中秀体简" w:eastAsia="汉仪中秀体简" w:cs="汉仪中秀体简"/>
                <w:color w:val="000000"/>
                <w:kern w:val="0"/>
                <w:sz w:val="18"/>
                <w:szCs w:val="18"/>
                <w:lang w:bidi="ar"/>
              </w:rPr>
            </w:pPr>
          </w:p>
        </w:tc>
      </w:tr>
      <w:tr w14:paraId="0CFD2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38" w:type="dxa"/>
            <w:vMerge w:val="continue"/>
            <w:noWrap w:val="0"/>
            <w:vAlign w:val="center"/>
          </w:tcPr>
          <w:p w14:paraId="3E385CF3">
            <w:pPr>
              <w:spacing w:line="260" w:lineRule="exact"/>
              <w:jc w:val="center"/>
              <w:rPr>
                <w:rFonts w:ascii="宋体" w:cs="宋体"/>
                <w:sz w:val="18"/>
                <w:szCs w:val="18"/>
              </w:rPr>
            </w:pPr>
          </w:p>
        </w:tc>
        <w:tc>
          <w:tcPr>
            <w:tcW w:w="723" w:type="dxa"/>
            <w:vMerge w:val="continue"/>
            <w:noWrap w:val="0"/>
            <w:vAlign w:val="center"/>
          </w:tcPr>
          <w:p w14:paraId="1AFA5ACD">
            <w:pPr>
              <w:spacing w:line="260" w:lineRule="exact"/>
              <w:jc w:val="center"/>
              <w:rPr>
                <w:rFonts w:ascii="宋体" w:cs="宋体"/>
                <w:sz w:val="18"/>
                <w:szCs w:val="18"/>
              </w:rPr>
            </w:pPr>
          </w:p>
        </w:tc>
        <w:tc>
          <w:tcPr>
            <w:tcW w:w="759" w:type="dxa"/>
            <w:gridSpan w:val="2"/>
            <w:vMerge w:val="restart"/>
            <w:noWrap w:val="0"/>
            <w:vAlign w:val="center"/>
          </w:tcPr>
          <w:p w14:paraId="225BC289">
            <w:pPr>
              <w:spacing w:line="260" w:lineRule="exact"/>
              <w:jc w:val="center"/>
              <w:rPr>
                <w:rFonts w:hint="eastAsia" w:ascii="宋体" w:hAnsi="宋体" w:cs="宋体"/>
                <w:sz w:val="18"/>
                <w:szCs w:val="18"/>
              </w:rPr>
            </w:pPr>
            <w:r>
              <w:rPr>
                <w:rFonts w:hint="eastAsia" w:ascii="宋体" w:hAnsi="宋体" w:cs="宋体"/>
                <w:sz w:val="18"/>
                <w:szCs w:val="18"/>
              </w:rPr>
              <w:t>可持续影响指标</w:t>
            </w:r>
          </w:p>
        </w:tc>
        <w:tc>
          <w:tcPr>
            <w:tcW w:w="2872" w:type="dxa"/>
            <w:noWrap w:val="0"/>
            <w:vAlign w:val="center"/>
          </w:tcPr>
          <w:p w14:paraId="32B858F2">
            <w:pPr>
              <w:spacing w:line="260" w:lineRule="exact"/>
              <w:jc w:val="left"/>
              <w:textAlignment w:val="center"/>
              <w:rPr>
                <w:rFonts w:hint="eastAsia" w:ascii="宋体" w:hAnsi="宋体" w:cs="宋体"/>
                <w:sz w:val="18"/>
                <w:szCs w:val="18"/>
              </w:rPr>
            </w:pPr>
            <w:r>
              <w:rPr>
                <w:rFonts w:hint="eastAsia" w:ascii="宋体" w:hAnsi="宋体" w:cs="宋体"/>
                <w:color w:val="000000"/>
                <w:kern w:val="0"/>
                <w:sz w:val="18"/>
                <w:szCs w:val="18"/>
                <w:lang w:bidi="ar"/>
              </w:rPr>
              <w:t>指标1：优质高高产效品种的推广应用面积</w:t>
            </w:r>
          </w:p>
        </w:tc>
        <w:tc>
          <w:tcPr>
            <w:tcW w:w="4228" w:type="dxa"/>
            <w:gridSpan w:val="2"/>
            <w:noWrap w:val="0"/>
            <w:vAlign w:val="center"/>
          </w:tcPr>
          <w:p w14:paraId="497BAD35">
            <w:pPr>
              <w:spacing w:line="260" w:lineRule="exact"/>
              <w:jc w:val="center"/>
              <w:rPr>
                <w:rFonts w:ascii="宋体" w:cs="宋体"/>
                <w:sz w:val="18"/>
                <w:szCs w:val="18"/>
              </w:rPr>
            </w:pPr>
            <w:r>
              <w:rPr>
                <w:rFonts w:hint="eastAsia" w:ascii="宋体" w:cs="宋体"/>
                <w:sz w:val="18"/>
                <w:szCs w:val="18"/>
              </w:rPr>
              <w:t>逐年扩大</w:t>
            </w:r>
          </w:p>
        </w:tc>
      </w:tr>
      <w:tr w14:paraId="7D3AF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38" w:type="dxa"/>
            <w:vMerge w:val="continue"/>
            <w:noWrap w:val="0"/>
            <w:vAlign w:val="center"/>
          </w:tcPr>
          <w:p w14:paraId="5D4903DD">
            <w:pPr>
              <w:spacing w:line="260" w:lineRule="exact"/>
              <w:jc w:val="center"/>
              <w:rPr>
                <w:rFonts w:ascii="宋体" w:cs="宋体"/>
                <w:sz w:val="18"/>
                <w:szCs w:val="18"/>
              </w:rPr>
            </w:pPr>
          </w:p>
        </w:tc>
        <w:tc>
          <w:tcPr>
            <w:tcW w:w="723" w:type="dxa"/>
            <w:vMerge w:val="continue"/>
            <w:noWrap w:val="0"/>
            <w:vAlign w:val="center"/>
          </w:tcPr>
          <w:p w14:paraId="752C0A5E">
            <w:pPr>
              <w:spacing w:line="260" w:lineRule="exact"/>
              <w:jc w:val="center"/>
              <w:rPr>
                <w:rFonts w:ascii="宋体" w:cs="宋体"/>
                <w:sz w:val="18"/>
                <w:szCs w:val="18"/>
              </w:rPr>
            </w:pPr>
          </w:p>
        </w:tc>
        <w:tc>
          <w:tcPr>
            <w:tcW w:w="759" w:type="dxa"/>
            <w:gridSpan w:val="2"/>
            <w:vMerge w:val="continue"/>
            <w:noWrap w:val="0"/>
            <w:vAlign w:val="center"/>
          </w:tcPr>
          <w:p w14:paraId="72FE5974">
            <w:pPr>
              <w:spacing w:line="260" w:lineRule="exact"/>
              <w:jc w:val="center"/>
              <w:rPr>
                <w:rFonts w:hint="eastAsia" w:ascii="宋体" w:hAnsi="宋体" w:cs="宋体"/>
                <w:sz w:val="18"/>
                <w:szCs w:val="18"/>
              </w:rPr>
            </w:pPr>
          </w:p>
        </w:tc>
        <w:tc>
          <w:tcPr>
            <w:tcW w:w="2872" w:type="dxa"/>
            <w:noWrap w:val="0"/>
            <w:vAlign w:val="center"/>
          </w:tcPr>
          <w:p w14:paraId="36E78F6D">
            <w:pPr>
              <w:spacing w:line="260" w:lineRule="exact"/>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4228" w:type="dxa"/>
            <w:gridSpan w:val="2"/>
            <w:noWrap w:val="0"/>
            <w:vAlign w:val="center"/>
          </w:tcPr>
          <w:p w14:paraId="062739F3">
            <w:pPr>
              <w:spacing w:line="260" w:lineRule="exact"/>
              <w:jc w:val="center"/>
              <w:rPr>
                <w:rFonts w:ascii="宋体" w:cs="宋体"/>
                <w:sz w:val="18"/>
                <w:szCs w:val="18"/>
              </w:rPr>
            </w:pPr>
          </w:p>
        </w:tc>
      </w:tr>
      <w:tr w14:paraId="1D19A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74035FF9">
            <w:pPr>
              <w:spacing w:line="260" w:lineRule="exact"/>
              <w:jc w:val="center"/>
              <w:rPr>
                <w:rFonts w:ascii="宋体" w:cs="宋体"/>
                <w:sz w:val="18"/>
                <w:szCs w:val="18"/>
              </w:rPr>
            </w:pPr>
          </w:p>
        </w:tc>
        <w:tc>
          <w:tcPr>
            <w:tcW w:w="723" w:type="dxa"/>
            <w:vMerge w:val="restart"/>
            <w:noWrap w:val="0"/>
            <w:vAlign w:val="center"/>
          </w:tcPr>
          <w:p w14:paraId="4683C905">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759" w:type="dxa"/>
            <w:gridSpan w:val="2"/>
            <w:vMerge w:val="restart"/>
            <w:noWrap w:val="0"/>
            <w:vAlign w:val="center"/>
          </w:tcPr>
          <w:p w14:paraId="112065DF">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2872" w:type="dxa"/>
            <w:noWrap w:val="0"/>
            <w:vAlign w:val="center"/>
          </w:tcPr>
          <w:p w14:paraId="18737786">
            <w:pPr>
              <w:spacing w:line="260" w:lineRule="exact"/>
              <w:jc w:val="left"/>
              <w:textAlignment w:val="center"/>
              <w:rPr>
                <w:rFonts w:hint="eastAsia" w:ascii="宋体" w:hAnsi="宋体" w:cs="宋体"/>
                <w:sz w:val="18"/>
                <w:szCs w:val="18"/>
              </w:rPr>
            </w:pPr>
            <w:r>
              <w:rPr>
                <w:rFonts w:hint="eastAsia" w:ascii="宋体" w:hAnsi="宋体" w:cs="宋体"/>
                <w:color w:val="000000"/>
                <w:kern w:val="0"/>
                <w:sz w:val="18"/>
                <w:szCs w:val="18"/>
                <w:lang w:bidi="ar"/>
              </w:rPr>
              <w:t>指标1：农民对农技推广工作评价的满意度</w:t>
            </w:r>
          </w:p>
        </w:tc>
        <w:tc>
          <w:tcPr>
            <w:tcW w:w="4228" w:type="dxa"/>
            <w:gridSpan w:val="2"/>
            <w:noWrap w:val="0"/>
            <w:vAlign w:val="center"/>
          </w:tcPr>
          <w:p w14:paraId="51972219">
            <w:pPr>
              <w:spacing w:line="260" w:lineRule="exact"/>
              <w:jc w:val="center"/>
              <w:rPr>
                <w:rFonts w:ascii="宋体" w:cs="宋体"/>
                <w:sz w:val="18"/>
                <w:szCs w:val="18"/>
              </w:rPr>
            </w:pPr>
            <w:r>
              <w:rPr>
                <w:rFonts w:hint="eastAsia" w:ascii="宋体" w:cs="宋体"/>
                <w:sz w:val="18"/>
                <w:szCs w:val="18"/>
              </w:rPr>
              <w:t>≥95%</w:t>
            </w:r>
          </w:p>
        </w:tc>
      </w:tr>
      <w:tr w14:paraId="3792C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4291EF5B">
            <w:pPr>
              <w:spacing w:line="260" w:lineRule="exact"/>
              <w:jc w:val="center"/>
              <w:rPr>
                <w:rFonts w:ascii="宋体" w:cs="宋体"/>
                <w:sz w:val="18"/>
                <w:szCs w:val="18"/>
              </w:rPr>
            </w:pPr>
          </w:p>
        </w:tc>
        <w:tc>
          <w:tcPr>
            <w:tcW w:w="723" w:type="dxa"/>
            <w:vMerge w:val="continue"/>
            <w:noWrap w:val="0"/>
            <w:vAlign w:val="center"/>
          </w:tcPr>
          <w:p w14:paraId="71D96103">
            <w:pPr>
              <w:spacing w:line="260" w:lineRule="exact"/>
              <w:jc w:val="center"/>
              <w:rPr>
                <w:rFonts w:hint="eastAsia" w:ascii="宋体" w:hAnsi="宋体" w:cs="宋体"/>
                <w:sz w:val="18"/>
                <w:szCs w:val="18"/>
              </w:rPr>
            </w:pPr>
          </w:p>
        </w:tc>
        <w:tc>
          <w:tcPr>
            <w:tcW w:w="759" w:type="dxa"/>
            <w:gridSpan w:val="2"/>
            <w:vMerge w:val="continue"/>
            <w:noWrap w:val="0"/>
            <w:vAlign w:val="center"/>
          </w:tcPr>
          <w:p w14:paraId="44489E0D">
            <w:pPr>
              <w:spacing w:line="260" w:lineRule="exact"/>
              <w:jc w:val="center"/>
              <w:rPr>
                <w:rFonts w:hint="eastAsia" w:ascii="宋体" w:hAnsi="宋体" w:cs="宋体"/>
                <w:sz w:val="18"/>
                <w:szCs w:val="18"/>
              </w:rPr>
            </w:pPr>
          </w:p>
        </w:tc>
        <w:tc>
          <w:tcPr>
            <w:tcW w:w="2872" w:type="dxa"/>
            <w:noWrap w:val="0"/>
            <w:vAlign w:val="center"/>
          </w:tcPr>
          <w:p w14:paraId="22FB750C">
            <w:pPr>
              <w:spacing w:line="260" w:lineRule="exact"/>
              <w:jc w:val="left"/>
              <w:textAlignment w:val="center"/>
              <w:rPr>
                <w:rFonts w:hint="eastAsia" w:ascii="宋体" w:hAnsi="宋体" w:cs="宋体"/>
                <w:sz w:val="18"/>
                <w:szCs w:val="18"/>
              </w:rPr>
            </w:pPr>
            <w:r>
              <w:rPr>
                <w:rFonts w:hint="eastAsia" w:ascii="宋体" w:hAnsi="宋体" w:cs="宋体"/>
                <w:color w:val="000000"/>
                <w:kern w:val="0"/>
                <w:sz w:val="18"/>
                <w:szCs w:val="18"/>
                <w:lang w:bidi="ar"/>
              </w:rPr>
              <w:t>…</w:t>
            </w:r>
          </w:p>
        </w:tc>
        <w:tc>
          <w:tcPr>
            <w:tcW w:w="4228" w:type="dxa"/>
            <w:gridSpan w:val="2"/>
            <w:noWrap w:val="0"/>
            <w:vAlign w:val="center"/>
          </w:tcPr>
          <w:p w14:paraId="65CF53BC">
            <w:pPr>
              <w:spacing w:line="260" w:lineRule="exact"/>
              <w:jc w:val="center"/>
              <w:rPr>
                <w:rFonts w:ascii="宋体" w:cs="宋体"/>
                <w:sz w:val="18"/>
                <w:szCs w:val="18"/>
              </w:rPr>
            </w:pPr>
          </w:p>
        </w:tc>
      </w:tr>
    </w:tbl>
    <w:p w14:paraId="4868FB09">
      <w:pPr>
        <w:topLinePunct/>
        <w:adjustRightInd w:val="0"/>
        <w:snapToGrid w:val="0"/>
        <w:spacing w:line="560" w:lineRule="exact"/>
        <w:ind w:firstLine="640" w:firstLineChars="200"/>
        <w:rPr>
          <w:rFonts w:hint="eastAsia" w:ascii="仿宋_GB2312" w:hAnsi="TimesNewRoman" w:eastAsia="仿宋_GB2312" w:cs="TimesNewRoman"/>
          <w:sz w:val="32"/>
          <w:szCs w:val="32"/>
        </w:rPr>
      </w:pPr>
    </w:p>
    <w:p w14:paraId="732AB37D">
      <w:pPr>
        <w:topLinePunct/>
        <w:adjustRightInd w:val="0"/>
        <w:snapToGrid w:val="0"/>
        <w:spacing w:line="560" w:lineRule="exact"/>
        <w:ind w:firstLine="640" w:firstLineChars="200"/>
        <w:rPr>
          <w:rFonts w:hint="eastAsia" w:ascii="仿宋_GB2312" w:hAnsi="楷体" w:eastAsia="仿宋_GB2312"/>
          <w:sz w:val="32"/>
          <w:szCs w:val="32"/>
        </w:rPr>
      </w:pPr>
    </w:p>
    <w:p w14:paraId="5873351B">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（二）机关运行经费。</w:t>
      </w:r>
    </w:p>
    <w:p w14:paraId="245BE132">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农业技术推广中心</w:t>
      </w:r>
      <w:r>
        <w:rPr>
          <w:rFonts w:hint="eastAsia" w:ascii="仿宋_GB2312" w:hAnsi="TimesNewRoman" w:eastAsia="仿宋_GB2312" w:cs="TimesNewRoman"/>
          <w:sz w:val="32"/>
          <w:szCs w:val="32"/>
        </w:rPr>
        <w:t>为非参照公务员法管理的事业单位，按照</w:t>
      </w:r>
      <w:r>
        <w:rPr>
          <w:rFonts w:hint="eastAsia" w:ascii="仿宋_GB2312" w:hAnsi="TimesNewRoman" w:eastAsia="仿宋_GB2312" w:cs="TimesNewRoman"/>
          <w:sz w:val="32"/>
          <w:szCs w:val="32"/>
          <w:lang w:eastAsia="zh-CN"/>
        </w:rPr>
        <w:t>单位</w:t>
      </w:r>
      <w:r>
        <w:rPr>
          <w:rFonts w:hint="eastAsia" w:ascii="仿宋_GB2312" w:hAnsi="TimesNewRoman" w:eastAsia="仿宋_GB2312" w:cs="TimesNewRoman"/>
          <w:sz w:val="32"/>
          <w:szCs w:val="32"/>
        </w:rPr>
        <w:t>预算机关运行经费口径，</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年无机关运行经费财政拨款预算。</w:t>
      </w:r>
    </w:p>
    <w:p w14:paraId="1141F20F">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（三）政府采购情况。</w:t>
      </w:r>
    </w:p>
    <w:p w14:paraId="67D89856">
      <w:pPr>
        <w:adjustRightInd w:val="0"/>
        <w:snapToGrid w:val="0"/>
        <w:spacing w:line="600" w:lineRule="exact"/>
        <w:ind w:firstLine="640" w:firstLineChars="200"/>
        <w:rPr>
          <w:rFonts w:hint="eastAsia" w:ascii="仿宋_GB2312" w:hAnsi="仿宋" w:eastAsia="仿宋_GB2312"/>
          <w:color w:val="auto"/>
          <w:sz w:val="32"/>
          <w:szCs w:val="32"/>
        </w:rPr>
      </w:pPr>
      <w:r>
        <w:rPr>
          <w:rFonts w:hint="eastAsia" w:ascii="仿宋_GB2312" w:hAnsi="TimesNewRoman" w:eastAsia="仿宋_GB2312" w:cs="TimesNewRoman"/>
          <w:kern w:val="0"/>
          <w:sz w:val="32"/>
          <w:szCs w:val="32"/>
        </w:rPr>
        <w:t>寿县</w:t>
      </w:r>
      <w:r>
        <w:rPr>
          <w:rFonts w:hint="eastAsia" w:ascii="仿宋_GB2312" w:hAnsi="TimesNewRoman" w:eastAsia="仿宋_GB2312" w:cs="TimesNewRoman"/>
          <w:sz w:val="32"/>
          <w:szCs w:val="32"/>
          <w:lang w:val="en-US" w:eastAsia="zh-CN"/>
        </w:rPr>
        <w:t>农业技术推广中心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年政府采购预算</w:t>
      </w:r>
      <w:r>
        <w:rPr>
          <w:rFonts w:hint="eastAsia" w:ascii="仿宋_GB2312" w:hAnsi="TimesNewRoman" w:eastAsia="仿宋_GB2312" w:cs="TimesNewRoman"/>
          <w:sz w:val="32"/>
          <w:szCs w:val="32"/>
          <w:lang w:val="en-US" w:eastAsia="zh-CN"/>
        </w:rPr>
        <w:t>4.5</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w:t>
      </w:r>
      <w:r>
        <w:rPr>
          <w:rFonts w:hint="eastAsia" w:ascii="仿宋" w:hAnsi="仿宋" w:eastAsia="仿宋"/>
          <w:color w:val="auto"/>
          <w:sz w:val="32"/>
          <w:szCs w:val="32"/>
        </w:rPr>
        <w:t>均为政府采购货物预算</w:t>
      </w:r>
      <w:r>
        <w:rPr>
          <w:rFonts w:hint="eastAsia" w:ascii="仿宋_GB2312" w:hAnsi="仿宋" w:eastAsia="仿宋_GB2312"/>
          <w:color w:val="auto"/>
          <w:sz w:val="32"/>
          <w:szCs w:val="32"/>
        </w:rPr>
        <w:t>。</w:t>
      </w:r>
    </w:p>
    <w:p w14:paraId="6357BE88">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（四）国有资产占有使用情况。</w:t>
      </w:r>
    </w:p>
    <w:p w14:paraId="45A4228A">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截至202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年12月31日，</w:t>
      </w:r>
      <w:r>
        <w:rPr>
          <w:rFonts w:hint="eastAsia" w:ascii="仿宋_GB2312" w:hAnsi="TimesNewRoman" w:eastAsia="仿宋_GB2312" w:cs="TimesNewRoman"/>
          <w:kern w:val="0"/>
          <w:sz w:val="32"/>
          <w:szCs w:val="32"/>
        </w:rPr>
        <w:t>寿县</w:t>
      </w:r>
      <w:r>
        <w:rPr>
          <w:rFonts w:hint="eastAsia" w:ascii="仿宋_GB2312" w:hAnsi="TimesNewRoman" w:eastAsia="仿宋_GB2312" w:cs="TimesNewRoman"/>
          <w:sz w:val="32"/>
          <w:szCs w:val="32"/>
          <w:lang w:val="en-US" w:eastAsia="zh-CN"/>
        </w:rPr>
        <w:t>农业技术推广中心</w:t>
      </w:r>
      <w:r>
        <w:rPr>
          <w:rFonts w:hint="eastAsia" w:ascii="仿宋_GB2312" w:hAnsi="TimesNewRoman" w:eastAsia="仿宋_GB2312" w:cs="TimesNewRoman"/>
          <w:sz w:val="32"/>
          <w:szCs w:val="32"/>
        </w:rPr>
        <w:t>共有车辆</w:t>
      </w:r>
      <w:r>
        <w:rPr>
          <w:rFonts w:hint="eastAsia" w:ascii="仿宋_GB2312" w:hAnsi="TimesNewRoman" w:eastAsia="仿宋_GB2312" w:cs="TimesNewRoman"/>
          <w:sz w:val="32"/>
          <w:szCs w:val="32"/>
          <w:lang w:val="en-US" w:eastAsia="zh-CN"/>
        </w:rPr>
        <w:t>2</w:t>
      </w:r>
      <w:r>
        <w:rPr>
          <w:rFonts w:hint="eastAsia" w:ascii="仿宋_GB2312" w:hAnsi="TimesNewRoman" w:eastAsia="仿宋_GB2312" w:cs="TimesNewRoman"/>
          <w:sz w:val="32"/>
          <w:szCs w:val="32"/>
        </w:rPr>
        <w:t>辆，其中：</w:t>
      </w:r>
      <w:r>
        <w:rPr>
          <w:rFonts w:hint="eastAsia" w:ascii="仿宋_GB2312" w:hAnsi="TimesNewRoman" w:eastAsia="仿宋_GB2312" w:cs="TimesNewRoman"/>
          <w:sz w:val="32"/>
          <w:szCs w:val="32"/>
          <w:lang w:val="en-US" w:eastAsia="zh-CN"/>
        </w:rPr>
        <w:t>其他</w:t>
      </w:r>
      <w:r>
        <w:rPr>
          <w:rFonts w:hint="eastAsia" w:ascii="仿宋_GB2312" w:hAnsi="TimesNewRoman" w:eastAsia="仿宋_GB2312" w:cs="TimesNewRoman"/>
          <w:sz w:val="32"/>
          <w:szCs w:val="32"/>
        </w:rPr>
        <w:t>用车</w:t>
      </w:r>
      <w:r>
        <w:rPr>
          <w:rFonts w:hint="eastAsia" w:ascii="仿宋_GB2312" w:hAnsi="TimesNewRoman" w:eastAsia="仿宋_GB2312" w:cs="TimesNewRoman"/>
          <w:sz w:val="32"/>
          <w:szCs w:val="32"/>
          <w:lang w:val="en-US" w:eastAsia="zh-CN"/>
        </w:rPr>
        <w:t>2</w:t>
      </w:r>
      <w:r>
        <w:rPr>
          <w:rFonts w:hint="eastAsia" w:ascii="仿宋_GB2312" w:hAnsi="TimesNewRoman" w:eastAsia="仿宋_GB2312" w:cs="TimesNewRoman"/>
          <w:sz w:val="32"/>
          <w:szCs w:val="32"/>
        </w:rPr>
        <w:t>辆。单价50万元以上的通用设备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台（套），单价100万元以上的专用设备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w:t>
      </w:r>
    </w:p>
    <w:p w14:paraId="0839D148">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年部门预算安排购置公务用车</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辆，购置费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06E662FA">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（五）绩效目标设置情况。</w:t>
      </w:r>
    </w:p>
    <w:p w14:paraId="08E09A95">
      <w:pPr>
        <w:topLinePunct/>
        <w:adjustRightInd w:val="0"/>
        <w:snapToGrid w:val="0"/>
        <w:spacing w:line="560" w:lineRule="exact"/>
        <w:ind w:firstLine="640" w:firstLineChars="200"/>
        <w:rPr>
          <w:rFonts w:ascii="TimesNewRoman" w:hAnsi="TimesNewRoman" w:eastAsia="黑体" w:cs="TimesNewRoman"/>
          <w:sz w:val="36"/>
          <w:szCs w:val="36"/>
        </w:rPr>
      </w:pP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w:t>
      </w:r>
      <w:r>
        <w:rPr>
          <w:rFonts w:hint="eastAsia" w:ascii="仿宋_GB2312" w:hAnsi="TimesNewRoman" w:eastAsia="仿宋_GB2312" w:cs="TimesNewRoman"/>
          <w:kern w:val="0"/>
          <w:sz w:val="32"/>
          <w:szCs w:val="32"/>
        </w:rPr>
        <w:t>寿县</w:t>
      </w:r>
      <w:r>
        <w:rPr>
          <w:rFonts w:hint="eastAsia" w:ascii="仿宋_GB2312" w:hAnsi="TimesNewRoman" w:eastAsia="仿宋_GB2312" w:cs="TimesNewRoman"/>
          <w:sz w:val="32"/>
          <w:szCs w:val="32"/>
          <w:lang w:val="en-US" w:eastAsia="zh-CN"/>
        </w:rPr>
        <w:t>农业技术推广中心1</w:t>
      </w:r>
      <w:r>
        <w:rPr>
          <w:rFonts w:hint="eastAsia" w:ascii="仿宋_GB2312" w:hAnsi="TimesNewRoman" w:eastAsia="仿宋_GB2312" w:cs="TimesNewRoman"/>
          <w:sz w:val="32"/>
          <w:szCs w:val="32"/>
        </w:rPr>
        <w:t>个项目实行了绩效目标管理，涉及一般公共预算当年财政拨款</w:t>
      </w:r>
      <w:r>
        <w:rPr>
          <w:rFonts w:hint="eastAsia" w:ascii="仿宋_GB2312" w:hAnsi="TimesNewRoman" w:eastAsia="仿宋_GB2312" w:cs="TimesNewRoman"/>
          <w:sz w:val="32"/>
          <w:szCs w:val="32"/>
          <w:lang w:val="en-US" w:eastAsia="zh-CN"/>
        </w:rPr>
        <w:t>71</w:t>
      </w:r>
      <w:r>
        <w:rPr>
          <w:rFonts w:hint="eastAsia" w:ascii="仿宋_GB2312" w:hAnsi="TimesNewRoman" w:eastAsia="仿宋_GB2312" w:cs="TimesNewRoman"/>
          <w:sz w:val="32"/>
          <w:szCs w:val="32"/>
        </w:rPr>
        <w:t>万元。</w:t>
      </w:r>
    </w:p>
    <w:p w14:paraId="300F177D">
      <w:pPr>
        <w:topLinePunct/>
        <w:adjustRightInd w:val="0"/>
        <w:snapToGrid w:val="0"/>
        <w:spacing w:line="560" w:lineRule="exact"/>
        <w:rPr>
          <w:rFonts w:ascii="TimesNewRoman" w:hAnsi="TimesNewRoman" w:eastAsia="黑体" w:cs="TimesNewRoman"/>
          <w:sz w:val="36"/>
          <w:szCs w:val="36"/>
        </w:rPr>
      </w:pPr>
    </w:p>
    <w:p w14:paraId="216614C5">
      <w:pPr>
        <w:topLinePunct/>
        <w:adjustRightInd w:val="0"/>
        <w:snapToGrid w:val="0"/>
        <w:spacing w:line="560" w:lineRule="exact"/>
        <w:jc w:val="center"/>
        <w:rPr>
          <w:rFonts w:ascii="TimesNewRoman" w:hAnsi="TimesNewRoman" w:eastAsia="黑体" w:cs="TimesNewRoman"/>
          <w:sz w:val="36"/>
          <w:szCs w:val="36"/>
        </w:rPr>
      </w:pPr>
      <w:r>
        <w:rPr>
          <w:rFonts w:ascii="TimesNewRoman" w:hAnsi="TimesNewRoman" w:eastAsia="黑体" w:cs="TimesNewRoman"/>
          <w:sz w:val="36"/>
          <w:szCs w:val="36"/>
        </w:rPr>
        <w:t>第</w:t>
      </w:r>
      <w:r>
        <w:rPr>
          <w:rFonts w:hint="eastAsia" w:ascii="TimesNewRoman" w:hAnsi="TimesNewRoman" w:eastAsia="黑体" w:cs="TimesNewRoman"/>
          <w:sz w:val="36"/>
          <w:szCs w:val="36"/>
        </w:rPr>
        <w:t>三</w:t>
      </w:r>
      <w:r>
        <w:rPr>
          <w:rFonts w:ascii="TimesNewRoman" w:hAnsi="TimesNewRoman" w:eastAsia="黑体" w:cs="TimesNewRoman"/>
          <w:sz w:val="36"/>
          <w:szCs w:val="36"/>
        </w:rPr>
        <w:t>部分</w:t>
      </w:r>
      <w:r>
        <w:rPr>
          <w:rFonts w:hint="eastAsia" w:ascii="TimesNewRoman" w:hAnsi="TimesNewRoman" w:eastAsia="黑体" w:cs="TimesNewRoman"/>
          <w:sz w:val="36"/>
          <w:szCs w:val="36"/>
        </w:rPr>
        <w:t xml:space="preserve"> </w:t>
      </w:r>
      <w:r>
        <w:rPr>
          <w:rFonts w:ascii="TimesNewRoman" w:hAnsi="TimesNewRoman" w:eastAsia="黑体" w:cs="TimesNewRoman"/>
          <w:sz w:val="36"/>
          <w:szCs w:val="36"/>
        </w:rPr>
        <w:t>名词解释</w:t>
      </w:r>
    </w:p>
    <w:p w14:paraId="30C57F00">
      <w:pPr>
        <w:topLinePunct/>
        <w:adjustRightInd w:val="0"/>
        <w:snapToGrid w:val="0"/>
        <w:spacing w:line="560" w:lineRule="exact"/>
        <w:rPr>
          <w:rFonts w:ascii="TimesNewRoman" w:hAnsi="TimesNewRoman" w:eastAsia="黑体" w:cs="TimesNewRoman"/>
          <w:szCs w:val="32"/>
        </w:rPr>
      </w:pPr>
    </w:p>
    <w:p w14:paraId="085A408F">
      <w:pPr>
        <w:topLinePunct/>
        <w:adjustRightInd w:val="0"/>
        <w:snapToGrid w:val="0"/>
        <w:spacing w:line="560" w:lineRule="exact"/>
        <w:ind w:firstLine="640" w:firstLineChars="200"/>
        <w:rPr>
          <w:rFonts w:ascii="TimesNewRoman" w:hAnsi="TimesNewRoman" w:cs="TimesNewRoman"/>
          <w:sz w:val="32"/>
          <w:szCs w:val="32"/>
        </w:rPr>
      </w:pPr>
      <w:r>
        <w:rPr>
          <w:rFonts w:hint="eastAsia" w:ascii="楷体_GB2312" w:hAnsi="TimesNewRoman" w:eastAsia="楷体_GB2312" w:cs="TimesNewRoman"/>
          <w:sz w:val="32"/>
          <w:szCs w:val="32"/>
        </w:rPr>
        <w:t>一、财政拨款收入</w:t>
      </w:r>
      <w:r>
        <w:rPr>
          <w:rFonts w:hint="eastAsia" w:ascii="楷体_GB2312" w:hAnsi="TimesNewRoman" w:eastAsia="楷体_GB2312" w:cs="TimesNewRoman"/>
          <w:b/>
          <w:sz w:val="32"/>
          <w:szCs w:val="32"/>
        </w:rPr>
        <w:t>：</w:t>
      </w:r>
      <w:r>
        <w:rPr>
          <w:rFonts w:ascii="TimesNewRoman" w:hAnsi="TimesNewRoman" w:cs="TimesNewRoman"/>
          <w:sz w:val="32"/>
          <w:szCs w:val="32"/>
        </w:rPr>
        <w:t>指</w:t>
      </w:r>
      <w:r>
        <w:rPr>
          <w:rFonts w:hint="eastAsia" w:ascii="TimesNewRoman" w:hAnsi="TimesNewRoman" w:cs="TimesNewRoman"/>
          <w:sz w:val="32"/>
          <w:szCs w:val="32"/>
          <w:lang w:eastAsia="zh-CN"/>
        </w:rPr>
        <w:t>单位</w:t>
      </w:r>
      <w:r>
        <w:rPr>
          <w:rFonts w:ascii="TimesNewRoman" w:hAnsi="TimesNewRoman" w:cs="TimesNewRoman"/>
          <w:sz w:val="32"/>
          <w:szCs w:val="32"/>
        </w:rPr>
        <w:t>或单位从同级财政</w:t>
      </w:r>
      <w:r>
        <w:rPr>
          <w:rFonts w:hint="eastAsia" w:ascii="TimesNewRoman" w:hAnsi="TimesNewRoman" w:cs="TimesNewRoman"/>
          <w:sz w:val="32"/>
          <w:szCs w:val="32"/>
          <w:lang w:eastAsia="zh-CN"/>
        </w:rPr>
        <w:t>单位</w:t>
      </w:r>
      <w:r>
        <w:rPr>
          <w:rFonts w:ascii="TimesNewRoman" w:hAnsi="TimesNewRoman" w:cs="TimesNewRoman"/>
          <w:sz w:val="32"/>
          <w:szCs w:val="32"/>
        </w:rPr>
        <w:t>取得的财政预算资金。</w:t>
      </w:r>
    </w:p>
    <w:p w14:paraId="7BD88C8B">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二、上年结转：</w:t>
      </w:r>
      <w:r>
        <w:rPr>
          <w:rFonts w:ascii="TimesNewRoman" w:hAnsi="TimesNewRoman" w:eastAsia="仿宋_GB2312" w:cs="TimesNewRoman"/>
          <w:sz w:val="32"/>
          <w:szCs w:val="32"/>
        </w:rPr>
        <w:t>指以前年度安排、结转到本年仍按原用途继续使用的资金。</w:t>
      </w:r>
    </w:p>
    <w:p w14:paraId="574EF1C7">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hint="eastAsia" w:ascii="楷体_GB2312" w:hAnsi="TimesNewRoman" w:eastAsia="楷体_GB2312" w:cs="TimesNewRoman"/>
          <w:kern w:val="2"/>
          <w:sz w:val="32"/>
          <w:szCs w:val="32"/>
          <w:lang w:val="en-US" w:eastAsia="zh-CN"/>
        </w:rPr>
        <w:t>三</w:t>
      </w:r>
      <w:r>
        <w:rPr>
          <w:rFonts w:ascii="楷体_GB2312" w:hAnsi="TimesNewRoman" w:eastAsia="楷体_GB2312" w:cs="TimesNewRoman"/>
          <w:kern w:val="2"/>
          <w:sz w:val="32"/>
          <w:szCs w:val="32"/>
        </w:rPr>
        <w:t>、结转下年：</w:t>
      </w:r>
      <w:r>
        <w:rPr>
          <w:rFonts w:ascii="TimesNewRoman" w:hAnsi="TimesNewRoman" w:eastAsia="仿宋_GB2312" w:cs="TimesNewRoman"/>
          <w:sz w:val="32"/>
          <w:szCs w:val="32"/>
        </w:rPr>
        <w:t>指以前年度预算安排、因客观条件发生变化无法按原计划实施，需以后年度按原用途继续使用的资金。</w:t>
      </w:r>
    </w:p>
    <w:p w14:paraId="4CB5E313">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hint="eastAsia" w:ascii="楷体_GB2312" w:hAnsi="TimesNewRoman" w:eastAsia="楷体_GB2312" w:cs="TimesNewRoman"/>
          <w:kern w:val="2"/>
          <w:sz w:val="32"/>
          <w:szCs w:val="32"/>
          <w:lang w:val="en-US" w:eastAsia="zh-CN"/>
        </w:rPr>
        <w:t>四</w:t>
      </w:r>
      <w:r>
        <w:rPr>
          <w:rFonts w:ascii="楷体_GB2312" w:hAnsi="TimesNewRoman" w:eastAsia="楷体_GB2312" w:cs="TimesNewRoman"/>
          <w:kern w:val="2"/>
          <w:sz w:val="32"/>
          <w:szCs w:val="32"/>
        </w:rPr>
        <w:t>、基本支出：</w:t>
      </w:r>
      <w:r>
        <w:rPr>
          <w:rFonts w:ascii="TimesNewRoman" w:hAnsi="TimesNewRoman" w:eastAsia="仿宋_GB2312" w:cs="TimesNewRoman"/>
          <w:sz w:val="32"/>
          <w:szCs w:val="32"/>
        </w:rPr>
        <w:t>指为保障机构正常运转、完成日常工作任务而发生的人员支出和公用支出。</w:t>
      </w:r>
    </w:p>
    <w:p w14:paraId="333DC596">
      <w:pPr>
        <w:pStyle w:val="3"/>
        <w:topLinePunct/>
        <w:spacing w:beforeAutospacing="0" w:afterAutospacing="0" w:line="560" w:lineRule="exact"/>
        <w:ind w:firstLine="480" w:firstLineChars="150"/>
        <w:jc w:val="both"/>
        <w:rPr>
          <w:rStyle w:val="6"/>
          <w:rFonts w:ascii="TimesNewRoman" w:hAnsi="TimesNewRoman" w:eastAsia="楷体_GB2312" w:cs="TimesNewRoman"/>
          <w:b w:val="0"/>
          <w:sz w:val="32"/>
          <w:szCs w:val="32"/>
        </w:rPr>
      </w:pPr>
      <w:r>
        <w:rPr>
          <w:rFonts w:hint="eastAsia" w:ascii="楷体_GB2312" w:hAnsi="TimesNewRoman" w:eastAsia="楷体_GB2312" w:cs="TimesNewRoman"/>
          <w:kern w:val="2"/>
          <w:sz w:val="32"/>
          <w:szCs w:val="32"/>
          <w:lang w:val="en-US" w:eastAsia="zh-CN"/>
        </w:rPr>
        <w:t>五</w:t>
      </w:r>
      <w:r>
        <w:rPr>
          <w:rFonts w:ascii="楷体_GB2312" w:hAnsi="TimesNewRoman" w:eastAsia="楷体_GB2312" w:cs="TimesNewRoman"/>
          <w:kern w:val="2"/>
          <w:sz w:val="32"/>
          <w:szCs w:val="32"/>
        </w:rPr>
        <w:t>、项目支出：</w:t>
      </w:r>
      <w:r>
        <w:rPr>
          <w:rFonts w:ascii="TimesNewRoman" w:hAnsi="TimesNewRoman" w:eastAsia="仿宋_GB2312" w:cs="TimesNewRoman"/>
          <w:sz w:val="32"/>
          <w:szCs w:val="32"/>
        </w:rPr>
        <w:t>指在除基本支出之外的支出，主要用于完成特定的工作任务和事业发展目标。</w:t>
      </w:r>
      <w:r>
        <w:rPr>
          <w:rFonts w:ascii="TimesNewRoman" w:hAnsi="TimesNewRoman" w:eastAsia="仿宋_GB2312" w:cs="TimesNewRoman"/>
          <w:sz w:val="32"/>
          <w:szCs w:val="32"/>
        </w:rPr>
        <w:br w:type="textWrapping"/>
      </w:r>
      <w:r>
        <w:rPr>
          <w:rFonts w:ascii="楷体_GB2312" w:hAnsi="TimesNewRoman" w:eastAsia="楷体_GB2312" w:cs="TimesNewRoman"/>
          <w:kern w:val="2"/>
          <w:sz w:val="32"/>
          <w:szCs w:val="32"/>
        </w:rPr>
        <w:t xml:space="preserve">  </w:t>
      </w:r>
    </w:p>
    <w:p w14:paraId="5C514CDB"/>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11A0E3-176E-4629-BA69-B35D591887C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script"/>
    <w:pitch w:val="default"/>
    <w:sig w:usb0="00000000" w:usb1="00000000" w:usb2="00000000" w:usb3="00000000" w:csb0="00040000" w:csb1="00000000"/>
    <w:embedRegular r:id="rId2" w:fontKey="{82BA04EB-5C94-41FE-BE21-16C9C2A19627}"/>
  </w:font>
  <w:font w:name="TimesNewRoman">
    <w:altName w:val="Segoe Print"/>
    <w:panose1 w:val="02020603050405020304"/>
    <w:charset w:val="00"/>
    <w:family w:val="auto"/>
    <w:pitch w:val="default"/>
    <w:sig w:usb0="00000000" w:usb1="00000000" w:usb2="00000029" w:usb3="00000000" w:csb0="600001FF" w:csb1="FFFF0000"/>
    <w:embedRegular r:id="rId3" w:fontKey="{BF87B923-5284-4EE3-AC36-833529858E04}"/>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script"/>
    <w:pitch w:val="default"/>
    <w:sig w:usb0="00000001" w:usb1="08000000" w:usb2="00000000" w:usb3="00000000" w:csb0="00040000" w:csb1="00000000"/>
    <w:embedRegular r:id="rId4" w:fontKey="{F311030C-88D9-49C3-80E9-0DFF4A95ABBE}"/>
  </w:font>
  <w:font w:name="仿宋_GB2312">
    <w:altName w:val="仿宋"/>
    <w:panose1 w:val="02010609030101010101"/>
    <w:charset w:val="86"/>
    <w:family w:val="modern"/>
    <w:pitch w:val="default"/>
    <w:sig w:usb0="00000000" w:usb1="00000000" w:usb2="00000000" w:usb3="00000000" w:csb0="00040000" w:csb1="00000000"/>
    <w:embedRegular r:id="rId5" w:fontKey="{2C7F5BD7-91F9-470F-BEEF-C23A70E5E51E}"/>
  </w:font>
  <w:font w:name="仿宋">
    <w:panose1 w:val="02010609060101010101"/>
    <w:charset w:val="86"/>
    <w:family w:val="modern"/>
    <w:pitch w:val="default"/>
    <w:sig w:usb0="800002BF" w:usb1="38CF7CFA" w:usb2="00000016" w:usb3="00000000" w:csb0="00040001" w:csb1="00000000"/>
    <w:embedRegular r:id="rId6" w:fontKey="{4D36F4D2-4F3A-47DB-B98E-030D972B325D}"/>
  </w:font>
  <w:font w:name="楷体_GB2312">
    <w:altName w:val="楷体"/>
    <w:panose1 w:val="02010609030101010101"/>
    <w:charset w:val="86"/>
    <w:family w:val="modern"/>
    <w:pitch w:val="default"/>
    <w:sig w:usb0="00000000" w:usb1="00000000" w:usb2="00000000" w:usb3="00000000" w:csb0="00040000" w:csb1="00000000"/>
    <w:embedRegular r:id="rId7" w:fontKey="{85A1CBF2-73D6-460E-9700-7387C020B7A9}"/>
  </w:font>
  <w:font w:name="楷体">
    <w:panose1 w:val="02010609060101010101"/>
    <w:charset w:val="86"/>
    <w:family w:val="modern"/>
    <w:pitch w:val="default"/>
    <w:sig w:usb0="800002BF" w:usb1="38CF7CFA" w:usb2="00000016" w:usb3="00000000" w:csb0="00040001" w:csb1="00000000"/>
    <w:embedRegular r:id="rId8" w:fontKey="{C64B7F6C-363F-4DC7-A1C0-62FF28E30608}"/>
  </w:font>
  <w:font w:name="华文仿宋">
    <w:panose1 w:val="02010600040101010101"/>
    <w:charset w:val="86"/>
    <w:family w:val="auto"/>
    <w:pitch w:val="default"/>
    <w:sig w:usb0="00000287" w:usb1="080F0000" w:usb2="00000000" w:usb3="00000000" w:csb0="0004009F" w:csb1="DFD70000"/>
    <w:embedRegular r:id="rId9" w:fontKey="{5CCE6043-F01B-497E-B418-B1DAC096D203}"/>
  </w:font>
  <w:font w:name="汉仪中秀体简">
    <w:altName w:val="华文中宋"/>
    <w:panose1 w:val="00000000000000000000"/>
    <w:charset w:val="00"/>
    <w:family w:val="auto"/>
    <w:pitch w:val="default"/>
    <w:sig w:usb0="00000000" w:usb1="00000000" w:usb2="00000000" w:usb3="00000000" w:csb0="00040001" w:csb1="00000000"/>
    <w:embedRegular r:id="rId10" w:fontKey="{4781671A-42BE-404F-B53B-F374E589F108}"/>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KSOFE44F9426">
    <w:panose1 w:val="02010609060101010101"/>
    <w:charset w:val="86"/>
    <w:family w:val="auto"/>
    <w:pitch w:val="default"/>
    <w:sig w:usb0="00000001" w:usb1="00000000" w:usb2="00000000" w:usb3="00000000" w:csb0="00040001" w:csb1="00000000"/>
  </w:font>
  <w:font w:name="KSOF51D5AD36">
    <w:panose1 w:val="020B0604020202020204"/>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8EBD9">
    <w:pPr>
      <w:pStyle w:val="2"/>
      <w:ind w:right="180"/>
      <w:jc w:val="right"/>
    </w:pPr>
    <w:r>
      <w:rPr>
        <w:rFonts w:hint="eastAsia" w:ascii="宋体" w:hAnsi="宋体"/>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9</w:t>
    </w:r>
    <w:r>
      <w:rPr>
        <w:sz w:val="28"/>
        <w:szCs w:val="28"/>
      </w:rPr>
      <w:fldChar w:fldCharType="end"/>
    </w:r>
    <w:r>
      <w:rPr>
        <w:rFonts w:hint="eastAsia"/>
        <w:sz w:val="28"/>
        <w:szCs w:val="28"/>
      </w:rPr>
      <w:t xml:space="preserve"> </w:t>
    </w:r>
    <w:r>
      <w:rPr>
        <w:rFonts w:hint="eastAsia" w:ascii="宋体" w:hAnsi="宋体"/>
        <w:sz w:val="28"/>
        <w:szCs w:val="28"/>
      </w:rPr>
      <w:t xml:space="preserve">— </w:t>
    </w:r>
  </w:p>
  <w:p w14:paraId="20403C6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3C2F1B"/>
    <w:rsid w:val="06582D47"/>
    <w:rsid w:val="067B1C86"/>
    <w:rsid w:val="096E162E"/>
    <w:rsid w:val="0D3C2F1B"/>
    <w:rsid w:val="0EB14497"/>
    <w:rsid w:val="0F096081"/>
    <w:rsid w:val="159E7B39"/>
    <w:rsid w:val="1CFA258D"/>
    <w:rsid w:val="20D94EF4"/>
    <w:rsid w:val="237A538C"/>
    <w:rsid w:val="2E713056"/>
    <w:rsid w:val="37A44283"/>
    <w:rsid w:val="5033552D"/>
    <w:rsid w:val="53E43FC5"/>
    <w:rsid w:val="578F06BB"/>
    <w:rsid w:val="57E02CC4"/>
    <w:rsid w:val="62406FB8"/>
    <w:rsid w:val="63344891"/>
    <w:rsid w:val="65B758C8"/>
    <w:rsid w:val="6DEE4B22"/>
    <w:rsid w:val="715A290C"/>
    <w:rsid w:val="72691DDC"/>
    <w:rsid w:val="745D1A09"/>
    <w:rsid w:val="751006C2"/>
    <w:rsid w:val="7CFC0DD7"/>
    <w:rsid w:val="7DE85681"/>
    <w:rsid w:val="D6EB0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spacing w:beforeAutospacing="1" w:afterAutospacing="1"/>
      <w:jc w:val="left"/>
    </w:pPr>
    <w:rPr>
      <w:rFonts w:ascii="Calibri" w:hAnsi="Calibri"/>
      <w:kern w:val="0"/>
      <w:sz w:val="24"/>
    </w:rPr>
  </w:style>
  <w:style w:type="character" w:styleId="6">
    <w:name w:val="Strong"/>
    <w:basedOn w:val="5"/>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5397</Words>
  <Characters>6082</Characters>
  <Lines>0</Lines>
  <Paragraphs>0</Paragraphs>
  <TotalTime>25</TotalTime>
  <ScaleCrop>false</ScaleCrop>
  <LinksUpToDate>false</LinksUpToDate>
  <CharactersWithSpaces>6213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2025-01-22T23:28:00Z</dcterms:created>
  <dc:creator>风之语</dc:creator>
  <cp:lastModifiedBy>风之语</cp:lastModifiedBy>
  <dcterms:modified xsi:type="dcterms:W3CDTF">2026-02-05T13:45:56Z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C1A213AF74E854BC72A091675ABAB0E5</vt:lpwstr>
  </property>
  <property fmtid="{D5CDD505-2E9C-101B-9397-08002B2CF9AE}" pid="4" name="KSOTemplateDocerSaveRecord">
    <vt:lpwstr>eyJoZGlkIjoiZjFmZjZjMTMxOTY0Y2ZlNmQyODYzMjUwN2ZkNWJlNGQiLCJ1c2VySWQiOiIxMjM2NTIxNTk0In0=</vt:lpwstr>
  </property>
</Properties>
</file>