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2" Type="http://schemas.openxmlformats.org/officeDocument/2006/relationships/extended-properties" Target="docProps/app.xml" /><Relationship Id="rId0" Type="http://schemas.openxmlformats.org/officeDocument/2006/relationships/officeDocument" Target="word/document.xml" /><Relationship Id="rId1" Type="http://schemas.openxmlformats.org/package/2006/relationships/metadata/core-properties" Target="docProps/core.xml" /></Relationships>
</file>

<file path=word/document.xml><?xml version="1.0" encoding="utf-8"?>
<w:document xmlns:w="http://schemas.openxmlformats.org/wordprocessingml/2006/main">
  <w:body>
    <w:p>
      <w:pPr>
        <w:pStyle w:val="000001"/>
        <w:spacing w:line="520" w:lineRule="exact"/>
        <w:ind/>
        <w:jc w:val="center"/>
        <w:rPr>
          <w:rFonts w:hint="eastAsia" w:ascii="仿宋_GB2312" w:eastAsia="仿宋_GB2312"/>
          <w:sz w:val="32"/>
          <w:szCs w:val="32"/>
        </w:rPr>
      </w:pPr>
    </w:p>
    <w:p>
      <w:pPr>
        <w:pStyle w:val="000001"/>
        <w:spacing w:line="520" w:lineRule="exact"/>
        <w:ind/>
        <w:jc w:val="center"/>
        <w:rPr>
          <w:rFonts w:hint="eastAsia" w:ascii="方正小标宋简体" w:eastAsia="方正小标宋简体"/>
          <w:b/>
          <w:sz w:val="44"/>
          <w:szCs w:val="44"/>
        </w:rPr>
      </w:pPr>
      <w:r>
        <w:rPr>
          <w:rFonts w:hint="eastAsia" w:ascii="方正小标宋简体" w:hAnsi="Times New Roman" w:eastAsia="方正小标宋简体" w:cs="Times New Roman"/>
          <w:b/>
          <w:sz w:val="44"/>
          <w:szCs w:val="44"/>
          <w:lang w:eastAsia="zh-CN"/>
        </w:rPr>
        <w:t>寿县丰庄镇人民政府</w:t>
      </w:r>
      <w:r>
        <w:rPr>
          <w:rFonts w:hint="eastAsia" w:ascii="方正小标宋简体" w:hAnsi="Times New Roman" w:eastAsia="方正小标宋简体" w:cs="Times New Roman"/>
          <w:b/>
          <w:sz w:val="44"/>
          <w:szCs w:val="44"/>
          <w:lang w:val="en-US" w:eastAsia="zh-CN"/>
        </w:rPr>
        <w:t>2026</w:t>
      </w:r>
      <w:r>
        <w:rPr>
          <w:rFonts w:hint="eastAsia" w:ascii="方正小标宋简体" w:eastAsia="方正小标宋简体"/>
          <w:b/>
          <w:sz w:val="44"/>
          <w:szCs w:val="44"/>
        </w:rPr>
        <w:t>年</w:t>
      </w:r>
    </w:p>
    <w:p>
      <w:pPr>
        <w:pStyle w:val="000001"/>
        <w:spacing w:line="520" w:lineRule="exact"/>
        <w:ind/>
        <w:jc w:val="center"/>
        <w:rPr>
          <w:rFonts w:hint="eastAsia" w:ascii="方正小标宋简体" w:eastAsia="方正小标宋简体"/>
          <w:b/>
          <w:sz w:val="44"/>
          <w:szCs w:val="44"/>
        </w:rPr>
      </w:pPr>
      <w:r>
        <w:rPr>
          <w:rFonts w:hint="eastAsia" w:ascii="方正小标宋简体" w:eastAsia="方正小标宋简体"/>
          <w:b/>
          <w:sz w:val="44"/>
          <w:szCs w:val="44"/>
        </w:rPr>
        <w:t>“三公”经费预算情况</w:t>
      </w:r>
    </w:p>
    <w:p>
      <w:pPr>
        <w:pStyle w:val="000001"/>
        <w:spacing w:line="520" w:lineRule="exact"/>
        <w:ind/>
        <w:rPr>
          <w:rFonts w:hint="eastAsia" w:ascii="仿宋_GB2312" w:hAnsi="宋体" w:eastAsia="仿宋_GB2312" w:cs="宋体"/>
          <w:kern w:val="0"/>
          <w:sz w:val="32"/>
          <w:szCs w:val="32"/>
        </w:rPr>
      </w:pPr>
    </w:p>
    <w:p>
      <w:pPr>
        <w:pStyle w:val="000001"/>
        <w:spacing w:line="520" w:lineRule="exact"/>
        <w:ind w:firstLine="537" w:firstLineChars="168"/>
        <w:rPr>
          <w:rFonts w:hint="eastAsia" w:ascii="黑体" w:hAnsi="宋体" w:eastAsia="黑体" w:cs="宋体"/>
          <w:kern w:val="0"/>
          <w:sz w:val="32"/>
          <w:szCs w:val="32"/>
        </w:rPr>
      </w:pPr>
    </w:p>
    <w:p>
      <w:pPr>
        <w:pStyle w:val="000001"/>
        <w:spacing w:line="520" w:lineRule="exact"/>
        <w:ind w:firstLine="537" w:firstLineChars="168"/>
        <w:rPr>
          <w:rFonts w:hint="eastAsia" w:ascii="黑体" w:eastAsia="黑体"/>
          <w:color w:val="000000"/>
          <w:sz w:val="32"/>
          <w:szCs w:val="32"/>
        </w:rPr>
      </w:pPr>
      <w:r>
        <w:rPr>
          <w:rFonts w:hint="eastAsia" w:ascii="黑体" w:hAnsi="宋体" w:eastAsia="黑体" w:cs="宋体"/>
          <w:color w:val="000000"/>
          <w:kern w:val="0"/>
          <w:sz w:val="32"/>
          <w:szCs w:val="32"/>
        </w:rPr>
        <w:t>一、</w:t>
      </w:r>
      <w:r>
        <w:rPr>
          <w:rFonts w:hint="eastAsia" w:ascii="黑体" w:hAnsi="宋体" w:eastAsia="黑体" w:cs="宋体"/>
          <w:color w:val="000000"/>
          <w:kern w:val="0"/>
          <w:sz w:val="32"/>
          <w:szCs w:val="32"/>
          <w:lang w:eastAsia="zh-CN"/>
        </w:rPr>
        <w:t>2026</w:t>
      </w:r>
      <w:r>
        <w:rPr>
          <w:rFonts w:hint="eastAsia" w:ascii="黑体" w:hAnsi="宋体" w:eastAsia="黑体" w:cs="宋体"/>
          <w:color w:val="000000"/>
          <w:kern w:val="0"/>
          <w:sz w:val="32"/>
          <w:szCs w:val="32"/>
        </w:rPr>
        <w:t xml:space="preserve">年一般公共预算“三公”经费支出预算表 </w:t>
      </w:r>
    </w:p>
    <w:p>
      <w:pPr>
        <w:pStyle w:val="000001"/>
        <w:widowControl/>
        <w:spacing w:line="520" w:lineRule="exact"/>
        <w:ind w:right="480" w:firstLine="537" w:firstLineChars="168"/>
        <w:jc w:val="right"/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单位：万元</w:t>
      </w:r>
    </w:p>
    <w:tbl>
      <w:tblPr>
        <w:tblW w:w="0" w:type="auto"/>
        <w:jc w:val="center"/>
        <w:tblCellSpacing w:w="0" w:type="dxa"/>
        <w:tblInd w:w="-102" w:type="dxa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</w:tblBorders>
        <w:tblLayout/>
        <w:tblCellMar>
          <w:top w:w="75" w:type="dxa"/>
          <w:left w:w="75" w:type="dxa"/>
          <w:bottom w:w="75" w:type="dxa"/>
          <w:right w:w="75" w:type="dxa"/>
        </w:tblCellMar>
      </w:tblPr>
      <w:tblGrid>
        <w:gridCol w:w="5213"/>
        <w:gridCol w:w="2433"/>
      </w:tblGrid>
      <w:tr>
        <w:trPr>
          <w:wBefore/>
          <w:wAfter w:w="0" w:type="dxa"/>
          <w:trHeight/>
          <w:tblCellSpacing w:w="0" w:type="dxa"/>
        </w:trPr>
        <w:tc>
          <w:tcPr>
            <w:tcW w:w="521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textDirection w:val="lrTb"/>
            <w:vAlign w:val="center"/>
          </w:tcPr>
          <w:p>
            <w:pPr>
              <w:pStyle w:val="000001"/>
              <w:widowControl/>
              <w:spacing w:line="520" w:lineRule="exact"/>
              <w:ind w:firstLine="540" w:firstLineChars="168"/>
              <w:jc w:val="center"/>
              <w:rPr>
                <w:rFonts w:hint="eastAsia" w:ascii="仿宋_GB2312" w:hAnsi="仿宋" w:eastAsia="仿宋_GB2312" w:cs="宋体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宋体"/>
                <w:b/>
                <w:bCs/>
                <w:color w:val="000000"/>
                <w:kern w:val="0"/>
                <w:sz w:val="32"/>
                <w:szCs w:val="32"/>
              </w:rPr>
              <w:t>项</w:t>
            </w:r>
            <w:r>
              <w:rPr>
                <w:rFonts w:hint="eastAsia" w:ascii="Verdana" w:hAnsi="Verdana" w:eastAsia="仿宋_GB2312" w:cs="宋体"/>
                <w:b/>
                <w:bCs/>
                <w:color w:val="000000"/>
                <w:kern w:val="0"/>
                <w:sz w:val="32"/>
                <w:szCs w:val="32"/>
              </w:rPr>
              <w:t> </w:t>
            </w:r>
            <w:r>
              <w:rPr>
                <w:rFonts w:hint="eastAsia" w:ascii="仿宋_GB2312" w:hAnsi="仿宋" w:eastAsia="仿宋_GB2312" w:cs="宋体"/>
                <w:b/>
                <w:bCs/>
                <w:color w:val="000000"/>
                <w:kern w:val="0"/>
                <w:sz w:val="32"/>
                <w:szCs w:val="32"/>
              </w:rPr>
              <w:t xml:space="preserve"> 目</w:t>
            </w:r>
          </w:p>
        </w:tc>
        <w:tc>
          <w:tcPr>
            <w:tcW w:w="243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textDirection w:val="lrTb"/>
            <w:vAlign w:val="center"/>
          </w:tcPr>
          <w:p>
            <w:pPr>
              <w:pStyle w:val="000001"/>
              <w:widowControl/>
              <w:spacing w:line="520" w:lineRule="exact"/>
              <w:ind w:firstLine="540" w:firstLineChars="168"/>
              <w:jc w:val="center"/>
              <w:rPr>
                <w:rFonts w:hint="eastAsia" w:ascii="仿宋_GB2312" w:hAnsi="仿宋" w:eastAsia="仿宋_GB2312" w:cs="宋体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宋体"/>
                <w:b/>
                <w:bCs/>
                <w:color w:val="000000"/>
                <w:kern w:val="0"/>
                <w:sz w:val="32"/>
                <w:szCs w:val="32"/>
              </w:rPr>
              <w:t>预 算 数</w:t>
            </w:r>
          </w:p>
        </w:tc>
      </w:tr>
      <w:tr>
        <w:trPr>
          <w:wBefore/>
          <w:wAfter w:w="0" w:type="dxa"/>
          <w:trHeight/>
          <w:tblCellSpacing w:w="0" w:type="dxa"/>
        </w:trPr>
        <w:tc>
          <w:tcPr>
            <w:tcW w:w="521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textDirection w:val="lrTb"/>
            <w:vAlign w:val="center"/>
          </w:tcPr>
          <w:p>
            <w:pPr>
              <w:pStyle w:val="000001"/>
              <w:widowControl/>
              <w:spacing w:line="520" w:lineRule="exact"/>
              <w:ind w:firstLine="537" w:firstLineChars="168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宋体"/>
                <w:bCs/>
                <w:color w:val="000000"/>
                <w:kern w:val="0"/>
                <w:sz w:val="32"/>
                <w:szCs w:val="32"/>
              </w:rPr>
              <w:t>合</w:t>
            </w:r>
            <w:r>
              <w:rPr>
                <w:rFonts w:hint="eastAsia" w:ascii="Verdana" w:hAnsi="Verdana" w:eastAsia="仿宋_GB2312" w:cs="宋体"/>
                <w:bCs/>
                <w:color w:val="000000"/>
                <w:kern w:val="0"/>
                <w:sz w:val="32"/>
                <w:szCs w:val="32"/>
              </w:rPr>
              <w:t> </w:t>
            </w:r>
            <w:r>
              <w:rPr>
                <w:rFonts w:hint="eastAsia" w:ascii="仿宋_GB2312" w:hAnsi="仿宋" w:eastAsia="仿宋_GB2312" w:cs="宋体"/>
                <w:bCs/>
                <w:color w:val="000000"/>
                <w:kern w:val="0"/>
                <w:sz w:val="32"/>
                <w:szCs w:val="32"/>
              </w:rPr>
              <w:t xml:space="preserve"> 计</w:t>
            </w:r>
          </w:p>
        </w:tc>
        <w:tc>
          <w:tcPr>
            <w:tcW w:w="243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textDirection w:val="lrTb"/>
            <w:vAlign w:val="center"/>
          </w:tcPr>
          <w:p>
            <w:pPr>
              <w:pStyle w:val="000001"/>
              <w:widowControl/>
              <w:spacing w:line="520" w:lineRule="exact"/>
              <w:ind w:firstLine="537" w:firstLineChars="168"/>
              <w:jc w:val="center"/>
              <w:rPr>
                <w:rFonts w:ascii="仿宋_GB2312" w:hAnsi="仿宋" w:eastAsia="仿宋_GB2312" w:cs="宋体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2"/>
                <w:szCs w:val="32"/>
                <w:lang w:val="en-US" w:eastAsia="zh-CN"/>
              </w:rPr>
              <w:t>24.81</w:t>
            </w:r>
          </w:p>
        </w:tc>
      </w:tr>
      <w:tr>
        <w:trPr>
          <w:wBefore/>
          <w:wAfter w:w="0" w:type="dxa"/>
          <w:trHeight/>
          <w:tblCellSpacing w:w="0" w:type="dxa"/>
        </w:trPr>
        <w:tc>
          <w:tcPr>
            <w:tcW w:w="521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textDirection w:val="lrTb"/>
            <w:vAlign w:val="center"/>
          </w:tcPr>
          <w:p>
            <w:pPr>
              <w:pStyle w:val="000001"/>
              <w:widowControl/>
              <w:spacing w:line="520" w:lineRule="exact"/>
              <w:ind w:firstLine="537" w:firstLineChars="168"/>
              <w:rPr>
                <w:rFonts w:hint="eastAsia" w:ascii="仿宋_GB2312" w:hAnsi="仿宋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2"/>
                <w:szCs w:val="32"/>
              </w:rPr>
              <w:t>因公出国（境）费</w:t>
            </w:r>
          </w:p>
        </w:tc>
        <w:tc>
          <w:tcPr>
            <w:tcW w:w="243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textDirection w:val="lrTb"/>
            <w:vAlign w:val="bottom"/>
          </w:tcPr>
          <w:p>
            <w:pPr>
              <w:pStyle w:val="000001"/>
              <w:widowControl/>
              <w:spacing w:line="520" w:lineRule="exact"/>
              <w:ind w:firstLine="537" w:firstLineChars="168"/>
              <w:rPr>
                <w:rFonts w:hint="eastAsia" w:ascii="仿宋_GB2312" w:hAnsi="仿宋" w:eastAsia="仿宋_GB2312" w:cs="宋体"/>
                <w:color w:val="000000"/>
                <w:kern w:val="0"/>
                <w:sz w:val="32"/>
                <w:szCs w:val="32"/>
              </w:rPr>
            </w:pPr>
          </w:p>
        </w:tc>
      </w:tr>
      <w:tr>
        <w:trPr>
          <w:wBefore/>
          <w:wAfter w:w="0" w:type="dxa"/>
          <w:trHeight/>
          <w:tblCellSpacing w:w="0" w:type="dxa"/>
        </w:trPr>
        <w:tc>
          <w:tcPr>
            <w:tcW w:w="521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textDirection w:val="lrTb"/>
            <w:vAlign w:val="center"/>
          </w:tcPr>
          <w:p>
            <w:pPr>
              <w:pStyle w:val="000001"/>
              <w:widowControl/>
              <w:spacing w:line="520" w:lineRule="exact"/>
              <w:ind w:firstLine="537" w:firstLineChars="168"/>
              <w:rPr>
                <w:rFonts w:hint="eastAsia" w:ascii="仿宋_GB2312" w:hAnsi="仿宋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2"/>
                <w:szCs w:val="32"/>
              </w:rPr>
              <w:t>公务接待费</w:t>
            </w:r>
          </w:p>
        </w:tc>
        <w:tc>
          <w:tcPr>
            <w:tcW w:w="243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textDirection w:val="lrTb"/>
            <w:vAlign w:val="bottom"/>
          </w:tcPr>
          <w:p>
            <w:pPr>
              <w:pStyle w:val="000001"/>
              <w:widowControl/>
              <w:spacing w:line="520" w:lineRule="exact"/>
              <w:ind w:firstLine="537" w:firstLineChars="168"/>
              <w:rPr>
                <w:rFonts w:ascii="仿宋_GB2312" w:hAnsi="仿宋" w:eastAsia="仿宋_GB2312" w:cs="宋体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2"/>
                <w:szCs w:val="32"/>
                <w:lang w:val="en-US" w:eastAsia="zh-CN"/>
              </w:rPr>
              <w:t>10.55</w:t>
            </w:r>
          </w:p>
        </w:tc>
      </w:tr>
      <w:tr>
        <w:trPr>
          <w:wBefore/>
          <w:wAfter w:w="0" w:type="dxa"/>
          <w:trHeight/>
          <w:tblCellSpacing w:w="0" w:type="dxa"/>
        </w:trPr>
        <w:tc>
          <w:tcPr>
            <w:tcW w:w="521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textDirection w:val="lrTb"/>
            <w:vAlign w:val="center"/>
          </w:tcPr>
          <w:p>
            <w:pPr>
              <w:pStyle w:val="000001"/>
              <w:widowControl/>
              <w:spacing w:line="520" w:lineRule="exact"/>
              <w:ind w:firstLine="537" w:firstLineChars="168"/>
              <w:rPr>
                <w:rFonts w:hint="eastAsia" w:ascii="仿宋_GB2312" w:hAnsi="仿宋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2"/>
                <w:szCs w:val="32"/>
              </w:rPr>
              <w:t>公务用车购置及运行费</w:t>
            </w:r>
          </w:p>
        </w:tc>
        <w:tc>
          <w:tcPr>
            <w:tcW w:w="243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textDirection w:val="lrTb"/>
            <w:vAlign w:val="bottom"/>
          </w:tcPr>
          <w:p>
            <w:pPr>
              <w:pStyle w:val="000001"/>
              <w:widowControl/>
              <w:spacing w:line="520" w:lineRule="exact"/>
              <w:ind w:firstLine="537" w:firstLineChars="168"/>
              <w:rPr>
                <w:rFonts w:ascii="仿宋_GB2312" w:hAnsi="仿宋" w:eastAsia="仿宋_GB2312" w:cs="宋体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2"/>
                <w:szCs w:val="32"/>
                <w:lang w:val="en-US" w:eastAsia="zh-CN"/>
              </w:rPr>
              <w:t>14.26</w:t>
            </w:r>
          </w:p>
        </w:tc>
      </w:tr>
      <w:tr>
        <w:trPr>
          <w:wBefore/>
          <w:wAfter w:w="0" w:type="dxa"/>
          <w:trHeight/>
          <w:tblCellSpacing w:w="0" w:type="dxa"/>
        </w:trPr>
        <w:tc>
          <w:tcPr>
            <w:tcW w:w="521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textDirection w:val="lrTb"/>
            <w:vAlign w:val="center"/>
          </w:tcPr>
          <w:p>
            <w:pPr>
              <w:pStyle w:val="000001"/>
              <w:widowControl/>
              <w:spacing w:line="520" w:lineRule="exact"/>
              <w:ind w:firstLine="537" w:firstLineChars="168"/>
              <w:rPr>
                <w:rFonts w:hint="eastAsia" w:ascii="仿宋_GB2312" w:hAnsi="仿宋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Verdana" w:hAnsi="Verdana" w:eastAsia="仿宋_GB2312" w:cs="宋体"/>
                <w:color w:val="000000"/>
                <w:kern w:val="0"/>
                <w:sz w:val="32"/>
                <w:szCs w:val="32"/>
              </w:rPr>
              <w:t> </w:t>
            </w:r>
            <w:r>
              <w:rPr>
                <w:rFonts w:hint="eastAsia" w:ascii="仿宋_GB2312" w:hAnsi="仿宋" w:eastAsia="仿宋_GB2312" w:cs="宋体"/>
                <w:color w:val="000000"/>
                <w:kern w:val="0"/>
                <w:sz w:val="32"/>
                <w:szCs w:val="32"/>
              </w:rPr>
              <w:t xml:space="preserve"> 其中：公务用车运行费</w:t>
            </w:r>
          </w:p>
        </w:tc>
        <w:tc>
          <w:tcPr>
            <w:tcW w:w="243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textDirection w:val="lrTb"/>
            <w:vAlign w:val="bottom"/>
          </w:tcPr>
          <w:p>
            <w:pPr>
              <w:pStyle w:val="000001"/>
              <w:widowControl/>
              <w:spacing w:line="520" w:lineRule="exact"/>
              <w:ind w:firstLine="537" w:firstLineChars="168"/>
              <w:rPr>
                <w:rFonts w:ascii="仿宋_GB2312" w:hAnsi="仿宋" w:eastAsia="仿宋_GB2312" w:cs="宋体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2"/>
                <w:szCs w:val="32"/>
                <w:lang w:val="en-US" w:eastAsia="zh-CN"/>
              </w:rPr>
              <w:t>14.26</w:t>
            </w:r>
          </w:p>
        </w:tc>
      </w:tr>
      <w:tr>
        <w:trPr>
          <w:wBefore/>
          <w:wAfter w:w="0" w:type="dxa"/>
          <w:trHeight/>
          <w:tblCellSpacing w:w="0" w:type="dxa"/>
        </w:trPr>
        <w:tc>
          <w:tcPr>
            <w:tcW w:w="521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textDirection w:val="lrTb"/>
            <w:vAlign w:val="center"/>
          </w:tcPr>
          <w:p>
            <w:pPr>
              <w:pStyle w:val="000001"/>
              <w:widowControl/>
              <w:spacing w:line="520" w:lineRule="exact"/>
              <w:ind w:firstLine="537" w:firstLineChars="168"/>
              <w:rPr>
                <w:rFonts w:hint="eastAsia" w:ascii="仿宋_GB2312" w:hAnsi="仿宋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Verdana" w:hAnsi="Verdana" w:eastAsia="仿宋_GB2312" w:cs="宋体"/>
                <w:color w:val="000000"/>
                <w:kern w:val="0"/>
                <w:sz w:val="32"/>
                <w:szCs w:val="32"/>
              </w:rPr>
              <w:t>     </w:t>
            </w:r>
            <w:r>
              <w:rPr>
                <w:rFonts w:hint="eastAsia" w:ascii="仿宋_GB2312" w:hAnsi="仿宋" w:eastAsia="仿宋_GB2312" w:cs="宋体"/>
                <w:color w:val="000000"/>
                <w:kern w:val="0"/>
                <w:sz w:val="32"/>
                <w:szCs w:val="32"/>
              </w:rPr>
              <w:t xml:space="preserve"> </w:t>
            </w:r>
            <w:r>
              <w:rPr>
                <w:rFonts w:hint="eastAsia" w:ascii="Verdana" w:hAnsi="Verdana" w:eastAsia="仿宋_GB2312" w:cs="宋体"/>
                <w:color w:val="000000"/>
                <w:kern w:val="0"/>
                <w:sz w:val="32"/>
                <w:szCs w:val="32"/>
              </w:rPr>
              <w:t>  </w:t>
            </w:r>
            <w:r>
              <w:rPr>
                <w:rFonts w:hint="eastAsia" w:ascii="仿宋_GB2312" w:hAnsi="仿宋" w:eastAsia="仿宋_GB2312" w:cs="宋体"/>
                <w:color w:val="000000"/>
                <w:kern w:val="0"/>
                <w:sz w:val="32"/>
                <w:szCs w:val="32"/>
              </w:rPr>
              <w:t xml:space="preserve">  公务用车购置费</w:t>
            </w:r>
          </w:p>
        </w:tc>
        <w:tc>
          <w:tcPr>
            <w:tcW w:w="243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textDirection w:val="lrTb"/>
            <w:vAlign w:val="bottom"/>
          </w:tcPr>
          <w:p>
            <w:pPr>
              <w:pStyle w:val="000001"/>
              <w:widowControl/>
              <w:spacing w:line="520" w:lineRule="exact"/>
              <w:ind w:firstLine="537" w:firstLineChars="168"/>
              <w:rPr>
                <w:rFonts w:hint="eastAsia" w:ascii="仿宋_GB2312" w:hAnsi="仿宋" w:eastAsia="仿宋_GB2312" w:cs="宋体"/>
                <w:color w:val="000000"/>
                <w:kern w:val="0"/>
                <w:sz w:val="32"/>
                <w:szCs w:val="32"/>
              </w:rPr>
            </w:pPr>
          </w:p>
        </w:tc>
      </w:tr>
    </w:tbl>
    <w:p>
      <w:pPr>
        <w:pStyle w:val="000001"/>
        <w:widowControl/>
        <w:spacing w:line="520" w:lineRule="exact"/>
        <w:ind w:firstLine="537" w:firstLineChars="168"/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宋体" w:hAnsi="宋体" w:eastAsia="仿宋_GB2312" w:cs="宋体"/>
          <w:color w:val="000000"/>
          <w:kern w:val="0"/>
          <w:sz w:val="32"/>
          <w:szCs w:val="32"/>
        </w:rPr>
        <w:t> </w:t>
      </w:r>
    </w:p>
    <w:p>
      <w:pPr>
        <w:pStyle w:val="000001"/>
        <w:widowControl/>
        <w:spacing w:line="520" w:lineRule="exact"/>
        <w:ind w:firstLine="537" w:firstLineChars="168"/>
        <w:rPr>
          <w:rFonts w:hint="eastAsia" w:ascii="黑体" w:hAnsi="宋体" w:eastAsia="黑体" w:cs="宋体"/>
          <w:color w:val="000000"/>
          <w:kern w:val="0"/>
          <w:sz w:val="32"/>
          <w:szCs w:val="32"/>
        </w:rPr>
      </w:pPr>
      <w:r>
        <w:rPr>
          <w:rFonts w:hint="eastAsia" w:ascii="黑体" w:hAnsi="宋体" w:eastAsia="黑体" w:cs="宋体"/>
          <w:color w:val="000000"/>
          <w:kern w:val="0"/>
          <w:sz w:val="32"/>
          <w:szCs w:val="32"/>
        </w:rPr>
        <w:t>二、</w:t>
      </w:r>
      <w:r>
        <w:rPr>
          <w:rFonts w:hint="eastAsia" w:ascii="黑体" w:hAnsi="宋体" w:eastAsia="黑体" w:cs="宋体"/>
          <w:color w:val="000000"/>
          <w:kern w:val="0"/>
          <w:sz w:val="32"/>
          <w:szCs w:val="32"/>
          <w:lang w:eastAsia="zh-CN"/>
        </w:rPr>
        <w:t>2026</w:t>
      </w:r>
      <w:r>
        <w:rPr>
          <w:rFonts w:hint="eastAsia" w:ascii="黑体" w:hAnsi="宋体" w:eastAsia="黑体" w:cs="宋体"/>
          <w:color w:val="000000"/>
          <w:kern w:val="0"/>
          <w:sz w:val="32"/>
          <w:szCs w:val="32"/>
        </w:rPr>
        <w:t xml:space="preserve">年“三公”经费支出预算情况说明 </w:t>
      </w:r>
    </w:p>
    <w:p>
      <w:pPr>
        <w:pStyle w:val="000001"/>
        <w:widowControl/>
        <w:spacing w:line="520" w:lineRule="exact"/>
        <w:ind w:firstLine="537" w:firstLineChars="168"/>
        <w:rPr>
          <w:rFonts w:hint="eastAsia" w:ascii="仿宋_GB2312" w:hAnsi="仿宋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仿宋" w:eastAsia="仿宋_GB2312"/>
          <w:color w:val="000000"/>
          <w:sz w:val="32"/>
          <w:szCs w:val="32"/>
          <w:lang w:eastAsia="zh-CN"/>
        </w:rPr>
        <w:t>寿县丰庄镇人民政府2026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年一般公共预算“三公”经费支出预算为</w:t>
      </w:r>
      <w:r>
        <w:rPr>
          <w:rFonts w:hint="eastAsia" w:ascii="仿宋_GB2312" w:hAnsi="仿宋" w:eastAsia="仿宋_GB2312"/>
          <w:color w:val="000000"/>
          <w:sz w:val="32"/>
          <w:szCs w:val="32"/>
          <w:lang w:val="en-US" w:eastAsia="zh-CN"/>
        </w:rPr>
        <w:t>24.82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万元，比上年预算减少</w:t>
      </w:r>
      <w:r>
        <w:rPr>
          <w:rFonts w:hint="eastAsia" w:ascii="仿宋_GB2312" w:hAnsi="仿宋" w:eastAsia="仿宋_GB2312"/>
          <w:color w:val="000000"/>
          <w:sz w:val="32"/>
          <w:szCs w:val="32"/>
          <w:lang w:val="en-US" w:eastAsia="zh-CN"/>
        </w:rPr>
        <w:t>0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万元，</w:t>
      </w:r>
      <w:r>
        <w:rPr>
          <w:rFonts w:hint="eastAsia" w:ascii="仿宋_GB2312" w:hAnsi="仿宋" w:eastAsia="仿宋_GB2312"/>
          <w:sz w:val="32"/>
          <w:szCs w:val="32"/>
        </w:rPr>
        <w:t>下降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0</w:t>
      </w:r>
      <w:r>
        <w:rPr>
          <w:rFonts w:hint="eastAsia" w:ascii="仿宋_GB2312" w:hAnsi="仿宋" w:eastAsia="仿宋_GB2312"/>
          <w:sz w:val="32"/>
          <w:szCs w:val="32"/>
        </w:rPr>
        <w:t>%。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其中：公务接待费支出预算为</w:t>
      </w:r>
      <w:r>
        <w:rPr>
          <w:rFonts w:hint="eastAsia" w:ascii="仿宋_GB2312" w:hAnsi="仿宋" w:eastAsia="仿宋_GB2312"/>
          <w:color w:val="000000"/>
          <w:sz w:val="32"/>
          <w:szCs w:val="32"/>
          <w:lang w:val="en-US" w:eastAsia="zh-CN"/>
        </w:rPr>
        <w:t>10.55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万元，公务用车购置及运行费支出预算为</w:t>
      </w:r>
      <w:r>
        <w:rPr>
          <w:rFonts w:hint="eastAsia" w:ascii="仿宋_GB2312" w:hAnsi="仿宋" w:eastAsia="仿宋_GB2312"/>
          <w:color w:val="000000"/>
          <w:sz w:val="32"/>
          <w:szCs w:val="32"/>
          <w:lang w:val="en-US" w:eastAsia="zh-CN"/>
        </w:rPr>
        <w:t>14.26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万元。具体情况如下：</w:t>
      </w:r>
      <w:r>
        <w:rPr>
          <w:rFonts w:hint="eastAsia" w:ascii="仿宋_GB2312" w:hAnsi="仿宋" w:eastAsia="仿宋_GB2312" w:cs="宋体"/>
          <w:color w:val="000000"/>
          <w:kern w:val="0"/>
          <w:sz w:val="32"/>
          <w:szCs w:val="32"/>
        </w:rPr>
        <w:t xml:space="preserve"> </w:t>
      </w:r>
    </w:p>
    <w:p>
      <w:pPr>
        <w:pStyle w:val="000009"/>
        <w:spacing w:before="0" w:beforeAutospacing="false" w:after="0" w:afterAutospacing="false" w:line="520" w:lineRule="exact"/>
        <w:ind w:firstLine="480" w:firstLineChars="150"/>
        <w:jc w:val="both"/>
        <w:rPr>
          <w:rFonts w:hint="eastAsia" w:ascii="仿宋_GB2312" w:hAnsi="仿宋" w:eastAsia="仿宋_GB2312"/>
          <w:color w:val="000000"/>
          <w:sz w:val="32"/>
          <w:szCs w:val="32"/>
        </w:rPr>
      </w:pPr>
      <w:r>
        <w:rPr>
          <w:rFonts w:hint="eastAsia" w:ascii="仿宋_GB2312" w:hAnsi="仿宋" w:eastAsia="仿宋_GB2312"/>
          <w:color w:val="000000"/>
          <w:sz w:val="32"/>
          <w:szCs w:val="32"/>
        </w:rPr>
        <w:t>活动。经费使用严格按照《寿县党政机关因公临时出国经费管理办法的通知（财行〔2016〕29号)相关规定执行。</w:t>
      </w:r>
    </w:p>
    <w:p>
      <w:pPr>
        <w:pStyle w:val="000009"/>
        <w:spacing w:before="0" w:beforeAutospacing="false" w:after="0" w:afterAutospacing="false" w:line="520" w:lineRule="exact"/>
        <w:ind w:firstLine="480" w:firstLineChars="150"/>
        <w:jc w:val="both"/>
        <w:rPr>
          <w:rFonts w:hint="eastAsia" w:ascii="仿宋_GB2312" w:hAnsi="仿宋" w:eastAsia="仿宋_GB2312"/>
          <w:color w:val="000000"/>
          <w:sz w:val="32"/>
          <w:szCs w:val="32"/>
        </w:rPr>
      </w:pPr>
      <w:r>
        <w:rPr>
          <w:rFonts w:hint="eastAsia" w:ascii="仿宋_GB2312" w:hAnsi="仿宋" w:eastAsia="仿宋_GB2312"/>
          <w:color w:val="000000"/>
          <w:sz w:val="32"/>
          <w:szCs w:val="32"/>
        </w:rPr>
        <w:t>（二）</w:t>
      </w:r>
      <w:r>
        <w:rPr>
          <w:rFonts w:hint="eastAsia" w:ascii="仿宋_GB2312" w:hAnsi="仿宋" w:eastAsia="仿宋_GB2312"/>
          <w:b/>
          <w:color w:val="000000"/>
          <w:sz w:val="32"/>
          <w:szCs w:val="32"/>
        </w:rPr>
        <w:t>公务接待费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支出预算</w:t>
      </w:r>
      <w:r>
        <w:rPr>
          <w:rFonts w:hint="eastAsia" w:ascii="仿宋_GB2312" w:hAnsi="仿宋" w:eastAsia="仿宋_GB2312"/>
          <w:color w:val="000000"/>
          <w:sz w:val="32"/>
          <w:szCs w:val="32"/>
          <w:lang w:val="en-US" w:eastAsia="zh-CN"/>
        </w:rPr>
        <w:t>10.55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万元，</w:t>
      </w:r>
      <w:r>
        <w:rPr>
          <w:rFonts w:hint="eastAsia" w:ascii="仿宋_GB2312" w:hAnsi="仿宋" w:eastAsia="仿宋_GB2312"/>
          <w:sz w:val="32"/>
          <w:szCs w:val="32"/>
        </w:rPr>
        <w:t>比上年预算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无变化</w:t>
      </w:r>
      <w:r>
        <w:rPr>
          <w:rFonts w:hint="eastAsia" w:ascii="仿宋_GB2312" w:hAnsi="仿宋" w:eastAsia="仿宋_GB2312"/>
          <w:sz w:val="32"/>
          <w:szCs w:val="32"/>
        </w:rPr>
        <w:t>。该项经费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主要用于执行公务或开展业务活动等必要的公务往来支出。经费使用严格执行《党政机关厉行节约反对浪费条例》（中发〔2013〕13号）和《寿县党政机关公务接待管理规定（寿办发〔2015〕2号）规定。</w:t>
      </w:r>
    </w:p>
    <w:p>
      <w:pPr>
        <w:pStyle w:val="000009"/>
        <w:spacing w:before="0" w:beforeAutospacing="false" w:after="0" w:afterAutospacing="false" w:line="520" w:lineRule="exact"/>
        <w:ind w:firstLine="537" w:firstLineChars="168"/>
        <w:jc w:val="both"/>
        <w:rPr>
          <w:rFonts w:hint="eastAsia" w:ascii="仿宋_GB2312" w:hAnsi="仿宋" w:eastAsia="仿宋_GB2312"/>
          <w:color w:val="000000"/>
          <w:sz w:val="32"/>
          <w:szCs w:val="32"/>
        </w:rPr>
      </w:pPr>
      <w:r>
        <w:rPr>
          <w:rFonts w:hint="eastAsia" w:ascii="仿宋_GB2312" w:hAnsi="仿宋" w:eastAsia="仿宋_GB2312"/>
          <w:color w:val="000000"/>
          <w:sz w:val="32"/>
          <w:szCs w:val="32"/>
        </w:rPr>
        <w:t>（三）</w:t>
      </w:r>
      <w:r>
        <w:rPr>
          <w:rFonts w:hint="eastAsia" w:ascii="仿宋_GB2312" w:hAnsi="仿宋" w:eastAsia="仿宋_GB2312"/>
          <w:b/>
          <w:color w:val="000000"/>
          <w:sz w:val="32"/>
          <w:szCs w:val="32"/>
        </w:rPr>
        <w:t>公务用车购置及运行费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支出预算</w:t>
      </w:r>
      <w:r>
        <w:rPr>
          <w:rFonts w:hint="eastAsia" w:ascii="仿宋_GB2312" w:hAnsi="仿宋" w:eastAsia="仿宋_GB2312"/>
          <w:color w:val="000000"/>
          <w:sz w:val="32"/>
          <w:szCs w:val="32"/>
          <w:lang w:val="en-US" w:eastAsia="zh-CN"/>
        </w:rPr>
        <w:t>14.26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万元，</w:t>
      </w:r>
      <w:r>
        <w:rPr>
          <w:rFonts w:hint="eastAsia" w:ascii="仿宋_GB2312" w:hAnsi="仿宋" w:eastAsia="仿宋_GB2312"/>
          <w:color w:val="000000"/>
          <w:sz w:val="32"/>
          <w:szCs w:val="32"/>
          <w:lang w:val="en-US" w:eastAsia="zh-CN"/>
        </w:rPr>
        <w:t>与</w:t>
      </w:r>
      <w:r>
        <w:rPr>
          <w:rFonts w:hint="eastAsia" w:ascii="仿宋_GB2312" w:hAnsi="仿宋" w:eastAsia="仿宋_GB2312"/>
          <w:sz w:val="32"/>
          <w:szCs w:val="32"/>
        </w:rPr>
        <w:t>上年预算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比较无变化</w:t>
      </w:r>
      <w:r>
        <w:rPr>
          <w:rFonts w:hint="eastAsia" w:ascii="仿宋_GB2312" w:hAnsi="仿宋" w:eastAsia="仿宋_GB2312"/>
          <w:sz w:val="32"/>
          <w:szCs w:val="32"/>
        </w:rPr>
        <w:t>。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其中：公务用车运行费</w:t>
      </w:r>
      <w:r>
        <w:rPr>
          <w:rFonts w:hint="eastAsia" w:ascii="仿宋_GB2312" w:hAnsi="仿宋" w:eastAsia="仿宋_GB2312"/>
          <w:color w:val="000000"/>
          <w:sz w:val="32"/>
          <w:szCs w:val="32"/>
          <w:lang w:val="en-US" w:eastAsia="zh-CN"/>
        </w:rPr>
        <w:t>14.26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万元，</w:t>
      </w:r>
      <w:r>
        <w:rPr>
          <w:rFonts w:hint="eastAsia" w:ascii="仿宋_GB2312" w:hAnsi="仿宋" w:eastAsia="仿宋_GB2312"/>
          <w:color w:val="000000"/>
          <w:sz w:val="32"/>
          <w:szCs w:val="32"/>
          <w:lang w:val="en-US" w:eastAsia="zh-CN"/>
        </w:rPr>
        <w:t>与</w:t>
      </w:r>
      <w:r>
        <w:rPr>
          <w:rFonts w:hint="eastAsia" w:ascii="仿宋_GB2312" w:hAnsi="仿宋" w:eastAsia="仿宋_GB2312"/>
          <w:sz w:val="32"/>
          <w:szCs w:val="32"/>
        </w:rPr>
        <w:t>上年预算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比较无变化</w:t>
      </w:r>
      <w:r>
        <w:rPr>
          <w:rFonts w:hint="eastAsia" w:ascii="仿宋_GB2312" w:hAnsi="仿宋" w:eastAsia="仿宋_GB2312"/>
          <w:sz w:val="32"/>
          <w:szCs w:val="32"/>
        </w:rPr>
        <w:t>，该项经费主要用于车辆燃料费、维修费、过路过桥费等支出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。经费使用严格按照中央、省和市有关公务用车配备使用管理制度执行。</w:t>
      </w:r>
    </w:p>
    <w:p>
      <w:pPr>
        <w:pStyle w:val="000009"/>
        <w:spacing w:before="0" w:beforeAutospacing="false" w:after="0" w:afterAutospacing="false" w:line="520" w:lineRule="exact"/>
        <w:ind w:firstLine="537" w:firstLineChars="168"/>
        <w:jc w:val="both"/>
        <w:rPr>
          <w:rFonts w:hint="eastAsia" w:ascii="仿宋_GB2312" w:hAnsi="Verdana" w:eastAsia="仿宋_GB2312"/>
          <w:color w:val="444444"/>
          <w:sz w:val="32"/>
          <w:szCs w:val="32"/>
        </w:rPr>
      </w:pPr>
    </w:p>
    <w:p>
      <w:pPr>
        <w:pStyle w:val="000009"/>
        <w:spacing w:before="0" w:beforeAutospacing="false" w:after="0" w:afterAutospacing="false" w:line="520" w:lineRule="exact"/>
        <w:ind w:firstLine="537" w:firstLineChars="168"/>
        <w:jc w:val="both"/>
        <w:rPr>
          <w:rFonts w:hint="eastAsia" w:ascii="仿宋_GB2312" w:hAnsi="Verdana" w:eastAsia="仿宋_GB2312"/>
          <w:color w:val="444444"/>
          <w:sz w:val="32"/>
          <w:szCs w:val="32"/>
        </w:rPr>
      </w:pPr>
    </w:p>
    <w:p>
      <w:pPr>
        <w:pStyle w:val="000009"/>
        <w:spacing w:before="0" w:beforeAutospacing="false" w:after="0" w:afterAutospacing="false" w:line="520" w:lineRule="exact"/>
        <w:ind w:firstLine="537" w:firstLineChars="168"/>
        <w:jc w:val="both"/>
        <w:rPr>
          <w:rFonts w:hint="eastAsia" w:ascii="仿宋_GB2312" w:hAnsi="Verdana" w:eastAsia="仿宋_GB2312"/>
          <w:color w:val="444444"/>
          <w:sz w:val="32"/>
          <w:szCs w:val="32"/>
        </w:rPr>
      </w:pPr>
    </w:p>
    <w:sectPr>
      <w:type w:val="nextPage"/>
      <w:pgSz w:w="11906" w:h="16838"/>
      <w:pgMar w:top="1440" w:right="1800" w:bottom="1440" w:left="1800" w:header="851" w:footer="992" w:gutter="0"/>
      <w:cols/>
      <w:docGrid w:type="lines" w:linePitch="312"/>
    </w:sectPr>
  </w:body>
</w:document>
</file>

<file path=word/fontTable.xml><?xml version="1.0" encoding="utf-8"?>
<w:fonts xmlns:w="http://schemas.openxmlformats.org/wordprocessingml/2006/main">
  <w:font w:name="仿宋_GB2312">
    <w:altName w:val="仿宋"/>
    <w:panose1 w:val="02010609030101010101"/>
    <w:charset w:val="86" w:characterSet="ISO-8859-1"/>
    <w:family w:val="modern"/>
    <w:pitch w:val="default"/>
    <w:sig w:usb0="00000001" w:usb1="080E0000" w:usb2="00000000" w:usb3="00000000" w:csb0="00040000" w:csb1="00000000"/>
  </w:font>
  <w:font w:name="Times New Roman">
    <w:panose1 w:val="02020603050405020304"/>
    <w:charset w:val="00" w:characterSet="ISO-8859-1"/>
    <w:family w:val="auto"/>
    <w:pitch w:val="default"/>
    <w:sig w:usb0="E0002EFF" w:usb1="C000785B" w:usb2="00000009" w:usb3="00000000" w:csb0="400001FF" w:csb1="FFFF0000"/>
  </w:font>
  <w:font w:name="方正小标宋简体">
    <w:altName w:val="黑体"/>
    <w:panose1 w:val="03000509000000000000"/>
    <w:charset w:val="86" w:characterSet="ISO-8859-1"/>
    <w:family w:val="auto"/>
    <w:pitch w:val="default"/>
    <w:sig w:usb0="00000001" w:usb1="080E0000" w:usb2="00000000" w:usb3="00000000" w:csb0="00040000" w:csb1="00000000"/>
  </w:font>
  <w:font w:name="黑体">
    <w:panose1 w:val="02010609060101010101"/>
    <w:charset w:val="86" w:characterSet="ISO-8859-1"/>
    <w:family w:val="auto"/>
    <w:pitch w:val="default"/>
    <w:sig w:usb0="800002BF" w:usb1="38CF7CFA" w:usb2="00000016" w:usb3="00000000" w:csb0="00040001" w:csb1="00000000"/>
  </w:font>
  <w:font w:name="Verdana">
    <w:panose1 w:val="020b0604030504040204"/>
    <w:charset w:val="00" w:characterSet="ISO-8859-1"/>
    <w:family w:val="swiss"/>
    <w:pitch w:val="default"/>
    <w:sig w:usb0="A00006FF" w:usb1="4000205B" w:usb2="00000010" w:usb3="00000000" w:csb0="2000019F" w:csb1="00000000"/>
  </w:font>
  <w:font w:name="仿宋">
    <w:panose1 w:val="02010609060101010101"/>
    <w:charset w:val="86" w:characterSet="ISO-8859-1"/>
    <w:family w:val="modern"/>
    <w:pitch w:val="default"/>
    <w:sig w:usb0="800002BF" w:usb1="38CF7CFA" w:usb2="00000016" w:usb3="00000000" w:csb0="00040001" w:csb1="00000000"/>
  </w:font>
  <w:font w:name="宋体">
    <w:panose1 w:val="02010600030101010101"/>
    <w:charset w:val="86" w:characterSet="ISO-8859-1"/>
    <w:family w:val="auto"/>
    <w:pitch w:val="default"/>
    <w:sig w:usb0="00000203" w:usb1="288F0000" w:usb2="00000006" w:usb3="00000000" w:csb0="00040001" w:csb1="00000000"/>
  </w:font>
</w:fonts>
</file>

<file path=word/settings.xml><?xml version="1.0" encoding="utf-8"?>
<w:settings xmlns:w="http://schemas.openxmlformats.org/wordprocessingml/2006/main">
  <w:zoom w:percent="90"/>
  <w:stylePaneFormatFilter/>
  <w:defaultTabStop w:val="420"/>
  <w:displayHorizontalDrawingGridEvery w:val="0"/>
  <w:displayVerticalDrawingGridEvery w:val="2"/>
  <w:characterSpacingControl w:val="compressPunctuation"/>
  <w:footnotePr/>
  <w:endnotePr/>
  <w:compat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 w:cs="Times New Roman"/>
        <w:kern w:val="2"/>
        <w:sz w:val="21"/>
        <w:szCs w:val="22"/>
        <w:lang w:val="en-US"/>
      </w:rPr>
    </w:rPrDefault>
    <w:pPrDefault>
      <w:pPr/>
    </w:pPrDefault>
  </w:docDefaults>
  <w:style w:type="paragraph" w:styleId="000005">
    <w:name w:val="footer"/>
    <w:basedOn w:val="000001"/>
    <w:next w:val="000005"/>
    <w:link w:val="000006"/>
    <w:pPr>
      <w:tabs>
        <w:tab w:val="center" w:leader="none" w:pos="4153"/>
        <w:tab w:val="right" w:leader="none" w:pos="8306"/>
      </w:tabs>
      <w:jc w:val="left"/>
    </w:pPr>
    <w:rPr>
      <w:sz w:val="18"/>
      <w:szCs w:val="18"/>
    </w:rPr>
  </w:style>
  <w:style w:type="character" w:styleId="00000b">
    <w:name w:val="Hyperlink"/>
    <w:basedOn w:val="000002"/>
    <w:next w:val="00000b"/>
    <w:link w:val="000001"/>
    <w:uiPriority w:val="99"/>
    <w:unhideWhenUsed/>
    <w:rPr>
      <w:color w:val="0000ff"/>
      <w:u w:val="single"/>
    </w:rPr>
  </w:style>
  <w:style w:type="paragraph" w:styleId="000007">
    <w:name w:val="header"/>
    <w:basedOn w:val="000001"/>
    <w:next w:val="000007"/>
    <w:link w:val="000008"/>
    <w:pPr>
      <w:pBdr>
        <w:bottom w:val="single" w:color="000000" w:sz="6" w:space="1"/>
      </w:pBdr>
      <w:tabs>
        <w:tab w:val="center" w:leader="none" w:pos="4153"/>
        <w:tab w:val="right" w:leader="none" w:pos="8306"/>
      </w:tabs>
      <w:jc w:val="center"/>
    </w:pPr>
    <w:rPr>
      <w:sz w:val="18"/>
      <w:szCs w:val="18"/>
    </w:rPr>
  </w:style>
  <w:style w:type="paragraph" w:styleId="000004">
    <w:name w:val="Balloon Text"/>
    <w:basedOn w:val="000001"/>
    <w:next w:val="000004"/>
    <w:link w:val="000001"/>
    <w:semiHidden/>
    <w:rPr>
      <w:sz w:val="18"/>
      <w:szCs w:val="18"/>
    </w:rPr>
  </w:style>
  <w:style w:type="character" w:styleId="000002">
    <w:name w:val="Default Paragraph Font"/>
    <w:next w:val="000002"/>
    <w:link w:val="000001"/>
    <w:semiHidden/>
  </w:style>
  <w:style w:type="character" w:styleId="00000a">
    <w:name w:val="Strong"/>
    <w:basedOn w:val="000002"/>
    <w:next w:val="00000a"/>
    <w:link w:val="000001"/>
    <w:qFormat/>
    <w:rPr>
      <w:b/>
      <w:bCs/>
    </w:rPr>
  </w:style>
  <w:style w:type="paragraph" w:styleId="000009">
    <w:name w:val="Normal (Web)"/>
    <w:basedOn w:val="000001"/>
    <w:next w:val="000009"/>
    <w:link w:val="000001"/>
    <w:pPr>
      <w:widowControl/>
      <w:spacing w:before="100" w:beforeAutospacing="true" w:after="100" w:afterAutospacing="true"/>
      <w:jc w:val="left"/>
    </w:pPr>
    <w:rPr>
      <w:rFonts w:ascii="宋体" w:hAnsi="宋体" w:cs="宋体"/>
      <w:kern w:val="0"/>
      <w:sz w:val="24"/>
    </w:rPr>
  </w:style>
  <w:style w:type="paragraph" w:styleId="000001">
    <w:name w:val="Normal"/>
    <w:aliases w:val="正文"/>
    <w:next w:val="000001"/>
    <w:link w:val="000001"/>
    <w:qFormat/>
    <w:pPr>
      <w:widowControl w:val="false"/>
      <w:jc w:val="both"/>
    </w:pPr>
    <w:rPr>
      <w:kern w:val="2"/>
      <w:sz w:val="21"/>
      <w:szCs w:val="24"/>
      <w:lang w:val="en-US" w:eastAsia="zh-CN" w:bidi="ar-SA"/>
    </w:rPr>
  </w:style>
  <w:style w:type="character" w:styleId="000008">
    <w:name w:val="页眉 Char"/>
    <w:basedOn w:val="000002"/>
    <w:next w:val="000008"/>
    <w:link w:val="000007"/>
    <w:rPr>
      <w:kern w:val="2"/>
      <w:sz w:val="18"/>
      <w:szCs w:val="18"/>
    </w:rPr>
  </w:style>
  <w:style w:type="character" w:styleId="000006">
    <w:name w:val="页脚 Char"/>
    <w:basedOn w:val="000002"/>
    <w:next w:val="000006"/>
    <w:link w:val="000005"/>
    <w:rPr>
      <w:kern w:val="2"/>
      <w:sz w:val="18"/>
      <w:szCs w:val="18"/>
    </w:rPr>
  </w:style>
  <w:style w:type="table" w:styleId="000003">
    <w:name w:val="Normal Table"/>
    <w:next w:val="000003"/>
    <w:link w:val="000001"/>
    <w:semiHidden/>
  </w:style>
  <w:style w:type="paragraph" w:styleId="00000c">
    <w:name w:val="p0"/>
    <w:basedOn w:val="000001"/>
    <w:next w:val="00000c"/>
    <w:link w:val="000001"/>
    <w:pPr>
      <w:widowControl/>
      <w:spacing w:before="100" w:beforeAutospacing="true" w:after="100" w:afterAutospacing="true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<Relationships xmlns="http://schemas.openxmlformats.org/package/2006/relationships"><Relationship Id="rId0" Type="http://schemas.openxmlformats.org/officeDocument/2006/relationships/styles" Target="styles.xml" /><Relationship Id="rId3" Type="http://schemas.openxmlformats.org/officeDocument/2006/relationships/theme" Target="theme/theme1.xml" /><Relationship Id="rId1" Type="http://schemas.openxmlformats.org/officeDocument/2006/relationships/settings" Target="settings.xml" /><Relationship Id="rId2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xmlns:thm15="http://schemas.microsoft.com/office/thememl/2012/main" xmlns:mc="http://schemas.openxmlformats.org/markup-compatibility/2006" name="Office 主题​​" mc:Ignorable="thm15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Tencent office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2026-02-06T09:05:09Z</dcterms:created>
  <dcterms:modified xsi:type="dcterms:W3CDTF">2026-02-06T09:05:09Z</dcterms:modified>
</cp:coreProperties>
</file>