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0D058E">
      <w:pPr>
        <w:spacing w:line="580" w:lineRule="exact"/>
        <w:jc w:val="center"/>
        <w:rPr>
          <w:rFonts w:hint="eastAsia" w:ascii="方正小标宋简体" w:eastAsia="方正小标宋简体"/>
          <w:sz w:val="44"/>
          <w:lang w:eastAsia="zh-CN"/>
        </w:rPr>
      </w:pPr>
      <w:r>
        <w:rPr>
          <w:rFonts w:hint="eastAsia" w:ascii="方正小标宋简体" w:eastAsia="方正小标宋简体"/>
          <w:sz w:val="44"/>
        </w:rPr>
        <w:t>炎刘镇2025年经济发展情况</w:t>
      </w:r>
      <w:r>
        <w:rPr>
          <w:rFonts w:hint="eastAsia" w:ascii="方正小标宋简体" w:eastAsia="方正小标宋简体"/>
          <w:sz w:val="44"/>
          <w:lang w:val="en-US" w:eastAsia="zh-CN"/>
        </w:rPr>
        <w:t>汇报</w:t>
      </w:r>
    </w:p>
    <w:p w14:paraId="663CAA98">
      <w:pPr>
        <w:spacing w:line="580" w:lineRule="exact"/>
        <w:rPr>
          <w:rFonts w:ascii="仿宋_GB2312" w:eastAsia="仿宋_GB2312"/>
          <w:sz w:val="32"/>
        </w:rPr>
      </w:pPr>
    </w:p>
    <w:p w14:paraId="0355C781">
      <w:pPr>
        <w:spacing w:line="540" w:lineRule="exact"/>
        <w:rPr>
          <w:rFonts w:ascii="仿宋_GB2312" w:eastAsia="仿宋_GB2312"/>
          <w:sz w:val="32"/>
        </w:rPr>
      </w:pPr>
      <w:r>
        <w:rPr>
          <w:rFonts w:hint="eastAsia" w:ascii="仿宋_GB2312" w:eastAsia="仿宋_GB2312"/>
          <w:sz w:val="32"/>
        </w:rPr>
        <w:t xml:space="preserve">    2025年，炎刘镇在县委、县政府的正确领导下，在县直相关部门的指导下，紧盯全年经济发展目标任务，抓指标、攻项目、促调整，</w:t>
      </w:r>
      <w:r>
        <w:rPr>
          <w:rFonts w:hint="eastAsia" w:ascii="仿宋" w:hAnsi="仿宋" w:eastAsia="仿宋" w:cs="仿宋"/>
          <w:sz w:val="32"/>
          <w:szCs w:val="32"/>
        </w:rPr>
        <w:t>较好地</w:t>
      </w:r>
      <w:r>
        <w:rPr>
          <w:rFonts w:hint="eastAsia" w:ascii="仿宋_GB2312" w:hAnsi="仿宋_GB2312" w:eastAsia="仿宋_GB2312" w:cs="仿宋_GB2312"/>
          <w:sz w:val="32"/>
          <w:szCs w:val="32"/>
        </w:rPr>
        <w:t>完成了各项经济工作任务。</w:t>
      </w:r>
    </w:p>
    <w:p w14:paraId="4D8B7BA8">
      <w:pPr>
        <w:spacing w:line="540" w:lineRule="exact"/>
        <w:ind w:firstLine="640" w:firstLineChars="200"/>
        <w:rPr>
          <w:rFonts w:ascii="黑体" w:hAnsi="黑体" w:eastAsia="黑体"/>
          <w:sz w:val="32"/>
        </w:rPr>
      </w:pPr>
      <w:r>
        <w:rPr>
          <w:rFonts w:hint="eastAsia" w:ascii="黑体" w:hAnsi="黑体" w:eastAsia="黑体"/>
          <w:sz w:val="32"/>
        </w:rPr>
        <w:t>一、重点工作开展情况</w:t>
      </w:r>
    </w:p>
    <w:p w14:paraId="77F793C3">
      <w:pPr>
        <w:autoSpaceDE w:val="0"/>
        <w:autoSpaceDN w:val="0"/>
        <w:adjustRightInd w:val="0"/>
        <w:snapToGrid w:val="0"/>
        <w:spacing w:line="540" w:lineRule="exact"/>
        <w:ind w:firstLine="643" w:firstLineChars="200"/>
        <w:rPr>
          <w:rFonts w:ascii="仿宋_GB2312" w:hAnsi="仿宋" w:eastAsia="仿宋_GB2312"/>
          <w:sz w:val="32"/>
          <w:szCs w:val="32"/>
        </w:rPr>
      </w:pPr>
      <w:r>
        <w:rPr>
          <w:rFonts w:hint="eastAsia" w:ascii="楷体" w:hAnsi="楷体" w:eastAsia="楷体"/>
          <w:b/>
          <w:sz w:val="32"/>
        </w:rPr>
        <w:t>（一）招商引资实现新突破。</w:t>
      </w:r>
      <w:r>
        <w:rPr>
          <w:rFonts w:hint="eastAsia" w:ascii="仿宋_GB2312" w:eastAsia="仿宋_GB2312"/>
          <w:sz w:val="32"/>
          <w:szCs w:val="32"/>
        </w:rPr>
        <w:t>2025年，引进亿元以上省外项目资金额21200万元，完成年度目标任务20000万元的106%；3000万元以上工业招商项目实际形成固定资产投资额7210万元（不含宁波精益项目），完成年度目标任务5000万元的144.2%。</w:t>
      </w:r>
      <w:r>
        <w:rPr>
          <w:rFonts w:ascii="仿宋_GB2312" w:eastAsia="仿宋_GB2312"/>
          <w:b/>
          <w:bCs/>
          <w:sz w:val="32"/>
          <w:szCs w:val="32"/>
        </w:rPr>
        <w:t>新签约</w:t>
      </w:r>
      <w:r>
        <w:rPr>
          <w:rFonts w:hint="eastAsia" w:ascii="仿宋_GB2312" w:eastAsia="仿宋_GB2312"/>
          <w:sz w:val="32"/>
          <w:szCs w:val="32"/>
        </w:rPr>
        <w:t>亿元以上</w:t>
      </w:r>
      <w:r>
        <w:rPr>
          <w:rFonts w:ascii="仿宋_GB2312" w:eastAsia="仿宋_GB2312"/>
          <w:sz w:val="32"/>
          <w:szCs w:val="32"/>
        </w:rPr>
        <w:t>项目数</w:t>
      </w:r>
      <w:r>
        <w:rPr>
          <w:rFonts w:hint="eastAsia" w:ascii="仿宋_GB2312" w:eastAsia="仿宋_GB2312"/>
          <w:sz w:val="32"/>
          <w:szCs w:val="32"/>
        </w:rPr>
        <w:t>3个，</w:t>
      </w:r>
      <w:r>
        <w:rPr>
          <w:rFonts w:hint="eastAsia" w:ascii="仿宋_GB2312" w:hAnsi="仿宋_GB2312" w:eastAsia="仿宋_GB2312" w:cs="仿宋_GB2312"/>
          <w:color w:val="000000"/>
          <w:sz w:val="32"/>
          <w:szCs w:val="32"/>
        </w:rPr>
        <w:t>宁波精益微型轴有限公司投资12 亿元的年产300万只铝合金轮毂项目（落户园区）；</w:t>
      </w:r>
      <w:r>
        <w:rPr>
          <w:rFonts w:hint="eastAsia" w:ascii="仿宋_GB2312" w:eastAsia="仿宋_GB2312"/>
          <w:sz w:val="32"/>
          <w:szCs w:val="32"/>
        </w:rPr>
        <w:t>南京途艺环保建材科技有限公司投资的新型建材产业园项目，总投资1.7亿元；龙头建材节能砖生产项目，总投资</w:t>
      </w:r>
      <w:r>
        <w:rPr>
          <w:rFonts w:hint="eastAsia" w:ascii="仿宋_GB2312" w:eastAsia="仿宋_GB2312"/>
          <w:sz w:val="32"/>
          <w:szCs w:val="32"/>
          <w:lang w:val="en-US" w:eastAsia="zh-CN"/>
        </w:rPr>
        <w:t>1.2</w:t>
      </w:r>
      <w:r>
        <w:rPr>
          <w:rFonts w:hint="eastAsia" w:ascii="仿宋_GB2312" w:eastAsia="仿宋_GB2312"/>
          <w:sz w:val="32"/>
          <w:szCs w:val="32"/>
        </w:rPr>
        <w:t>亿元。</w:t>
      </w:r>
      <w:r>
        <w:rPr>
          <w:rFonts w:hint="eastAsia" w:ascii="仿宋_GB2312" w:hAnsi="Calibri" w:eastAsia="仿宋_GB2312" w:cs="Times New Roman"/>
          <w:b/>
          <w:bCs/>
          <w:sz w:val="32"/>
          <w:szCs w:val="32"/>
        </w:rPr>
        <w:t>新开工</w:t>
      </w:r>
      <w:r>
        <w:rPr>
          <w:rFonts w:ascii="仿宋_GB2312" w:eastAsia="仿宋_GB2312"/>
          <w:sz w:val="32"/>
          <w:szCs w:val="32"/>
        </w:rPr>
        <w:t>纳统工业招商项目数</w:t>
      </w:r>
      <w:r>
        <w:rPr>
          <w:rFonts w:hint="eastAsia" w:ascii="仿宋_GB2312" w:eastAsia="仿宋_GB2312"/>
          <w:sz w:val="32"/>
          <w:szCs w:val="32"/>
        </w:rPr>
        <w:t>3个，</w:t>
      </w:r>
      <w:r>
        <w:rPr>
          <w:rFonts w:hint="eastAsia" w:ascii="仿宋_GB2312" w:hAnsi="仿宋_GB2312" w:eastAsia="仿宋_GB2312" w:cs="仿宋_GB2312"/>
          <w:color w:val="000000"/>
          <w:sz w:val="32"/>
          <w:szCs w:val="32"/>
        </w:rPr>
        <w:t>宁波精益微型轴有限公司投资12 亿元的年产300万只铝合金轮毂项目（落户园区）；</w:t>
      </w:r>
      <w:r>
        <w:rPr>
          <w:rFonts w:hint="eastAsia" w:ascii="仿宋_GB2312" w:eastAsia="仿宋_GB2312"/>
          <w:sz w:val="32"/>
          <w:szCs w:val="32"/>
        </w:rPr>
        <w:t>南京途艺环保建材科技有限公司投资的新型建材产业园项目，总投资1.7亿元；龙头建材节能砖生产项目，总投资</w:t>
      </w:r>
      <w:r>
        <w:rPr>
          <w:rFonts w:hint="eastAsia" w:ascii="仿宋_GB2312" w:eastAsia="仿宋_GB2312"/>
          <w:sz w:val="32"/>
          <w:szCs w:val="32"/>
          <w:lang w:val="en-US" w:eastAsia="zh-CN"/>
        </w:rPr>
        <w:t>1.2</w:t>
      </w:r>
      <w:bookmarkStart w:id="0" w:name="_GoBack"/>
      <w:bookmarkEnd w:id="0"/>
      <w:r>
        <w:rPr>
          <w:rFonts w:hint="eastAsia" w:ascii="仿宋_GB2312" w:eastAsia="仿宋_GB2312"/>
          <w:sz w:val="32"/>
          <w:szCs w:val="32"/>
        </w:rPr>
        <w:t>亿元。</w:t>
      </w:r>
      <w:r>
        <w:rPr>
          <w:rFonts w:hint="eastAsia" w:ascii="仿宋_GB2312" w:hAnsi="Calibri" w:eastAsia="仿宋_GB2312" w:cs="Times New Roman"/>
          <w:b/>
          <w:bCs/>
          <w:sz w:val="32"/>
          <w:szCs w:val="32"/>
        </w:rPr>
        <w:t>省外亿元新入库</w:t>
      </w:r>
      <w:r>
        <w:rPr>
          <w:rFonts w:hint="eastAsia" w:ascii="仿宋_GB2312" w:eastAsia="仿宋_GB2312"/>
          <w:sz w:val="32"/>
          <w:szCs w:val="32"/>
        </w:rPr>
        <w:t>项目2个，南京途艺公司投资的新型建材产业园项目和龙头建材节能砖生产项目。</w:t>
      </w:r>
    </w:p>
    <w:p w14:paraId="69EA7A58">
      <w:pPr>
        <w:spacing w:line="540" w:lineRule="exact"/>
        <w:ind w:firstLine="643" w:firstLineChars="200"/>
        <w:rPr>
          <w:rFonts w:ascii="楷体" w:hAnsi="楷体" w:eastAsia="楷体"/>
          <w:b/>
          <w:sz w:val="32"/>
        </w:rPr>
      </w:pPr>
      <w:r>
        <w:rPr>
          <w:rFonts w:hint="eastAsia" w:ascii="楷体" w:hAnsi="楷体" w:eastAsia="楷体"/>
          <w:b/>
          <w:sz w:val="32"/>
        </w:rPr>
        <w:t>（二）项目投资实现新成效。</w:t>
      </w:r>
      <w:r>
        <w:rPr>
          <w:rFonts w:hint="eastAsia" w:ascii="仿宋_GB2312" w:eastAsia="仿宋_GB2312"/>
          <w:sz w:val="32"/>
          <w:szCs w:val="32"/>
        </w:rPr>
        <w:t>2025年，新开工入库固定资产投资项目6个，涉及科技固投项目、一产固投项目、工业技改项目等各领域，总投资10740万元，累计完成固定资产投资9902万元，同比增长0.36%。</w:t>
      </w:r>
    </w:p>
    <w:p w14:paraId="0ED70F54">
      <w:pPr>
        <w:autoSpaceDE w:val="0"/>
        <w:autoSpaceDN w:val="0"/>
        <w:adjustRightInd w:val="0"/>
        <w:snapToGrid w:val="0"/>
        <w:spacing w:line="540" w:lineRule="exact"/>
        <w:ind w:firstLine="643" w:firstLineChars="200"/>
        <w:rPr>
          <w:rFonts w:hint="eastAsia" w:ascii="仿宋_GB2312" w:hAnsi="Calibri" w:eastAsia="仿宋_GB2312" w:cs="Times New Roman"/>
          <w:sz w:val="32"/>
          <w:szCs w:val="32"/>
          <w:lang w:val="en-US" w:eastAsia="zh-CN"/>
        </w:rPr>
      </w:pPr>
      <w:r>
        <w:rPr>
          <w:rFonts w:hint="eastAsia" w:ascii="楷体" w:hAnsi="楷体" w:eastAsia="楷体"/>
          <w:b/>
          <w:sz w:val="32"/>
        </w:rPr>
        <w:t>（三）工业经济实现新发展。</w:t>
      </w:r>
      <w:r>
        <w:rPr>
          <w:rFonts w:hint="eastAsia" w:ascii="仿宋_GB2312" w:eastAsia="仿宋_GB2312"/>
          <w:sz w:val="32"/>
          <w:szCs w:val="32"/>
        </w:rPr>
        <w:t>2025年，</w:t>
      </w:r>
      <w:r>
        <w:rPr>
          <w:rFonts w:hint="eastAsia" w:ascii="仿宋_GB2312" w:hAnsi="Calibri" w:eastAsia="仿宋_GB2312" w:cs="Times New Roman"/>
          <w:sz w:val="32"/>
          <w:szCs w:val="32"/>
        </w:rPr>
        <w:t>6家规模以上工业企业全年实现总产值49968万元（新桥混凝土8月核减5600万元），同比增长1.3%。完成工业投资7114万元，技改投资5197万元。成功获批“省级专精特新企业”3家，均为牵头引进落户园区企业。</w:t>
      </w:r>
      <w:r>
        <w:rPr>
          <w:rFonts w:hint="eastAsia" w:ascii="仿宋_GB2312" w:hAnsi="Calibri" w:eastAsia="仿宋_GB2312" w:cs="Times New Roman"/>
          <w:sz w:val="32"/>
          <w:szCs w:val="32"/>
          <w:lang w:val="en-US" w:eastAsia="zh-CN"/>
        </w:rPr>
        <w:t xml:space="preserve">  </w:t>
      </w:r>
    </w:p>
    <w:p w14:paraId="1F5EC725">
      <w:pPr>
        <w:autoSpaceDE w:val="0"/>
        <w:autoSpaceDN w:val="0"/>
        <w:adjustRightInd w:val="0"/>
        <w:snapToGrid w:val="0"/>
        <w:spacing w:line="540" w:lineRule="exact"/>
        <w:ind w:firstLine="643" w:firstLineChars="200"/>
        <w:rPr>
          <w:rFonts w:ascii="仿宋_GB2312" w:eastAsia="仿宋_GB2312"/>
          <w:sz w:val="32"/>
        </w:rPr>
      </w:pPr>
      <w:r>
        <w:rPr>
          <w:rFonts w:hint="eastAsia" w:ascii="楷体" w:hAnsi="楷体" w:eastAsia="楷体" w:cstheme="minorBidi"/>
          <w:b/>
          <w:kern w:val="2"/>
          <w:sz w:val="32"/>
          <w:szCs w:val="22"/>
        </w:rPr>
        <w:t>（四）</w:t>
      </w:r>
      <w:r>
        <w:rPr>
          <w:rFonts w:hint="eastAsia" w:ascii="楷体" w:hAnsi="楷体" w:eastAsia="楷体"/>
          <w:b/>
          <w:sz w:val="32"/>
        </w:rPr>
        <w:t>科技创新实现新提升。</w:t>
      </w:r>
      <w:r>
        <w:rPr>
          <w:rFonts w:hint="eastAsia" w:ascii="仿宋_GB2312" w:eastAsia="仿宋_GB2312"/>
          <w:sz w:val="32"/>
          <w:szCs w:val="32"/>
        </w:rPr>
        <w:t>2025年，县委关于科技创新工作4大项考核，我镇完成成效明显。</w:t>
      </w:r>
      <w:r>
        <w:rPr>
          <w:rFonts w:hint="eastAsia" w:ascii="楷体" w:hAnsi="楷体" w:eastAsia="楷体" w:cs="Times New Roman"/>
          <w:b/>
          <w:color w:val="000000"/>
          <w:sz w:val="32"/>
          <w:szCs w:val="28"/>
        </w:rPr>
        <w:t>1.高企申报：</w:t>
      </w:r>
      <w:r>
        <w:rPr>
          <w:rFonts w:hint="eastAsia" w:ascii="仿宋_GB2312" w:hAnsi="Calibri" w:eastAsia="仿宋_GB2312" w:cs="Times New Roman"/>
          <w:sz w:val="32"/>
          <w:szCs w:val="32"/>
        </w:rPr>
        <w:t>任务1家，完成1.5家，分别是：云星家居、灿邦新能源、玖仟玖新材料，炎刘镇和寿蜀园区各一半。</w:t>
      </w:r>
      <w:r>
        <w:rPr>
          <w:rFonts w:hint="eastAsia" w:ascii="楷体" w:hAnsi="楷体" w:eastAsia="楷体" w:cs="Times New Roman"/>
          <w:b/>
          <w:color w:val="000000"/>
          <w:sz w:val="32"/>
          <w:szCs w:val="28"/>
        </w:rPr>
        <w:t>2.科小申报：</w:t>
      </w:r>
      <w:r>
        <w:rPr>
          <w:rFonts w:hint="eastAsia" w:ascii="仿宋_GB2312" w:hAnsi="Calibri" w:eastAsia="仿宋_GB2312" w:cs="Times New Roman"/>
          <w:sz w:val="32"/>
          <w:szCs w:val="32"/>
        </w:rPr>
        <w:t>任务5家，完成9家，分别是：云星家居、灿邦新能源、玖仟玖新材料、毅博农业生态、盛阔生态农业、中展建筑工程、安徽辉腾电器、安徽徽志包装、寿县启航木业。</w:t>
      </w:r>
      <w:r>
        <w:rPr>
          <w:rFonts w:hint="eastAsia" w:ascii="楷体" w:hAnsi="楷体" w:eastAsia="楷体" w:cs="Times New Roman"/>
          <w:b/>
          <w:color w:val="000000"/>
          <w:sz w:val="32"/>
          <w:szCs w:val="28"/>
        </w:rPr>
        <w:t>3.科技固投</w:t>
      </w:r>
      <w:r>
        <w:rPr>
          <w:rFonts w:hint="eastAsia" w:ascii="仿宋_GB2312" w:hAnsi="Calibri" w:eastAsia="仿宋_GB2312" w:cs="Times New Roman"/>
          <w:sz w:val="32"/>
          <w:szCs w:val="32"/>
        </w:rPr>
        <w:t>：任务500万元，完成520万元，为安徽双牧牧业农事服务项目。</w:t>
      </w:r>
      <w:r>
        <w:rPr>
          <w:rFonts w:hint="eastAsia" w:ascii="楷体" w:hAnsi="楷体" w:eastAsia="楷体" w:cs="Times New Roman"/>
          <w:b/>
          <w:color w:val="000000"/>
          <w:sz w:val="32"/>
          <w:szCs w:val="28"/>
        </w:rPr>
        <w:t>4.科技成果转化：</w:t>
      </w:r>
      <w:r>
        <w:rPr>
          <w:rFonts w:hint="eastAsia" w:ascii="仿宋_GB2312" w:hAnsi="Calibri" w:eastAsia="仿宋_GB2312" w:cs="Times New Roman"/>
          <w:sz w:val="32"/>
          <w:szCs w:val="32"/>
        </w:rPr>
        <w:t>吸纳沪苏浙高效技术合同，任务20万元，已完成；2.科技成果登记数，任务10件，已完成7件；</w:t>
      </w:r>
    </w:p>
    <w:p w14:paraId="04BCD273">
      <w:pPr>
        <w:spacing w:line="540" w:lineRule="exact"/>
        <w:ind w:firstLine="630" w:firstLineChars="196"/>
        <w:rPr>
          <w:rFonts w:ascii="仿宋_GB2312" w:eastAsia="楷体"/>
          <w:sz w:val="32"/>
        </w:rPr>
      </w:pPr>
      <w:r>
        <w:rPr>
          <w:rFonts w:hint="eastAsia" w:ascii="楷体" w:hAnsi="楷体" w:eastAsia="楷体"/>
          <w:b/>
          <w:sz w:val="32"/>
        </w:rPr>
        <w:t>（五）</w:t>
      </w:r>
      <w:r>
        <w:rPr>
          <w:rFonts w:hint="eastAsia" w:ascii="楷体" w:hAnsi="楷体" w:eastAsia="楷体" w:cstheme="minorBidi"/>
          <w:b/>
          <w:kern w:val="2"/>
          <w:sz w:val="32"/>
          <w:szCs w:val="22"/>
        </w:rPr>
        <w:t>“四上”企业培育实现新跨越。</w:t>
      </w:r>
      <w:r>
        <w:rPr>
          <w:rFonts w:hint="eastAsia" w:ascii="仿宋_GB2312" w:hAnsi="Calibri" w:eastAsia="仿宋_GB2312" w:cs="Times New Roman"/>
          <w:kern w:val="2"/>
          <w:sz w:val="32"/>
          <w:szCs w:val="32"/>
        </w:rPr>
        <w:t>新培育限额以上商单位3家，分别是寿县玲珑春大酒店有限公司、寿县镇东餐饮管理服务有限公司和寿县广岩街道易购生活超市。新培育规上工业企业2家，均为落户园区企业。</w:t>
      </w:r>
    </w:p>
    <w:p w14:paraId="5D626CAA">
      <w:pPr>
        <w:spacing w:line="540" w:lineRule="exact"/>
        <w:ind w:firstLine="640" w:firstLineChars="200"/>
        <w:rPr>
          <w:rFonts w:ascii="黑体" w:hAnsi="黑体" w:eastAsia="黑体"/>
          <w:sz w:val="32"/>
        </w:rPr>
      </w:pPr>
      <w:r>
        <w:rPr>
          <w:rFonts w:hint="eastAsia" w:ascii="黑体" w:hAnsi="黑体" w:eastAsia="黑体"/>
          <w:sz w:val="32"/>
        </w:rPr>
        <w:t>二、存在问题</w:t>
      </w:r>
    </w:p>
    <w:p w14:paraId="48D3240A">
      <w:pPr>
        <w:spacing w:line="540" w:lineRule="exact"/>
        <w:ind w:firstLine="643" w:firstLineChars="200"/>
        <w:rPr>
          <w:rFonts w:ascii="仿宋_GB2312" w:eastAsia="楷体"/>
          <w:sz w:val="32"/>
        </w:rPr>
      </w:pPr>
      <w:r>
        <w:rPr>
          <w:rFonts w:hint="eastAsia" w:ascii="楷体" w:hAnsi="楷体" w:eastAsia="楷体"/>
          <w:b/>
          <w:sz w:val="32"/>
        </w:rPr>
        <w:t>1.招商引资工作存在“硬伤”。</w:t>
      </w:r>
      <w:r>
        <w:rPr>
          <w:rFonts w:hint="eastAsia" w:ascii="仿宋_GB2312" w:hAnsi="Calibri" w:eastAsia="仿宋_GB2312" w:cs="Times New Roman"/>
          <w:sz w:val="32"/>
          <w:szCs w:val="32"/>
        </w:rPr>
        <w:t>镇域内建设用地和标准化厂房等载体缺失，导致新项目缺乏落地空间</w:t>
      </w:r>
      <w:r>
        <w:rPr>
          <w:rFonts w:hint="eastAsia" w:ascii="仿宋_GB2312" w:eastAsia="楷体"/>
          <w:sz w:val="32"/>
        </w:rPr>
        <w:t>。</w:t>
      </w:r>
    </w:p>
    <w:p w14:paraId="3C4B74C7">
      <w:pPr>
        <w:spacing w:line="540" w:lineRule="exact"/>
        <w:ind w:firstLine="630" w:firstLineChars="196"/>
        <w:rPr>
          <w:rFonts w:ascii="仿宋_GB2312" w:hAnsi="Calibri" w:eastAsia="仿宋_GB2312" w:cs="Times New Roman"/>
          <w:sz w:val="32"/>
          <w:szCs w:val="32"/>
        </w:rPr>
      </w:pPr>
      <w:r>
        <w:rPr>
          <w:rFonts w:hint="eastAsia" w:ascii="楷体" w:hAnsi="楷体" w:eastAsia="楷体"/>
          <w:b/>
          <w:sz w:val="32"/>
        </w:rPr>
        <w:t>2.2026年项目储备薄弱。</w:t>
      </w:r>
      <w:r>
        <w:rPr>
          <w:rFonts w:hint="eastAsia" w:ascii="仿宋_GB2312" w:hAnsi="Calibri" w:eastAsia="仿宋_GB2312" w:cs="Times New Roman"/>
          <w:sz w:val="32"/>
          <w:szCs w:val="32"/>
        </w:rPr>
        <w:t>前期摸排计划新开工项目9个，其中，炎刘镇全民健身中心项目、炎刘镇下小桥改造工程、炎刘镇石埠村渠道综合治理项目、三关街道修建雨污管道及周边环境综合治理项目、炎刘镇三关村粮食烘干仓储项目、炎刘镇圣井村智能化育秧科创中心建设项目等6个都是争取上级财政资金项目，开工不确定因素多。</w:t>
      </w:r>
    </w:p>
    <w:p w14:paraId="37FBF0EF">
      <w:pPr>
        <w:pStyle w:val="3"/>
        <w:spacing w:line="540" w:lineRule="exact"/>
        <w:ind w:firstLine="643"/>
        <w:rPr>
          <w:rFonts w:hint="default"/>
        </w:rPr>
      </w:pPr>
      <w:r>
        <w:rPr>
          <w:rFonts w:ascii="楷体" w:hAnsi="楷体" w:eastAsia="楷体" w:cstheme="minorBidi"/>
          <w:b/>
          <w:sz w:val="32"/>
          <w:szCs w:val="22"/>
        </w:rPr>
        <w:t>3.产业结构调整面临困难。</w:t>
      </w:r>
      <w:r>
        <w:rPr>
          <w:rFonts w:ascii="仿宋_GB2312" w:hAnsi="仿宋_GB2312" w:eastAsia="仿宋_GB2312" w:cs="仿宋_GB2312"/>
          <w:sz w:val="32"/>
          <w:szCs w:val="32"/>
        </w:rPr>
        <w:t>我镇规上工业企业，主要以建材生产等传统行业为主，产业结构单一，部分行业产能过剩，受市场环境影响大，企业技改投入及转型升级意愿不强，2026年产值增长压力较大。</w:t>
      </w:r>
    </w:p>
    <w:p w14:paraId="0FF312B6">
      <w:pPr>
        <w:spacing w:line="540" w:lineRule="exact"/>
        <w:ind w:firstLine="640" w:firstLineChars="200"/>
        <w:rPr>
          <w:rFonts w:ascii="黑体" w:hAnsi="黑体" w:eastAsia="黑体"/>
          <w:sz w:val="32"/>
        </w:rPr>
      </w:pPr>
      <w:r>
        <w:rPr>
          <w:rFonts w:hint="eastAsia" w:ascii="黑体" w:hAnsi="黑体" w:eastAsia="黑体"/>
          <w:sz w:val="32"/>
        </w:rPr>
        <w:t>三、工作建议</w:t>
      </w:r>
    </w:p>
    <w:p w14:paraId="72B7A10C">
      <w:pPr>
        <w:spacing w:line="540" w:lineRule="exact"/>
        <w:ind w:firstLine="643" w:firstLineChars="200"/>
        <w:rPr>
          <w:rFonts w:ascii="楷体" w:hAnsi="楷体" w:eastAsia="楷体"/>
          <w:b/>
          <w:sz w:val="32"/>
        </w:rPr>
      </w:pPr>
      <w:r>
        <w:rPr>
          <w:rFonts w:hint="eastAsia" w:ascii="楷体" w:hAnsi="楷体" w:eastAsia="楷体"/>
          <w:b/>
          <w:sz w:val="32"/>
        </w:rPr>
        <w:t>（一）强化要素保障。</w:t>
      </w:r>
      <w:r>
        <w:rPr>
          <w:rFonts w:hint="eastAsia" w:ascii="仿宋_GB2312" w:hAnsi="仿宋_GB2312" w:eastAsia="仿宋_GB2312" w:cs="仿宋_GB2312"/>
          <w:sz w:val="32"/>
          <w:szCs w:val="32"/>
        </w:rPr>
        <w:t>优先盘活存量闲置土地，探索使用集体建设用地，谋划盘活镇小微园项目，确保招商引资项目引得来、落得下。</w:t>
      </w:r>
    </w:p>
    <w:p w14:paraId="3377ED39">
      <w:pPr>
        <w:spacing w:line="540" w:lineRule="exact"/>
        <w:ind w:firstLine="643" w:firstLineChars="200"/>
        <w:rPr>
          <w:rFonts w:ascii="仿宋_GB2312" w:eastAsia="楷体"/>
          <w:sz w:val="32"/>
        </w:rPr>
      </w:pPr>
      <w:r>
        <w:rPr>
          <w:rFonts w:hint="eastAsia" w:ascii="楷体" w:hAnsi="楷体" w:eastAsia="楷体"/>
          <w:b/>
          <w:sz w:val="32"/>
        </w:rPr>
        <w:t>（二）加强项目调度。</w:t>
      </w:r>
      <w:r>
        <w:rPr>
          <w:rFonts w:hint="eastAsia" w:ascii="仿宋_GB2312" w:hAnsi="仿宋_GB2312" w:eastAsia="仿宋_GB2312" w:cs="仿宋_GB2312"/>
          <w:sz w:val="32"/>
          <w:szCs w:val="32"/>
        </w:rPr>
        <w:t>督促并协助推进花园街二期和小兰草三期项目前期工作，确保早开工纳统。积极向县发改委、教体局、农业农村局、环保分局等相关县直单位争取上级财政资金，确保政策精准对接、项目高质量储备。</w:t>
      </w:r>
    </w:p>
    <w:p w14:paraId="294A1994">
      <w:pPr>
        <w:spacing w:line="540" w:lineRule="exact"/>
        <w:ind w:firstLine="643" w:firstLineChars="200"/>
        <w:rPr>
          <w:rFonts w:ascii="仿宋_GB2312" w:eastAsia="楷体"/>
          <w:sz w:val="32"/>
        </w:rPr>
      </w:pPr>
      <w:r>
        <w:rPr>
          <w:rFonts w:hint="eastAsia" w:ascii="楷体" w:hAnsi="楷体" w:eastAsia="楷体"/>
          <w:b/>
          <w:sz w:val="32"/>
        </w:rPr>
        <w:t>（三）创优营商环境。</w:t>
      </w:r>
      <w:r>
        <w:rPr>
          <w:rFonts w:hint="eastAsia" w:ascii="仿宋_GB2312" w:hAnsi="仿宋_GB2312" w:eastAsia="仿宋_GB2312" w:cs="仿宋_GB2312"/>
          <w:sz w:val="32"/>
          <w:szCs w:val="32"/>
        </w:rPr>
        <w:t>加强企业包保走访，重点了解企业生产经营中存在的用地、办证、融资、市场等方面问题，及时回应企业诉求；结合企业实际，向企业宣传解读上级优惠政策，为企业转型升级、技术改造、市场拓展等提供合理化建议，助力企业提质增效。</w:t>
      </w:r>
    </w:p>
    <w:sectPr>
      <w:footerReference r:id="rId3" w:type="default"/>
      <w:pgSz w:w="11906" w:h="16838"/>
      <w:pgMar w:top="2155" w:right="1474" w:bottom="1871"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方正仿宋_GBK">
    <w:altName w:val="Arial Unicode MS"/>
    <w:panose1 w:val="00000000000000000000"/>
    <w:charset w:val="86"/>
    <w:family w:val="script"/>
    <w:pitch w:val="default"/>
    <w:sig w:usb0="00000000" w:usb1="00000000" w:usb2="00082016" w:usb3="00000000" w:csb0="00040001" w:csb1="00000000"/>
  </w:font>
  <w:font w:name="Arial Unicode MS">
    <w:panose1 w:val="020B0604020202020204"/>
    <w:charset w:val="86"/>
    <w:family w:val="auto"/>
    <w:pitch w:val="default"/>
    <w:sig w:usb0="FFFFFFFF" w:usb1="E9FFFFFF" w:usb2="0000003F" w:usb3="00000000" w:csb0="603F01FF" w:csb1="FFFF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61130782"/>
      <w:docPartObj>
        <w:docPartGallery w:val="autotext"/>
      </w:docPartObj>
    </w:sdtPr>
    <w:sdtContent>
      <w:p w14:paraId="21BD8E28">
        <w:pPr>
          <w:pStyle w:val="4"/>
          <w:jc w:val="center"/>
        </w:pPr>
        <w:r>
          <w:rPr>
            <w:rFonts w:asciiTheme="minorEastAsia" w:hAnsiTheme="minorEastAsia"/>
            <w:sz w:val="28"/>
          </w:rPr>
          <w:fldChar w:fldCharType="begin"/>
        </w:r>
        <w:r>
          <w:rPr>
            <w:rFonts w:asciiTheme="minorEastAsia" w:hAnsiTheme="minorEastAsia"/>
            <w:sz w:val="28"/>
          </w:rPr>
          <w:instrText xml:space="preserve"> PAGE   \* MERGEFORMAT </w:instrText>
        </w:r>
        <w:r>
          <w:rPr>
            <w:rFonts w:asciiTheme="minorEastAsia" w:hAnsiTheme="minorEastAsia"/>
            <w:sz w:val="28"/>
          </w:rPr>
          <w:fldChar w:fldCharType="separate"/>
        </w:r>
        <w:r>
          <w:rPr>
            <w:rFonts w:asciiTheme="minorEastAsia" w:hAnsiTheme="minorEastAsia"/>
            <w:sz w:val="28"/>
            <w:lang w:val="zh-CN"/>
          </w:rPr>
          <w:t>1</w:t>
        </w:r>
        <w:r>
          <w:rPr>
            <w:rFonts w:asciiTheme="minorEastAsia" w:hAnsiTheme="minorEastAsia"/>
            <w:sz w:val="28"/>
          </w:rPr>
          <w:fldChar w:fldCharType="end"/>
        </w:r>
      </w:p>
    </w:sdtContent>
  </w:sdt>
  <w:p w14:paraId="747E1784">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60EA2"/>
    <w:rsid w:val="00130AD2"/>
    <w:rsid w:val="0021189E"/>
    <w:rsid w:val="00260EA2"/>
    <w:rsid w:val="00291C54"/>
    <w:rsid w:val="0032469A"/>
    <w:rsid w:val="00352DBE"/>
    <w:rsid w:val="00357F41"/>
    <w:rsid w:val="003644DE"/>
    <w:rsid w:val="004658F9"/>
    <w:rsid w:val="004E3C0C"/>
    <w:rsid w:val="004F286D"/>
    <w:rsid w:val="005643ED"/>
    <w:rsid w:val="005972AB"/>
    <w:rsid w:val="005F5933"/>
    <w:rsid w:val="00671412"/>
    <w:rsid w:val="00672874"/>
    <w:rsid w:val="007D184F"/>
    <w:rsid w:val="0083400D"/>
    <w:rsid w:val="00861F26"/>
    <w:rsid w:val="008A1590"/>
    <w:rsid w:val="0094108D"/>
    <w:rsid w:val="00A90184"/>
    <w:rsid w:val="00AA6388"/>
    <w:rsid w:val="00AC340D"/>
    <w:rsid w:val="00B60089"/>
    <w:rsid w:val="00C11803"/>
    <w:rsid w:val="00C2023A"/>
    <w:rsid w:val="00D46520"/>
    <w:rsid w:val="00E015A6"/>
    <w:rsid w:val="00E16870"/>
    <w:rsid w:val="00EA1C58"/>
    <w:rsid w:val="00FE37AD"/>
    <w:rsid w:val="00FF0FF7"/>
    <w:rsid w:val="03DF62C8"/>
    <w:rsid w:val="06A42F8B"/>
    <w:rsid w:val="085F64AC"/>
    <w:rsid w:val="096D58B6"/>
    <w:rsid w:val="0BDB4C57"/>
    <w:rsid w:val="15E433A4"/>
    <w:rsid w:val="196640D0"/>
    <w:rsid w:val="1B2129A5"/>
    <w:rsid w:val="21135A90"/>
    <w:rsid w:val="239D1036"/>
    <w:rsid w:val="25162E4E"/>
    <w:rsid w:val="28173DFE"/>
    <w:rsid w:val="283C2BCC"/>
    <w:rsid w:val="29354B7B"/>
    <w:rsid w:val="29FB7994"/>
    <w:rsid w:val="2A443FBA"/>
    <w:rsid w:val="2B77216D"/>
    <w:rsid w:val="2EF7784D"/>
    <w:rsid w:val="2F9E416C"/>
    <w:rsid w:val="306A5E79"/>
    <w:rsid w:val="30DD6C58"/>
    <w:rsid w:val="32DA370D"/>
    <w:rsid w:val="35401A7A"/>
    <w:rsid w:val="35965264"/>
    <w:rsid w:val="3B40671F"/>
    <w:rsid w:val="41677B4A"/>
    <w:rsid w:val="418D5DEE"/>
    <w:rsid w:val="44A678F3"/>
    <w:rsid w:val="45E10BFE"/>
    <w:rsid w:val="46BA7686"/>
    <w:rsid w:val="4A043D0F"/>
    <w:rsid w:val="4A27449B"/>
    <w:rsid w:val="4C7958ED"/>
    <w:rsid w:val="4FE70DC0"/>
    <w:rsid w:val="5A78158C"/>
    <w:rsid w:val="5D1C479E"/>
    <w:rsid w:val="5F076D88"/>
    <w:rsid w:val="604B7CD1"/>
    <w:rsid w:val="610B772B"/>
    <w:rsid w:val="62922E0D"/>
    <w:rsid w:val="62EB7913"/>
    <w:rsid w:val="637F5A87"/>
    <w:rsid w:val="691B3B5C"/>
    <w:rsid w:val="694E2F50"/>
    <w:rsid w:val="6FD33CC2"/>
    <w:rsid w:val="71BD6807"/>
    <w:rsid w:val="75501031"/>
    <w:rsid w:val="77FA7033"/>
    <w:rsid w:val="79EC0B0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1"/>
    <w:unhideWhenUsed/>
    <w:qFormat/>
    <w:uiPriority w:val="0"/>
    <w:pPr>
      <w:spacing w:beforeAutospacing="1" w:afterAutospacing="1"/>
      <w:ind w:firstLine="883" w:firstLineChars="200"/>
      <w:jc w:val="left"/>
      <w:outlineLvl w:val="2"/>
    </w:pPr>
    <w:rPr>
      <w:rFonts w:hint="eastAsia" w:ascii="宋体" w:hAnsi="宋体" w:eastAsia="楷体"/>
      <w:b/>
      <w:bCs/>
      <w:kern w:val="0"/>
      <w:sz w:val="32"/>
      <w:szCs w:val="27"/>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Indent 2"/>
    <w:basedOn w:val="1"/>
    <w:next w:val="1"/>
    <w:qFormat/>
    <w:uiPriority w:val="0"/>
    <w:pPr>
      <w:spacing w:line="590" w:lineRule="exact"/>
      <w:ind w:firstLine="880" w:firstLineChars="200"/>
    </w:pPr>
    <w:rPr>
      <w:rFonts w:hint="eastAsia" w:ascii="Times New Roman" w:hAnsi="Times New Roman" w:eastAsia="方正仿宋_GBK" w:cs="Times New Roman"/>
      <w:szCs w:val="24"/>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semiHidden/>
    <w:unhideWhenUs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9">
    <w:name w:val="页眉 Char"/>
    <w:basedOn w:val="8"/>
    <w:link w:val="5"/>
    <w:semiHidden/>
    <w:qFormat/>
    <w:uiPriority w:val="99"/>
    <w:rPr>
      <w:sz w:val="18"/>
      <w:szCs w:val="18"/>
    </w:rPr>
  </w:style>
  <w:style w:type="character" w:customStyle="1" w:styleId="10">
    <w:name w:val="页脚 Char"/>
    <w:basedOn w:val="8"/>
    <w:link w:val="4"/>
    <w:uiPriority w:val="99"/>
    <w:rPr>
      <w:sz w:val="18"/>
      <w:szCs w:val="18"/>
    </w:rPr>
  </w:style>
  <w:style w:type="character" w:customStyle="1" w:styleId="11">
    <w:name w:val="标题 3 Char"/>
    <w:link w:val="2"/>
    <w:autoRedefine/>
    <w:qFormat/>
    <w:uiPriority w:val="0"/>
    <w:rPr>
      <w:rFonts w:hint="eastAsia" w:ascii="宋体" w:hAnsi="宋体" w:eastAsia="楷体"/>
      <w:b/>
      <w:bCs/>
      <w:kern w:val="0"/>
      <w:sz w:val="32"/>
      <w:szCs w:val="27"/>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P R C</Company>
  <Pages>3</Pages>
  <Words>1542</Words>
  <Characters>1649</Characters>
  <Lines>11</Lines>
  <Paragraphs>3</Paragraphs>
  <TotalTime>0</TotalTime>
  <ScaleCrop>false</ScaleCrop>
  <LinksUpToDate>false</LinksUpToDate>
  <CharactersWithSpaces>1655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2025-01-20T12:48:00Z</dcterms:created>
  <dc:creator>徐晓夏</dc:creator>
  <cp:lastModifiedBy>Summer</cp:lastModifiedBy>
  <dcterms:modified xsi:type="dcterms:W3CDTF">2026-01-09T00:14:02Z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eyJoZGlkIjoiMmM4NDVjMDc0OTkyZGUyYThkODdhOGQ2N2JiNGEwODkiLCJ1c2VySWQiOiI0MjcxNTcxMDUifQ==</vt:lpwstr>
  </property>
  <property fmtid="{D5CDD505-2E9C-101B-9397-08002B2CF9AE}" pid="3" name="KSOProductBuildVer">
    <vt:lpwstr>2052-12.1.0.24034</vt:lpwstr>
  </property>
  <property fmtid="{D5CDD505-2E9C-101B-9397-08002B2CF9AE}" pid="4" name="ICV">
    <vt:lpwstr>B4FED69BD0AF4DA88A13379BC037736E_12</vt:lpwstr>
  </property>
</Properties>
</file>