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32F3F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其他登记（换证）</w:t>
      </w:r>
    </w:p>
    <w:p w14:paraId="053D74CF">
      <w:pPr>
        <w:jc w:val="both"/>
        <w:rPr>
          <w:rFonts w:hint="eastAsia"/>
          <w:lang w:val="en-US" w:eastAsia="zh-CN"/>
        </w:rPr>
      </w:pPr>
    </w:p>
    <w:p w14:paraId="758FBFF3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1、登录安徽政务服务网，选择淮南市（不用选县区），选择不动产登记服务，进入淮南市县一体化“淮舜登”智享平台。进入平台后，可登录个人账号、网格员账号进行业务办理。</w:t>
      </w:r>
    </w:p>
    <w:p w14:paraId="764B7FB3">
      <w:pPr>
        <w:jc w:val="both"/>
        <w:rPr>
          <w:rFonts w:hint="eastAsia"/>
          <w:lang w:val="en-US" w:eastAsia="zh-CN"/>
        </w:rPr>
      </w:pPr>
    </w:p>
    <w:p w14:paraId="23E2A4CC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3744595"/>
            <wp:effectExtent l="0" t="0" r="1397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2F8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政务服务网</w:t>
      </w:r>
    </w:p>
    <w:p w14:paraId="62242F5D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3068955"/>
            <wp:effectExtent l="0" t="0" r="16510" b="1714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86660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淮南市县一体化“淮舜登”智享平台</w:t>
      </w:r>
    </w:p>
    <w:p w14:paraId="3B79164A"/>
    <w:p w14:paraId="29A9E152"/>
    <w:p w14:paraId="645AD506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个人端登录，可直接选择“我要换证”选项，“网格员”在业务申请里选择其他登记-换发证登记，“个人端”可直接获取房源信息。“网格员端”录入不动产权证号、（权利人证件号后获取需要办理业务信息，点击下一步。</w:t>
      </w:r>
    </w:p>
    <w:p w14:paraId="3086934B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2569210"/>
            <wp:effectExtent l="0" t="0" r="762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62364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获取业务信息页面</w:t>
      </w:r>
    </w:p>
    <w:p w14:paraId="63420C9D">
      <w:pPr>
        <w:jc w:val="center"/>
        <w:rPr>
          <w:rFonts w:hint="eastAsia"/>
          <w:lang w:val="en-US" w:eastAsia="zh-CN"/>
        </w:rPr>
      </w:pPr>
    </w:p>
    <w:p w14:paraId="5E1E774B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按照提示录入业务相关信息，因换发证业务无需更改任何信息，则无需录入。核对信息无误即可，“个人端”申请需进行云签（电子签名、电子印章），“网格员端”可直接选择附件上传。</w:t>
      </w:r>
    </w:p>
    <w:p w14:paraId="4CE2C0E4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9560" cy="4476115"/>
            <wp:effectExtent l="0" t="0" r="2540" b="635"/>
            <wp:docPr id="3" name="图片 3" descr="1751337884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513378848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1CE0B6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获取业务信息页面</w:t>
      </w:r>
    </w:p>
    <w:p w14:paraId="16960EEE">
      <w:pPr>
        <w:jc w:val="center"/>
        <w:rPr>
          <w:rFonts w:hint="eastAsia"/>
          <w:lang w:val="en-US" w:eastAsia="zh-CN"/>
        </w:rPr>
      </w:pPr>
    </w:p>
    <w:p w14:paraId="467B34A6">
      <w:pPr>
        <w:jc w:val="center"/>
        <w:rPr>
          <w:rFonts w:hint="eastAsia"/>
          <w:lang w:val="en-US" w:eastAsia="zh-CN"/>
        </w:rPr>
      </w:pPr>
    </w:p>
    <w:p w14:paraId="4EC1FAA5">
      <w:pPr>
        <w:jc w:val="center"/>
        <w:rPr>
          <w:rFonts w:hint="eastAsia"/>
          <w:lang w:val="en-US" w:eastAsia="zh-CN"/>
        </w:rPr>
      </w:pPr>
    </w:p>
    <w:p w14:paraId="6C5898E0">
      <w:pPr>
        <w:jc w:val="center"/>
        <w:rPr>
          <w:rFonts w:hint="eastAsia"/>
          <w:lang w:val="en-US" w:eastAsia="zh-CN"/>
        </w:rPr>
      </w:pPr>
    </w:p>
    <w:p w14:paraId="719F7E35">
      <w:pPr>
        <w:jc w:val="center"/>
        <w:rPr>
          <w:rFonts w:hint="eastAsia"/>
          <w:lang w:val="en-US" w:eastAsia="zh-CN"/>
        </w:rPr>
      </w:pPr>
    </w:p>
    <w:p w14:paraId="3EADF8C0">
      <w:pPr>
        <w:jc w:val="center"/>
        <w:rPr>
          <w:rFonts w:hint="eastAsia"/>
          <w:lang w:val="en-US" w:eastAsia="zh-CN"/>
        </w:rPr>
      </w:pPr>
    </w:p>
    <w:p w14:paraId="00296EAA">
      <w:pPr>
        <w:jc w:val="center"/>
        <w:rPr>
          <w:rFonts w:hint="eastAsia"/>
          <w:lang w:val="en-US" w:eastAsia="zh-CN"/>
        </w:rPr>
      </w:pPr>
    </w:p>
    <w:p w14:paraId="0F46FDFE">
      <w:pPr>
        <w:jc w:val="center"/>
        <w:rPr>
          <w:rFonts w:hint="eastAsia"/>
          <w:lang w:val="en-US" w:eastAsia="zh-CN"/>
        </w:rPr>
      </w:pPr>
    </w:p>
    <w:p w14:paraId="79A3C408">
      <w:pPr>
        <w:jc w:val="center"/>
        <w:rPr>
          <w:rFonts w:hint="eastAsia"/>
          <w:lang w:val="en-US" w:eastAsia="zh-CN"/>
        </w:rPr>
      </w:pPr>
    </w:p>
    <w:p w14:paraId="58713DF0">
      <w:pPr>
        <w:jc w:val="center"/>
        <w:rPr>
          <w:rFonts w:hint="eastAsia"/>
          <w:lang w:val="en-US" w:eastAsia="zh-CN"/>
        </w:rPr>
      </w:pPr>
    </w:p>
    <w:p w14:paraId="65A0AF63">
      <w:pPr>
        <w:jc w:val="center"/>
        <w:rPr>
          <w:rFonts w:hint="eastAsia"/>
          <w:lang w:val="en-US" w:eastAsia="zh-CN"/>
        </w:rPr>
      </w:pPr>
    </w:p>
    <w:p w14:paraId="0A0E91A6">
      <w:pPr>
        <w:jc w:val="center"/>
        <w:rPr>
          <w:rFonts w:hint="eastAsia"/>
          <w:lang w:val="en-US" w:eastAsia="zh-CN"/>
        </w:rPr>
      </w:pPr>
    </w:p>
    <w:p w14:paraId="7CC9D654">
      <w:pPr>
        <w:jc w:val="center"/>
        <w:rPr>
          <w:rFonts w:hint="eastAsia"/>
          <w:lang w:val="en-US" w:eastAsia="zh-CN"/>
        </w:rPr>
      </w:pPr>
    </w:p>
    <w:p w14:paraId="3A76AD1F">
      <w:pPr>
        <w:jc w:val="center"/>
        <w:rPr>
          <w:rFonts w:hint="eastAsia"/>
          <w:lang w:val="en-US" w:eastAsia="zh-CN"/>
        </w:rPr>
      </w:pPr>
    </w:p>
    <w:p w14:paraId="55B9576A">
      <w:pPr>
        <w:jc w:val="center"/>
        <w:rPr>
          <w:rFonts w:hint="eastAsia"/>
          <w:lang w:val="en-US" w:eastAsia="zh-CN"/>
        </w:rPr>
      </w:pPr>
    </w:p>
    <w:p w14:paraId="75031CA0">
      <w:pPr>
        <w:jc w:val="center"/>
        <w:rPr>
          <w:rFonts w:hint="eastAsia"/>
          <w:lang w:val="en-US" w:eastAsia="zh-CN"/>
        </w:rPr>
      </w:pPr>
    </w:p>
    <w:p w14:paraId="126FD6F5">
      <w:pPr>
        <w:jc w:val="center"/>
        <w:rPr>
          <w:rFonts w:hint="eastAsia"/>
          <w:lang w:val="en-US" w:eastAsia="zh-CN"/>
        </w:rPr>
      </w:pPr>
    </w:p>
    <w:p w14:paraId="1562B3D3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进入上传附件页面，权利申请人可通过皖事通扫码获取电子证照信息（身份证、结婚证、户口本，需提前在皖事通认领。）也可进行纸质拍照上传。</w:t>
      </w:r>
    </w:p>
    <w:p w14:paraId="301044A8">
      <w:pPr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3161665"/>
            <wp:effectExtent l="0" t="0" r="15240" b="635"/>
            <wp:docPr id="5" name="图片 5" descr="175133800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13380034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9A760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业务提交页面</w:t>
      </w:r>
    </w:p>
    <w:p w14:paraId="541932D2">
      <w:pPr>
        <w:rPr>
          <w:rFonts w:hint="eastAsia" w:eastAsiaTheme="minorEastAsia"/>
          <w:lang w:eastAsia="zh-CN"/>
        </w:rPr>
      </w:pPr>
    </w:p>
    <w:p w14:paraId="319CB4CB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点击提交，业务受理完成</w:t>
      </w:r>
    </w:p>
    <w:p w14:paraId="226FF46F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2540000"/>
            <wp:effectExtent l="0" t="0" r="18415" b="1270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23EC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业务受理完成页面</w:t>
      </w:r>
    </w:p>
    <w:p w14:paraId="15572191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134C60"/>
    <w:multiLevelType w:val="singleLevel"/>
    <w:tmpl w:val="35134C6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972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2025-07-01T02:41:25Z</dcterms:created>
  <dc:creator>Administrator</dc:creator>
  <cp:lastModifiedBy>YuRi</cp:lastModifiedBy>
  <dcterms:modified xsi:type="dcterms:W3CDTF">2025-07-01T02:47:48Z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eyJoZGlkIjoiZmRhMzQzYTQwM2UyY2I5NmI2NzBhMzYwZTk2NzY1ZjIiLCJ1c2VySWQiOiI0MTQzNzc3MzAifQ==</vt:lpwstr>
  </property>
  <property fmtid="{D5CDD505-2E9C-101B-9397-08002B2CF9AE}" pid="4" name="ICV">
    <vt:lpwstr>C5B83B8D3AD94687A4BCC5691955E249_12</vt:lpwstr>
  </property>
</Properties>
</file>