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CF585">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抵押权注销登记办事指南</w:t>
      </w:r>
    </w:p>
    <w:p w14:paraId="1F2FF27B">
      <w:pPr>
        <w:spacing w:line="360" w:lineRule="exact"/>
        <w:rPr>
          <w:rFonts w:ascii="仿宋" w:hAnsi="仿宋" w:eastAsia="仿宋"/>
          <w:szCs w:val="21"/>
        </w:rPr>
      </w:pPr>
    </w:p>
    <w:p w14:paraId="77645AF0">
      <w:pPr>
        <w:pStyle w:val="5"/>
        <w:widowControl/>
        <w:spacing w:beforeAutospacing="0" w:afterAutospacing="0" w:line="360" w:lineRule="exact"/>
        <w:ind w:firstLine="420"/>
        <w:jc w:val="both"/>
        <w:rPr>
          <w:rFonts w:ascii="仿宋" w:hAnsi="仿宋" w:eastAsia="仿宋"/>
          <w:b/>
          <w:bCs/>
          <w:sz w:val="21"/>
          <w:szCs w:val="21"/>
        </w:rPr>
      </w:pPr>
      <w:r>
        <w:rPr>
          <w:rFonts w:ascii="仿宋" w:hAnsi="仿宋" w:eastAsia="仿宋" w:cs="微软雅黑"/>
          <w:b/>
          <w:bCs/>
          <w:color w:val="333333"/>
          <w:sz w:val="21"/>
          <w:szCs w:val="21"/>
          <w:shd w:val="clear" w:color="auto" w:fill="FFFFFF"/>
        </w:rPr>
        <w:t>一、设立依据</w:t>
      </w:r>
    </w:p>
    <w:p w14:paraId="762E9392">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color w:val="333333"/>
          <w:sz w:val="21"/>
          <w:szCs w:val="21"/>
          <w:shd w:val="clear" w:color="auto" w:fill="FFFFFF"/>
          <w:lang w:val="en-US" w:eastAsia="zh-CN"/>
        </w:rPr>
        <w:t>1.</w:t>
      </w:r>
      <w:r>
        <w:rPr>
          <w:rFonts w:hint="eastAsia" w:ascii="仿宋" w:hAnsi="仿宋" w:eastAsia="仿宋" w:cs="微软雅黑"/>
          <w:color w:val="333333"/>
          <w:sz w:val="21"/>
          <w:szCs w:val="21"/>
          <w:shd w:val="clear" w:color="auto" w:fill="FFFFFF"/>
        </w:rPr>
        <w:t>《不动产登记操作规范（试行）》（国土资规〔2016〕6号）分则14.4</w:t>
      </w:r>
    </w:p>
    <w:p w14:paraId="5094B1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微软雅黑"/>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468CC8D6">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b/>
          <w:bCs/>
          <w:color w:val="333333"/>
          <w:sz w:val="21"/>
          <w:szCs w:val="21"/>
          <w:shd w:val="clear" w:color="auto" w:fill="FFFFFF"/>
        </w:rPr>
        <w:t>二、事项类型</w:t>
      </w:r>
      <w:r>
        <w:rPr>
          <w:rFonts w:hint="eastAsia" w:ascii="仿宋" w:hAnsi="仿宋" w:eastAsia="仿宋" w:cs="微软雅黑"/>
          <w:color w:val="333333"/>
          <w:sz w:val="21"/>
          <w:szCs w:val="21"/>
          <w:shd w:val="clear" w:color="auto" w:fill="FFFFFF"/>
        </w:rPr>
        <w:t>：行政确认</w:t>
      </w:r>
    </w:p>
    <w:p w14:paraId="4CDD6F10">
      <w:pPr>
        <w:pStyle w:val="5"/>
        <w:widowControl/>
        <w:shd w:val="clear" w:color="auto" w:fill="FFFFFF"/>
        <w:spacing w:beforeAutospacing="0" w:afterAutospacing="0" w:line="360" w:lineRule="exact"/>
        <w:ind w:firstLine="480"/>
        <w:jc w:val="both"/>
        <w:rPr>
          <w:rFonts w:hint="eastAsia" w:ascii="仿宋" w:hAnsi="仿宋" w:eastAsia="仿宋"/>
          <w:sz w:val="21"/>
          <w:szCs w:val="21"/>
          <w:lang w:eastAsia="zh-CN"/>
        </w:rPr>
      </w:pPr>
      <w:r>
        <w:rPr>
          <w:rFonts w:hint="eastAsia" w:ascii="仿宋" w:hAnsi="仿宋" w:eastAsia="仿宋" w:cs="微软雅黑"/>
          <w:b/>
          <w:bCs/>
          <w:color w:val="333333"/>
          <w:sz w:val="21"/>
          <w:szCs w:val="21"/>
          <w:shd w:val="clear" w:color="auto" w:fill="FFFFFF"/>
        </w:rPr>
        <w:t>三、实施机构</w:t>
      </w:r>
      <w:r>
        <w:rPr>
          <w:rFonts w:hint="eastAsia" w:ascii="仿宋" w:hAnsi="仿宋" w:eastAsia="仿宋" w:cs="微软雅黑"/>
          <w:color w:val="333333"/>
          <w:sz w:val="21"/>
          <w:szCs w:val="21"/>
          <w:shd w:val="clear" w:color="auto" w:fill="FFFFFF"/>
        </w:rPr>
        <w:t>：淮南市不动产登记中心</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5001CE00">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b/>
          <w:bCs/>
          <w:color w:val="333333"/>
          <w:sz w:val="21"/>
          <w:szCs w:val="21"/>
          <w:shd w:val="clear" w:color="auto" w:fill="FFFFFF"/>
        </w:rPr>
        <w:t>四、办件类型</w:t>
      </w:r>
      <w:r>
        <w:rPr>
          <w:rFonts w:hint="eastAsia" w:ascii="仿宋" w:hAnsi="仿宋" w:eastAsia="仿宋" w:cs="微软雅黑"/>
          <w:color w:val="333333"/>
          <w:sz w:val="21"/>
          <w:szCs w:val="21"/>
          <w:shd w:val="clear" w:color="auto" w:fill="FFFFFF"/>
        </w:rPr>
        <w:t>：即办件</w:t>
      </w:r>
    </w:p>
    <w:p w14:paraId="6ADB735E">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b/>
          <w:bCs/>
          <w:color w:val="333333"/>
          <w:sz w:val="21"/>
          <w:szCs w:val="21"/>
          <w:shd w:val="clear" w:color="auto" w:fill="FFFFFF"/>
        </w:rPr>
        <w:t>五、受理条件</w:t>
      </w:r>
      <w:r>
        <w:rPr>
          <w:rFonts w:hint="eastAsia" w:ascii="仿宋" w:hAnsi="仿宋" w:eastAsia="仿宋" w:cs="微软雅黑"/>
          <w:color w:val="333333"/>
          <w:sz w:val="21"/>
          <w:szCs w:val="21"/>
          <w:shd w:val="clear" w:color="auto" w:fill="FFFFFF"/>
        </w:rPr>
        <w:t>：</w:t>
      </w:r>
    </w:p>
    <w:p w14:paraId="6AFFF668">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color w:val="333333"/>
          <w:sz w:val="21"/>
          <w:szCs w:val="21"/>
          <w:shd w:val="clear" w:color="auto" w:fill="FFFFFF"/>
        </w:rPr>
        <w:t>1. 申请登记事项在本不动产登记机构的登记职责范围内；</w:t>
      </w:r>
    </w:p>
    <w:p w14:paraId="4B4EA23D">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color w:val="333333"/>
          <w:sz w:val="21"/>
          <w:szCs w:val="21"/>
          <w:shd w:val="clear" w:color="auto" w:fill="FFFFFF"/>
        </w:rPr>
        <w:t>2. 申请材料形式符合要求；</w:t>
      </w:r>
    </w:p>
    <w:p w14:paraId="445651E7">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color w:val="333333"/>
          <w:sz w:val="21"/>
          <w:szCs w:val="21"/>
          <w:shd w:val="clear" w:color="auto" w:fill="FFFFFF"/>
        </w:rPr>
        <w:t>3. 申请人与依法应当提交的申请材料记载的主体一致；</w:t>
      </w:r>
    </w:p>
    <w:p w14:paraId="70D6CDAC">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color w:val="333333"/>
          <w:sz w:val="21"/>
          <w:szCs w:val="21"/>
          <w:shd w:val="clear" w:color="auto" w:fill="FFFFFF"/>
        </w:rPr>
        <w:t>4. 申请登记的不动产权利与登记原因文件记载的不动产权利一致；</w:t>
      </w:r>
    </w:p>
    <w:p w14:paraId="2FED3DC6">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color w:val="333333"/>
          <w:sz w:val="21"/>
          <w:szCs w:val="21"/>
          <w:shd w:val="clear" w:color="auto" w:fill="FFFFFF"/>
        </w:rPr>
        <w:t>5. 申请内容与</w:t>
      </w:r>
      <w:r>
        <w:rPr>
          <w:rFonts w:hint="eastAsia" w:ascii="仿宋" w:hAnsi="仿宋" w:eastAsia="仿宋" w:cs="微软雅黑"/>
          <w:color w:val="333333"/>
          <w:sz w:val="21"/>
          <w:szCs w:val="21"/>
        </w:rPr>
        <w:t>询问（承诺）事项不冲突。</w:t>
      </w:r>
    </w:p>
    <w:p w14:paraId="08CB1378">
      <w:pPr>
        <w:pStyle w:val="5"/>
        <w:widowControl/>
        <w:spacing w:beforeAutospacing="0" w:afterAutospacing="0" w:line="360" w:lineRule="exact"/>
        <w:ind w:firstLine="420"/>
        <w:jc w:val="both"/>
        <w:rPr>
          <w:rFonts w:ascii="仿宋" w:hAnsi="仿宋" w:eastAsia="仿宋"/>
          <w:b/>
          <w:bCs/>
          <w:sz w:val="21"/>
          <w:szCs w:val="21"/>
        </w:rPr>
      </w:pPr>
      <w:r>
        <w:rPr>
          <w:rFonts w:hint="eastAsia" w:ascii="仿宋" w:hAnsi="仿宋" w:eastAsia="仿宋" w:cs="微软雅黑"/>
          <w:b/>
          <w:bCs/>
          <w:color w:val="333333"/>
          <w:sz w:val="21"/>
          <w:szCs w:val="21"/>
          <w:shd w:val="clear" w:color="auto" w:fill="FFFFFF"/>
        </w:rPr>
        <w:t>六、申请材料</w:t>
      </w:r>
    </w:p>
    <w:p w14:paraId="20FE8C27">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淮南市不动产抵押登记申请书（主债权、抵押合同集成版）（申请书在线填写并使用电子签名、企业通过“E签宝”盖电子印章；）</w:t>
      </w:r>
    </w:p>
    <w:p w14:paraId="44CA252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身份证明材料（申请人个人通过人脸识别在线验证、企业通过国家电子营业执照小程序或APP在线验证出示电子证照，无需提交身份证明）；</w:t>
      </w:r>
    </w:p>
    <w:p w14:paraId="3B34720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不动产登记证明（能够通过信息共享获取的，申请人无需提交）；</w:t>
      </w:r>
    </w:p>
    <w:p w14:paraId="41D4BC16">
      <w:pPr>
        <w:pStyle w:val="5"/>
        <w:widowControl/>
        <w:spacing w:beforeAutospacing="0" w:afterAutospacing="0" w:line="360" w:lineRule="exact"/>
        <w:ind w:firstLine="420"/>
        <w:jc w:val="both"/>
        <w:rPr>
          <w:rFonts w:ascii="仿宋" w:hAnsi="仿宋" w:eastAsia="仿宋"/>
          <w:color w:val="000000" w:themeColor="text1"/>
          <w:sz w:val="21"/>
          <w:szCs w:val="21"/>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4. 抵押权</w:t>
      </w:r>
      <w:r>
        <w:rPr>
          <w:rFonts w:hint="eastAsia" w:ascii="仿宋" w:hAnsi="仿宋" w:eastAsia="仿宋" w:cs="微软雅黑"/>
          <w:color w:val="000000" w:themeColor="text1"/>
          <w:sz w:val="21"/>
          <w:szCs w:val="21"/>
          <w:shd w:val="clear" w:color="auto" w:fill="FFFFFF"/>
          <w:lang w:val="en-US" w:eastAsia="zh-CN"/>
          <w14:textFill>
            <w14:solidFill>
              <w14:schemeClr w14:val="tx1"/>
            </w14:solidFill>
          </w14:textFill>
        </w:rPr>
        <w:t>消灭的</w:t>
      </w:r>
      <w:r>
        <w:rPr>
          <w:rFonts w:hint="eastAsia" w:ascii="仿宋" w:hAnsi="仿宋" w:eastAsia="仿宋" w:cs="微软雅黑"/>
          <w:color w:val="000000" w:themeColor="text1"/>
          <w:sz w:val="21"/>
          <w:szCs w:val="21"/>
          <w:shd w:val="clear" w:color="auto" w:fill="FFFFFF"/>
          <w14:textFill>
            <w14:solidFill>
              <w14:schemeClr w14:val="tx1"/>
            </w14:solidFill>
          </w14:textFill>
        </w:rPr>
        <w:t>证明材料。</w:t>
      </w:r>
    </w:p>
    <w:p w14:paraId="22EE179C">
      <w:pPr>
        <w:pStyle w:val="5"/>
        <w:widowControl/>
        <w:spacing w:beforeAutospacing="0" w:afterAutospacing="0" w:line="360" w:lineRule="exact"/>
        <w:ind w:firstLine="420"/>
        <w:jc w:val="both"/>
        <w:rPr>
          <w:rFonts w:ascii="仿宋" w:hAnsi="仿宋" w:eastAsia="仿宋"/>
          <w:b/>
          <w:bCs/>
          <w:sz w:val="21"/>
          <w:szCs w:val="21"/>
        </w:rPr>
      </w:pPr>
      <w:r>
        <w:rPr>
          <w:rFonts w:hint="eastAsia" w:ascii="仿宋" w:hAnsi="仿宋" w:eastAsia="仿宋" w:cs="微软雅黑"/>
          <w:b/>
          <w:bCs/>
          <w:color w:val="333333"/>
          <w:sz w:val="21"/>
          <w:szCs w:val="21"/>
          <w:shd w:val="clear" w:color="auto" w:fill="FFFFFF"/>
        </w:rPr>
        <w:t>七、特别提示</w:t>
      </w:r>
    </w:p>
    <w:p w14:paraId="4A9EE429">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抵押权人与抵押人双方申请，也可由抵押权人单方申请。</w:t>
      </w:r>
    </w:p>
    <w:p w14:paraId="32D1A46F">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sz w:val="21"/>
          <w:szCs w:val="21"/>
        </w:rPr>
        <w:t>2</w:t>
      </w:r>
      <w:r>
        <w:rPr>
          <w:rFonts w:ascii="仿宋" w:hAnsi="仿宋" w:eastAsia="仿宋"/>
          <w:sz w:val="21"/>
          <w:szCs w:val="21"/>
        </w:rPr>
        <w:t xml:space="preserve">. </w:t>
      </w:r>
      <w:r>
        <w:rPr>
          <w:rFonts w:hint="eastAsia" w:ascii="仿宋" w:hAnsi="仿宋" w:eastAsia="仿宋" w:cs="微软雅黑"/>
          <w:color w:val="333333"/>
          <w:sz w:val="21"/>
          <w:szCs w:val="21"/>
          <w:shd w:val="clear" w:color="auto" w:fill="FFFFFF"/>
        </w:rPr>
        <w:t>我市</w:t>
      </w:r>
      <w:r>
        <w:rPr>
          <w:rFonts w:hint="eastAsia" w:ascii="仿宋" w:hAnsi="仿宋" w:eastAsia="仿宋" w:cs="微软雅黑"/>
          <w:color w:val="333333"/>
          <w:sz w:val="21"/>
          <w:szCs w:val="21"/>
          <w:shd w:val="clear" w:color="auto" w:fill="FFFFFF"/>
          <w:lang w:val="en-US" w:eastAsia="zh-CN"/>
        </w:rPr>
        <w:t>已</w:t>
      </w:r>
      <w:r>
        <w:rPr>
          <w:rFonts w:hint="eastAsia" w:ascii="仿宋" w:hAnsi="仿宋" w:eastAsia="仿宋" w:cs="微软雅黑"/>
          <w:color w:val="333333"/>
          <w:sz w:val="21"/>
          <w:szCs w:val="21"/>
          <w:shd w:val="clear" w:color="auto" w:fill="FFFFFF"/>
        </w:rPr>
        <w:t>线上线下同步启用</w:t>
      </w:r>
      <w:r>
        <w:rPr>
          <w:rFonts w:hint="eastAsia" w:ascii="仿宋" w:hAnsi="仿宋" w:eastAsia="仿宋" w:cs="微软雅黑"/>
          <w:color w:val="333333"/>
          <w:sz w:val="21"/>
          <w:szCs w:val="21"/>
          <w:shd w:val="clear" w:color="auto" w:fill="FFFFFF"/>
          <w:lang w:val="en-US" w:eastAsia="zh-CN"/>
        </w:rPr>
        <w:t>新版</w:t>
      </w:r>
      <w:r>
        <w:rPr>
          <w:rFonts w:hint="eastAsia" w:ascii="仿宋" w:hAnsi="仿宋" w:eastAsia="仿宋" w:cs="微软雅黑"/>
          <w:color w:val="333333"/>
          <w:sz w:val="21"/>
          <w:szCs w:val="21"/>
          <w:shd w:val="clear" w:color="auto" w:fill="FFFFFF"/>
        </w:rPr>
        <w:t>“淮南市不动产抵押登记申请书（主债权、抵押合同集成版）”（包含申请抵押登记的主债权合同、抵押合同、委托代理、询问笔录等主要信息）。申请人申请不动产抵押登记时，不再提交主债权合同、抵押合同、委托书及询问笔录。</w:t>
      </w:r>
    </w:p>
    <w:p w14:paraId="10D13C9E">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b/>
          <w:bCs/>
          <w:color w:val="333333"/>
          <w:sz w:val="21"/>
          <w:szCs w:val="21"/>
          <w:shd w:val="clear" w:color="auto" w:fill="FFFFFF"/>
        </w:rPr>
        <w:t>八、网办深度</w:t>
      </w:r>
      <w:r>
        <w:rPr>
          <w:rFonts w:hint="eastAsia" w:ascii="仿宋" w:hAnsi="仿宋" w:eastAsia="仿宋" w:cs="微软雅黑"/>
          <w:color w:val="333333"/>
          <w:sz w:val="21"/>
          <w:szCs w:val="21"/>
          <w:shd w:val="clear" w:color="auto" w:fill="FFFFFF"/>
        </w:rPr>
        <w:t>：四级</w:t>
      </w:r>
    </w:p>
    <w:p w14:paraId="3F6A6F18">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b/>
          <w:bCs/>
          <w:color w:val="333333"/>
          <w:sz w:val="21"/>
          <w:szCs w:val="21"/>
          <w:shd w:val="clear" w:color="auto" w:fill="FFFFFF"/>
        </w:rPr>
        <w:t>九、到现场次数</w:t>
      </w:r>
      <w:r>
        <w:rPr>
          <w:rFonts w:hint="eastAsia" w:ascii="仿宋" w:hAnsi="仿宋" w:eastAsia="仿宋" w:cs="微软雅黑"/>
          <w:color w:val="333333"/>
          <w:sz w:val="21"/>
          <w:szCs w:val="21"/>
          <w:shd w:val="clear" w:color="auto" w:fill="FFFFFF"/>
        </w:rPr>
        <w:t>：0次</w:t>
      </w:r>
    </w:p>
    <w:p w14:paraId="0499DFC2">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十、服务时限</w:t>
      </w:r>
    </w:p>
    <w:p w14:paraId="4EFEEC62">
      <w:pPr>
        <w:pStyle w:val="5"/>
        <w:widowControl/>
        <w:spacing w:beforeAutospacing="0" w:afterAutospacing="0" w:line="360" w:lineRule="exact"/>
        <w:ind w:firstLine="420"/>
        <w:jc w:val="both"/>
        <w:rPr>
          <w:rFonts w:ascii="仿宋" w:hAnsi="仿宋" w:eastAsia="仿宋"/>
          <w:sz w:val="21"/>
          <w:szCs w:val="21"/>
        </w:rPr>
      </w:pPr>
      <w:r>
        <w:rPr>
          <w:rFonts w:hint="eastAsia" w:ascii="仿宋" w:hAnsi="仿宋" w:eastAsia="仿宋" w:cs="微软雅黑"/>
          <w:color w:val="333333"/>
          <w:sz w:val="21"/>
          <w:szCs w:val="21"/>
          <w:shd w:val="clear" w:color="auto" w:fill="FFFFFF"/>
        </w:rPr>
        <w:t>办结时限：即时办结（补充材料时间不含工作时限内）。</w:t>
      </w:r>
    </w:p>
    <w:p w14:paraId="6B2960A6">
      <w:pPr>
        <w:pStyle w:val="5"/>
        <w:widowControl/>
        <w:spacing w:beforeAutospacing="0" w:afterAutospacing="0" w:line="360" w:lineRule="exact"/>
        <w:ind w:firstLine="420"/>
        <w:jc w:val="both"/>
        <w:rPr>
          <w:rFonts w:ascii="仿宋" w:hAnsi="仿宋" w:eastAsia="仿宋"/>
          <w:b/>
          <w:bCs/>
          <w:sz w:val="21"/>
          <w:szCs w:val="21"/>
        </w:rPr>
      </w:pPr>
      <w:r>
        <w:rPr>
          <w:rFonts w:hint="eastAsia" w:ascii="仿宋" w:hAnsi="仿宋" w:eastAsia="仿宋" w:cs="微软雅黑"/>
          <w:b/>
          <w:bCs/>
          <w:color w:val="333333"/>
          <w:sz w:val="21"/>
          <w:szCs w:val="21"/>
          <w:shd w:val="clear" w:color="auto" w:fill="FFFFFF"/>
        </w:rPr>
        <w:t>十一、办理流程</w:t>
      </w:r>
    </w:p>
    <w:p w14:paraId="22599D6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申请：申请人通过安徽政务服务网淮南市不动产专区网上申请或登记大厅申请。</w:t>
      </w:r>
    </w:p>
    <w:p w14:paraId="6A22109B">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669738C4">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4E343327">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十二、收费信息</w:t>
      </w:r>
    </w:p>
    <w:p w14:paraId="4BF5600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政策依据：《财政部 国家发展改革委关于不动产登记收费有关政策的通知》（财税[2016]79号）、《国家发展改革委、财政部关于不动产登记收费标准等有关问题的通知》（发改价格规[2016]2559号）、《关于减免部分行政事业性收费有关政策的通知》（财税[2019]45号）。</w:t>
      </w:r>
    </w:p>
    <w:p w14:paraId="0693341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收费标准：免费。</w:t>
      </w:r>
    </w:p>
    <w:p w14:paraId="25FC0772">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十三、网办地址</w:t>
      </w:r>
    </w:p>
    <w:p w14:paraId="6EC2FFE9">
      <w:pPr>
        <w:pStyle w:val="5"/>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8"/>
          <w:rFonts w:hint="eastAsia" w:ascii="仿宋" w:hAnsi="仿宋" w:eastAsia="仿宋" w:cs="微软雅黑"/>
          <w:color w:val="333333"/>
          <w:sz w:val="21"/>
          <w:szCs w:val="21"/>
          <w:shd w:val="clear" w:color="auto" w:fill="FFFFFF"/>
        </w:rPr>
        <w:t>安徽政务服务网市县一体化平台</w:t>
      </w:r>
      <w:bookmarkEnd w:id="0"/>
      <w:r>
        <w:rPr>
          <w:rFonts w:hint="eastAsia" w:ascii="仿宋" w:hAnsi="仿宋" w:eastAsia="仿宋" w:cs="微软雅黑"/>
          <w:color w:val="333333"/>
          <w:sz w:val="21"/>
          <w:szCs w:val="21"/>
          <w:shd w:val="clear" w:color="auto" w:fill="FFFFFF"/>
        </w:rPr>
        <w:fldChar w:fldCharType="end"/>
      </w:r>
    </w:p>
    <w:p w14:paraId="676F9A70">
      <w:pPr>
        <w:pStyle w:val="5"/>
        <w:widowControl/>
        <w:spacing w:beforeAutospacing="0" w:afterAutospacing="0" w:line="360" w:lineRule="exact"/>
        <w:ind w:firstLine="420"/>
        <w:jc w:val="both"/>
        <w:rPr>
          <w:rFonts w:ascii="仿宋" w:hAnsi="仿宋" w:eastAsia="仿宋"/>
          <w:b/>
          <w:bCs/>
          <w:sz w:val="21"/>
          <w:szCs w:val="21"/>
        </w:rPr>
      </w:pPr>
      <w:r>
        <w:rPr>
          <w:rFonts w:hint="eastAsia" w:ascii="仿宋" w:hAnsi="仿宋" w:eastAsia="仿宋" w:cs="微软雅黑"/>
          <w:b/>
          <w:bCs/>
          <w:color w:val="333333"/>
          <w:sz w:val="21"/>
          <w:szCs w:val="21"/>
          <w:shd w:val="clear" w:color="auto" w:fill="FFFFFF"/>
        </w:rPr>
        <w:t>十四、办公地点</w:t>
      </w:r>
    </w:p>
    <w:p w14:paraId="471E1B53">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淮南市山南政务中心Ｇ座一楼不动产综合窗口</w:t>
      </w:r>
    </w:p>
    <w:p w14:paraId="30E94A89">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淮南市田家庵区朝阳西路田区政务中心二楼不动产综合窗口</w:t>
      </w:r>
    </w:p>
    <w:p w14:paraId="3AB8F118">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淮南市潘集区上海路与重庆路交叉口东北侧潘集区政务中心不动产综合窗口</w:t>
      </w:r>
    </w:p>
    <w:p w14:paraId="5DD7A6AE">
      <w:pPr>
        <w:pStyle w:val="5"/>
        <w:widowControl/>
        <w:shd w:val="clear" w:color="auto" w:fill="FFFFFF"/>
        <w:spacing w:beforeAutospacing="0" w:afterAutospacing="0" w:line="360" w:lineRule="exact"/>
        <w:ind w:firstLine="480"/>
        <w:jc w:val="both"/>
        <w:rPr>
          <w:rFonts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135740B0">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凤台县中山南路凤台县政务服务中心不动产窗口</w:t>
      </w:r>
    </w:p>
    <w:p w14:paraId="3BF6FD90">
      <w:pPr>
        <w:pStyle w:val="5"/>
        <w:widowControl/>
        <w:shd w:val="clear" w:color="auto" w:fill="FFFFFF"/>
        <w:spacing w:beforeAutospacing="0" w:afterAutospacing="0" w:line="360" w:lineRule="exact"/>
        <w:ind w:firstLine="480"/>
        <w:jc w:val="both"/>
        <w:rPr>
          <w:rFonts w:ascii="仿宋" w:hAnsi="仿宋" w:eastAsia="仿宋" w:cs="仿宋"/>
          <w:b/>
          <w:bCs/>
          <w:color w:val="333333"/>
          <w:sz w:val="21"/>
          <w:szCs w:val="21"/>
        </w:rPr>
      </w:pPr>
      <w:r>
        <w:rPr>
          <w:rFonts w:hint="eastAsia" w:ascii="仿宋" w:hAnsi="仿宋" w:eastAsia="仿宋" w:cs="仿宋"/>
          <w:b/>
          <w:bCs/>
          <w:color w:val="333333"/>
          <w:sz w:val="21"/>
          <w:szCs w:val="21"/>
        </w:rPr>
        <w:t>十五、服务电话</w:t>
      </w:r>
    </w:p>
    <w:p w14:paraId="173CABCC">
      <w:pPr>
        <w:pStyle w:val="5"/>
        <w:shd w:val="clear" w:color="auto" w:fill="FFFFFF"/>
        <w:spacing w:beforeAutospacing="0" w:afterAutospacing="0" w:line="360" w:lineRule="exact"/>
        <w:ind w:firstLine="480"/>
        <w:jc w:val="both"/>
        <w:rPr>
          <w:rFonts w:ascii="仿宋" w:hAnsi="仿宋" w:eastAsia="仿宋"/>
          <w:color w:val="333333"/>
          <w:sz w:val="21"/>
          <w:szCs w:val="21"/>
        </w:rPr>
      </w:pPr>
      <w:r>
        <w:rPr>
          <w:rFonts w:hint="eastAsia" w:ascii="仿宋" w:hAnsi="仿宋" w:eastAsia="仿宋" w:cs="仿宋"/>
          <w:color w:val="333333"/>
          <w:sz w:val="21"/>
          <w:szCs w:val="21"/>
          <w:lang w:val="en-US" w:eastAsia="zh-CN"/>
        </w:rPr>
        <w:t xml:space="preserve">1. </w:t>
      </w:r>
      <w:r>
        <w:rPr>
          <w:rFonts w:hint="eastAsia" w:ascii="仿宋" w:hAnsi="仿宋" w:eastAsia="仿宋" w:cs="仿宋"/>
          <w:color w:val="333333"/>
          <w:sz w:val="21"/>
          <w:szCs w:val="21"/>
        </w:rPr>
        <w:t>咨询电话</w:t>
      </w:r>
      <w:r>
        <w:rPr>
          <w:rFonts w:ascii="Calibri" w:hAnsi="Calibri" w:eastAsia="仿宋" w:cs="Calibri"/>
          <w:color w:val="333333"/>
          <w:sz w:val="21"/>
          <w:szCs w:val="21"/>
        </w:rPr>
        <w:t>   </w:t>
      </w:r>
    </w:p>
    <w:p w14:paraId="5C84EEAE">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51FDC3F9">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3EE5B3E5">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00184A4B">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4B4F8E17">
      <w:pPr>
        <w:pStyle w:val="5"/>
        <w:widowControl/>
        <w:numPr>
          <w:ilvl w:val="0"/>
          <w:numId w:val="0"/>
        </w:numPr>
        <w:shd w:val="clear" w:color="auto" w:fill="FFFFFF"/>
        <w:spacing w:beforeAutospacing="0" w:afterAutospacing="0" w:line="360" w:lineRule="exact"/>
        <w:ind w:firstLine="420" w:firstLineChars="200"/>
        <w:jc w:val="both"/>
        <w:rPr>
          <w:rFonts w:ascii="Calibri" w:hAnsi="Calibri" w:eastAsia="仿宋" w:cs="Calibri"/>
          <w:color w:val="333333"/>
          <w:sz w:val="21"/>
          <w:szCs w:val="21"/>
        </w:rPr>
      </w:pPr>
      <w:r>
        <w:rPr>
          <w:rFonts w:hint="eastAsia" w:ascii="仿宋" w:hAnsi="仿宋" w:eastAsia="仿宋" w:cs="仿宋"/>
          <w:color w:val="333333"/>
          <w:sz w:val="21"/>
          <w:szCs w:val="21"/>
          <w:lang w:val="en-US" w:eastAsia="zh-CN"/>
        </w:rPr>
        <w:t xml:space="preserve">2. </w:t>
      </w:r>
      <w:r>
        <w:rPr>
          <w:rFonts w:hint="eastAsia" w:ascii="仿宋" w:hAnsi="仿宋" w:eastAsia="仿宋" w:cs="仿宋"/>
          <w:color w:val="000000" w:themeColor="text1"/>
          <w:sz w:val="21"/>
          <w:szCs w:val="21"/>
          <w14:textFill>
            <w14:solidFill>
              <w14:schemeClr w14:val="tx1"/>
            </w14:solidFill>
          </w14:textFill>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ascii="Calibri" w:hAnsi="Calibri" w:eastAsia="仿宋" w:cs="Calibri"/>
          <w:b/>
          <w:bCs/>
          <w:color w:val="333333"/>
          <w:sz w:val="21"/>
          <w:szCs w:val="21"/>
        </w:rPr>
        <w:t>  </w:t>
      </w:r>
      <w:r>
        <w:rPr>
          <w:rFonts w:ascii="Calibri" w:hAnsi="Calibri" w:eastAsia="仿宋" w:cs="Calibri"/>
          <w:color w:val="333333"/>
          <w:sz w:val="21"/>
          <w:szCs w:val="21"/>
        </w:rPr>
        <w:t> </w:t>
      </w:r>
    </w:p>
    <w:p w14:paraId="319A6D21">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5FDBE35F">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5431D687">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181CA063">
      <w:pPr>
        <w:pStyle w:val="5"/>
        <w:widowControl/>
        <w:numPr>
          <w:ilvl w:val="0"/>
          <w:numId w:val="0"/>
        </w:numPr>
        <w:shd w:val="clear" w:color="auto" w:fill="FFFFFF"/>
        <w:spacing w:beforeAutospacing="0" w:afterAutospacing="0" w:line="360" w:lineRule="exact"/>
        <w:ind w:firstLine="420" w:firstLineChars="200"/>
        <w:jc w:val="both"/>
        <w:rPr>
          <w:rFonts w:ascii="仿宋" w:hAnsi="仿宋" w:eastAsia="仿宋"/>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C257D6"/>
    <w:rsid w:val="000D25B7"/>
    <w:rsid w:val="00147789"/>
    <w:rsid w:val="00745D3B"/>
    <w:rsid w:val="00847605"/>
    <w:rsid w:val="0085551A"/>
    <w:rsid w:val="008A5997"/>
    <w:rsid w:val="00B07776"/>
    <w:rsid w:val="00BD043C"/>
    <w:rsid w:val="00C14DB1"/>
    <w:rsid w:val="00C257D6"/>
    <w:rsid w:val="00E23504"/>
    <w:rsid w:val="0FD83CA6"/>
    <w:rsid w:val="156264EB"/>
    <w:rsid w:val="18AB63FB"/>
    <w:rsid w:val="1D537924"/>
    <w:rsid w:val="25331C52"/>
    <w:rsid w:val="26235D5D"/>
    <w:rsid w:val="2A7B4487"/>
    <w:rsid w:val="2EC90F31"/>
    <w:rsid w:val="32382656"/>
    <w:rsid w:val="36632B2F"/>
    <w:rsid w:val="38174ABC"/>
    <w:rsid w:val="3FC217B1"/>
    <w:rsid w:val="4148218A"/>
    <w:rsid w:val="42FF2D1C"/>
    <w:rsid w:val="44580936"/>
    <w:rsid w:val="45C12A87"/>
    <w:rsid w:val="46A474F3"/>
    <w:rsid w:val="4E45017D"/>
    <w:rsid w:val="562253FD"/>
    <w:rsid w:val="614776BF"/>
    <w:rsid w:val="62E77622"/>
    <w:rsid w:val="68542880"/>
    <w:rsid w:val="685F3312"/>
    <w:rsid w:val="6A3E2DBA"/>
    <w:rsid w:val="706A53C9"/>
    <w:rsid w:val="71722787"/>
    <w:rsid w:val="73EB6821"/>
    <w:rsid w:val="761A47F2"/>
    <w:rsid w:val="77BE04D4"/>
    <w:rsid w:val="78C7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1284</Words>
  <Characters>1410</Characters>
  <Lines>11</Lines>
  <Paragraphs>3</Paragraphs>
  <TotalTime>0</TotalTime>
  <ScaleCrop>false</ScaleCrop>
  <LinksUpToDate>false</LinksUpToDate>
  <CharactersWithSpaces>1435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2022-10-03T06:57:00Z</dcterms:created>
  <dc:creator>xc</dc:creator>
  <cp:lastModifiedBy>仲夏夜的蔷薇</cp:lastModifiedBy>
  <dcterms:modified xsi:type="dcterms:W3CDTF">2025-12-03T07:22:34Z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37629CB8129E471B8E856D5EEF2F6E93</vt:lpwstr>
  </property>
  <property fmtid="{D5CDD505-2E9C-101B-9397-08002B2CF9AE}" pid="4" name="KSOTemplateDocerSaveRecord">
    <vt:lpwstr>eyJoZGlkIjoiNjMxZmNlMmJjYzM1YTRmMDY5NjUwMTE2NTk0ZDlhM2YiLCJ1c2VySWQiOiIxMTI1ODIzMTA3In0=</vt:lpwstr>
  </property>
</Properties>
</file>