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A950B">
      <w:pPr>
        <w:widowControl/>
        <w:shd w:val="clear" w:color="auto" w:fill="FFFFFF"/>
        <w:spacing w:line="675" w:lineRule="atLeast"/>
        <w:jc w:val="center"/>
        <w:outlineLvl w:val="0"/>
        <w:rPr>
          <w:rFonts w:ascii="微软雅黑" w:hAnsi="微软雅黑" w:eastAsia="微软雅黑" w:cs="微软雅黑"/>
          <w:b/>
          <w:bCs/>
          <w:color w:val="333333"/>
          <w:kern w:val="0"/>
          <w:sz w:val="44"/>
          <w:szCs w:val="44"/>
        </w:rPr>
      </w:pPr>
      <w:r>
        <w:rPr>
          <w:rFonts w:hint="eastAsia" w:ascii="微软雅黑" w:hAnsi="微软雅黑" w:eastAsia="微软雅黑" w:cs="微软雅黑"/>
          <w:b/>
          <w:bCs/>
          <w:color w:val="333333"/>
          <w:kern w:val="0"/>
          <w:sz w:val="44"/>
          <w:szCs w:val="44"/>
        </w:rPr>
        <w:t>不动产异议登记办事指南</w:t>
      </w:r>
    </w:p>
    <w:p w14:paraId="26FDB6CA">
      <w:pPr>
        <w:pStyle w:val="2"/>
        <w:shd w:val="clear" w:color="auto" w:fill="FFFFFF"/>
        <w:spacing w:before="0" w:beforeAutospacing="0" w:after="0" w:afterAutospacing="0" w:line="360" w:lineRule="exact"/>
        <w:ind w:firstLine="480"/>
        <w:jc w:val="both"/>
        <w:rPr>
          <w:rFonts w:ascii="仿宋" w:hAnsi="仿宋" w:eastAsia="仿宋"/>
          <w:color w:val="333333"/>
          <w:sz w:val="21"/>
          <w:szCs w:val="21"/>
        </w:rPr>
      </w:pPr>
    </w:p>
    <w:p w14:paraId="5FCDF150">
      <w:pPr>
        <w:pStyle w:val="2"/>
        <w:shd w:val="clear" w:color="auto" w:fill="FFFFFF"/>
        <w:spacing w:before="0" w:beforeAutospacing="0" w:after="0" w:afterAutospacing="0" w:line="360" w:lineRule="exact"/>
        <w:ind w:firstLine="480"/>
        <w:jc w:val="both"/>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一、设立依据</w:t>
      </w:r>
    </w:p>
    <w:p w14:paraId="574496B8">
      <w:pPr>
        <w:pStyle w:val="2"/>
        <w:shd w:val="clear" w:color="auto" w:fill="FFFFFF"/>
        <w:spacing w:before="0" w:beforeAutospacing="0" w:after="0" w:afterAutospacing="0" w:line="360" w:lineRule="exact"/>
        <w:ind w:firstLine="480"/>
        <w:jc w:val="both"/>
        <w:rPr>
          <w:rFonts w:hint="eastAsia"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lang w:val="en-US" w:eastAsia="zh-CN"/>
          <w14:textFill>
            <w14:solidFill>
              <w14:schemeClr w14:val="tx1"/>
            </w14:solidFill>
          </w14:textFill>
        </w:rPr>
        <w:t>1.</w:t>
      </w:r>
      <w:r>
        <w:rPr>
          <w:rFonts w:hint="eastAsia" w:ascii="仿宋" w:hAnsi="仿宋" w:eastAsia="仿宋"/>
          <w:color w:val="000000" w:themeColor="text1"/>
          <w:sz w:val="21"/>
          <w:szCs w:val="21"/>
          <w14:textFill>
            <w14:solidFill>
              <w14:schemeClr w14:val="tx1"/>
            </w14:solidFill>
          </w14:textFill>
        </w:rPr>
        <w:t>《不动产登记操作规范（试行）》（国土资规〔2016〕6号）分则17.1</w:t>
      </w:r>
    </w:p>
    <w:p w14:paraId="55E9C9EF">
      <w:pPr>
        <w:pStyle w:val="2"/>
        <w:shd w:val="clear" w:color="auto" w:fill="FFFFFF"/>
        <w:spacing w:before="0" w:beforeAutospacing="0" w:after="0" w:afterAutospacing="0" w:line="360" w:lineRule="exact"/>
        <w:ind w:firstLine="480"/>
        <w:jc w:val="both"/>
        <w:rPr>
          <w:rFonts w:hint="default" w:ascii="仿宋" w:hAnsi="仿宋" w:eastAsia="仿宋"/>
          <w:color w:val="000000" w:themeColor="text1"/>
          <w:sz w:val="21"/>
          <w:szCs w:val="21"/>
          <w:lang w:val="en-US" w:eastAsia="zh-CN"/>
          <w14:textFill>
            <w14:solidFill>
              <w14:schemeClr w14:val="tx1"/>
            </w14:solidFill>
          </w14:textFill>
        </w:rPr>
      </w:pPr>
      <w:r>
        <w:rPr>
          <w:rFonts w:hint="eastAsia" w:ascii="仿宋" w:hAnsi="仿宋" w:eastAsia="仿宋"/>
          <w:color w:val="000000" w:themeColor="text1"/>
          <w:sz w:val="21"/>
          <w:szCs w:val="21"/>
          <w:lang w:val="en-US" w:eastAsia="zh-CN"/>
          <w14:textFill>
            <w14:solidFill>
              <w14:schemeClr w14:val="tx1"/>
            </w14:solidFill>
          </w14:textFill>
        </w:rPr>
        <w:t>2.《安徽省不动产登记业务场景规范（试行）》</w:t>
      </w:r>
    </w:p>
    <w:p w14:paraId="0DADBB53">
      <w:pPr>
        <w:pStyle w:val="2"/>
        <w:shd w:val="clear" w:color="auto" w:fill="FFFFFF"/>
        <w:spacing w:before="0" w:beforeAutospacing="0" w:after="0" w:afterAutospacing="0" w:line="360" w:lineRule="exact"/>
        <w:ind w:firstLine="480"/>
        <w:jc w:val="both"/>
        <w:rPr>
          <w:rFonts w:ascii="仿宋" w:hAnsi="仿宋" w:eastAsia="仿宋"/>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二、事项类型</w:t>
      </w:r>
      <w:r>
        <w:rPr>
          <w:rFonts w:hint="eastAsia" w:ascii="仿宋" w:hAnsi="仿宋" w:eastAsia="仿宋"/>
          <w:color w:val="000000" w:themeColor="text1"/>
          <w:sz w:val="21"/>
          <w:szCs w:val="21"/>
          <w14:textFill>
            <w14:solidFill>
              <w14:schemeClr w14:val="tx1"/>
            </w14:solidFill>
          </w14:textFill>
        </w:rPr>
        <w:t>：行政确认</w:t>
      </w:r>
    </w:p>
    <w:p w14:paraId="12ABE981">
      <w:pPr>
        <w:pStyle w:val="2"/>
        <w:widowControl/>
        <w:shd w:val="clear" w:color="auto" w:fill="FFFFFF"/>
        <w:spacing w:beforeAutospacing="0" w:afterAutospacing="0" w:line="360" w:lineRule="exact"/>
        <w:ind w:firstLine="480"/>
        <w:jc w:val="both"/>
        <w:rPr>
          <w:rFonts w:hint="eastAsia" w:ascii="仿宋" w:hAnsi="仿宋" w:eastAsia="仿宋"/>
          <w:color w:val="000000" w:themeColor="text1"/>
          <w:sz w:val="21"/>
          <w:szCs w:val="21"/>
          <w:lang w:eastAsia="zh-CN"/>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三、实施机构</w:t>
      </w:r>
      <w:r>
        <w:rPr>
          <w:rFonts w:hint="eastAsia" w:ascii="仿宋" w:hAnsi="仿宋" w:eastAsia="仿宋"/>
          <w:color w:val="000000" w:themeColor="text1"/>
          <w:sz w:val="21"/>
          <w:szCs w:val="21"/>
          <w14:textFill>
            <w14:solidFill>
              <w14:schemeClr w14:val="tx1"/>
            </w14:solidFill>
          </w14:textFill>
        </w:rPr>
        <w:t>：淮南市不动产登记中心</w:t>
      </w:r>
      <w:r>
        <w:rPr>
          <w:rFonts w:hint="eastAsia" w:ascii="仿宋" w:hAnsi="仿宋" w:eastAsia="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寿县自然资源确权登记中心、凤台县不动产登记和交易中心</w:t>
      </w:r>
      <w:bookmarkStart w:id="2" w:name="_GoBack"/>
      <w:bookmarkEnd w:id="2"/>
    </w:p>
    <w:p w14:paraId="0B8388B3">
      <w:pPr>
        <w:pStyle w:val="2"/>
        <w:shd w:val="clear" w:color="auto" w:fill="FFFFFF"/>
        <w:spacing w:before="0" w:beforeAutospacing="0" w:after="0" w:afterAutospacing="0" w:line="360" w:lineRule="exact"/>
        <w:ind w:firstLine="480"/>
        <w:jc w:val="both"/>
        <w:rPr>
          <w:rFonts w:ascii="仿宋" w:hAnsi="仿宋" w:eastAsia="仿宋"/>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四、办件类型</w:t>
      </w:r>
      <w:r>
        <w:rPr>
          <w:rFonts w:hint="eastAsia" w:ascii="仿宋" w:hAnsi="仿宋" w:eastAsia="仿宋"/>
          <w:color w:val="000000" w:themeColor="text1"/>
          <w:sz w:val="21"/>
          <w:szCs w:val="21"/>
          <w14:textFill>
            <w14:solidFill>
              <w14:schemeClr w14:val="tx1"/>
            </w14:solidFill>
          </w14:textFill>
        </w:rPr>
        <w:t>：即办件</w:t>
      </w:r>
    </w:p>
    <w:p w14:paraId="541E705E">
      <w:pPr>
        <w:pStyle w:val="2"/>
        <w:shd w:val="clear" w:color="auto" w:fill="FFFFFF"/>
        <w:spacing w:before="0" w:beforeAutospacing="0" w:after="0" w:afterAutospacing="0" w:line="360" w:lineRule="exact"/>
        <w:ind w:firstLine="480"/>
        <w:jc w:val="both"/>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五、受理条件</w:t>
      </w:r>
    </w:p>
    <w:p w14:paraId="587B7607">
      <w:pPr>
        <w:pStyle w:val="2"/>
        <w:shd w:val="clear" w:color="auto" w:fill="FFFFFF"/>
        <w:spacing w:before="0" w:beforeAutospacing="0" w:after="0" w:afterAutospacing="0" w:line="360" w:lineRule="exact"/>
        <w:ind w:firstLine="480"/>
        <w:jc w:val="both"/>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1. 申请登记事项在本不动产登记机构的登记职责范围内；</w:t>
      </w:r>
    </w:p>
    <w:p w14:paraId="7D2A885F">
      <w:pPr>
        <w:pStyle w:val="2"/>
        <w:shd w:val="clear" w:color="auto" w:fill="FFFFFF"/>
        <w:spacing w:before="0" w:beforeAutospacing="0" w:after="0" w:afterAutospacing="0" w:line="360" w:lineRule="exact"/>
        <w:ind w:firstLine="480"/>
        <w:jc w:val="both"/>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2. 申请材料形式符合要求；</w:t>
      </w:r>
    </w:p>
    <w:p w14:paraId="26DFF019">
      <w:pPr>
        <w:pStyle w:val="2"/>
        <w:shd w:val="clear" w:color="auto" w:fill="FFFFFF"/>
        <w:spacing w:before="0" w:beforeAutospacing="0" w:after="0" w:afterAutospacing="0" w:line="360" w:lineRule="exact"/>
        <w:ind w:firstLine="480"/>
        <w:jc w:val="both"/>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3. 申请人与依法应当提交的申请材料记载的主体一致；</w:t>
      </w:r>
    </w:p>
    <w:p w14:paraId="0198F80F">
      <w:pPr>
        <w:pStyle w:val="2"/>
        <w:shd w:val="clear" w:color="auto" w:fill="FFFFFF"/>
        <w:spacing w:before="0" w:beforeAutospacing="0" w:after="0" w:afterAutospacing="0" w:line="360" w:lineRule="exact"/>
        <w:ind w:firstLine="480"/>
        <w:jc w:val="both"/>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4. 申请登记的不动产权利与登记原因文件记载的不动产权利一致；</w:t>
      </w:r>
    </w:p>
    <w:p w14:paraId="6B1EBF36">
      <w:pPr>
        <w:pStyle w:val="2"/>
        <w:shd w:val="clear" w:color="auto" w:fill="FFFFFF"/>
        <w:spacing w:before="0" w:beforeAutospacing="0" w:after="0" w:afterAutospacing="0" w:line="360" w:lineRule="exact"/>
        <w:ind w:firstLine="480"/>
        <w:jc w:val="both"/>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 xml:space="preserve">5. </w:t>
      </w:r>
      <w:r>
        <w:rPr>
          <w:rFonts w:hint="eastAsia" w:ascii="仿宋" w:hAnsi="仿宋" w:eastAsia="仿宋" w:cs="微软雅黑"/>
          <w:color w:val="000000" w:themeColor="text1"/>
          <w:sz w:val="21"/>
          <w:szCs w:val="21"/>
          <w:shd w:val="clear" w:color="auto" w:fill="FFFFFF"/>
          <w14:textFill>
            <w14:solidFill>
              <w14:schemeClr w14:val="tx1"/>
            </w14:solidFill>
          </w14:textFill>
        </w:rPr>
        <w:t>申请内容与</w:t>
      </w:r>
      <w:r>
        <w:rPr>
          <w:rFonts w:hint="eastAsia" w:ascii="仿宋" w:hAnsi="仿宋" w:eastAsia="仿宋" w:cs="微软雅黑"/>
          <w:color w:val="000000" w:themeColor="text1"/>
          <w:sz w:val="21"/>
          <w:szCs w:val="21"/>
          <w14:textFill>
            <w14:solidFill>
              <w14:schemeClr w14:val="tx1"/>
            </w14:solidFill>
          </w14:textFill>
        </w:rPr>
        <w:t>询问（承诺）事项不冲突。</w:t>
      </w:r>
    </w:p>
    <w:p w14:paraId="3383CA5B">
      <w:pPr>
        <w:pStyle w:val="2"/>
        <w:shd w:val="clear" w:color="auto" w:fill="FFFFFF"/>
        <w:spacing w:before="0" w:beforeAutospacing="0" w:after="0" w:afterAutospacing="0" w:line="360" w:lineRule="exact"/>
        <w:ind w:firstLine="480"/>
        <w:jc w:val="both"/>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六、申请材料</w:t>
      </w:r>
    </w:p>
    <w:p w14:paraId="1DC09333">
      <w:pPr>
        <w:pStyle w:val="2"/>
        <w:shd w:val="clear" w:color="auto" w:fill="FFFFFF"/>
        <w:spacing w:before="0" w:beforeAutospacing="0" w:after="0" w:afterAutospacing="0" w:line="360" w:lineRule="exact"/>
        <w:ind w:firstLine="480"/>
        <w:jc w:val="both"/>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1. 淮南市不动产</w:t>
      </w:r>
      <w:r>
        <w:rPr>
          <w:rFonts w:hint="eastAsia" w:ascii="仿宋" w:hAnsi="仿宋" w:eastAsia="仿宋"/>
          <w:color w:val="000000" w:themeColor="text1"/>
          <w:sz w:val="21"/>
          <w:szCs w:val="21"/>
          <w:lang w:val="en-US" w:eastAsia="zh-CN"/>
          <w14:textFill>
            <w14:solidFill>
              <w14:schemeClr w14:val="tx1"/>
            </w14:solidFill>
          </w14:textFill>
        </w:rPr>
        <w:t>异议</w:t>
      </w:r>
      <w:r>
        <w:rPr>
          <w:rFonts w:hint="eastAsia" w:ascii="仿宋" w:hAnsi="仿宋" w:eastAsia="仿宋"/>
          <w:color w:val="000000" w:themeColor="text1"/>
          <w:sz w:val="21"/>
          <w:szCs w:val="21"/>
          <w14:textFill>
            <w14:solidFill>
              <w14:schemeClr w14:val="tx1"/>
            </w14:solidFill>
          </w14:textFill>
        </w:rPr>
        <w:t>登记申请书；</w:t>
      </w:r>
    </w:p>
    <w:p w14:paraId="7CFAC9A5">
      <w:pPr>
        <w:pStyle w:val="2"/>
        <w:shd w:val="clear" w:color="auto" w:fill="FFFFFF"/>
        <w:spacing w:before="0" w:beforeAutospacing="0" w:after="0" w:afterAutospacing="0" w:line="360" w:lineRule="exact"/>
        <w:ind w:firstLine="480"/>
        <w:jc w:val="both"/>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2</w:t>
      </w:r>
      <w:r>
        <w:rPr>
          <w:rFonts w:ascii="仿宋" w:hAnsi="仿宋" w:eastAsia="仿宋"/>
          <w:color w:val="000000" w:themeColor="text1"/>
          <w:sz w:val="21"/>
          <w:szCs w:val="21"/>
          <w14:textFill>
            <w14:solidFill>
              <w14:schemeClr w14:val="tx1"/>
            </w14:solidFill>
          </w14:textFill>
        </w:rPr>
        <w:t xml:space="preserve">. </w:t>
      </w:r>
      <w:r>
        <w:rPr>
          <w:rFonts w:hint="eastAsia" w:ascii="仿宋" w:hAnsi="仿宋" w:eastAsia="仿宋" w:cs="微软雅黑"/>
          <w:color w:val="000000" w:themeColor="text1"/>
          <w:sz w:val="21"/>
          <w:szCs w:val="21"/>
          <w:shd w:val="clear" w:color="auto" w:fill="FFFFFF"/>
          <w14:textFill>
            <w14:solidFill>
              <w14:schemeClr w14:val="tx1"/>
            </w14:solidFill>
          </w14:textFill>
        </w:rPr>
        <w:t>身份证明材料</w:t>
      </w:r>
      <w:r>
        <w:rPr>
          <w:rFonts w:hint="eastAsia" w:ascii="仿宋" w:hAnsi="仿宋" w:eastAsia="仿宋"/>
          <w:color w:val="000000" w:themeColor="text1"/>
          <w:sz w:val="21"/>
          <w:szCs w:val="21"/>
          <w14:textFill>
            <w14:solidFill>
              <w14:schemeClr w14:val="tx1"/>
            </w14:solidFill>
          </w14:textFill>
        </w:rPr>
        <w:t>（</w:t>
      </w:r>
      <w:r>
        <w:rPr>
          <w:rFonts w:hint="eastAsia" w:ascii="仿宋" w:hAnsi="仿宋" w:eastAsia="仿宋" w:cs="微软雅黑"/>
          <w:color w:val="000000" w:themeColor="text1"/>
          <w:sz w:val="21"/>
          <w:szCs w:val="21"/>
          <w:shd w:val="clear" w:color="auto" w:fill="FFFFFF"/>
          <w14:textFill>
            <w14:solidFill>
              <w14:schemeClr w14:val="tx1"/>
            </w14:solidFill>
          </w14:textFill>
        </w:rPr>
        <w:t>申请人个人通过人脸识别在线验证、企业通过国家电子营业执照小程序或APP在线验证出示电子证照，无需提交身份证明</w:t>
      </w:r>
      <w:r>
        <w:rPr>
          <w:rFonts w:hint="eastAsia" w:ascii="仿宋" w:hAnsi="仿宋" w:eastAsia="仿宋"/>
          <w:color w:val="000000" w:themeColor="text1"/>
          <w:sz w:val="21"/>
          <w:szCs w:val="21"/>
          <w14:textFill>
            <w14:solidFill>
              <w14:schemeClr w14:val="tx1"/>
            </w14:solidFill>
          </w14:textFill>
        </w:rPr>
        <w:t>）；</w:t>
      </w:r>
    </w:p>
    <w:p w14:paraId="3E0F395F">
      <w:pPr>
        <w:pStyle w:val="2"/>
        <w:shd w:val="clear" w:color="auto" w:fill="FFFFFF"/>
        <w:spacing w:before="0" w:beforeAutospacing="0" w:after="0" w:afterAutospacing="0" w:line="360" w:lineRule="exact"/>
        <w:ind w:firstLine="480"/>
        <w:jc w:val="both"/>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3</w:t>
      </w:r>
      <w:r>
        <w:rPr>
          <w:rFonts w:hint="eastAsia" w:ascii="仿宋" w:hAnsi="仿宋" w:eastAsia="仿宋"/>
          <w:color w:val="000000" w:themeColor="text1"/>
          <w:sz w:val="21"/>
          <w:szCs w:val="21"/>
          <w14:textFill>
            <w14:solidFill>
              <w14:schemeClr w14:val="tx1"/>
            </w14:solidFill>
          </w14:textFill>
        </w:rPr>
        <w:t>.</w:t>
      </w:r>
      <w:r>
        <w:rPr>
          <w:rFonts w:hint="eastAsia" w:ascii="仿宋" w:hAnsi="仿宋" w:eastAsia="仿宋"/>
          <w:color w:val="000000" w:themeColor="text1"/>
          <w:sz w:val="21"/>
          <w:szCs w:val="21"/>
          <w:lang w:val="en-US" w:eastAsia="zh-CN"/>
          <w14:textFill>
            <w14:solidFill>
              <w14:schemeClr w14:val="tx1"/>
            </w14:solidFill>
          </w14:textFill>
        </w:rPr>
        <w:t xml:space="preserve"> </w:t>
      </w:r>
      <w:r>
        <w:rPr>
          <w:rFonts w:hint="eastAsia" w:ascii="仿宋" w:hAnsi="仿宋" w:eastAsia="仿宋"/>
          <w:color w:val="000000" w:themeColor="text1"/>
          <w:sz w:val="21"/>
          <w:szCs w:val="21"/>
          <w14:textFill>
            <w14:solidFill>
              <w14:schemeClr w14:val="tx1"/>
            </w14:solidFill>
          </w14:textFill>
        </w:rPr>
        <w:t>证实不动产登记簿记载事项错误的材料（能够通过信息共享获取的，</w:t>
      </w:r>
      <w:r>
        <w:rPr>
          <w:rFonts w:hint="eastAsia" w:ascii="仿宋" w:hAnsi="仿宋" w:eastAsia="仿宋"/>
          <w:color w:val="000000" w:themeColor="text1"/>
          <w:sz w:val="21"/>
          <w:szCs w:val="21"/>
          <w:lang w:val="en-US" w:eastAsia="zh-CN"/>
          <w14:textFill>
            <w14:solidFill>
              <w14:schemeClr w14:val="tx1"/>
            </w14:solidFill>
          </w14:textFill>
        </w:rPr>
        <w:t>申请人</w:t>
      </w:r>
      <w:r>
        <w:rPr>
          <w:rFonts w:hint="eastAsia" w:ascii="仿宋" w:hAnsi="仿宋" w:eastAsia="仿宋"/>
          <w:color w:val="000000" w:themeColor="text1"/>
          <w:sz w:val="21"/>
          <w:szCs w:val="21"/>
          <w14:textFill>
            <w14:solidFill>
              <w14:schemeClr w14:val="tx1"/>
            </w14:solidFill>
          </w14:textFill>
        </w:rPr>
        <w:t>无需提交）。</w:t>
      </w:r>
    </w:p>
    <w:p w14:paraId="1CAF155A">
      <w:pPr>
        <w:pStyle w:val="2"/>
        <w:shd w:val="clear" w:color="auto" w:fill="FFFFFF"/>
        <w:spacing w:before="0" w:beforeAutospacing="0" w:after="0" w:afterAutospacing="0" w:line="360" w:lineRule="exact"/>
        <w:ind w:firstLine="480"/>
        <w:jc w:val="both"/>
        <w:rPr>
          <w:rFonts w:ascii="仿宋" w:hAnsi="仿宋" w:eastAsia="仿宋"/>
          <w:b/>
          <w:bCs/>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七、特别提示</w:t>
      </w:r>
    </w:p>
    <w:p w14:paraId="10C81145">
      <w:pPr>
        <w:pStyle w:val="2"/>
        <w:shd w:val="clear" w:color="auto" w:fill="FFFFFF"/>
        <w:spacing w:before="0" w:beforeAutospacing="0" w:after="0" w:afterAutospacing="0" w:line="360" w:lineRule="exact"/>
        <w:ind w:firstLine="480"/>
        <w:jc w:val="both"/>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1. 申请人为利害关系人，提交证实与不动产登记薄记载的不动产权利存在利害关系的材料。</w:t>
      </w:r>
    </w:p>
    <w:p w14:paraId="71EFCA30">
      <w:pPr>
        <w:pStyle w:val="2"/>
        <w:shd w:val="clear" w:color="auto" w:fill="FFFFFF"/>
        <w:spacing w:before="0" w:beforeAutospacing="0" w:after="0" w:afterAutospacing="0" w:line="360" w:lineRule="exact"/>
        <w:ind w:firstLine="480"/>
        <w:jc w:val="both"/>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2. 异议登记申请人应当在异议登记之日起15日内，提交人民法院受理通知书、仲裁委员会受理通知书等提起诉讼、申请仲裁的材料；逾期不提交的，异议登记失效。</w:t>
      </w:r>
    </w:p>
    <w:p w14:paraId="5BB2AB7A">
      <w:pPr>
        <w:pStyle w:val="2"/>
        <w:shd w:val="clear" w:color="auto" w:fill="FFFFFF"/>
        <w:spacing w:before="0" w:beforeAutospacing="0" w:after="0" w:afterAutospacing="0" w:line="360" w:lineRule="exact"/>
        <w:ind w:firstLine="480"/>
        <w:jc w:val="both"/>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3. 异议登记失效后，申请人就同一事项以同一理由再次申请异议登记的，不动产登记机构不予受理。</w:t>
      </w:r>
    </w:p>
    <w:p w14:paraId="78972676">
      <w:pPr>
        <w:pStyle w:val="2"/>
        <w:shd w:val="clear" w:color="auto" w:fill="FFFFFF"/>
        <w:spacing w:before="0" w:beforeAutospacing="0" w:after="0" w:afterAutospacing="0" w:line="360" w:lineRule="exact"/>
        <w:ind w:firstLine="480"/>
        <w:jc w:val="both"/>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4. 异议登记期间，不动产登记簿上记载的权利人以及第三人因处分权利申请登记的，不动产登记机构应当书面告知申请人该权利已经存在异议登记的有关事项。申请人申请继续办理的，应当予以办理，但申请人应当提供知悉异议登记存在并自担风险的书面承诺。</w:t>
      </w:r>
    </w:p>
    <w:p w14:paraId="47FC7794">
      <w:pPr>
        <w:pStyle w:val="2"/>
        <w:shd w:val="clear" w:color="auto" w:fill="FFFFFF"/>
        <w:spacing w:before="0" w:beforeAutospacing="0" w:after="0" w:afterAutospacing="0" w:line="360" w:lineRule="exact"/>
        <w:ind w:firstLine="480"/>
        <w:jc w:val="both"/>
        <w:rPr>
          <w:rFonts w:ascii="仿宋" w:hAnsi="仿宋" w:eastAsia="仿宋"/>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八、网办深度</w:t>
      </w:r>
      <w:r>
        <w:rPr>
          <w:rFonts w:hint="eastAsia" w:ascii="仿宋" w:hAnsi="仿宋" w:eastAsia="仿宋"/>
          <w:color w:val="000000" w:themeColor="text1"/>
          <w:sz w:val="21"/>
          <w:szCs w:val="21"/>
          <w14:textFill>
            <w14:solidFill>
              <w14:schemeClr w14:val="tx1"/>
            </w14:solidFill>
          </w14:textFill>
        </w:rPr>
        <w:t>：三级</w:t>
      </w:r>
    </w:p>
    <w:p w14:paraId="33A2E673">
      <w:pPr>
        <w:pStyle w:val="2"/>
        <w:shd w:val="clear" w:color="auto" w:fill="FFFFFF"/>
        <w:spacing w:before="0" w:beforeAutospacing="0" w:after="0" w:afterAutospacing="0" w:line="360" w:lineRule="exact"/>
        <w:ind w:firstLine="480"/>
        <w:jc w:val="both"/>
        <w:rPr>
          <w:rFonts w:ascii="仿宋" w:hAnsi="仿宋" w:eastAsia="仿宋"/>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九、到现场次数</w:t>
      </w:r>
      <w:r>
        <w:rPr>
          <w:rFonts w:hint="eastAsia" w:ascii="仿宋" w:hAnsi="仿宋" w:eastAsia="仿宋"/>
          <w:color w:val="000000" w:themeColor="text1"/>
          <w:sz w:val="21"/>
          <w:szCs w:val="21"/>
          <w14:textFill>
            <w14:solidFill>
              <w14:schemeClr w14:val="tx1"/>
            </w14:solidFill>
          </w14:textFill>
        </w:rPr>
        <w:t>：1次</w:t>
      </w:r>
    </w:p>
    <w:p w14:paraId="236C2D68">
      <w:pPr>
        <w:pStyle w:val="2"/>
        <w:shd w:val="clear" w:color="auto" w:fill="FFFFFF"/>
        <w:spacing w:before="0" w:beforeAutospacing="0" w:after="0" w:afterAutospacing="0" w:line="360" w:lineRule="exact"/>
        <w:ind w:firstLine="480"/>
        <w:jc w:val="both"/>
        <w:rPr>
          <w:rFonts w:ascii="仿宋" w:hAnsi="仿宋" w:eastAsia="仿宋"/>
          <w:color w:val="000000" w:themeColor="text1"/>
          <w:sz w:val="21"/>
          <w:szCs w:val="21"/>
          <w14:textFill>
            <w14:solidFill>
              <w14:schemeClr w14:val="tx1"/>
            </w14:solidFill>
          </w14:textFill>
        </w:rPr>
      </w:pPr>
      <w:r>
        <w:rPr>
          <w:rFonts w:hint="eastAsia" w:ascii="仿宋" w:hAnsi="仿宋" w:eastAsia="仿宋"/>
          <w:b/>
          <w:bCs/>
          <w:color w:val="000000" w:themeColor="text1"/>
          <w:sz w:val="21"/>
          <w:szCs w:val="21"/>
          <w14:textFill>
            <w14:solidFill>
              <w14:schemeClr w14:val="tx1"/>
            </w14:solidFill>
          </w14:textFill>
        </w:rPr>
        <w:t>十、服务时限</w:t>
      </w:r>
    </w:p>
    <w:p w14:paraId="3045E41B">
      <w:pPr>
        <w:pStyle w:val="2"/>
        <w:shd w:val="clear" w:color="auto" w:fill="FFFFFF"/>
        <w:spacing w:before="0" w:beforeAutospacing="0" w:after="0" w:afterAutospacing="0" w:line="360" w:lineRule="exact"/>
        <w:ind w:firstLine="480"/>
        <w:jc w:val="both"/>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承诺办结时限：即时办结（补充材料时间不含工作时限内）。</w:t>
      </w:r>
    </w:p>
    <w:p w14:paraId="4D282FCC">
      <w:pPr>
        <w:pStyle w:val="2"/>
        <w:shd w:val="clear" w:color="auto" w:fill="FFFFFF"/>
        <w:spacing w:before="0" w:beforeAutospacing="0" w:after="0" w:afterAutospacing="0" w:line="360" w:lineRule="exact"/>
        <w:ind w:firstLine="422" w:firstLineChars="200"/>
        <w:jc w:val="both"/>
        <w:rPr>
          <w:rFonts w:ascii="仿宋" w:hAnsi="仿宋" w:eastAsia="仿宋" w:cs="微软雅黑"/>
          <w:b/>
          <w:bCs/>
          <w:color w:val="000000" w:themeColor="text1"/>
          <w:sz w:val="21"/>
          <w:szCs w:val="21"/>
          <w14:textFill>
            <w14:solidFill>
              <w14:schemeClr w14:val="tx1"/>
            </w14:solidFill>
          </w14:textFill>
        </w:rPr>
      </w:pPr>
      <w:bookmarkStart w:id="0" w:name="_Hlk115885449"/>
      <w:r>
        <w:rPr>
          <w:rFonts w:hint="eastAsia" w:ascii="仿宋" w:hAnsi="仿宋" w:eastAsia="仿宋" w:cs="微软雅黑"/>
          <w:b/>
          <w:bCs/>
          <w:color w:val="000000" w:themeColor="text1"/>
          <w:sz w:val="21"/>
          <w:szCs w:val="21"/>
          <w:shd w:val="clear" w:color="auto" w:fill="FFFFFF"/>
          <w14:textFill>
            <w14:solidFill>
              <w14:schemeClr w14:val="tx1"/>
            </w14:solidFill>
          </w14:textFill>
        </w:rPr>
        <w:t>十一、办理流程</w:t>
      </w:r>
    </w:p>
    <w:p w14:paraId="5C106EF6">
      <w:pPr>
        <w:pStyle w:val="2"/>
        <w:spacing w:before="0" w:beforeAutospacing="0" w:after="0" w:afterAutospacing="0" w:line="360" w:lineRule="exact"/>
        <w:ind w:firstLine="420"/>
        <w:jc w:val="both"/>
        <w:rPr>
          <w:rFonts w:ascii="仿宋" w:hAnsi="仿宋" w:eastAsia="仿宋" w:cs="微软雅黑"/>
          <w:color w:val="000000" w:themeColor="text1"/>
          <w:sz w:val="21"/>
          <w:szCs w:val="21"/>
          <w:shd w:val="clear" w:color="auto" w:fill="FFFFFF"/>
          <w14:textFill>
            <w14:solidFill>
              <w14:schemeClr w14:val="tx1"/>
            </w14:solidFill>
          </w14:textFill>
        </w:rPr>
      </w:pPr>
      <w:r>
        <w:rPr>
          <w:rFonts w:hint="eastAsia" w:ascii="仿宋" w:hAnsi="仿宋" w:eastAsia="仿宋" w:cs="微软雅黑"/>
          <w:color w:val="000000" w:themeColor="text1"/>
          <w:sz w:val="21"/>
          <w:szCs w:val="21"/>
          <w:shd w:val="clear" w:color="auto" w:fill="FFFFFF"/>
          <w14:textFill>
            <w14:solidFill>
              <w14:schemeClr w14:val="tx1"/>
            </w14:solidFill>
          </w14:textFill>
        </w:rPr>
        <w:t>1. 申请：申请人通过安徽政务服务网淮南市不动产专区网上申请或登记大厅申请。</w:t>
      </w:r>
    </w:p>
    <w:p w14:paraId="767EAA81">
      <w:pPr>
        <w:pStyle w:val="2"/>
        <w:spacing w:before="0" w:beforeAutospacing="0" w:after="0" w:afterAutospacing="0" w:line="360" w:lineRule="exact"/>
        <w:ind w:firstLine="420"/>
        <w:jc w:val="both"/>
        <w:rPr>
          <w:rFonts w:ascii="仿宋" w:hAnsi="仿宋" w:eastAsia="仿宋" w:cs="微软雅黑"/>
          <w:color w:val="000000" w:themeColor="text1"/>
          <w:sz w:val="21"/>
          <w:szCs w:val="21"/>
          <w:shd w:val="clear" w:color="auto" w:fill="FFFFFF"/>
          <w14:textFill>
            <w14:solidFill>
              <w14:schemeClr w14:val="tx1"/>
            </w14:solidFill>
          </w14:textFill>
        </w:rPr>
      </w:pPr>
      <w:r>
        <w:rPr>
          <w:rFonts w:hint="eastAsia" w:ascii="仿宋" w:hAnsi="仿宋" w:eastAsia="仿宋" w:cs="微软雅黑"/>
          <w:color w:val="000000" w:themeColor="text1"/>
          <w:sz w:val="21"/>
          <w:szCs w:val="21"/>
          <w:shd w:val="clear" w:color="auto" w:fill="FFFFFF"/>
          <w14:textFill>
            <w14:solidFill>
              <w14:schemeClr w14:val="tx1"/>
            </w14:solidFill>
          </w14:textFill>
        </w:rPr>
        <w:t>2. 受理：工作人员通过线上或线下窗口审查申请材料，对申请材料齐全且符合法定形式的予以受理（对申请人提交相关要件通过数据接口在线核验并下载核验单）；申请材料不齐全或不符合法定形式</w:t>
      </w:r>
      <w:r>
        <w:rPr>
          <w:rFonts w:hint="eastAsia" w:ascii="仿宋" w:hAnsi="仿宋" w:eastAsia="仿宋" w:cs="微软雅黑"/>
          <w:color w:val="000000" w:themeColor="text1"/>
          <w:sz w:val="21"/>
          <w:szCs w:val="21"/>
          <w:shd w:val="clear" w:color="auto" w:fill="FFFFFF"/>
          <w:lang w:val="en-US" w:eastAsia="zh-CN"/>
          <w14:textFill>
            <w14:solidFill>
              <w14:schemeClr w14:val="tx1"/>
            </w14:solidFill>
          </w14:textFill>
        </w:rPr>
        <w:t>的</w:t>
      </w:r>
      <w:r>
        <w:rPr>
          <w:rFonts w:hint="eastAsia" w:ascii="仿宋" w:hAnsi="仿宋" w:eastAsia="仿宋" w:cs="微软雅黑"/>
          <w:color w:val="000000" w:themeColor="text1"/>
          <w:sz w:val="21"/>
          <w:szCs w:val="21"/>
          <w:shd w:val="clear" w:color="auto" w:fill="FFFFFF"/>
          <w14:textFill>
            <w14:solidFill>
              <w14:schemeClr w14:val="tx1"/>
            </w14:solidFill>
          </w14:textFill>
        </w:rPr>
        <w:t>，应在线上或窗口一次性告知需要补正的全部内容，并出具补齐补正通知书</w:t>
      </w:r>
      <w:r>
        <w:rPr>
          <w:rFonts w:hint="eastAsia" w:ascii="仿宋" w:hAnsi="仿宋" w:eastAsia="仿宋" w:cs="微软雅黑"/>
          <w:color w:val="000000" w:themeColor="text1"/>
          <w:sz w:val="21"/>
          <w:szCs w:val="21"/>
          <w:shd w:val="clear" w:color="auto" w:fill="FFFFFF"/>
          <w:lang w:eastAsia="zh-CN"/>
          <w14:textFill>
            <w14:solidFill>
              <w14:schemeClr w14:val="tx1"/>
            </w14:solidFill>
          </w14:textFill>
        </w:rPr>
        <w:t>；</w:t>
      </w:r>
      <w:r>
        <w:rPr>
          <w:rFonts w:hint="eastAsia" w:ascii="仿宋" w:hAnsi="仿宋" w:eastAsia="仿宋" w:cs="微软雅黑"/>
          <w:color w:val="000000" w:themeColor="text1"/>
          <w:sz w:val="21"/>
          <w:szCs w:val="21"/>
          <w:shd w:val="clear" w:color="auto" w:fill="FFFFFF"/>
          <w14:textFill>
            <w14:solidFill>
              <w14:schemeClr w14:val="tx1"/>
            </w14:solidFill>
          </w14:textFill>
        </w:rPr>
        <w:t>存在法律法规规定不予受理情形的应出具不予</w:t>
      </w:r>
      <w:r>
        <w:rPr>
          <w:rFonts w:hint="eastAsia" w:ascii="仿宋" w:hAnsi="仿宋" w:eastAsia="仿宋" w:cs="微软雅黑"/>
          <w:color w:val="000000" w:themeColor="text1"/>
          <w:sz w:val="21"/>
          <w:szCs w:val="21"/>
          <w:shd w:val="clear" w:color="auto" w:fill="FFFFFF"/>
          <w:lang w:val="en-US" w:eastAsia="zh-CN"/>
          <w14:textFill>
            <w14:solidFill>
              <w14:schemeClr w14:val="tx1"/>
            </w14:solidFill>
          </w14:textFill>
        </w:rPr>
        <w:t>受理</w:t>
      </w:r>
      <w:r>
        <w:rPr>
          <w:rFonts w:hint="eastAsia" w:ascii="仿宋" w:hAnsi="仿宋" w:eastAsia="仿宋" w:cs="微软雅黑"/>
          <w:color w:val="000000" w:themeColor="text1"/>
          <w:sz w:val="21"/>
          <w:szCs w:val="21"/>
          <w:shd w:val="clear" w:color="auto" w:fill="FFFFFF"/>
          <w14:textFill>
            <w14:solidFill>
              <w14:schemeClr w14:val="tx1"/>
            </w14:solidFill>
          </w14:textFill>
        </w:rPr>
        <w:t>通知书。</w:t>
      </w:r>
    </w:p>
    <w:p w14:paraId="77901BE3">
      <w:pPr>
        <w:pStyle w:val="2"/>
        <w:spacing w:before="0" w:beforeAutospacing="0" w:after="0" w:afterAutospacing="0" w:line="360" w:lineRule="exact"/>
        <w:ind w:firstLine="420"/>
        <w:jc w:val="both"/>
        <w:rPr>
          <w:rFonts w:ascii="仿宋" w:hAnsi="仿宋" w:eastAsia="仿宋" w:cs="微软雅黑"/>
          <w:color w:val="000000" w:themeColor="text1"/>
          <w:sz w:val="21"/>
          <w:szCs w:val="21"/>
          <w:shd w:val="clear" w:color="auto" w:fill="FFFFFF"/>
          <w14:textFill>
            <w14:solidFill>
              <w14:schemeClr w14:val="tx1"/>
            </w14:solidFill>
          </w14:textFill>
        </w:rPr>
      </w:pPr>
      <w:r>
        <w:rPr>
          <w:rFonts w:hint="eastAsia" w:ascii="仿宋" w:hAnsi="仿宋" w:eastAsia="仿宋" w:cs="微软雅黑"/>
          <w:color w:val="000000" w:themeColor="text1"/>
          <w:sz w:val="21"/>
          <w:szCs w:val="21"/>
          <w:shd w:val="clear" w:color="auto" w:fill="FFFFFF"/>
          <w14:textFill>
            <w14:solidFill>
              <w14:schemeClr w14:val="tx1"/>
            </w14:solidFill>
          </w14:textFill>
        </w:rPr>
        <w:t>3. 审核登簿：根据受理材料审核具体登记事项，符合相关法律法规的确认登簿；对不予确认登簿的说明理由，并告知申请人依法享有申请行政复议或提起行政诉讼的权利。</w:t>
      </w:r>
    </w:p>
    <w:p w14:paraId="7131A844">
      <w:pPr>
        <w:pStyle w:val="2"/>
        <w:spacing w:before="0" w:beforeAutospacing="0" w:after="0" w:afterAutospacing="0" w:line="360" w:lineRule="exact"/>
        <w:ind w:firstLine="420"/>
        <w:jc w:val="both"/>
        <w:rPr>
          <w:rFonts w:ascii="仿宋" w:hAnsi="仿宋" w:eastAsia="仿宋" w:cs="微软雅黑"/>
          <w:b/>
          <w:bCs/>
          <w:color w:val="000000" w:themeColor="text1"/>
          <w:sz w:val="21"/>
          <w:szCs w:val="21"/>
          <w:shd w:val="clear" w:color="auto" w:fill="FFFFFF"/>
          <w14:textFill>
            <w14:solidFill>
              <w14:schemeClr w14:val="tx1"/>
            </w14:solidFill>
          </w14:textFill>
        </w:rPr>
      </w:pPr>
      <w:r>
        <w:rPr>
          <w:rFonts w:hint="eastAsia" w:ascii="仿宋" w:hAnsi="仿宋" w:eastAsia="仿宋" w:cs="微软雅黑"/>
          <w:b/>
          <w:bCs/>
          <w:color w:val="000000" w:themeColor="text1"/>
          <w:sz w:val="21"/>
          <w:szCs w:val="21"/>
          <w:shd w:val="clear" w:color="auto" w:fill="FFFFFF"/>
          <w14:textFill>
            <w14:solidFill>
              <w14:schemeClr w14:val="tx1"/>
            </w14:solidFill>
          </w14:textFill>
        </w:rPr>
        <w:t>十二、收费信息</w:t>
      </w:r>
    </w:p>
    <w:p w14:paraId="5B4E2C3B">
      <w:pPr>
        <w:pStyle w:val="2"/>
        <w:spacing w:before="0" w:beforeAutospacing="0" w:after="0" w:afterAutospacing="0" w:line="360" w:lineRule="exact"/>
        <w:ind w:firstLine="420"/>
        <w:jc w:val="both"/>
        <w:rPr>
          <w:rFonts w:ascii="仿宋" w:hAnsi="仿宋" w:eastAsia="仿宋" w:cs="微软雅黑"/>
          <w:color w:val="000000" w:themeColor="text1"/>
          <w:sz w:val="21"/>
          <w:szCs w:val="21"/>
          <w:shd w:val="clear" w:color="auto" w:fill="FFFFFF"/>
          <w14:textFill>
            <w14:solidFill>
              <w14:schemeClr w14:val="tx1"/>
            </w14:solidFill>
          </w14:textFill>
        </w:rPr>
      </w:pPr>
      <w:r>
        <w:rPr>
          <w:rFonts w:hint="eastAsia" w:ascii="仿宋" w:hAnsi="仿宋" w:eastAsia="仿宋" w:cs="微软雅黑"/>
          <w:color w:val="000000" w:themeColor="text1"/>
          <w:sz w:val="21"/>
          <w:szCs w:val="21"/>
          <w:shd w:val="clear" w:color="auto" w:fill="FFFFFF"/>
          <w14:textFill>
            <w14:solidFill>
              <w14:schemeClr w14:val="tx1"/>
            </w14:solidFill>
          </w14:textFill>
        </w:rPr>
        <w:t>1</w:t>
      </w:r>
      <w:r>
        <w:rPr>
          <w:rFonts w:ascii="仿宋" w:hAnsi="仿宋" w:eastAsia="仿宋" w:cs="微软雅黑"/>
          <w:color w:val="000000" w:themeColor="text1"/>
          <w:sz w:val="21"/>
          <w:szCs w:val="21"/>
          <w:shd w:val="clear" w:color="auto" w:fill="FFFFFF"/>
          <w14:textFill>
            <w14:solidFill>
              <w14:schemeClr w14:val="tx1"/>
            </w14:solidFill>
          </w14:textFill>
        </w:rPr>
        <w:t xml:space="preserve">. </w:t>
      </w:r>
      <w:r>
        <w:rPr>
          <w:rFonts w:hint="eastAsia" w:ascii="仿宋" w:hAnsi="仿宋" w:eastAsia="仿宋" w:cs="微软雅黑"/>
          <w:color w:val="000000" w:themeColor="text1"/>
          <w:sz w:val="21"/>
          <w:szCs w:val="21"/>
          <w:shd w:val="clear" w:color="auto" w:fill="FFFFFF"/>
          <w14:textFill>
            <w14:solidFill>
              <w14:schemeClr w14:val="tx1"/>
            </w14:solidFill>
          </w14:textFill>
        </w:rPr>
        <w:t>政策依据：《财政部 国家发展改革委关于不动产登记收费有关政策的通知》（财税2016]79号）、《国家发展改革委、财政部关于不动产登记收费标准等有关问题的通知》（发改价格规[2016]2559号）、《关于减免部分行政事业性收费有关政策的通知》（财税[2019]45号）。</w:t>
      </w:r>
    </w:p>
    <w:p w14:paraId="2DA1BF64">
      <w:pPr>
        <w:pStyle w:val="2"/>
        <w:shd w:val="clear" w:color="auto" w:fill="FFFFFF"/>
        <w:spacing w:before="0" w:beforeAutospacing="0" w:after="0" w:afterAutospacing="0" w:line="360" w:lineRule="exact"/>
        <w:ind w:firstLine="420"/>
        <w:jc w:val="both"/>
        <w:rPr>
          <w:rFonts w:hint="eastAsia" w:ascii="仿宋" w:hAnsi="仿宋" w:eastAsia="仿宋" w:cs="微软雅黑"/>
          <w:color w:val="000000" w:themeColor="text1"/>
          <w:sz w:val="21"/>
          <w:szCs w:val="21"/>
          <w:shd w:val="clear" w:color="auto" w:fill="FFFFFF"/>
          <w14:textFill>
            <w14:solidFill>
              <w14:schemeClr w14:val="tx1"/>
            </w14:solidFill>
          </w14:textFill>
        </w:rPr>
      </w:pPr>
      <w:r>
        <w:rPr>
          <w:rFonts w:hint="eastAsia" w:ascii="仿宋" w:hAnsi="仿宋" w:eastAsia="仿宋" w:cs="微软雅黑"/>
          <w:color w:val="000000" w:themeColor="text1"/>
          <w:sz w:val="21"/>
          <w:szCs w:val="21"/>
          <w:shd w:val="clear" w:color="auto" w:fill="FFFFFF"/>
          <w14:textFill>
            <w14:solidFill>
              <w14:schemeClr w14:val="tx1"/>
            </w14:solidFill>
          </w14:textFill>
        </w:rPr>
        <w:t>2</w:t>
      </w:r>
      <w:r>
        <w:rPr>
          <w:rFonts w:ascii="仿宋" w:hAnsi="仿宋" w:eastAsia="仿宋" w:cs="微软雅黑"/>
          <w:color w:val="000000" w:themeColor="text1"/>
          <w:sz w:val="21"/>
          <w:szCs w:val="21"/>
          <w:shd w:val="clear" w:color="auto" w:fill="FFFFFF"/>
          <w14:textFill>
            <w14:solidFill>
              <w14:schemeClr w14:val="tx1"/>
            </w14:solidFill>
          </w14:textFill>
        </w:rPr>
        <w:t xml:space="preserve">. </w:t>
      </w:r>
      <w:r>
        <w:rPr>
          <w:rFonts w:hint="eastAsia" w:ascii="仿宋" w:hAnsi="仿宋" w:eastAsia="仿宋" w:cs="微软雅黑"/>
          <w:color w:val="000000" w:themeColor="text1"/>
          <w:sz w:val="21"/>
          <w:szCs w:val="21"/>
          <w:shd w:val="clear" w:color="auto" w:fill="FFFFFF"/>
          <w14:textFill>
            <w14:solidFill>
              <w14:schemeClr w14:val="tx1"/>
            </w14:solidFill>
          </w14:textFill>
        </w:rPr>
        <w:t>收费标准</w:t>
      </w:r>
    </w:p>
    <w:p w14:paraId="57677E3D">
      <w:pPr>
        <w:pStyle w:val="2"/>
        <w:spacing w:before="0" w:beforeAutospacing="0" w:after="0" w:afterAutospacing="0" w:line="360" w:lineRule="exact"/>
        <w:ind w:firstLine="420"/>
        <w:jc w:val="both"/>
        <w:rPr>
          <w:rFonts w:hint="eastAsia" w:ascii="仿宋" w:hAnsi="仿宋" w:eastAsia="仿宋" w:cs="微软雅黑"/>
          <w:color w:val="000000" w:themeColor="text1"/>
          <w:sz w:val="21"/>
          <w:szCs w:val="21"/>
          <w:shd w:val="clear" w:color="auto" w:fill="FFFFFF"/>
          <w:lang w:val="en-US" w:eastAsia="zh-CN"/>
          <w14:textFill>
            <w14:solidFill>
              <w14:schemeClr w14:val="tx1"/>
            </w14:solidFill>
          </w14:textFill>
        </w:rPr>
      </w:pPr>
      <w:r>
        <w:rPr>
          <w:rFonts w:hint="eastAsia" w:ascii="仿宋" w:hAnsi="仿宋" w:eastAsia="仿宋" w:cs="微软雅黑"/>
          <w:color w:val="000000" w:themeColor="text1"/>
          <w:sz w:val="21"/>
          <w:szCs w:val="21"/>
          <w:shd w:val="clear" w:color="auto" w:fill="FFFFFF"/>
          <w:lang w:val="en-US" w:eastAsia="zh-CN"/>
          <w14:textFill>
            <w14:solidFill>
              <w14:schemeClr w14:val="tx1"/>
            </w14:solidFill>
          </w14:textFill>
        </w:rPr>
        <w:t>登记费：40元/件，</w:t>
      </w:r>
      <w:r>
        <w:rPr>
          <w:rFonts w:hint="eastAsia" w:ascii="仿宋" w:hAnsi="仿宋" w:eastAsia="仿宋" w:cs="微软雅黑"/>
          <w:color w:val="000000" w:themeColor="text1"/>
          <w:sz w:val="21"/>
          <w:szCs w:val="21"/>
          <w:shd w:val="clear" w:color="auto" w:fill="FFFFFF"/>
          <w14:textFill>
            <w14:solidFill>
              <w14:schemeClr w14:val="tx1"/>
            </w14:solidFill>
          </w14:textFill>
        </w:rPr>
        <w:t>非住宅275元/</w:t>
      </w:r>
      <w:r>
        <w:rPr>
          <w:rFonts w:hint="eastAsia" w:ascii="仿宋" w:hAnsi="仿宋" w:eastAsia="仿宋" w:cs="微软雅黑"/>
          <w:color w:val="000000" w:themeColor="text1"/>
          <w:sz w:val="21"/>
          <w:szCs w:val="21"/>
          <w:shd w:val="clear" w:color="auto" w:fill="FFFFFF"/>
          <w:lang w:val="en-US" w:eastAsia="zh-CN"/>
          <w14:textFill>
            <w14:solidFill>
              <w14:schemeClr w14:val="tx1"/>
            </w14:solidFill>
          </w14:textFill>
        </w:rPr>
        <w:t>件。</w:t>
      </w:r>
    </w:p>
    <w:p w14:paraId="210B7677">
      <w:pPr>
        <w:pStyle w:val="2"/>
        <w:spacing w:before="0" w:beforeAutospacing="0" w:after="0" w:afterAutospacing="0" w:line="360" w:lineRule="exact"/>
        <w:ind w:firstLine="420"/>
        <w:jc w:val="both"/>
        <w:rPr>
          <w:rFonts w:hint="eastAsia" w:ascii="仿宋" w:hAnsi="仿宋" w:eastAsia="仿宋" w:cs="微软雅黑"/>
          <w:color w:val="000000" w:themeColor="text1"/>
          <w:sz w:val="21"/>
          <w:szCs w:val="21"/>
          <w:shd w:val="clear" w:color="auto" w:fill="FFFFFF"/>
          <w14:textFill>
            <w14:solidFill>
              <w14:schemeClr w14:val="tx1"/>
            </w14:solidFill>
          </w14:textFill>
        </w:rPr>
      </w:pPr>
      <w:r>
        <w:rPr>
          <w:rFonts w:hint="eastAsia" w:ascii="仿宋" w:hAnsi="仿宋" w:eastAsia="仿宋" w:cs="微软雅黑"/>
          <w:color w:val="000000" w:themeColor="text1"/>
          <w:sz w:val="21"/>
          <w:szCs w:val="21"/>
          <w:shd w:val="clear" w:color="auto" w:fill="FFFFFF"/>
          <w14:textFill>
            <w14:solidFill>
              <w14:schemeClr w14:val="tx1"/>
            </w14:solidFill>
          </w14:textFill>
        </w:rPr>
        <w:t>相关税费按政策缴纳；如符合相关减免政策，按规定执行；如遇相关政策调整，按新政策执行。</w:t>
      </w:r>
    </w:p>
    <w:p w14:paraId="5792A28D">
      <w:pPr>
        <w:pStyle w:val="2"/>
        <w:spacing w:before="0" w:beforeAutospacing="0" w:after="0" w:afterAutospacing="0" w:line="360" w:lineRule="exact"/>
        <w:ind w:firstLine="420"/>
        <w:jc w:val="both"/>
        <w:rPr>
          <w:rFonts w:ascii="仿宋" w:hAnsi="仿宋" w:eastAsia="仿宋" w:cs="仿宋"/>
          <w:b/>
          <w:bCs/>
          <w:color w:val="000000" w:themeColor="text1"/>
          <w:sz w:val="21"/>
          <w:szCs w:val="21"/>
          <w:shd w:val="clear" w:color="auto" w:fill="FFFFFF"/>
          <w14:textFill>
            <w14:solidFill>
              <w14:schemeClr w14:val="tx1"/>
            </w14:solidFill>
          </w14:textFill>
        </w:rPr>
      </w:pPr>
      <w:r>
        <w:rPr>
          <w:rFonts w:hint="eastAsia" w:ascii="仿宋" w:hAnsi="仿宋" w:eastAsia="仿宋" w:cs="微软雅黑"/>
          <w:b/>
          <w:bCs/>
          <w:color w:val="000000" w:themeColor="text1"/>
          <w:sz w:val="21"/>
          <w:szCs w:val="21"/>
          <w:shd w:val="clear" w:color="auto" w:fill="FFFFFF"/>
          <w14:textFill>
            <w14:solidFill>
              <w14:schemeClr w14:val="tx1"/>
            </w14:solidFill>
          </w14:textFill>
        </w:rPr>
        <w:t>十三、</w:t>
      </w:r>
      <w:r>
        <w:rPr>
          <w:rFonts w:hint="eastAsia" w:ascii="仿宋" w:hAnsi="仿宋" w:eastAsia="仿宋" w:cs="仿宋"/>
          <w:b/>
          <w:bCs/>
          <w:color w:val="000000" w:themeColor="text1"/>
          <w:sz w:val="21"/>
          <w:szCs w:val="21"/>
          <w:shd w:val="clear" w:color="auto" w:fill="FFFFFF"/>
          <w14:textFill>
            <w14:solidFill>
              <w14:schemeClr w14:val="tx1"/>
            </w14:solidFill>
          </w14:textFill>
        </w:rPr>
        <w:t>网办地址</w:t>
      </w:r>
    </w:p>
    <w:p w14:paraId="6B9AD738">
      <w:pPr>
        <w:pStyle w:val="2"/>
        <w:spacing w:before="0" w:beforeAutospacing="0" w:after="0" w:afterAutospacing="0" w:line="360" w:lineRule="exact"/>
        <w:ind w:firstLine="420" w:firstLineChars="200"/>
        <w:jc w:val="both"/>
        <w:rPr>
          <w:rFonts w:hint="eastAsia" w:ascii="仿宋" w:hAnsi="仿宋" w:eastAsia="仿宋" w:cs="微软雅黑"/>
          <w:color w:val="000000" w:themeColor="text1"/>
          <w:sz w:val="21"/>
          <w:szCs w:val="21"/>
          <w:shd w:val="clear" w:color="auto" w:fill="FFFFFF"/>
          <w14:textFill>
            <w14:solidFill>
              <w14:schemeClr w14:val="tx1"/>
            </w14:solidFill>
          </w14:textFill>
        </w:rPr>
      </w:pPr>
      <w:bookmarkStart w:id="1" w:name="_Hlk115885898"/>
      <w:r>
        <w:rPr>
          <w:rFonts w:hint="eastAsia" w:ascii="仿宋" w:hAnsi="仿宋" w:eastAsia="仿宋" w:cs="微软雅黑"/>
          <w:color w:val="000000" w:themeColor="text1"/>
          <w:sz w:val="21"/>
          <w:szCs w:val="21"/>
          <w:shd w:val="clear" w:color="auto" w:fill="FFFFFF"/>
          <w14:textFill>
            <w14:solidFill>
              <w14:schemeClr w14:val="tx1"/>
            </w14:solidFill>
          </w14:textFill>
        </w:rPr>
        <w:fldChar w:fldCharType="begin"/>
      </w:r>
      <w:r>
        <w:rPr>
          <w:rFonts w:hint="eastAsia" w:ascii="仿宋" w:hAnsi="仿宋" w:eastAsia="仿宋" w:cs="微软雅黑"/>
          <w:color w:val="000000" w:themeColor="text1"/>
          <w:sz w:val="21"/>
          <w:szCs w:val="21"/>
          <w:shd w:val="clear" w:color="auto" w:fill="FFFFFF"/>
          <w14:textFill>
            <w14:solidFill>
              <w14:schemeClr w14:val="tx1"/>
            </w14:solidFill>
          </w14:textFill>
        </w:rPr>
        <w:instrText xml:space="preserve"> HYPERLINK "https://sso.ahzwfw.gov.cn/uccpserver/login?appCode=7d95fe8c317e4949bd5d938e639055a4&amp;service=http%3A%2F%2F120.209.47.239%3A18180%2Fhnbdc%2Festate%2Fportal%2Fhome.html" </w:instrText>
      </w:r>
      <w:r>
        <w:rPr>
          <w:rFonts w:hint="eastAsia" w:ascii="仿宋" w:hAnsi="仿宋" w:eastAsia="仿宋" w:cs="微软雅黑"/>
          <w:color w:val="000000" w:themeColor="text1"/>
          <w:sz w:val="21"/>
          <w:szCs w:val="21"/>
          <w:shd w:val="clear" w:color="auto" w:fill="FFFFFF"/>
          <w14:textFill>
            <w14:solidFill>
              <w14:schemeClr w14:val="tx1"/>
            </w14:solidFill>
          </w14:textFill>
        </w:rPr>
        <w:fldChar w:fldCharType="separate"/>
      </w:r>
      <w:r>
        <w:rPr>
          <w:rStyle w:val="5"/>
          <w:rFonts w:hint="eastAsia" w:ascii="仿宋" w:hAnsi="仿宋" w:eastAsia="仿宋" w:cs="微软雅黑"/>
          <w:color w:val="000000" w:themeColor="text1"/>
          <w:sz w:val="21"/>
          <w:szCs w:val="21"/>
          <w:shd w:val="clear" w:color="auto" w:fill="FFFFFF"/>
          <w14:textFill>
            <w14:solidFill>
              <w14:schemeClr w14:val="tx1"/>
            </w14:solidFill>
          </w14:textFill>
        </w:rPr>
        <w:t>安徽政务服务网市县一体化平台</w:t>
      </w:r>
      <w:bookmarkEnd w:id="1"/>
      <w:r>
        <w:rPr>
          <w:rFonts w:hint="eastAsia" w:ascii="仿宋" w:hAnsi="仿宋" w:eastAsia="仿宋" w:cs="微软雅黑"/>
          <w:color w:val="000000" w:themeColor="text1"/>
          <w:sz w:val="21"/>
          <w:szCs w:val="21"/>
          <w:shd w:val="clear" w:color="auto" w:fill="FFFFFF"/>
          <w14:textFill>
            <w14:solidFill>
              <w14:schemeClr w14:val="tx1"/>
            </w14:solidFill>
          </w14:textFill>
        </w:rPr>
        <w:fldChar w:fldCharType="end"/>
      </w:r>
    </w:p>
    <w:p w14:paraId="2B3A1EB2">
      <w:pPr>
        <w:pStyle w:val="2"/>
        <w:spacing w:before="0" w:beforeAutospacing="0" w:after="0" w:afterAutospacing="0" w:line="360" w:lineRule="exact"/>
        <w:ind w:firstLine="420"/>
        <w:jc w:val="both"/>
        <w:rPr>
          <w:rFonts w:ascii="仿宋" w:hAnsi="仿宋" w:eastAsia="仿宋" w:cs="微软雅黑"/>
          <w:b/>
          <w:bCs/>
          <w:color w:val="000000" w:themeColor="text1"/>
          <w:sz w:val="21"/>
          <w:szCs w:val="21"/>
          <w:shd w:val="clear" w:color="auto" w:fill="FFFFFF"/>
          <w14:textFill>
            <w14:solidFill>
              <w14:schemeClr w14:val="tx1"/>
            </w14:solidFill>
          </w14:textFill>
        </w:rPr>
      </w:pPr>
      <w:r>
        <w:rPr>
          <w:rFonts w:hint="eastAsia" w:ascii="仿宋" w:hAnsi="仿宋" w:eastAsia="仿宋" w:cs="微软雅黑"/>
          <w:b/>
          <w:bCs/>
          <w:color w:val="000000" w:themeColor="text1"/>
          <w:sz w:val="21"/>
          <w:szCs w:val="21"/>
          <w:shd w:val="clear" w:color="auto" w:fill="FFFFFF"/>
          <w14:textFill>
            <w14:solidFill>
              <w14:schemeClr w14:val="tx1"/>
            </w14:solidFill>
          </w14:textFill>
        </w:rPr>
        <w:t>十四、办公地点</w:t>
      </w:r>
    </w:p>
    <w:p w14:paraId="093B1F61">
      <w:pPr>
        <w:pStyle w:val="2"/>
        <w:shd w:val="clear" w:color="auto" w:fill="FFFFFF"/>
        <w:spacing w:before="0" w:beforeAutospacing="0" w:after="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淮南市山南政务中心Ｇ座一楼不动产综合窗口</w:t>
      </w:r>
    </w:p>
    <w:p w14:paraId="30DCEF40">
      <w:pPr>
        <w:pStyle w:val="2"/>
        <w:shd w:val="clear" w:color="auto" w:fill="FFFFFF"/>
        <w:spacing w:before="0" w:beforeAutospacing="0" w:after="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淮南市田家庵区朝阳西路田区政务中心二楼不动产综合窗口</w:t>
      </w:r>
    </w:p>
    <w:p w14:paraId="6E0B1B6F">
      <w:pPr>
        <w:pStyle w:val="2"/>
        <w:shd w:val="clear" w:color="auto" w:fill="FFFFFF"/>
        <w:spacing w:before="0" w:beforeAutospacing="0" w:after="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淮南市潘集区上海路与重庆路交叉口东北侧潘集区政务中心不动产综合窗口</w:t>
      </w:r>
    </w:p>
    <w:p w14:paraId="3BB3AD0F">
      <w:pPr>
        <w:pStyle w:val="2"/>
        <w:shd w:val="clear" w:color="auto" w:fill="FFFFFF"/>
        <w:spacing w:before="0" w:beforeAutospacing="0" w:after="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寿县宾阳大道与芍陂路交叉口寿县城投大厦政务中心三楼不动产登记窗口</w:t>
      </w:r>
    </w:p>
    <w:p w14:paraId="41015EFC">
      <w:pPr>
        <w:pStyle w:val="2"/>
        <w:shd w:val="clear" w:color="auto" w:fill="FFFFFF"/>
        <w:spacing w:before="0" w:beforeAutospacing="0" w:after="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凤台县中山南路凤台县政务服务中心不动产窗口</w:t>
      </w:r>
    </w:p>
    <w:p w14:paraId="051E96A1">
      <w:pPr>
        <w:pStyle w:val="2"/>
        <w:spacing w:before="0" w:beforeAutospacing="0" w:after="0" w:afterAutospacing="0" w:line="360" w:lineRule="exact"/>
        <w:ind w:firstLine="420"/>
        <w:jc w:val="both"/>
        <w:rPr>
          <w:rFonts w:ascii="仿宋" w:hAnsi="仿宋" w:eastAsia="仿宋" w:cs="微软雅黑"/>
          <w:b/>
          <w:bCs/>
          <w:color w:val="000000" w:themeColor="text1"/>
          <w:sz w:val="21"/>
          <w:szCs w:val="21"/>
          <w14:textFill>
            <w14:solidFill>
              <w14:schemeClr w14:val="tx1"/>
            </w14:solidFill>
          </w14:textFill>
        </w:rPr>
      </w:pPr>
      <w:r>
        <w:rPr>
          <w:rFonts w:hint="eastAsia" w:ascii="仿宋" w:hAnsi="仿宋" w:eastAsia="仿宋" w:cs="微软雅黑"/>
          <w:b/>
          <w:bCs/>
          <w:color w:val="000000" w:themeColor="text1"/>
          <w:sz w:val="21"/>
          <w:szCs w:val="21"/>
          <w:shd w:val="clear" w:color="auto" w:fill="FFFFFF"/>
          <w14:textFill>
            <w14:solidFill>
              <w14:schemeClr w14:val="tx1"/>
            </w14:solidFill>
          </w14:textFill>
        </w:rPr>
        <w:t>十五、服务电话</w:t>
      </w:r>
    </w:p>
    <w:p w14:paraId="4A15D2D0">
      <w:pPr>
        <w:pStyle w:val="2"/>
        <w:shd w:val="clear" w:color="auto" w:fill="FFFFFF"/>
        <w:spacing w:before="0" w:beforeAutospacing="0" w:after="0" w:afterAutospacing="0" w:line="360" w:lineRule="exact"/>
        <w:ind w:firstLine="480"/>
        <w:jc w:val="both"/>
        <w:rPr>
          <w:rFonts w:ascii="微软雅黑" w:hAnsi="微软雅黑" w:eastAsia="微软雅黑"/>
          <w:color w:val="000000" w:themeColor="text1"/>
          <w:sz w:val="17"/>
          <w:szCs w:val="17"/>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咨询电话</w:t>
      </w:r>
    </w:p>
    <w:p w14:paraId="763CA026">
      <w:pPr>
        <w:pStyle w:val="2"/>
        <w:shd w:val="clear" w:color="auto" w:fill="FFFFFF"/>
        <w:spacing w:before="0" w:beforeAutospacing="0" w:after="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0554-2605678（淮南市山南政务中心不动产登记中心办事大厅）</w:t>
      </w:r>
    </w:p>
    <w:p w14:paraId="6B189335">
      <w:pPr>
        <w:pStyle w:val="2"/>
        <w:shd w:val="clear" w:color="auto" w:fill="FFFFFF"/>
        <w:spacing w:before="0" w:beforeAutospacing="0" w:after="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0554-2698431（淮南市田区不动产登记中心办事大厅）</w:t>
      </w:r>
    </w:p>
    <w:p w14:paraId="66EF185F">
      <w:pPr>
        <w:pStyle w:val="2"/>
        <w:shd w:val="clear" w:color="auto" w:fill="FFFFFF"/>
        <w:spacing w:before="0" w:beforeAutospacing="0" w:after="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0554-4108130（寿县宾阳大道与芍陂路交叉口寿县城投大厦政务中心三楼不动产登记窗口）</w:t>
      </w:r>
    </w:p>
    <w:p w14:paraId="45D522D3">
      <w:pPr>
        <w:pStyle w:val="2"/>
        <w:shd w:val="clear" w:color="auto" w:fill="FFFFFF"/>
        <w:spacing w:before="0" w:beforeAutospacing="0" w:after="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0554-8683003（凤台县中山南路凤台县政务服务中心不动产窗口）</w:t>
      </w:r>
    </w:p>
    <w:p w14:paraId="5E9C4093">
      <w:pPr>
        <w:pStyle w:val="2"/>
        <w:shd w:val="clear" w:color="auto" w:fill="FFFFFF"/>
        <w:spacing w:before="0" w:beforeAutospacing="0" w:after="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 监督</w:t>
      </w:r>
      <w:r>
        <w:rPr>
          <w:rFonts w:hint="eastAsia" w:ascii="仿宋" w:hAnsi="仿宋" w:eastAsia="仿宋" w:cs="仿宋"/>
          <w:color w:val="000000" w:themeColor="text1"/>
          <w:sz w:val="21"/>
          <w:szCs w:val="21"/>
          <w:lang w:val="en-US" w:eastAsia="zh-CN"/>
          <w14:textFill>
            <w14:solidFill>
              <w14:schemeClr w14:val="tx1"/>
            </w14:solidFill>
          </w14:textFill>
        </w:rPr>
        <w:t>投诉</w:t>
      </w:r>
      <w:r>
        <w:rPr>
          <w:rFonts w:hint="eastAsia" w:ascii="仿宋" w:hAnsi="仿宋" w:eastAsia="仿宋" w:cs="仿宋"/>
          <w:color w:val="000000" w:themeColor="text1"/>
          <w:sz w:val="21"/>
          <w:szCs w:val="21"/>
          <w14:textFill>
            <w14:solidFill>
              <w14:schemeClr w14:val="tx1"/>
            </w14:solidFill>
          </w14:textFill>
        </w:rPr>
        <w:t>电话</w:t>
      </w:r>
    </w:p>
    <w:p w14:paraId="5F7CB783">
      <w:pPr>
        <w:pStyle w:val="2"/>
        <w:shd w:val="clear" w:color="auto" w:fill="FFFFFF"/>
        <w:spacing w:before="0" w:beforeAutospacing="0" w:after="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0554-2699166（淮南市不动产登记中心</w:t>
      </w:r>
      <w:bookmarkEnd w:id="0"/>
      <w:r>
        <w:rPr>
          <w:rFonts w:hint="eastAsia" w:ascii="仿宋" w:hAnsi="仿宋" w:eastAsia="仿宋" w:cs="仿宋"/>
          <w:color w:val="000000" w:themeColor="text1"/>
          <w:sz w:val="21"/>
          <w:szCs w:val="21"/>
          <w14:textFill>
            <w14:solidFill>
              <w14:schemeClr w14:val="tx1"/>
            </w14:solidFill>
          </w14:textFill>
        </w:rPr>
        <w:t>）</w:t>
      </w:r>
    </w:p>
    <w:p w14:paraId="5870C424">
      <w:pPr>
        <w:pStyle w:val="2"/>
        <w:shd w:val="clear" w:color="auto" w:fill="FFFFFF"/>
        <w:spacing w:before="0" w:beforeAutospacing="0" w:after="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0554-3126680（寿县自然资源确权登记中心）</w:t>
      </w:r>
    </w:p>
    <w:p w14:paraId="63AE4CB9">
      <w:pPr>
        <w:pStyle w:val="2"/>
        <w:shd w:val="clear" w:color="auto" w:fill="FFFFFF"/>
        <w:spacing w:before="0" w:beforeAutospacing="0" w:after="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0554-5327771（凤台县不动产登记和交易中心）</w:t>
      </w:r>
    </w:p>
    <w:p w14:paraId="5C8A122B">
      <w:pPr>
        <w:pStyle w:val="2"/>
        <w:shd w:val="clear" w:color="auto" w:fill="FFFFFF"/>
        <w:spacing w:before="0" w:beforeAutospacing="0" w:after="0" w:afterAutospacing="0" w:line="360" w:lineRule="exact"/>
        <w:jc w:val="both"/>
        <w:rPr>
          <w:rFonts w:hint="eastAsia" w:ascii="仿宋" w:hAnsi="仿宋" w:eastAsia="仿宋" w:cs="仿宋"/>
          <w:color w:val="000000" w:themeColor="text1"/>
          <w:sz w:val="21"/>
          <w:szCs w:val="2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hYmUxNjE1ZGQ2ZDgzOTlkN2VmNGJmOWQ4ZWE3NGYifQ=="/>
  </w:docVars>
  <w:rsids>
    <w:rsidRoot w:val="007E36B5"/>
    <w:rsid w:val="00432249"/>
    <w:rsid w:val="007E36B5"/>
    <w:rsid w:val="008E10C8"/>
    <w:rsid w:val="00B252F7"/>
    <w:rsid w:val="00D7495D"/>
    <w:rsid w:val="0EE9275B"/>
    <w:rsid w:val="31E37443"/>
    <w:rsid w:val="56921A85"/>
    <w:rsid w:val="61EE65B3"/>
    <w:rsid w:val="68CD04D6"/>
    <w:rsid w:val="6CC73A00"/>
    <w:rsid w:val="74822CE1"/>
    <w:rsid w:val="76C34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qFormat/>
    <w:uiPriority w:val="0"/>
    <w:rPr>
      <w:color w:val="0000FF"/>
      <w:u w:val="single"/>
    </w:rPr>
  </w:style>
  <w:style w:type="character" w:customStyle="1" w:styleId="6">
    <w:name w:val="Unresolved Mention"/>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1450</Words>
  <Characters>1580</Characters>
  <Lines>12</Lines>
  <Paragraphs>3</Paragraphs>
  <TotalTime>1</TotalTime>
  <ScaleCrop>false</ScaleCrop>
  <LinksUpToDate>false</LinksUpToDate>
  <CharactersWithSpaces>1601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2022-10-05T11:34:00Z</dcterms:created>
  <dc:creator>8613635546826</dc:creator>
  <cp:lastModifiedBy>仲夏夜的蔷薇</cp:lastModifiedBy>
  <dcterms:modified xsi:type="dcterms:W3CDTF">2025-12-03T07:06:30Z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AE42FE0FA1044613AD0421336D127E4C</vt:lpwstr>
  </property>
  <property fmtid="{D5CDD505-2E9C-101B-9397-08002B2CF9AE}" pid="4" name="KSOTemplateDocerSaveRecord">
    <vt:lpwstr>eyJoZGlkIjoiNjMxZmNlMmJjYzM1YTRmMDY5NjUwMTE2NTk0ZDlhM2YiLCJ1c2VySWQiOiIxMTI1ODIzMTA3In0=</vt:lpwstr>
  </property>
</Properties>
</file>