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13460">
      <w:pPr>
        <w:pStyle w:val="2"/>
        <w:widowControl/>
        <w:shd w:val="clear" w:color="auto" w:fill="FFFFFF"/>
        <w:spacing w:beforeAutospacing="0" w:afterAutospacing="0" w:line="560" w:lineRule="exact"/>
        <w:jc w:val="center"/>
        <w:rPr>
          <w:rFonts w:hint="default" w:ascii="微软雅黑" w:hAnsi="微软雅黑" w:eastAsia="微软雅黑" w:cs="微软雅黑"/>
          <w:color w:val="333333"/>
          <w:kern w:val="0"/>
          <w:sz w:val="44"/>
          <w:szCs w:val="44"/>
        </w:rPr>
      </w:pPr>
      <w:r>
        <w:rPr>
          <w:rFonts w:ascii="微软雅黑" w:hAnsi="微软雅黑" w:eastAsia="微软雅黑" w:cs="微软雅黑"/>
          <w:color w:val="333333"/>
          <w:kern w:val="0"/>
          <w:sz w:val="44"/>
          <w:szCs w:val="44"/>
        </w:rPr>
        <w:t>不动产查封登记办事指南</w:t>
      </w:r>
    </w:p>
    <w:p w14:paraId="0A9B8356">
      <w:pPr>
        <w:pStyle w:val="2"/>
        <w:widowControl/>
        <w:shd w:val="clear" w:color="auto" w:fill="FFFFFF"/>
        <w:spacing w:beforeAutospacing="0" w:afterAutospacing="0" w:line="560" w:lineRule="exact"/>
        <w:jc w:val="center"/>
        <w:rPr>
          <w:rFonts w:hint="default" w:ascii="微软雅黑" w:hAnsi="微软雅黑" w:eastAsia="微软雅黑" w:cs="微软雅黑"/>
          <w:color w:val="333333"/>
          <w:kern w:val="0"/>
          <w:sz w:val="44"/>
          <w:szCs w:val="44"/>
        </w:rPr>
      </w:pPr>
      <w:r>
        <w:rPr>
          <w:rFonts w:ascii="微软雅黑" w:hAnsi="微软雅黑" w:eastAsia="微软雅黑" w:cs="微软雅黑"/>
          <w:color w:val="333333"/>
          <w:kern w:val="0"/>
          <w:sz w:val="44"/>
          <w:szCs w:val="44"/>
        </w:rPr>
        <w:t>（查封登记、预查封登记）</w:t>
      </w:r>
    </w:p>
    <w:p w14:paraId="62B28599">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shd w:val="clear" w:color="auto" w:fill="FFFFFF"/>
        </w:rPr>
      </w:pPr>
    </w:p>
    <w:p w14:paraId="4FC264BF">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一、设立依据</w:t>
      </w:r>
    </w:p>
    <w:p w14:paraId="117E0D9C">
      <w:pPr>
        <w:pStyle w:val="5"/>
        <w:widowControl/>
        <w:shd w:val="clear" w:color="auto" w:fill="FFFFFF"/>
        <w:spacing w:beforeAutospacing="0" w:afterAutospacing="0" w:line="360" w:lineRule="exact"/>
        <w:ind w:firstLine="420"/>
        <w:jc w:val="both"/>
        <w:rPr>
          <w:rFonts w:hint="default" w:ascii="仿宋" w:hAnsi="仿宋" w:eastAsia="仿宋" w:cs="微软雅黑"/>
          <w:color w:val="333333"/>
          <w:sz w:val="21"/>
          <w:szCs w:val="21"/>
          <w:lang w:val="en-US" w:eastAsia="zh-CN"/>
        </w:rPr>
      </w:pPr>
      <w:r>
        <w:rPr>
          <w:rFonts w:hint="eastAsia" w:ascii="仿宋" w:hAnsi="仿宋" w:eastAsia="仿宋" w:cs="微软雅黑"/>
          <w:color w:val="333333"/>
          <w:sz w:val="21"/>
          <w:szCs w:val="21"/>
          <w:shd w:val="clear" w:color="auto" w:fill="FFFFFF"/>
          <w:lang w:val="en-US" w:eastAsia="zh-CN"/>
        </w:rPr>
        <w:t>1.</w:t>
      </w:r>
      <w:r>
        <w:rPr>
          <w:rFonts w:hint="eastAsia" w:ascii="仿宋" w:hAnsi="仿宋" w:eastAsia="仿宋" w:cs="微软雅黑"/>
          <w:color w:val="333333"/>
          <w:sz w:val="21"/>
          <w:szCs w:val="21"/>
          <w:shd w:val="clear" w:color="auto" w:fill="FFFFFF"/>
        </w:rPr>
        <w:t>《不动产登记操作规范（试行）》（国土资规〔2016〕6号）分则18.1</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lang w:val="en-US" w:eastAsia="zh-CN"/>
        </w:rPr>
        <w:t>18.2</w:t>
      </w:r>
    </w:p>
    <w:p w14:paraId="4F571327">
      <w:pPr>
        <w:pStyle w:val="5"/>
        <w:widowControl/>
        <w:shd w:val="clear" w:color="auto" w:fill="FFFFFF"/>
        <w:spacing w:beforeAutospacing="0" w:afterAutospacing="0" w:line="360" w:lineRule="exact"/>
        <w:ind w:firstLine="420"/>
        <w:jc w:val="both"/>
        <w:rPr>
          <w:rFonts w:hint="eastAsia" w:ascii="仿宋" w:hAnsi="仿宋" w:eastAsia="仿宋" w:cs="微软雅黑"/>
          <w:b/>
          <w:bCs/>
          <w:color w:val="333333"/>
          <w:sz w:val="21"/>
          <w:szCs w:val="21"/>
          <w:shd w:val="clear" w:color="auto" w:fill="FFFFFF"/>
        </w:rPr>
      </w:pPr>
      <w:r>
        <w:rPr>
          <w:rFonts w:hint="eastAsia" w:ascii="仿宋" w:hAnsi="仿宋" w:eastAsia="仿宋"/>
          <w:color w:val="000000" w:themeColor="text1"/>
          <w:sz w:val="21"/>
          <w:szCs w:val="21"/>
          <w:lang w:val="en-US" w:eastAsia="zh-CN"/>
          <w14:textFill>
            <w14:solidFill>
              <w14:schemeClr w14:val="tx1"/>
            </w14:solidFill>
          </w14:textFill>
        </w:rPr>
        <w:t>2.</w:t>
      </w:r>
      <w:bookmarkStart w:id="2" w:name="_GoBack"/>
      <w:bookmarkEnd w:id="2"/>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506748BC">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二、事项类型</w:t>
      </w:r>
      <w:r>
        <w:rPr>
          <w:rFonts w:hint="eastAsia" w:ascii="仿宋" w:hAnsi="仿宋" w:eastAsia="仿宋" w:cs="微软雅黑"/>
          <w:color w:val="333333"/>
          <w:sz w:val="21"/>
          <w:szCs w:val="21"/>
          <w:shd w:val="clear" w:color="auto" w:fill="FFFFFF"/>
        </w:rPr>
        <w:t>：行政确认</w:t>
      </w:r>
    </w:p>
    <w:p w14:paraId="39E668CB">
      <w:pPr>
        <w:pStyle w:val="5"/>
        <w:widowControl/>
        <w:shd w:val="clear" w:color="auto" w:fill="FFFFFF"/>
        <w:spacing w:beforeAutospacing="0" w:afterAutospacing="0" w:line="360" w:lineRule="exact"/>
        <w:ind w:firstLine="480"/>
        <w:jc w:val="both"/>
        <w:rPr>
          <w:rFonts w:hint="eastAsia" w:ascii="仿宋" w:hAnsi="仿宋" w:eastAsia="仿宋" w:cs="微软雅黑"/>
          <w:color w:val="333333"/>
          <w:sz w:val="21"/>
          <w:szCs w:val="21"/>
          <w:lang w:eastAsia="zh-CN"/>
        </w:rPr>
      </w:pPr>
      <w:r>
        <w:rPr>
          <w:rFonts w:hint="eastAsia" w:ascii="仿宋" w:hAnsi="仿宋" w:eastAsia="仿宋" w:cs="微软雅黑"/>
          <w:b/>
          <w:bCs/>
          <w:color w:val="333333"/>
          <w:sz w:val="21"/>
          <w:szCs w:val="21"/>
          <w:shd w:val="clear" w:color="auto" w:fill="FFFFFF"/>
        </w:rPr>
        <w:t>三、实施机构</w:t>
      </w:r>
      <w:r>
        <w:rPr>
          <w:rFonts w:hint="eastAsia" w:ascii="仿宋" w:hAnsi="仿宋" w:eastAsia="仿宋" w:cs="微软雅黑"/>
          <w:color w:val="333333"/>
          <w:sz w:val="21"/>
          <w:szCs w:val="21"/>
          <w:shd w:val="clear" w:color="auto" w:fill="FFFFFF"/>
        </w:rPr>
        <w:t>：淮南市不动产登记中心</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2C69D4F1">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四、办件类型</w:t>
      </w:r>
      <w:r>
        <w:rPr>
          <w:rFonts w:hint="eastAsia" w:ascii="仿宋" w:hAnsi="仿宋" w:eastAsia="仿宋" w:cs="微软雅黑"/>
          <w:color w:val="333333"/>
          <w:sz w:val="21"/>
          <w:szCs w:val="21"/>
          <w:shd w:val="clear" w:color="auto" w:fill="FFFFFF"/>
        </w:rPr>
        <w:t>：即办件</w:t>
      </w:r>
    </w:p>
    <w:p w14:paraId="0B458B99">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五、受理条件</w:t>
      </w:r>
    </w:p>
    <w:p w14:paraId="3BBCDC73">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1. 申请登记事项在本不动产登记机构的登记职责范围内；</w:t>
      </w:r>
    </w:p>
    <w:p w14:paraId="76B469D1">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2. 申请材料形式符合要求；</w:t>
      </w:r>
    </w:p>
    <w:p w14:paraId="125CC3A9">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3. 申请人与依法应当提交的申请材料记载的主体一致；</w:t>
      </w:r>
    </w:p>
    <w:p w14:paraId="19BD251C">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4. 申请登记的不动产权利与登记原因文件记载的不动产权利一致；</w:t>
      </w:r>
    </w:p>
    <w:p w14:paraId="4434BF56">
      <w:pPr>
        <w:pStyle w:val="5"/>
        <w:widowControl/>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5. 申请内容与</w:t>
      </w:r>
      <w:r>
        <w:rPr>
          <w:rFonts w:hint="eastAsia" w:ascii="仿宋" w:hAnsi="仿宋" w:eastAsia="仿宋" w:cs="微软雅黑"/>
          <w:color w:val="333333"/>
          <w:sz w:val="21"/>
          <w:szCs w:val="21"/>
        </w:rPr>
        <w:t>询问（承诺）事项不冲突。</w:t>
      </w:r>
    </w:p>
    <w:p w14:paraId="2A72C3E5">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六、申请材料</w:t>
      </w:r>
    </w:p>
    <w:p w14:paraId="76E7295F">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协助执行通知书、法院裁定书，或查封函等查封、预查封相关材料</w:t>
      </w:r>
      <w:r>
        <w:rPr>
          <w:rFonts w:ascii="仿宋" w:hAnsi="仿宋" w:eastAsia="仿宋" w:cs="微软雅黑"/>
          <w:color w:val="333333"/>
          <w:sz w:val="21"/>
          <w:szCs w:val="21"/>
          <w:shd w:val="clear" w:color="auto" w:fill="FFFFFF"/>
        </w:rPr>
        <w:t>(</w:t>
      </w:r>
      <w:r>
        <w:rPr>
          <w:rFonts w:hint="eastAsia" w:ascii="仿宋" w:hAnsi="仿宋" w:eastAsia="仿宋" w:cs="微软雅黑"/>
          <w:color w:val="333333"/>
          <w:sz w:val="21"/>
          <w:szCs w:val="21"/>
          <w:shd w:val="clear" w:color="auto" w:fill="FFFFFF"/>
        </w:rPr>
        <w:t>能够通过信息共享核验获取的，申请人无需提交)；</w:t>
      </w:r>
    </w:p>
    <w:p w14:paraId="5D647443">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2</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lang w:val="en-US" w:eastAsia="zh-CN"/>
        </w:rPr>
        <w:t>人民法院、人民检察院或公安机关等</w:t>
      </w:r>
      <w:r>
        <w:rPr>
          <w:rFonts w:hint="eastAsia" w:ascii="仿宋" w:hAnsi="仿宋" w:eastAsia="仿宋" w:cs="微软雅黑"/>
          <w:color w:val="333333"/>
          <w:sz w:val="21"/>
          <w:szCs w:val="21"/>
          <w:shd w:val="clear" w:color="auto" w:fill="FFFFFF"/>
        </w:rPr>
        <w:t>国家有权机关送达人的工作证等执行公务证明材料。</w:t>
      </w:r>
    </w:p>
    <w:p w14:paraId="6AC18B56">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七、特别提示</w:t>
      </w:r>
    </w:p>
    <w:p w14:paraId="25F28BAB">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1. 委托其他法院送达的，应当提交委托送达函。</w:t>
      </w:r>
    </w:p>
    <w:p w14:paraId="0163F511">
      <w:pPr>
        <w:pStyle w:val="5"/>
        <w:widowControl/>
        <w:shd w:val="clear" w:color="auto" w:fill="FFFFFF"/>
        <w:spacing w:beforeAutospacing="0" w:afterAutospacing="0" w:line="360" w:lineRule="exact"/>
        <w:ind w:firstLine="420"/>
        <w:jc w:val="both"/>
        <w:rPr>
          <w:rFonts w:hint="default" w:ascii="仿宋" w:hAnsi="仿宋" w:eastAsia="仿宋" w:cs="微软雅黑"/>
          <w:color w:val="333333"/>
          <w:sz w:val="21"/>
          <w:szCs w:val="21"/>
          <w:shd w:val="clear" w:color="auto" w:fill="FFFFFF"/>
          <w:lang w:val="en-US" w:eastAsia="zh-CN"/>
        </w:rPr>
      </w:pPr>
      <w:r>
        <w:rPr>
          <w:rFonts w:ascii="仿宋" w:hAnsi="仿宋" w:eastAsia="仿宋" w:cs="微软雅黑"/>
          <w:color w:val="333333"/>
          <w:sz w:val="21"/>
          <w:szCs w:val="21"/>
          <w:shd w:val="clear" w:color="auto" w:fill="FFFFFF"/>
        </w:rPr>
        <w:t>2</w:t>
      </w:r>
      <w:r>
        <w:rPr>
          <w:rFonts w:hint="eastAsia"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lang w:val="en-US" w:eastAsia="zh-CN"/>
        </w:rPr>
        <w:t>因两个或以上嘱托事项查封同一不动产的，不动产登记机构应当为先送达查封通知书的嘱托机关办理查封登记，对后送达的嘱托机关办理轮候查封登记。轮候查封登记的顺序按照嘱托机关嘱托文书依法送达不动产登记机构的时间先后进行排列。</w:t>
      </w:r>
    </w:p>
    <w:p w14:paraId="119618F3">
      <w:pPr>
        <w:pStyle w:val="5"/>
        <w:widowControl/>
        <w:numPr>
          <w:ilvl w:val="0"/>
          <w:numId w:val="1"/>
        </w:numPr>
        <w:shd w:val="clear" w:color="auto" w:fill="FFFFFF"/>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不动产查封、预查封期限届满，查封机关未续封的，查封、预查封登记失效。</w:t>
      </w:r>
    </w:p>
    <w:p w14:paraId="461CDF1B">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八、网办深度</w:t>
      </w:r>
      <w:r>
        <w:rPr>
          <w:rFonts w:hint="eastAsia" w:ascii="仿宋" w:hAnsi="仿宋" w:eastAsia="仿宋" w:cs="微软雅黑"/>
          <w:color w:val="333333"/>
          <w:sz w:val="21"/>
          <w:szCs w:val="21"/>
          <w:shd w:val="clear" w:color="auto" w:fill="FFFFFF"/>
        </w:rPr>
        <w:t>：四级</w:t>
      </w:r>
    </w:p>
    <w:p w14:paraId="209CF244">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九、到现场次数</w:t>
      </w:r>
      <w:r>
        <w:rPr>
          <w:rFonts w:hint="eastAsia" w:ascii="仿宋" w:hAnsi="仿宋" w:eastAsia="仿宋" w:cs="微软雅黑"/>
          <w:color w:val="333333"/>
          <w:sz w:val="21"/>
          <w:szCs w:val="21"/>
          <w:shd w:val="clear" w:color="auto" w:fill="FFFFFF"/>
        </w:rPr>
        <w:t>：0次</w:t>
      </w:r>
    </w:p>
    <w:p w14:paraId="6EC5A9C3">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b/>
          <w:bCs/>
          <w:color w:val="333333"/>
          <w:sz w:val="21"/>
          <w:szCs w:val="21"/>
          <w:shd w:val="clear" w:color="auto" w:fill="FFFFFF"/>
        </w:rPr>
        <w:t>十、服务时限</w:t>
      </w:r>
    </w:p>
    <w:p w14:paraId="0B0F7319">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办结时限：即时办结（补充材料时间不含工作时限内）。</w:t>
      </w:r>
    </w:p>
    <w:p w14:paraId="698AD31A">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bookmarkStart w:id="0" w:name="_Hlk115885449"/>
      <w:r>
        <w:rPr>
          <w:rFonts w:hint="eastAsia" w:ascii="仿宋" w:hAnsi="仿宋" w:eastAsia="仿宋" w:cs="微软雅黑"/>
          <w:b/>
          <w:bCs/>
          <w:color w:val="333333"/>
          <w:sz w:val="21"/>
          <w:szCs w:val="21"/>
          <w:shd w:val="clear" w:color="auto" w:fill="FFFFFF"/>
        </w:rPr>
        <w:t>十一、办理流程</w:t>
      </w:r>
    </w:p>
    <w:p w14:paraId="67765CAF">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申请：申请人通过安徽政务服务网淮南市不动产专区网上申请或</w:t>
      </w:r>
      <w:r>
        <w:rPr>
          <w:rFonts w:hint="eastAsia" w:ascii="仿宋" w:hAnsi="仿宋" w:eastAsia="仿宋" w:cs="微软雅黑"/>
          <w:color w:val="333333"/>
          <w:sz w:val="21"/>
          <w:szCs w:val="21"/>
          <w:shd w:val="clear" w:color="auto" w:fill="FFFFFF"/>
          <w:lang w:val="en-US" w:eastAsia="zh-CN"/>
        </w:rPr>
        <w:t>淮南市中级人民法院不动产登记驻点窗口</w:t>
      </w:r>
      <w:r>
        <w:rPr>
          <w:rFonts w:hint="eastAsia" w:ascii="仿宋" w:hAnsi="仿宋" w:eastAsia="仿宋" w:cs="微软雅黑"/>
          <w:color w:val="333333"/>
          <w:sz w:val="21"/>
          <w:szCs w:val="21"/>
          <w:shd w:val="clear" w:color="auto" w:fill="FFFFFF"/>
        </w:rPr>
        <w:t>申请。</w:t>
      </w:r>
    </w:p>
    <w:p w14:paraId="06012A76">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受理：工作人员通过线上或线下窗口审查申请材料，对申请材料齐全且符合法定形式的予以受理（对申请人提交相关要件通过数据接口在线核验并下载核验单）；申请材料不齐全或不符合法定形式</w:t>
      </w:r>
      <w:r>
        <w:rPr>
          <w:rFonts w:hint="eastAsia" w:ascii="仿宋" w:hAnsi="仿宋" w:eastAsia="仿宋" w:cs="微软雅黑"/>
          <w:color w:val="333333"/>
          <w:sz w:val="21"/>
          <w:szCs w:val="21"/>
          <w:shd w:val="clear" w:color="auto" w:fill="FFFFFF"/>
          <w:lang w:val="en-US" w:eastAsia="zh-CN"/>
        </w:rPr>
        <w:t>的</w:t>
      </w:r>
      <w:r>
        <w:rPr>
          <w:rFonts w:hint="eastAsia" w:ascii="仿宋" w:hAnsi="仿宋" w:eastAsia="仿宋" w:cs="微软雅黑"/>
          <w:color w:val="333333"/>
          <w:sz w:val="21"/>
          <w:szCs w:val="21"/>
          <w:shd w:val="clear" w:color="auto" w:fill="FFFFFF"/>
        </w:rPr>
        <w:t>，应在线上或窗口一次性告知需要补正的全部内容，并出具补齐补正通知书</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rPr>
        <w:t>存在法律法规规定不予受理情形的应出具不予</w:t>
      </w:r>
      <w:r>
        <w:rPr>
          <w:rFonts w:hint="eastAsia" w:ascii="仿宋" w:hAnsi="仿宋" w:eastAsia="仿宋" w:cs="微软雅黑"/>
          <w:color w:val="333333"/>
          <w:sz w:val="21"/>
          <w:szCs w:val="21"/>
          <w:shd w:val="clear" w:color="auto" w:fill="FFFFFF"/>
          <w:lang w:val="en-US" w:eastAsia="zh-CN"/>
        </w:rPr>
        <w:t>受理</w:t>
      </w:r>
      <w:r>
        <w:rPr>
          <w:rFonts w:hint="eastAsia" w:ascii="仿宋" w:hAnsi="仿宋" w:eastAsia="仿宋" w:cs="微软雅黑"/>
          <w:color w:val="333333"/>
          <w:sz w:val="21"/>
          <w:szCs w:val="21"/>
          <w:shd w:val="clear" w:color="auto" w:fill="FFFFFF"/>
        </w:rPr>
        <w:t>通知书。</w:t>
      </w:r>
    </w:p>
    <w:p w14:paraId="3FCF8080">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审核登簿：根据受理材料审核具体登记事项，符合相关法律法规的确认登簿；对不予确认登簿的说明理由，并告知申请人依法享有申请行政复议或提起行政诉讼的权利。</w:t>
      </w:r>
    </w:p>
    <w:p w14:paraId="6CE2F2AC">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十二、收费信息</w:t>
      </w:r>
    </w:p>
    <w:p w14:paraId="723290A2">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rPr>
        <w:t>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w:t>
      </w:r>
    </w:p>
    <w:p w14:paraId="08B6D9EF">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2</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rPr>
        <w:t>收费标准：免费。</w:t>
      </w:r>
    </w:p>
    <w:p w14:paraId="6B97168D">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十三、网办地址</w:t>
      </w:r>
    </w:p>
    <w:p w14:paraId="7CACD6EC">
      <w:pPr>
        <w:pStyle w:val="5"/>
        <w:widowControl/>
        <w:spacing w:beforeAutospacing="0" w:afterAutospacing="0" w:line="360" w:lineRule="exact"/>
        <w:ind w:firstLine="420" w:firstLineChars="200"/>
        <w:jc w:val="both"/>
        <w:rPr>
          <w:rFonts w:ascii="仿宋" w:hAnsi="仿宋" w:eastAsia="仿宋" w:cs="微软雅黑"/>
          <w:color w:val="333333"/>
          <w:sz w:val="21"/>
          <w:szCs w:val="21"/>
          <w:shd w:val="clear" w:color="auto" w:fill="FFFFFF"/>
        </w:rPr>
      </w:pPr>
      <w:bookmarkStart w:id="1" w:name="_Hlk115885898"/>
      <w:r>
        <w:rPr>
          <w:rFonts w:hint="eastAsia" w:ascii="仿宋" w:hAnsi="仿宋" w:eastAsia="仿宋" w:cs="微软雅黑"/>
          <w:color w:val="333333"/>
          <w:sz w:val="21"/>
          <w:szCs w:val="21"/>
          <w:shd w:val="clear" w:color="auto" w:fill="FFFFFF"/>
        </w:rPr>
        <w:fldChar w:fldCharType="begin"/>
      </w:r>
      <w:r>
        <w:rPr>
          <w:rFonts w:hint="eastAsia" w:ascii="仿宋" w:hAnsi="仿宋" w:eastAsia="仿宋" w:cs="微软雅黑"/>
          <w:color w:val="333333"/>
          <w:sz w:val="21"/>
          <w:szCs w:val="21"/>
          <w:shd w:val="clear" w:color="auto" w:fill="FFFFFF"/>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333333"/>
          <w:sz w:val="21"/>
          <w:szCs w:val="21"/>
          <w:shd w:val="clear" w:color="auto" w:fill="FFFFFF"/>
        </w:rPr>
        <w:fldChar w:fldCharType="separate"/>
      </w:r>
      <w:r>
        <w:rPr>
          <w:rStyle w:val="8"/>
          <w:rFonts w:hint="eastAsia" w:ascii="仿宋" w:hAnsi="仿宋" w:eastAsia="仿宋" w:cs="微软雅黑"/>
          <w:color w:val="333333"/>
          <w:sz w:val="21"/>
          <w:szCs w:val="21"/>
          <w:shd w:val="clear" w:color="auto" w:fill="FFFFFF"/>
        </w:rPr>
        <w:t>安徽政务服务网市县一体化平台</w:t>
      </w:r>
      <w:r>
        <w:rPr>
          <w:rFonts w:hint="eastAsia" w:ascii="仿宋" w:hAnsi="仿宋" w:eastAsia="仿宋" w:cs="微软雅黑"/>
          <w:color w:val="333333"/>
          <w:sz w:val="21"/>
          <w:szCs w:val="21"/>
          <w:shd w:val="clear" w:color="auto" w:fill="FFFFFF"/>
        </w:rPr>
        <w:fldChar w:fldCharType="end"/>
      </w:r>
    </w:p>
    <w:bookmarkEnd w:id="1"/>
    <w:p w14:paraId="027D4CA4">
      <w:pPr>
        <w:pStyle w:val="5"/>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十四、办公地点</w:t>
      </w:r>
    </w:p>
    <w:p w14:paraId="29B6CE87">
      <w:pPr>
        <w:pStyle w:val="5"/>
        <w:widowControl/>
        <w:spacing w:beforeAutospacing="0" w:afterAutospacing="0" w:line="360" w:lineRule="exact"/>
        <w:ind w:firstLine="420"/>
        <w:jc w:val="both"/>
        <w:rPr>
          <w:rFonts w:hint="eastAsia" w:ascii="仿宋" w:hAnsi="仿宋" w:eastAsia="仿宋" w:cs="微软雅黑"/>
          <w:color w:val="333333"/>
          <w:sz w:val="21"/>
          <w:szCs w:val="21"/>
          <w:shd w:val="clear" w:color="auto" w:fill="FFFFFF"/>
          <w:lang w:val="en-US" w:eastAsia="zh-CN"/>
        </w:rPr>
      </w:pPr>
      <w:r>
        <w:rPr>
          <w:rFonts w:hint="eastAsia" w:ascii="仿宋" w:hAnsi="仿宋" w:eastAsia="仿宋" w:cs="微软雅黑"/>
          <w:color w:val="333333"/>
          <w:sz w:val="21"/>
          <w:szCs w:val="21"/>
          <w:shd w:val="clear" w:color="auto" w:fill="FFFFFF"/>
          <w:lang w:val="en-US" w:eastAsia="zh-CN"/>
        </w:rPr>
        <w:t>淮南市中级人民法院一楼大厅不动产登记驻点窗口</w:t>
      </w:r>
    </w:p>
    <w:p w14:paraId="214ED1BB">
      <w:pPr>
        <w:pStyle w:val="5"/>
        <w:widowControl/>
        <w:spacing w:beforeAutospacing="0" w:afterAutospacing="0" w:line="360" w:lineRule="exact"/>
        <w:ind w:firstLine="420"/>
        <w:jc w:val="both"/>
        <w:rPr>
          <w:rFonts w:hint="eastAsia" w:ascii="仿宋" w:hAnsi="仿宋" w:eastAsia="仿宋" w:cs="微软雅黑"/>
          <w:color w:val="333333"/>
          <w:sz w:val="21"/>
          <w:szCs w:val="21"/>
          <w:shd w:val="clear" w:color="auto" w:fill="FFFFFF"/>
          <w:lang w:val="en-US" w:eastAsia="zh-CN"/>
        </w:rPr>
      </w:pPr>
      <w:r>
        <w:rPr>
          <w:rFonts w:hint="eastAsia" w:ascii="仿宋" w:hAnsi="仿宋" w:eastAsia="仿宋" w:cs="微软雅黑"/>
          <w:color w:val="333333"/>
          <w:sz w:val="21"/>
          <w:szCs w:val="21"/>
          <w:shd w:val="clear" w:color="auto" w:fill="FFFFFF"/>
          <w:lang w:val="en-US" w:eastAsia="zh-CN"/>
        </w:rPr>
        <w:t>淮南市自然资源和规划局院内不动产登记中心一楼法规科</w:t>
      </w:r>
    </w:p>
    <w:p w14:paraId="4F67553F">
      <w:pPr>
        <w:pStyle w:val="5"/>
        <w:widowControl/>
        <w:shd w:val="clear" w:color="auto" w:fill="FFFFFF"/>
        <w:spacing w:beforeAutospacing="0" w:afterAutospacing="0" w:line="360" w:lineRule="exact"/>
        <w:ind w:firstLine="480"/>
        <w:jc w:val="both"/>
        <w:rPr>
          <w:rFonts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312FB87B">
      <w:pPr>
        <w:pStyle w:val="5"/>
        <w:widowControl/>
        <w:shd w:val="clear" w:color="auto" w:fill="FFFFFF"/>
        <w:spacing w:beforeAutospacing="0" w:afterAutospacing="0" w:line="360" w:lineRule="exact"/>
        <w:ind w:firstLine="480"/>
        <w:jc w:val="both"/>
        <w:rPr>
          <w:rFonts w:hint="default" w:ascii="仿宋" w:hAnsi="仿宋" w:eastAsia="仿宋" w:cs="微软雅黑"/>
          <w:color w:val="333333"/>
          <w:sz w:val="21"/>
          <w:szCs w:val="21"/>
          <w:shd w:val="clear" w:color="auto" w:fill="FFFFFF"/>
          <w:lang w:val="en-US" w:eastAsia="zh-CN"/>
        </w:rPr>
      </w:pPr>
      <w:r>
        <w:rPr>
          <w:rFonts w:ascii="仿宋" w:hAnsi="仿宋" w:eastAsia="仿宋" w:cs="仿宋"/>
          <w:i w:val="0"/>
          <w:iCs w:val="0"/>
          <w:caps w:val="0"/>
          <w:color w:val="333333"/>
          <w:spacing w:val="0"/>
          <w:sz w:val="21"/>
          <w:szCs w:val="21"/>
          <w:shd w:val="clear" w:fill="FFFFFF"/>
        </w:rPr>
        <w:t>凤台县中山南路凤台县政务服务中心不动产窗口</w:t>
      </w:r>
    </w:p>
    <w:p w14:paraId="1BE90F09">
      <w:pPr>
        <w:pStyle w:val="5"/>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十五、服务电话</w:t>
      </w:r>
    </w:p>
    <w:p w14:paraId="056227AB">
      <w:pPr>
        <w:pStyle w:val="5"/>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1. 咨询电话</w:t>
      </w:r>
    </w:p>
    <w:p w14:paraId="646F9EDC">
      <w:pPr>
        <w:pStyle w:val="5"/>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0554-</w:t>
      </w:r>
      <w:r>
        <w:rPr>
          <w:rFonts w:hint="eastAsia" w:ascii="仿宋" w:hAnsi="仿宋" w:eastAsia="仿宋" w:cs="仿宋"/>
          <w:color w:val="333333"/>
          <w:sz w:val="21"/>
          <w:szCs w:val="21"/>
          <w:lang w:val="en-US" w:eastAsia="zh-CN"/>
        </w:rPr>
        <w:t>6612226</w:t>
      </w:r>
      <w:r>
        <w:rPr>
          <w:rFonts w:hint="eastAsia" w:ascii="仿宋" w:hAnsi="仿宋" w:eastAsia="仿宋" w:cs="仿宋"/>
          <w:color w:val="333333"/>
          <w:sz w:val="21"/>
          <w:szCs w:val="21"/>
        </w:rPr>
        <w:t>（</w:t>
      </w:r>
      <w:r>
        <w:rPr>
          <w:rFonts w:hint="eastAsia" w:ascii="仿宋" w:hAnsi="仿宋" w:eastAsia="仿宋" w:cs="微软雅黑"/>
          <w:color w:val="333333"/>
          <w:sz w:val="21"/>
          <w:szCs w:val="21"/>
          <w:shd w:val="clear" w:color="auto" w:fill="FFFFFF"/>
          <w:lang w:val="en-US" w:eastAsia="zh-CN"/>
        </w:rPr>
        <w:t>淮南市中级人民法院一楼大厅</w:t>
      </w:r>
      <w:r>
        <w:rPr>
          <w:rFonts w:hint="eastAsia" w:ascii="仿宋" w:hAnsi="仿宋" w:eastAsia="仿宋" w:cs="仿宋"/>
          <w:color w:val="333333"/>
          <w:sz w:val="21"/>
          <w:szCs w:val="21"/>
        </w:rPr>
        <w:t>）</w:t>
      </w:r>
    </w:p>
    <w:p w14:paraId="5DAF3C12">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w:t>
      </w:r>
      <w:r>
        <w:rPr>
          <w:rFonts w:hint="eastAsia" w:ascii="仿宋" w:hAnsi="仿宋" w:eastAsia="仿宋" w:cs="仿宋"/>
          <w:color w:val="333333"/>
          <w:sz w:val="21"/>
          <w:szCs w:val="21"/>
          <w:lang w:val="en-US" w:eastAsia="zh-CN"/>
        </w:rPr>
        <w:t>2699166</w:t>
      </w:r>
      <w:r>
        <w:rPr>
          <w:rFonts w:hint="eastAsia" w:ascii="仿宋" w:hAnsi="仿宋" w:eastAsia="仿宋" w:cs="仿宋"/>
          <w:color w:val="333333"/>
          <w:sz w:val="21"/>
          <w:szCs w:val="21"/>
        </w:rPr>
        <w:t>（</w:t>
      </w:r>
      <w:r>
        <w:rPr>
          <w:rFonts w:hint="eastAsia" w:ascii="仿宋" w:hAnsi="仿宋" w:eastAsia="仿宋" w:cs="微软雅黑"/>
          <w:color w:val="333333"/>
          <w:sz w:val="21"/>
          <w:szCs w:val="21"/>
          <w:shd w:val="clear" w:color="auto" w:fill="FFFFFF"/>
          <w:lang w:val="en-US" w:eastAsia="zh-CN"/>
        </w:rPr>
        <w:t>淮南市不动产登记中心一楼法规科</w:t>
      </w:r>
      <w:r>
        <w:rPr>
          <w:rFonts w:hint="eastAsia" w:ascii="仿宋" w:hAnsi="仿宋" w:eastAsia="仿宋" w:cs="仿宋"/>
          <w:color w:val="333333"/>
          <w:sz w:val="21"/>
          <w:szCs w:val="21"/>
        </w:rPr>
        <w:t>）</w:t>
      </w:r>
    </w:p>
    <w:p w14:paraId="32FEB5E9">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3864F46F">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56B6F9AD">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ascii="仿宋" w:hAnsi="仿宋" w:eastAsia="仿宋" w:cs="仿宋"/>
          <w:color w:val="333333"/>
          <w:sz w:val="21"/>
          <w:szCs w:val="21"/>
        </w:rPr>
        <w:t xml:space="preserve">2. </w:t>
      </w:r>
      <w:r>
        <w:rPr>
          <w:rFonts w:hint="eastAsia" w:ascii="仿宋" w:hAnsi="仿宋" w:eastAsia="仿宋" w:cs="仿宋"/>
          <w:color w:val="000000" w:themeColor="text1"/>
          <w:sz w:val="21"/>
          <w:szCs w:val="21"/>
          <w14:textFill>
            <w14:solidFill>
              <w14:schemeClr w14:val="tx1"/>
            </w14:solidFill>
          </w14:textFill>
        </w:rPr>
        <w:t>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p>
    <w:p w14:paraId="08899A3C">
      <w:pPr>
        <w:pStyle w:val="5"/>
        <w:shd w:val="clear" w:color="auto" w:fill="FFFFFF"/>
        <w:spacing w:beforeAutospacing="0" w:afterAutospacing="0" w:line="360" w:lineRule="exact"/>
        <w:jc w:val="both"/>
        <w:rPr>
          <w:rFonts w:hint="eastAsia" w:ascii="仿宋" w:hAnsi="仿宋" w:eastAsia="仿宋" w:cs="仿宋"/>
          <w:color w:val="333333"/>
          <w:sz w:val="21"/>
          <w:szCs w:val="21"/>
        </w:rPr>
      </w:pPr>
      <w:r>
        <w:rPr>
          <w:rFonts w:hint="eastAsia" w:ascii="微软雅黑" w:hAnsi="微软雅黑" w:eastAsia="微软雅黑"/>
          <w:color w:val="333333"/>
          <w:sz w:val="17"/>
          <w:szCs w:val="17"/>
        </w:rPr>
        <w:t>　　</w:t>
      </w:r>
      <w:r>
        <w:rPr>
          <w:rFonts w:hint="eastAsia" w:ascii="仿宋" w:hAnsi="仿宋" w:eastAsia="仿宋" w:cs="仿宋"/>
          <w:color w:val="333333"/>
          <w:sz w:val="21"/>
          <w:szCs w:val="21"/>
        </w:rPr>
        <w:t xml:space="preserve"> 0554-2699166（淮南市不动产登记中心</w:t>
      </w:r>
      <w:bookmarkEnd w:id="0"/>
      <w:r>
        <w:rPr>
          <w:rFonts w:hint="eastAsia" w:ascii="仿宋" w:hAnsi="仿宋" w:eastAsia="仿宋" w:cs="仿宋"/>
          <w:color w:val="333333"/>
          <w:sz w:val="21"/>
          <w:szCs w:val="21"/>
        </w:rPr>
        <w:t>）</w:t>
      </w:r>
    </w:p>
    <w:p w14:paraId="62FBFE29">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06CAC3B0">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p w14:paraId="525A4479">
      <w:pPr>
        <w:pStyle w:val="5"/>
        <w:shd w:val="clear" w:color="auto" w:fill="FFFFFF"/>
        <w:spacing w:beforeAutospacing="0" w:afterAutospacing="0" w:line="360" w:lineRule="exact"/>
        <w:jc w:val="both"/>
        <w:rPr>
          <w:rFonts w:hint="eastAsia" w:ascii="仿宋" w:hAnsi="仿宋" w:eastAsia="仿宋" w:cs="仿宋"/>
          <w:color w:val="333333"/>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DE9E0"/>
    <w:multiLevelType w:val="singleLevel"/>
    <w:tmpl w:val="08EDE9E0"/>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D03F72"/>
    <w:rsid w:val="000C2969"/>
    <w:rsid w:val="000D65FA"/>
    <w:rsid w:val="0038063B"/>
    <w:rsid w:val="003C36B1"/>
    <w:rsid w:val="0043154D"/>
    <w:rsid w:val="006036DC"/>
    <w:rsid w:val="00870F37"/>
    <w:rsid w:val="00923950"/>
    <w:rsid w:val="00D03F72"/>
    <w:rsid w:val="00D207A1"/>
    <w:rsid w:val="00D87C55"/>
    <w:rsid w:val="00E67D33"/>
    <w:rsid w:val="02727BB5"/>
    <w:rsid w:val="0AD82351"/>
    <w:rsid w:val="14372B4A"/>
    <w:rsid w:val="148F54C5"/>
    <w:rsid w:val="32351B78"/>
    <w:rsid w:val="57937FF3"/>
    <w:rsid w:val="591075D9"/>
    <w:rsid w:val="5ACE4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1250</Words>
  <Characters>1374</Characters>
  <Lines>10</Lines>
  <Paragraphs>2</Paragraphs>
  <TotalTime>0</TotalTime>
  <ScaleCrop>false</ScaleCrop>
  <LinksUpToDate>false</LinksUpToDate>
  <CharactersWithSpaces>1394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2022-10-03T08:41:00Z</dcterms:created>
  <dc:creator>xc</dc:creator>
  <cp:lastModifiedBy>仲夏夜的蔷薇</cp:lastModifiedBy>
  <dcterms:modified xsi:type="dcterms:W3CDTF">2025-12-03T07:23:25Z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3C3198CC093947B89FDCC1C92680C828</vt:lpwstr>
  </property>
  <property fmtid="{D5CDD505-2E9C-101B-9397-08002B2CF9AE}" pid="4" name="KSOTemplateDocerSaveRecord">
    <vt:lpwstr>eyJoZGlkIjoiNjMxZmNlMmJjYzM1YTRmMDY5NjUwMTE2NTk0ZDlhM2YiLCJ1c2VySWQiOiIxMTI1ODIzMTA3In0=</vt:lpwstr>
  </property>
</Properties>
</file>