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spacing w:line="360" w:lineRule="auto"/>
        <w:ind/>
        <w:rPr>
          <w:rFonts w:hint="eastAsia" w:ascii="华文中宋" w:hAnsi="华文中宋" w:eastAsia="华文中宋" w:cs="华文中宋"/>
          <w:b/>
          <w:sz w:val="52"/>
          <w:szCs w:val="84"/>
        </w:rPr>
      </w:pPr>
    </w:p>
    <w:p>
      <w:pPr>
        <w:spacing w:line="360" w:lineRule="auto"/>
        <w:ind/>
        <w:jc w:val="center"/>
        <w:rPr>
          <w:rFonts w:hint="eastAsia" w:ascii="方正小标宋简体" w:hAnsi="方正小标宋简体" w:eastAsia="方正小标宋简体" w:cs="方正小标宋简体"/>
          <w:b w:val="false"/>
          <w:bCs/>
          <w:sz w:val="44"/>
          <w:szCs w:val="44"/>
        </w:rPr>
      </w:pPr>
      <w:r>
        <w:rPr>
          <w:rFonts w:hint="eastAsia" w:ascii="方正小标宋简体" w:hAnsi="方正小标宋简体" w:eastAsia="方正小标宋简体" w:cs="方正小标宋简体"/>
          <w:b w:val="false"/>
          <w:bCs/>
          <w:sz w:val="44"/>
          <w:szCs w:val="44"/>
          <w:lang w:val="en-US" w:eastAsia="zh-CN"/>
        </w:rPr>
        <w:t>寿县</w:t>
      </w:r>
      <w:r>
        <w:rPr>
          <w:rFonts w:hint="eastAsia" w:ascii="方正小标宋简体" w:hAnsi="方正小标宋简体" w:eastAsia="方正小标宋简体" w:cs="方正小标宋简体"/>
          <w:b w:val="false"/>
          <w:bCs/>
          <w:sz w:val="44"/>
          <w:szCs w:val="44"/>
          <w:lang w:eastAsia="zh-CN"/>
        </w:rPr>
        <w:t>安丰镇人民政府</w:t>
      </w:r>
      <w:r>
        <w:rPr>
          <w:rFonts w:hint="eastAsia" w:ascii="方正小标宋简体" w:hAnsi="方正小标宋简体" w:eastAsia="方正小标宋简体" w:cs="方正小标宋简体"/>
          <w:b w:val="false"/>
          <w:bCs/>
          <w:sz w:val="44"/>
          <w:szCs w:val="44"/>
        </w:rPr>
        <w:t>202</w:t>
      </w:r>
      <w:r>
        <w:rPr>
          <w:rFonts w:hint="eastAsia" w:ascii="方正小标宋简体" w:hAnsi="方正小标宋简体" w:eastAsia="方正小标宋简体" w:cs="方正小标宋简体"/>
          <w:b w:val="false"/>
          <w:bCs/>
          <w:sz w:val="44"/>
          <w:szCs w:val="44"/>
          <w:lang w:val="en-US" w:eastAsia="zh-CN"/>
        </w:rPr>
        <w:t>4</w:t>
      </w:r>
      <w:r>
        <w:rPr>
          <w:rFonts w:hint="eastAsia" w:ascii="方正小标宋简体" w:hAnsi="方正小标宋简体" w:eastAsia="方正小标宋简体" w:cs="方正小标宋简体"/>
          <w:b w:val="false"/>
          <w:bCs/>
          <w:sz w:val="44"/>
          <w:szCs w:val="44"/>
        </w:rPr>
        <w:t>年</w:t>
      </w:r>
      <w:r>
        <w:rPr>
          <w:rFonts w:hint="eastAsia" w:ascii="方正小标宋简体" w:hAnsi="方正小标宋简体" w:eastAsia="方正小标宋简体" w:cs="方正小标宋简体"/>
          <w:b w:val="false"/>
          <w:bCs/>
          <w:color w:val="000000"/>
          <w:sz w:val="44"/>
          <w:szCs w:val="44"/>
        </w:rPr>
        <w:t>度</w:t>
      </w:r>
      <w:r>
        <w:rPr>
          <w:rFonts w:hint="eastAsia" w:ascii="方正小标宋简体" w:hAnsi="方正小标宋简体" w:eastAsia="方正小标宋简体" w:cs="方正小标宋简体"/>
          <w:b w:val="false"/>
          <w:bCs/>
          <w:sz w:val="44"/>
          <w:szCs w:val="44"/>
        </w:rPr>
        <w:t>部门决算</w:t>
      </w: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ind/>
        <w:rPr>
          <w:rFonts w:hint="eastAsia" w:ascii="宋体" w:hAnsi="宋体"/>
          <w:sz w:val="28"/>
          <w:szCs w:val="28"/>
        </w:rPr>
      </w:pPr>
    </w:p>
    <w:p>
      <w:pPr>
        <w:pStyle w:val="00000a"/>
        <w:spacing w:before="0" w:beforeAutospacing="false" w:after="0" w:afterAutospacing="false" w:line="360" w:lineRule="auto"/>
        <w:ind/>
        <w:jc w:val="center"/>
        <w:rPr>
          <w:rFonts w:hint="eastAsia" w:ascii="黑体" w:hAnsi="黑体" w:eastAsia="黑体"/>
          <w:bCs/>
          <w:sz w:val="44"/>
          <w:szCs w:val="44"/>
        </w:rPr>
      </w:pPr>
      <w:r>
        <w:rPr>
          <w:rFonts w:hint="eastAsia" w:ascii="黑体" w:hAnsi="黑体" w:eastAsia="黑体"/>
          <w:bCs/>
          <w:sz w:val="44"/>
          <w:szCs w:val="44"/>
        </w:rPr>
        <w:t>202</w:t>
      </w:r>
      <w:r>
        <w:rPr>
          <w:rFonts w:hint="eastAsia" w:ascii="黑体" w:hAnsi="黑体" w:eastAsia="黑体"/>
          <w:bCs/>
          <w:sz w:val="44"/>
          <w:szCs w:val="44"/>
          <w:lang w:val="en-US" w:eastAsia="zh-CN"/>
        </w:rPr>
        <w:t>5</w:t>
      </w:r>
      <w:r>
        <w:rPr>
          <w:rFonts w:hint="eastAsia" w:ascii="黑体" w:hAnsi="黑体" w:eastAsia="黑体"/>
          <w:bCs/>
          <w:sz w:val="44"/>
          <w:szCs w:val="44"/>
        </w:rPr>
        <w:t>年</w:t>
      </w:r>
      <w:r>
        <w:rPr>
          <w:rFonts w:hint="eastAsia" w:ascii="黑体" w:hAnsi="黑体" w:eastAsia="黑体"/>
          <w:bCs/>
          <w:sz w:val="44"/>
          <w:szCs w:val="44"/>
          <w:lang w:eastAsia="zh-CN"/>
        </w:rPr>
        <w:t>8</w:t>
      </w:r>
      <w:r>
        <w:rPr>
          <w:rFonts w:hint="eastAsia" w:ascii="黑体" w:hAnsi="黑体" w:eastAsia="黑体"/>
          <w:bCs/>
          <w:sz w:val="44"/>
          <w:szCs w:val="44"/>
        </w:rPr>
        <w:t>月</w:t>
      </w:r>
    </w:p>
    <w:p>
      <w:pPr>
        <w:spacing w:line="580" w:lineRule="exact"/>
        <w:ind/>
        <w:jc w:val="center"/>
        <w:rPr>
          <w:rFonts w:hint="eastAsia" w:ascii="黑体" w:hAnsi="宋体" w:eastAsia="黑体"/>
          <w:bCs/>
          <w:sz w:val="48"/>
          <w:szCs w:val="48"/>
        </w:rPr>
      </w:pPr>
    </w:p>
    <w:p>
      <w:pPr>
        <w:spacing w:line="580" w:lineRule="exact"/>
        <w:ind/>
        <w:jc w:val="center"/>
        <w:rPr>
          <w:rFonts w:hint="eastAsia" w:ascii="黑体" w:hAnsi="宋体" w:eastAsia="黑体"/>
          <w:bCs/>
          <w:sz w:val="48"/>
          <w:szCs w:val="48"/>
        </w:rPr>
      </w:pPr>
    </w:p>
    <w:p>
      <w:pPr>
        <w:spacing w:line="580" w:lineRule="exact"/>
        <w:ind/>
        <w:jc w:val="center"/>
        <w:rPr>
          <w:rFonts w:hint="eastAsia" w:ascii="黑体" w:hAnsi="宋体" w:eastAsia="黑体"/>
          <w:bCs/>
          <w:sz w:val="48"/>
          <w:szCs w:val="48"/>
        </w:rPr>
      </w:pPr>
    </w:p>
    <w:p>
      <w:pPr>
        <w:spacing w:line="580" w:lineRule="exact"/>
        <w:ind/>
        <w:jc w:val="center"/>
        <w:rPr>
          <w:rFonts w:hint="eastAsia" w:ascii="黑体" w:hAnsi="宋体" w:eastAsia="黑体"/>
          <w:bCs/>
          <w:sz w:val="48"/>
          <w:szCs w:val="48"/>
        </w:rPr>
      </w:pPr>
      <w:r>
        <w:rPr>
          <w:rFonts w:hint="eastAsia" w:ascii="黑体" w:hAnsi="宋体" w:eastAsia="黑体"/>
          <w:bCs/>
          <w:sz w:val="48"/>
          <w:szCs w:val="48"/>
        </w:rPr>
        <w:t>目  录</w:t>
      </w:r>
    </w:p>
    <w:p>
      <w:pPr>
        <w:spacing w:line="550" w:lineRule="exact"/>
        <w:ind/>
        <w:rPr>
          <w:rFonts w:hint="eastAsia"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寿县</w:t>
      </w:r>
      <w:r>
        <w:rPr>
          <w:rFonts w:hint="eastAsia" w:ascii="宋体" w:hAnsi="宋体"/>
          <w:b/>
          <w:sz w:val="36"/>
          <w:szCs w:val="36"/>
          <w:lang w:eastAsia="zh-CN"/>
        </w:rPr>
        <w:t>安丰镇人民政府</w:t>
      </w:r>
      <w:r>
        <w:rPr>
          <w:rFonts w:hint="eastAsia" w:ascii="宋体" w:hAnsi="宋体"/>
          <w:b/>
          <w:sz w:val="36"/>
          <w:szCs w:val="36"/>
        </w:rPr>
        <w:t>概况</w:t>
      </w:r>
    </w:p>
    <w:p>
      <w:pPr>
        <w:numPr>
          <w:ilvl w:val="0"/>
          <w:numId w:val="0"/>
        </w:numPr>
        <w:spacing w:line="550" w:lineRule="exact"/>
        <w:ind/>
        <w:rPr>
          <w:rFonts w:hint="eastAsia" w:ascii="宋体" w:hAnsi="宋体"/>
          <w:bCs/>
          <w:sz w:val="36"/>
          <w:szCs w:val="36"/>
        </w:rPr>
      </w:pPr>
      <w:r>
        <w:rPr>
          <w:rFonts w:hint="eastAsia" w:ascii="宋体" w:hAnsi="宋体"/>
          <w:bCs/>
          <w:sz w:val="36"/>
          <w:szCs w:val="36"/>
          <w:lang w:eastAsia="zh-CN"/>
        </w:rPr>
        <w:t>一、</w:t>
      </w:r>
      <w:r>
        <w:rPr>
          <w:rFonts w:hint="eastAsia" w:ascii="宋体" w:hAnsi="宋体"/>
          <w:bCs/>
          <w:sz w:val="36"/>
          <w:szCs w:val="36"/>
        </w:rPr>
        <w:t>部</w:t>
      </w:r>
      <w:r>
        <w:rPr>
          <w:rFonts w:hint="eastAsia" w:ascii="宋体" w:hAnsi="宋体"/>
          <w:bCs/>
          <w:color w:val="000000"/>
          <w:sz w:val="36"/>
          <w:szCs w:val="36"/>
        </w:rPr>
        <w:t>门</w:t>
      </w:r>
      <w:r>
        <w:rPr>
          <w:rFonts w:hint="eastAsia" w:ascii="宋体" w:hAnsi="宋体"/>
          <w:bCs/>
          <w:sz w:val="36"/>
          <w:szCs w:val="36"/>
        </w:rPr>
        <w:t>职责</w:t>
      </w:r>
    </w:p>
    <w:p>
      <w:pPr>
        <w:spacing w:line="550" w:lineRule="exact"/>
        <w:ind/>
        <w:rPr>
          <w:rFonts w:hint="eastAsia" w:ascii="宋体" w:hAnsi="宋体"/>
          <w:bCs/>
          <w:sz w:val="36"/>
          <w:szCs w:val="36"/>
        </w:rPr>
      </w:pPr>
      <w:r>
        <w:rPr>
          <w:rFonts w:hint="eastAsia" w:ascii="宋体" w:hAnsi="宋体"/>
          <w:bCs/>
          <w:sz w:val="36"/>
          <w:szCs w:val="36"/>
        </w:rPr>
        <w:t>二、机构设置</w:t>
      </w:r>
    </w:p>
    <w:p>
      <w:pPr>
        <w:spacing w:line="550" w:lineRule="exact"/>
        <w:ind/>
        <w:rPr>
          <w:rFonts w:hint="eastAsia"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val="en-US" w:eastAsia="zh-CN"/>
        </w:rPr>
        <w:t>寿县</w:t>
      </w:r>
      <w:r>
        <w:rPr>
          <w:rFonts w:hint="eastAsia" w:ascii="宋体" w:hAnsi="宋体"/>
          <w:b/>
          <w:sz w:val="36"/>
          <w:szCs w:val="36"/>
          <w:lang w:eastAsia="zh-CN"/>
        </w:rPr>
        <w:t>安丰镇人民政府202</w:t>
      </w:r>
      <w:r>
        <w:rPr>
          <w:rFonts w:hint="eastAsia" w:ascii="宋体" w:hAnsi="宋体"/>
          <w:b/>
          <w:sz w:val="36"/>
          <w:szCs w:val="36"/>
          <w:lang w:val="en-US" w:eastAsia="zh-CN"/>
        </w:rPr>
        <w:t>4</w:t>
      </w:r>
      <w:r>
        <w:rPr>
          <w:rFonts w:hint="eastAsia" w:ascii="宋体" w:hAnsi="宋体"/>
          <w:b/>
          <w:sz w:val="36"/>
          <w:szCs w:val="36"/>
        </w:rPr>
        <w:t>年度部门决算表</w:t>
      </w:r>
    </w:p>
    <w:p>
      <w:pPr>
        <w:spacing w:line="550" w:lineRule="exact"/>
        <w:ind/>
        <w:rPr>
          <w:rFonts w:hint="eastAsia" w:ascii="宋体" w:hAnsi="宋体"/>
          <w:bCs/>
          <w:sz w:val="36"/>
          <w:szCs w:val="36"/>
        </w:rPr>
      </w:pPr>
      <w:r>
        <w:rPr>
          <w:rFonts w:hint="eastAsia" w:ascii="宋体" w:hAnsi="宋体"/>
          <w:bCs/>
          <w:sz w:val="36"/>
          <w:szCs w:val="36"/>
        </w:rPr>
        <w:t>一、收入支出决算总表</w:t>
      </w:r>
    </w:p>
    <w:p>
      <w:pPr>
        <w:spacing w:line="550" w:lineRule="exact"/>
        <w:ind/>
        <w:rPr>
          <w:rFonts w:hint="eastAsia" w:ascii="宋体" w:hAnsi="宋体"/>
          <w:bCs/>
          <w:sz w:val="36"/>
          <w:szCs w:val="36"/>
        </w:rPr>
      </w:pPr>
      <w:r>
        <w:rPr>
          <w:rFonts w:hint="eastAsia" w:ascii="宋体" w:hAnsi="宋体"/>
          <w:bCs/>
          <w:sz w:val="36"/>
          <w:szCs w:val="36"/>
        </w:rPr>
        <w:t>二、收入决算表</w:t>
      </w:r>
    </w:p>
    <w:p>
      <w:pPr>
        <w:spacing w:line="550" w:lineRule="exact"/>
        <w:ind/>
        <w:rPr>
          <w:rFonts w:hint="eastAsia" w:ascii="宋体" w:hAnsi="宋体"/>
          <w:bCs/>
          <w:sz w:val="36"/>
          <w:szCs w:val="36"/>
        </w:rPr>
      </w:pPr>
      <w:r>
        <w:rPr>
          <w:rFonts w:hint="eastAsia" w:ascii="宋体" w:hAnsi="宋体"/>
          <w:bCs/>
          <w:sz w:val="36"/>
          <w:szCs w:val="36"/>
        </w:rPr>
        <w:t>三、支出决算表</w:t>
      </w:r>
    </w:p>
    <w:p>
      <w:pPr>
        <w:spacing w:line="550" w:lineRule="exact"/>
        <w:ind/>
        <w:rPr>
          <w:rFonts w:hint="eastAsia" w:ascii="宋体" w:hAnsi="宋体"/>
          <w:bCs/>
          <w:sz w:val="36"/>
          <w:szCs w:val="36"/>
        </w:rPr>
      </w:pPr>
      <w:r>
        <w:rPr>
          <w:rFonts w:hint="eastAsia" w:ascii="宋体" w:hAnsi="宋体"/>
          <w:bCs/>
          <w:sz w:val="36"/>
          <w:szCs w:val="36"/>
        </w:rPr>
        <w:t>四、财政拨款收入支出决算总表</w:t>
      </w:r>
    </w:p>
    <w:p>
      <w:pPr>
        <w:spacing w:line="550" w:lineRule="exact"/>
        <w:ind/>
        <w:rPr>
          <w:rFonts w:hint="eastAsia" w:ascii="宋体" w:hAnsi="宋体"/>
          <w:bCs/>
          <w:sz w:val="36"/>
          <w:szCs w:val="36"/>
        </w:rPr>
      </w:pPr>
      <w:r>
        <w:rPr>
          <w:rFonts w:hint="eastAsia" w:ascii="宋体" w:hAnsi="宋体"/>
          <w:bCs/>
          <w:sz w:val="36"/>
          <w:szCs w:val="36"/>
        </w:rPr>
        <w:t>五、一般公共预算财政拨款支出决算表</w:t>
      </w:r>
    </w:p>
    <w:p>
      <w:pPr>
        <w:spacing w:line="550" w:lineRule="exact"/>
        <w:ind/>
        <w:rPr>
          <w:rFonts w:hint="eastAsia" w:ascii="宋体" w:hAnsi="宋体"/>
          <w:bCs/>
          <w:sz w:val="36"/>
          <w:szCs w:val="36"/>
        </w:rPr>
      </w:pPr>
      <w:r>
        <w:rPr>
          <w:rFonts w:hint="eastAsia" w:ascii="宋体" w:hAnsi="宋体"/>
          <w:bCs/>
          <w:sz w:val="36"/>
          <w:szCs w:val="36"/>
        </w:rPr>
        <w:t>六、一般公共预算财政拨款基本支出决算</w:t>
      </w:r>
      <w:r>
        <w:rPr>
          <w:rFonts w:hint="eastAsia" w:ascii="宋体" w:hAnsi="宋体"/>
          <w:bCs/>
          <w:sz w:val="36"/>
          <w:szCs w:val="36"/>
          <w:lang w:eastAsia="zh-CN"/>
        </w:rPr>
        <w:t>明细</w:t>
      </w:r>
      <w:r>
        <w:rPr>
          <w:rFonts w:hint="eastAsia" w:ascii="宋体" w:hAnsi="宋体"/>
          <w:bCs/>
          <w:sz w:val="36"/>
          <w:szCs w:val="36"/>
        </w:rPr>
        <w:t>表</w:t>
      </w:r>
    </w:p>
    <w:p>
      <w:pPr>
        <w:spacing w:line="550" w:lineRule="exact"/>
        <w:ind/>
        <w:rPr>
          <w:rFonts w:hint="eastAsia" w:ascii="宋体" w:hAnsi="宋体"/>
          <w:bCs/>
          <w:sz w:val="36"/>
          <w:szCs w:val="36"/>
        </w:rPr>
      </w:pPr>
      <w:r>
        <w:rPr>
          <w:rFonts w:hint="eastAsia" w:ascii="宋体" w:hAnsi="宋体"/>
          <w:bCs/>
          <w:sz w:val="36"/>
          <w:szCs w:val="36"/>
        </w:rPr>
        <w:t>七、政府性基金预算财政拨款收入支出决算表</w:t>
      </w:r>
    </w:p>
    <w:p>
      <w:pPr>
        <w:spacing w:line="550" w:lineRule="exact"/>
        <w:ind/>
        <w:rPr>
          <w:rFonts w:hint="eastAsia" w:ascii="宋体" w:hAnsi="宋体"/>
          <w:bCs/>
          <w:sz w:val="36"/>
          <w:szCs w:val="36"/>
        </w:rPr>
      </w:pPr>
      <w:r>
        <w:rPr>
          <w:rFonts w:hint="eastAsia" w:ascii="宋体" w:hAnsi="宋体"/>
          <w:bCs/>
          <w:sz w:val="36"/>
          <w:szCs w:val="36"/>
        </w:rPr>
        <w:t>八、国有资本经营预算财政拨款支出决算表</w:t>
      </w:r>
    </w:p>
    <w:p>
      <w:pPr>
        <w:spacing w:line="550" w:lineRule="exact"/>
        <w:ind/>
        <w:rPr>
          <w:rFonts w:hint="eastAsia"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寿县</w:t>
      </w:r>
      <w:r>
        <w:rPr>
          <w:rFonts w:hint="eastAsia" w:ascii="宋体" w:hAnsi="宋体"/>
          <w:b/>
          <w:sz w:val="36"/>
          <w:szCs w:val="36"/>
          <w:lang w:eastAsia="zh-CN"/>
        </w:rPr>
        <w:t>安丰镇人民政府202</w:t>
      </w:r>
      <w:r>
        <w:rPr>
          <w:rFonts w:hint="eastAsia" w:ascii="宋体" w:hAnsi="宋体"/>
          <w:b/>
          <w:sz w:val="36"/>
          <w:szCs w:val="36"/>
          <w:lang w:val="en-US" w:eastAsia="zh-CN"/>
        </w:rPr>
        <w:t>4</w:t>
      </w:r>
      <w:r>
        <w:rPr>
          <w:rFonts w:hint="eastAsia" w:ascii="宋体" w:hAnsi="宋体"/>
          <w:b/>
          <w:sz w:val="36"/>
          <w:szCs w:val="36"/>
        </w:rPr>
        <w:t>年度</w:t>
      </w:r>
      <w:r>
        <w:rPr>
          <w:rFonts w:hint="eastAsia" w:ascii="宋体" w:hAnsi="宋体"/>
          <w:b/>
          <w:sz w:val="36"/>
          <w:szCs w:val="36"/>
          <w:lang w:eastAsia="zh-CN"/>
        </w:rPr>
        <w:t>部门</w:t>
      </w:r>
      <w:r>
        <w:rPr>
          <w:rFonts w:hint="eastAsia" w:ascii="宋体" w:hAnsi="宋体"/>
          <w:b/>
          <w:sz w:val="36"/>
          <w:szCs w:val="36"/>
        </w:rPr>
        <w:t>决算情况说明</w:t>
      </w:r>
    </w:p>
    <w:p>
      <w:pPr>
        <w:spacing w:line="550" w:lineRule="exact"/>
        <w:ind/>
        <w:rPr>
          <w:rFonts w:hint="eastAsia" w:ascii="宋体" w:hAnsi="宋体"/>
          <w:bCs/>
          <w:sz w:val="36"/>
          <w:szCs w:val="36"/>
        </w:rPr>
      </w:pPr>
      <w:r>
        <w:rPr>
          <w:rFonts w:hint="eastAsia" w:ascii="宋体" w:hAnsi="宋体"/>
          <w:bCs/>
          <w:sz w:val="36"/>
          <w:szCs w:val="36"/>
        </w:rPr>
        <w:t>一、收入支出决算总体情况</w:t>
      </w:r>
      <w:r>
        <w:rPr>
          <w:rFonts w:hint="eastAsia" w:ascii="宋体" w:hAnsi="宋体"/>
          <w:bCs/>
          <w:color w:val="000000"/>
          <w:sz w:val="36"/>
          <w:szCs w:val="36"/>
        </w:rPr>
        <w:t>说明</w:t>
      </w:r>
    </w:p>
    <w:p>
      <w:pPr>
        <w:spacing w:line="550" w:lineRule="exact"/>
        <w:ind/>
        <w:rPr>
          <w:rFonts w:hint="eastAsia" w:ascii="宋体" w:hAnsi="宋体"/>
          <w:bCs/>
          <w:sz w:val="36"/>
          <w:szCs w:val="36"/>
        </w:rPr>
      </w:pPr>
      <w:r>
        <w:rPr>
          <w:rFonts w:hint="eastAsia" w:ascii="宋体" w:hAnsi="宋体"/>
          <w:bCs/>
          <w:sz w:val="36"/>
          <w:szCs w:val="36"/>
        </w:rPr>
        <w:t>二、收入决算情况说明</w:t>
      </w:r>
    </w:p>
    <w:p>
      <w:pPr>
        <w:spacing w:line="550" w:lineRule="exact"/>
        <w:ind/>
        <w:rPr>
          <w:rFonts w:hint="eastAsia" w:ascii="宋体" w:hAnsi="宋体"/>
          <w:bCs/>
          <w:sz w:val="36"/>
          <w:szCs w:val="36"/>
        </w:rPr>
      </w:pPr>
      <w:r>
        <w:rPr>
          <w:rFonts w:hint="eastAsia" w:ascii="宋体" w:hAnsi="宋体"/>
          <w:bCs/>
          <w:sz w:val="36"/>
          <w:szCs w:val="36"/>
        </w:rPr>
        <w:t>三、支出决算情况说明</w:t>
      </w:r>
    </w:p>
    <w:p>
      <w:pPr>
        <w:spacing w:line="550" w:lineRule="exact"/>
        <w:ind/>
        <w:rPr>
          <w:rFonts w:hint="eastAsia" w:ascii="宋体" w:hAnsi="宋体"/>
          <w:bCs/>
          <w:sz w:val="36"/>
          <w:szCs w:val="36"/>
        </w:rPr>
      </w:pPr>
      <w:r>
        <w:rPr>
          <w:rFonts w:hint="eastAsia" w:ascii="宋体" w:hAnsi="宋体"/>
          <w:bCs/>
          <w:sz w:val="36"/>
          <w:szCs w:val="36"/>
        </w:rPr>
        <w:t>四、财政拨款收入支出决算总体情况说明</w:t>
      </w:r>
    </w:p>
    <w:p>
      <w:pPr>
        <w:spacing w:line="550" w:lineRule="exact"/>
        <w:ind/>
        <w:rPr>
          <w:rFonts w:hint="eastAsia" w:ascii="宋体" w:hAnsi="宋体"/>
          <w:bCs/>
          <w:sz w:val="36"/>
          <w:szCs w:val="36"/>
        </w:rPr>
      </w:pPr>
      <w:r>
        <w:rPr>
          <w:rFonts w:hint="eastAsia" w:ascii="宋体" w:hAnsi="宋体"/>
          <w:bCs/>
          <w:sz w:val="36"/>
          <w:szCs w:val="36"/>
        </w:rPr>
        <w:t>五、一般公共预算财政拨款支出决算情况说明</w:t>
      </w:r>
    </w:p>
    <w:p>
      <w:pPr>
        <w:spacing w:line="550" w:lineRule="exact"/>
        <w:ind/>
        <w:rPr>
          <w:rFonts w:hint="eastAsia" w:ascii="宋体" w:hAnsi="宋体"/>
          <w:bCs/>
          <w:sz w:val="36"/>
          <w:szCs w:val="36"/>
        </w:rPr>
      </w:pPr>
      <w:r>
        <w:rPr>
          <w:rFonts w:hint="eastAsia" w:ascii="宋体" w:hAnsi="宋体"/>
          <w:bCs/>
          <w:sz w:val="36"/>
          <w:szCs w:val="36"/>
        </w:rPr>
        <w:t>六、一般公共预算财政拨款基本支出决算情况说明</w:t>
      </w:r>
    </w:p>
    <w:p>
      <w:pPr>
        <w:spacing w:line="550" w:lineRule="exact"/>
        <w:ind/>
        <w:rPr>
          <w:rFonts w:hint="eastAsia" w:ascii="宋体" w:hAnsi="宋体"/>
          <w:bCs/>
          <w:sz w:val="36"/>
          <w:szCs w:val="36"/>
        </w:rPr>
      </w:pPr>
      <w:r>
        <w:rPr>
          <w:rFonts w:hint="eastAsia" w:ascii="宋体" w:hAnsi="宋体"/>
          <w:bCs/>
          <w:sz w:val="36"/>
          <w:szCs w:val="36"/>
        </w:rPr>
        <w:t>七、政府性基金</w:t>
      </w:r>
      <w:r>
        <w:rPr>
          <w:rFonts w:hint="eastAsia" w:ascii="宋体" w:hAnsi="宋体"/>
          <w:bCs/>
          <w:sz w:val="36"/>
          <w:szCs w:val="36"/>
          <w:lang w:eastAsia="zh-CN"/>
        </w:rPr>
        <w:t>预算</w:t>
      </w:r>
      <w:r>
        <w:rPr>
          <w:rFonts w:hint="eastAsia" w:ascii="宋体" w:hAnsi="宋体"/>
          <w:bCs/>
          <w:sz w:val="36"/>
          <w:szCs w:val="36"/>
        </w:rPr>
        <w:t>财政拨款收入支出决算情况说明</w:t>
      </w:r>
    </w:p>
    <w:p>
      <w:pPr>
        <w:spacing w:line="550" w:lineRule="exact"/>
        <w:ind/>
        <w:rPr>
          <w:rFonts w:hint="eastAsia" w:ascii="宋体" w:hAnsi="宋体"/>
          <w:bCs/>
          <w:sz w:val="36"/>
          <w:szCs w:val="36"/>
        </w:rPr>
      </w:pPr>
      <w:r>
        <w:rPr>
          <w:rFonts w:hint="eastAsia" w:ascii="宋体" w:hAnsi="宋体"/>
          <w:bCs/>
          <w:sz w:val="36"/>
          <w:szCs w:val="36"/>
        </w:rPr>
        <w:t>八、国有资本经营预算财政拨款支出决算情况说明</w:t>
      </w:r>
    </w:p>
    <w:p>
      <w:pPr>
        <w:spacing w:line="550" w:lineRule="exact"/>
        <w:ind/>
        <w:rPr>
          <w:rFonts w:hint="eastAsia" w:ascii="宋体" w:hAnsi="宋体"/>
          <w:bCs/>
          <w:sz w:val="36"/>
          <w:szCs w:val="36"/>
        </w:rPr>
      </w:pPr>
      <w:r>
        <w:rPr>
          <w:rFonts w:hint="eastAsia" w:ascii="宋体" w:hAnsi="宋体"/>
          <w:bCs/>
          <w:sz w:val="36"/>
          <w:szCs w:val="36"/>
        </w:rPr>
        <w:t>九、其他重要事项情况说明</w:t>
      </w:r>
    </w:p>
    <w:p>
      <w:pPr>
        <w:spacing w:line="550" w:lineRule="exact"/>
        <w:ind/>
        <w:rPr>
          <w:rFonts w:hint="eastAsia" w:ascii="宋体" w:hAnsi="宋体"/>
          <w:b/>
          <w:sz w:val="36"/>
          <w:szCs w:val="36"/>
        </w:rPr>
      </w:pPr>
      <w:r>
        <w:rPr>
          <w:rFonts w:hint="eastAsia" w:ascii="宋体" w:hAnsi="宋体"/>
          <w:b/>
          <w:sz w:val="36"/>
          <w:szCs w:val="36"/>
        </w:rPr>
        <w:t>第四部分  名词解释</w:t>
      </w:r>
    </w:p>
    <w:p>
      <w:pPr>
        <w:ind/>
        <w:rPr>
          <w:rFonts w:hint="eastAsia" w:ascii="宋体" w:hAnsi="宋体"/>
          <w:b/>
          <w:sz w:val="36"/>
          <w:szCs w:val="36"/>
        </w:rPr>
      </w:pPr>
    </w:p>
    <w:p>
      <w:pPr>
        <w:spacing w:line="360" w:lineRule="auto"/>
        <w:ind/>
        <w:jc w:val="both"/>
        <w:rPr>
          <w:rFonts w:hint="eastAsia" w:ascii="黑体" w:hAnsi="黑体" w:eastAsia="黑体"/>
          <w:szCs w:val="32"/>
        </w:rPr>
      </w:pPr>
      <w:r>
        <w:rPr>
          <w:rFonts w:hint="eastAsia" w:ascii="宋体" w:hAnsi="宋体" w:eastAsia="黑体"/>
          <w:b/>
          <w:sz w:val="36"/>
          <w:szCs w:val="36"/>
        </w:rPr>
        <w:t xml:space="preserve">   </w:t>
      </w:r>
      <w:r>
        <w:rPr>
          <w:rFonts w:hint="eastAsia" w:ascii="黑体" w:hAnsi="黑体" w:eastAsia="黑体"/>
          <w:szCs w:val="32"/>
        </w:rPr>
        <w:t xml:space="preserve">第一部分 </w:t>
      </w:r>
      <w:r>
        <w:rPr>
          <w:rFonts w:hint="eastAsia" w:ascii="宋体" w:hAnsi="宋体"/>
          <w:b/>
          <w:sz w:val="36"/>
          <w:szCs w:val="36"/>
          <w:lang w:val="en-US" w:eastAsia="zh-CN"/>
        </w:rPr>
        <w:t>寿县</w:t>
      </w:r>
      <w:r>
        <w:rPr>
          <w:rFonts w:hint="eastAsia" w:ascii="宋体" w:hAnsi="宋体"/>
          <w:b/>
          <w:sz w:val="36"/>
          <w:szCs w:val="36"/>
          <w:lang w:eastAsia="zh-CN"/>
        </w:rPr>
        <w:t>安丰镇人民政府</w:t>
      </w:r>
      <w:r>
        <w:rPr>
          <w:rFonts w:hint="eastAsia" w:ascii="黑体" w:hAnsi="黑体" w:eastAsia="黑体"/>
          <w:szCs w:val="32"/>
        </w:rPr>
        <w:t>概况</w:t>
      </w:r>
    </w:p>
    <w:p>
      <w:pPr>
        <w:ind w:firstLine="628" w:firstLineChars="200"/>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部门</w:t>
      </w:r>
      <w:r>
        <w:rPr>
          <w:rFonts w:hint="eastAsia" w:ascii="黑体" w:hAnsi="黑体" w:eastAsia="黑体"/>
          <w:szCs w:val="32"/>
        </w:rPr>
        <w:t>职责</w:t>
      </w:r>
    </w:p>
    <w:p>
      <w:pPr>
        <w:ind w:firstLine="628" w:firstLineChars="200"/>
        <w:rPr>
          <w:rFonts w:hint="eastAsia" w:ascii="黑体" w:hAnsi="黑体" w:eastAsia="黑体"/>
          <w:szCs w:val="32"/>
        </w:rPr>
      </w:pPr>
      <w:r>
        <w:rPr>
          <w:rFonts w:hint="eastAsia" w:ascii="黑体" w:hAnsi="黑体" w:eastAsia="黑体"/>
          <w:szCs w:val="32"/>
        </w:rPr>
        <w:t>二、机构设置</w:t>
      </w:r>
    </w:p>
    <w:p>
      <w:pPr>
        <w:ind w:firstLine="628" w:firstLineChars="200"/>
        <w:rPr>
          <w:rFonts w:hint="eastAsia" w:ascii="仿宋_GB2312" w:hAnsi="仿宋"/>
          <w:szCs w:val="32"/>
        </w:rPr>
      </w:pPr>
      <w:r>
        <w:rPr>
          <w:rFonts w:hint="eastAsia" w:ascii="仿宋_GB2312" w:hAnsi="仿宋"/>
          <w:color w:val="auto"/>
          <w:szCs w:val="32"/>
          <w:lang w:eastAsia="zh-CN"/>
        </w:rPr>
        <w:t>从</w:t>
      </w:r>
      <w:r>
        <w:rPr>
          <w:rFonts w:hint="eastAsia" w:ascii="仿宋_GB2312" w:hAnsi="仿宋"/>
          <w:szCs w:val="32"/>
        </w:rPr>
        <w:t xml:space="preserve">决算单位构成看， </w:t>
      </w:r>
      <w:r>
        <w:rPr>
          <w:rFonts w:hint="eastAsia" w:ascii="仿宋_GB2312" w:hAnsi="仿宋"/>
          <w:szCs w:val="32"/>
          <w:lang w:eastAsia="zh-CN"/>
        </w:rPr>
        <w:t>安丰镇</w:t>
      </w:r>
      <w:r>
        <w:rPr>
          <w:rFonts w:hint="eastAsia" w:ascii="仿宋_GB2312" w:hAnsi="仿宋"/>
          <w:szCs w:val="32"/>
        </w:rPr>
        <w:t>单位</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年度决算包括：单位本级决算和</w:t>
      </w:r>
      <w:r>
        <w:rPr>
          <w:rFonts w:hint="eastAsia" w:ascii="仿宋_GB2312" w:hAnsi="仿宋"/>
          <w:szCs w:val="32"/>
          <w:lang w:eastAsia="zh-CN"/>
        </w:rPr>
        <w:t>单位</w:t>
      </w:r>
      <w:r>
        <w:rPr>
          <w:rFonts w:hint="eastAsia" w:ascii="仿宋_GB2312" w:hAnsi="仿宋"/>
          <w:szCs w:val="32"/>
        </w:rPr>
        <w:t>所属事业单位决算，与预算比较</w:t>
      </w:r>
      <w:r>
        <w:rPr>
          <w:rFonts w:hint="eastAsia" w:ascii="楷体_GB2312" w:hAnsi="仿宋" w:eastAsia="楷体_GB2312"/>
          <w:szCs w:val="32"/>
        </w:rPr>
        <w:t>，</w:t>
      </w:r>
      <w:r>
        <w:rPr>
          <w:rFonts w:hint="eastAsia" w:ascii="仿宋_GB2312" w:hAnsi="仿宋" w:cs="Times New Roman"/>
          <w:szCs w:val="32"/>
          <w:lang w:val="en-US" w:eastAsia="zh-CN"/>
        </w:rPr>
        <w:t>无变动</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szCs w:val="32"/>
        </w:rPr>
        <w:t>纳入</w:t>
      </w:r>
      <w:r>
        <w:rPr>
          <w:rFonts w:hint="eastAsia" w:ascii="仿宋_GB2312" w:hAnsi="仿宋"/>
          <w:szCs w:val="32"/>
          <w:lang w:eastAsia="zh-CN"/>
        </w:rPr>
        <w:t>安丰镇</w:t>
      </w:r>
      <w:r>
        <w:rPr>
          <w:rFonts w:hint="eastAsia" w:ascii="仿宋_GB2312" w:hAnsi="仿宋"/>
          <w:szCs w:val="32"/>
        </w:rPr>
        <w:t>单位</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年度单位决算编制范围的下属单位共</w:t>
      </w:r>
      <w:r>
        <w:rPr>
          <w:rFonts w:hint="eastAsia" w:ascii="仿宋_GB2312" w:hAnsi="仿宋"/>
          <w:szCs w:val="32"/>
          <w:lang w:val="en-US" w:eastAsia="zh-CN"/>
        </w:rPr>
        <w:t>3</w:t>
      </w:r>
      <w:r>
        <w:rPr>
          <w:rFonts w:hint="eastAsia" w:ascii="仿宋_GB2312" w:hAnsi="仿宋"/>
          <w:szCs w:val="32"/>
        </w:rPr>
        <w:t>个，</w:t>
      </w:r>
      <w:r>
        <w:rPr>
          <w:rFonts w:hint="eastAsia" w:ascii="仿宋_GB2312" w:hAnsi="仿宋"/>
          <w:color w:val="0000FF"/>
          <w:szCs w:val="32"/>
          <w:lang w:eastAsia="zh-CN"/>
        </w:rPr>
        <w:t>具体</w:t>
      </w:r>
      <w:r>
        <w:rPr>
          <w:rFonts w:hint="eastAsia" w:ascii="仿宋_GB2312" w:hAnsi="仿宋"/>
          <w:szCs w:val="32"/>
        </w:rPr>
        <w:t>情况见下表：</w:t>
      </w:r>
    </w:p>
    <w:tbl>
      <w:tblPr>
        <w:tblStyle w:val="000001"/>
        <w:tblW w:w="0" w:type="auto"/>
        <w:tblInd w:w="828" w:type="dxa"/>
        <w:shd w:val="clear" w:color="auto" w:fill="FFFFFF"/>
        <w:tblLayout w:type="fixed"/>
        <w:tblCellMar>
          <w:top w:w="0" w:type="dxa"/>
          <w:left w:w="0" w:type="dxa"/>
          <w:bottom w:w="0" w:type="dxa"/>
          <w:right w:w="0" w:type="dxa"/>
        </w:tblCellMar>
      </w:tblPr>
      <w:tblGrid>
        <w:gridCol w:w="1389"/>
        <w:gridCol w:w="5837"/>
      </w:tblGrid>
      <w:tr>
        <w:trPr>
          <w:wBefore/>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false"/>
            <w:tcMar>
              <w:top w:w="0" w:type="dxa"/>
              <w:left w:w="108" w:type="dxa"/>
              <w:bottom w:w="0" w:type="dxa"/>
              <w:right w:w="108" w:type="dxa"/>
            </w:tcMar>
            <w:vAlign w:val="center"/>
          </w:tcPr>
          <w:p>
            <w:pPr>
              <w:ind/>
              <w:jc w:val="center"/>
              <w:rPr>
                <w:rFonts w:hint="eastAsia" w:ascii="宋体" w:hAnsi="宋体"/>
                <w:sz w:val="24"/>
              </w:rPr>
            </w:pPr>
            <w:r>
              <w:rPr>
                <w:rFonts w:hint="eastAsia" w:ascii="宋体" w:hAnsi="宋体"/>
                <w:sz w:val="24"/>
              </w:rPr>
              <w:t>序号</w:t>
            </w:r>
          </w:p>
        </w:tc>
        <w:tc>
          <w:tcPr>
            <w:tcW w:w="5837" w:type="dxa"/>
            <w:tcBorders>
              <w:top w:val="single" w:color="auto" w:sz="8" w:space="0"/>
              <w:left w:val="nil"/>
              <w:bottom w:val="single" w:color="auto" w:sz="4" w:space="0"/>
              <w:right w:val="single" w:color="auto" w:sz="8" w:space="0"/>
            </w:tcBorders>
            <w:shd w:val="clear" w:color="auto" w:fill="FFFFFF"/>
            <w:noWrap w:val="false"/>
            <w:tcMar>
              <w:top w:w="0" w:type="dxa"/>
              <w:left w:w="108" w:type="dxa"/>
              <w:bottom w:w="0" w:type="dxa"/>
              <w:right w:w="108" w:type="dxa"/>
            </w:tcMar>
            <w:vAlign w:val="center"/>
          </w:tcPr>
          <w:p>
            <w:pPr>
              <w:ind/>
              <w:jc w:val="center"/>
              <w:rPr>
                <w:rFonts w:hint="eastAsia" w:ascii="宋体" w:hAnsi="宋体"/>
                <w:sz w:val="24"/>
              </w:rPr>
            </w:pPr>
            <w:r>
              <w:rPr>
                <w:rFonts w:hint="eastAsia" w:ascii="宋体" w:hAnsi="宋体"/>
                <w:sz w:val="24"/>
              </w:rPr>
              <w:t>单位名称</w:t>
            </w:r>
          </w:p>
        </w:tc>
      </w:tr>
      <w:tr>
        <w:trPr>
          <w:wBefore/>
          <w:trHeight w:val="397" w:hRule="exact"/>
        </w:trPr>
        <w:tc>
          <w:tcPr>
            <w:tcW w:w="1389" w:type="dxa"/>
            <w:tcBorders>
              <w:top w:val="nil"/>
              <w:left w:val="single" w:color="auto" w:sz="8" w:space="0"/>
              <w:bottom w:val="single" w:color="auto" w:sz="8" w:space="0"/>
              <w:right w:val="single" w:color="auto" w:sz="4" w:space="0"/>
            </w:tcBorders>
            <w:shd w:val="clear" w:color="auto" w:fill="FFFFFF"/>
            <w:noWrap w:val="false"/>
            <w:tcMar>
              <w:top w:w="0" w:type="dxa"/>
              <w:left w:w="108" w:type="dxa"/>
              <w:bottom w:w="0" w:type="dxa"/>
              <w:right w:w="108" w:type="dxa"/>
            </w:tcMar>
            <w:vAlign w:val="center"/>
          </w:tcPr>
          <w:p>
            <w:pPr>
              <w:ind/>
              <w:jc w:val="center"/>
              <w:rPr>
                <w:rFonts w:hint="eastAsia" w:ascii="宋体" w:hAnsi="宋体" w:cs="宋体"/>
                <w:sz w:val="24"/>
              </w:rPr>
            </w:pPr>
            <w:r>
              <w:rPr>
                <w:rFonts w:hint="eastAsia" w:ascii="宋体" w:hAnsi="宋体"/>
                <w:sz w:val="24"/>
              </w:rPr>
              <w:t>1</w:t>
            </w:r>
          </w:p>
        </w:tc>
        <w:tc>
          <w:tcPr>
            <w:tcW w:w="5837" w:type="dxa"/>
            <w:tcBorders>
              <w:top w:val="single" w:color="auto" w:sz="4" w:space="0"/>
              <w:left w:val="single" w:color="auto" w:sz="4" w:space="0"/>
              <w:bottom w:val="single" w:color="auto" w:sz="4" w:space="0"/>
              <w:right w:val="single" w:color="auto" w:sz="4" w:space="0"/>
            </w:tcBorders>
            <w:shd w:val="clear" w:color="auto" w:fill="FFFFFF"/>
            <w:noWrap w:val="false"/>
            <w:tcMar>
              <w:top w:w="0" w:type="dxa"/>
              <w:left w:w="108" w:type="dxa"/>
              <w:bottom w:w="0" w:type="dxa"/>
              <w:right w:w="108" w:type="dxa"/>
            </w:tcMar>
            <w:vAlign w:val="center"/>
          </w:tcPr>
          <w:tbl>
            <w:tblPr>
              <w:tblStyle w:val="00000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837"/>
              <w:gridCol w:w="5837"/>
            </w:tblGrid>
            <w:tr>
              <w:trPr>
                <w:gridAfter w:val="1"/>
                <w:wBefore/>
                <w:wAfter w:w="5837" w:type="dxa"/>
                <w:trHeight w:val="397" w:hRule="atLeast"/>
              </w:trPr>
              <w:tc>
                <w:tcPr>
                  <w:tcW w:w="5837" w:type="dxa"/>
                  <w:tcBorders>
                    <w:top w:val="nil"/>
                    <w:left w:val="nil"/>
                    <w:bottom w:val="single" w:color="auto" w:sz="8" w:space="0"/>
                    <w:right w:val="single" w:color="auto" w:sz="8"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both"/>
                    <w:rPr/>
                  </w:pPr>
                  <w:r>
                    <w:rPr>
                      <w:rFonts w:ascii="仿宋_GB2312" w:hAnsi="微软雅黑" w:eastAsia="仿宋_GB2312" w:cs="仿宋_GB2312"/>
                      <w:i w:val="false"/>
                      <w:iCs w:val="false"/>
                      <w:caps w:val="false"/>
                      <w:color w:val="333333"/>
                      <w:spacing w:val="0"/>
                      <w:kern w:val="0"/>
                      <w:sz w:val="24"/>
                      <w:szCs w:val="24"/>
                      <w:lang w:val="en-US" w:eastAsia="zh-CN" w:bidi="ar"/>
                    </w:rPr>
                    <w:t>寿县</w:t>
                  </w:r>
                  <w:r>
                    <w:rPr>
                      <w:rFonts w:hint="eastAsia" w:ascii="仿宋_GB2312" w:hAnsi="微软雅黑" w:eastAsia="仿宋_GB2312" w:cs="仿宋_GB2312"/>
                      <w:i w:val="false"/>
                      <w:iCs w:val="false"/>
                      <w:caps w:val="false"/>
                      <w:color w:val="333333"/>
                      <w:spacing w:val="0"/>
                      <w:kern w:val="0"/>
                      <w:sz w:val="24"/>
                      <w:szCs w:val="24"/>
                      <w:lang w:val="en-US" w:eastAsia="zh-CN" w:bidi="ar"/>
                    </w:rPr>
                    <w:t>安丰镇</w:t>
                  </w:r>
                  <w:r>
                    <w:rPr>
                      <w:rFonts w:hint="default" w:ascii="仿宋_GB2312" w:hAnsi="微软雅黑" w:eastAsia="仿宋_GB2312" w:cs="仿宋_GB2312"/>
                      <w:i w:val="false"/>
                      <w:iCs w:val="false"/>
                      <w:caps w:val="false"/>
                      <w:color w:val="333333"/>
                      <w:spacing w:val="0"/>
                      <w:kern w:val="0"/>
                      <w:sz w:val="24"/>
                      <w:szCs w:val="24"/>
                      <w:lang w:val="en-US" w:eastAsia="zh-CN" w:bidi="ar"/>
                    </w:rPr>
                    <w:t>人民政府本级</w:t>
                  </w:r>
                </w:p>
              </w:tc>
            </w:tr>
            <w:tr>
              <w:trPr>
                <w:wBefore/>
                <w:trHeight w:val="397" w:hRule="atLeast"/>
              </w:trPr>
              <w:tc>
                <w:tcPr>
                  <w:tcW w:w="5837" w:type="dxa"/>
                  <w:tcBorders>
                    <w:top w:val="nil"/>
                    <w:left w:val="single" w:color="auto" w:sz="8" w:space="0"/>
                    <w:bottom w:val="single" w:color="auto" w:sz="8" w:space="0"/>
                    <w:right w:val="single" w:color="auto" w:sz="8"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center"/>
                    <w:rPr/>
                  </w:pPr>
                  <w:r>
                    <w:rPr>
                      <w:rFonts w:hint="eastAsia" w:ascii="宋体" w:hAnsi="宋体" w:eastAsia="宋体" w:cs="宋体"/>
                      <w:i w:val="false"/>
                      <w:iCs w:val="false"/>
                      <w:caps w:val="false"/>
                      <w:color w:val="333333"/>
                      <w:spacing w:val="0"/>
                      <w:kern w:val="0"/>
                      <w:sz w:val="24"/>
                      <w:szCs w:val="24"/>
                      <w:lang w:val="en-US" w:eastAsia="zh-CN" w:bidi="ar"/>
                    </w:rPr>
                    <w:t>2</w:t>
                  </w:r>
                </w:p>
              </w:tc>
              <w:tc>
                <w:tcPr>
                  <w:tcW w:w="5837" w:type="dxa"/>
                  <w:tcBorders>
                    <w:top w:val="nil"/>
                    <w:left w:val="nil"/>
                    <w:bottom w:val="single" w:color="auto" w:sz="8" w:space="0"/>
                    <w:right w:val="single" w:color="auto" w:sz="8"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both"/>
                    <w:rPr/>
                  </w:pPr>
                  <w:r>
                    <w:rPr>
                      <w:rFonts w:hint="default" w:ascii="仿宋_GB2312" w:hAnsi="微软雅黑" w:eastAsia="仿宋_GB2312" w:cs="仿宋_GB2312"/>
                      <w:i w:val="false"/>
                      <w:iCs w:val="false"/>
                      <w:caps w:val="false"/>
                      <w:color w:val="333333"/>
                      <w:spacing w:val="0"/>
                      <w:kern w:val="0"/>
                      <w:sz w:val="24"/>
                      <w:szCs w:val="24"/>
                      <w:lang w:val="en-US" w:eastAsia="zh-CN" w:bidi="ar"/>
                    </w:rPr>
                    <w:t>农经站</w:t>
                  </w:r>
                </w:p>
              </w:tc>
            </w:tr>
            <w:tr>
              <w:trPr>
                <w:wBefore/>
                <w:trHeight w:val="397" w:hRule="atLeast"/>
              </w:trPr>
              <w:tc>
                <w:tcPr>
                  <w:tcW w:w="5837" w:type="dxa"/>
                  <w:tcBorders>
                    <w:top w:val="nil"/>
                    <w:left w:val="single" w:color="auto" w:sz="8" w:space="0"/>
                    <w:bottom w:val="single" w:color="auto" w:sz="8" w:space="0"/>
                    <w:right w:val="single" w:color="auto" w:sz="8"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center"/>
                    <w:rPr/>
                  </w:pPr>
                  <w:r>
                    <w:rPr>
                      <w:rFonts w:hint="eastAsia" w:ascii="宋体" w:hAnsi="宋体" w:eastAsia="宋体" w:cs="宋体"/>
                      <w:i w:val="false"/>
                      <w:iCs w:val="false"/>
                      <w:caps w:val="false"/>
                      <w:color w:val="333333"/>
                      <w:spacing w:val="0"/>
                      <w:kern w:val="0"/>
                      <w:sz w:val="24"/>
                      <w:szCs w:val="24"/>
                      <w:lang w:val="en-US" w:eastAsia="zh-CN" w:bidi="ar"/>
                    </w:rPr>
                    <w:t>3</w:t>
                  </w:r>
                </w:p>
              </w:tc>
              <w:tc>
                <w:tcPr>
                  <w:tcW w:w="5837" w:type="dxa"/>
                  <w:tcBorders>
                    <w:top w:val="nil"/>
                    <w:left w:val="nil"/>
                    <w:bottom w:val="single" w:color="auto" w:sz="8" w:space="0"/>
                    <w:right w:val="single" w:color="auto" w:sz="8"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both"/>
                    <w:rPr/>
                  </w:pPr>
                  <w:r>
                    <w:rPr>
                      <w:rFonts w:hint="default" w:ascii="仿宋_GB2312" w:hAnsi="微软雅黑" w:eastAsia="仿宋_GB2312" w:cs="仿宋_GB2312"/>
                      <w:i w:val="false"/>
                      <w:iCs w:val="false"/>
                      <w:caps w:val="false"/>
                      <w:color w:val="333333"/>
                      <w:spacing w:val="0"/>
                      <w:kern w:val="0"/>
                      <w:sz w:val="24"/>
                      <w:szCs w:val="24"/>
                      <w:lang w:val="en-US" w:eastAsia="zh-CN" w:bidi="ar"/>
                    </w:rPr>
                    <w:t>生态环保站（文广站）</w:t>
                  </w:r>
                </w:p>
              </w:tc>
            </w:tr>
          </w:tbl>
          <w:p>
            <w:pPr>
              <w:ind/>
              <w:rPr>
                <w:rFonts w:hint="eastAsia" w:ascii="宋体" w:hAnsi="宋体"/>
                <w:sz w:val="24"/>
              </w:rPr>
            </w:pPr>
          </w:p>
        </w:tc>
      </w:tr>
      <w:tr>
        <w:trPr>
          <w:wBefore/>
          <w:trHeight w:val="397" w:hRule="exact"/>
        </w:trPr>
        <w:tc>
          <w:tcPr>
            <w:tcW w:w="1389" w:type="dxa"/>
            <w:tcBorders>
              <w:top w:val="nil"/>
              <w:left w:val="single" w:color="auto" w:sz="8" w:space="0"/>
              <w:bottom w:val="nil"/>
              <w:right w:val="single" w:color="auto" w:sz="4" w:space="0"/>
            </w:tcBorders>
            <w:shd w:val="clear" w:color="auto" w:fill="FFFFFF"/>
            <w:noWrap w:val="false"/>
            <w:tcMar>
              <w:top w:w="0" w:type="dxa"/>
              <w:left w:w="108" w:type="dxa"/>
              <w:bottom w:w="0" w:type="dxa"/>
              <w:right w:w="108" w:type="dxa"/>
            </w:tcMar>
            <w:vAlign w:val="center"/>
          </w:tcPr>
          <w:p>
            <w:pPr>
              <w:ind/>
              <w:jc w:val="center"/>
              <w:rPr>
                <w:rFonts w:hint="eastAsia" w:ascii="宋体" w:hAnsi="宋体" w:cs="宋体"/>
                <w:sz w:val="24"/>
              </w:rPr>
            </w:pPr>
            <w:r>
              <w:rPr>
                <w:rFonts w:hint="eastAsia" w:ascii="宋体" w:hAnsi="宋体"/>
                <w:sz w:val="24"/>
              </w:rPr>
              <w:t>2</w:t>
            </w:r>
          </w:p>
        </w:tc>
        <w:tc>
          <w:tcPr>
            <w:tcW w:w="5837" w:type="dxa"/>
            <w:tcBorders>
              <w:top w:val="single" w:color="auto" w:sz="4" w:space="0"/>
              <w:left w:val="single" w:color="auto" w:sz="4" w:space="0"/>
              <w:bottom w:val="single" w:color="auto" w:sz="4" w:space="0"/>
              <w:right w:val="single" w:color="auto" w:sz="4"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both"/>
              <w:rPr>
                <w:rFonts w:hint="eastAsia" w:ascii="仿宋_GB2312" w:hAnsi="微软雅黑" w:eastAsia="仿宋_GB2312" w:cs="仿宋_GB2312"/>
                <w:i w:val="false"/>
                <w:iCs w:val="false"/>
                <w:caps w:val="false"/>
                <w:color w:val="333333"/>
                <w:spacing w:val="0"/>
                <w:kern w:val="0"/>
                <w:sz w:val="24"/>
                <w:szCs w:val="24"/>
                <w:lang w:val="en-US" w:eastAsia="zh-CN" w:bidi="ar"/>
              </w:rPr>
            </w:pPr>
            <w:r>
              <w:rPr>
                <w:rFonts w:hint="default" w:ascii="仿宋_GB2312" w:hAnsi="微软雅黑" w:eastAsia="仿宋_GB2312" w:cs="仿宋_GB2312"/>
                <w:i w:val="false"/>
                <w:iCs w:val="false"/>
                <w:caps w:val="false"/>
                <w:color w:val="333333"/>
                <w:spacing w:val="0"/>
                <w:kern w:val="0"/>
                <w:sz w:val="24"/>
                <w:szCs w:val="24"/>
                <w:lang w:val="en-US" w:eastAsia="zh-CN" w:bidi="ar"/>
              </w:rPr>
              <w:t>农经站</w:t>
            </w:r>
          </w:p>
        </w:tc>
      </w:tr>
      <w:tr>
        <w:trPr>
          <w:wBefore/>
          <w:trHeight w:val="397" w:hRule="exact"/>
        </w:trPr>
        <w:tc>
          <w:tcPr>
            <w:tcW w:w="1389" w:type="dxa"/>
            <w:tcBorders>
              <w:top w:val="nil"/>
              <w:left w:val="single" w:color="auto" w:sz="8" w:space="0"/>
              <w:bottom w:val="single" w:color="auto" w:sz="8" w:space="0"/>
              <w:right w:val="single" w:color="auto" w:sz="4" w:space="0"/>
            </w:tcBorders>
            <w:shd w:val="clear" w:color="auto" w:fill="FFFFFF"/>
            <w:noWrap w:val="false"/>
            <w:tcMar>
              <w:top w:w="0" w:type="dxa"/>
              <w:left w:w="108" w:type="dxa"/>
              <w:bottom w:w="0" w:type="dxa"/>
              <w:right w:w="108" w:type="dxa"/>
            </w:tcMar>
            <w:vAlign w:val="center"/>
          </w:tcPr>
          <w:p>
            <w:pPr>
              <w:ind/>
              <w:jc w:val="center"/>
              <w:rPr>
                <w:rFonts w:hint="eastAsia" w:ascii="宋体" w:hAnsi="宋体" w:eastAsia="仿宋_GB2312"/>
                <w:sz w:val="24"/>
                <w:lang w:val="en-US" w:eastAsia="zh-CN"/>
              </w:rPr>
            </w:pPr>
            <w:r>
              <w:rPr>
                <w:rFonts w:hint="eastAsia" w:ascii="宋体" w:hAnsi="宋体"/>
                <w:sz w:val="24"/>
                <w:lang w:val="en-US" w:eastAsia="zh-CN"/>
              </w:rPr>
              <w:t>3</w:t>
            </w:r>
          </w:p>
        </w:tc>
        <w:tc>
          <w:tcPr>
            <w:tcW w:w="5837" w:type="dxa"/>
            <w:tcBorders>
              <w:top w:val="single" w:color="auto" w:sz="4" w:space="0"/>
              <w:left w:val="single" w:color="auto" w:sz="4" w:space="0"/>
              <w:bottom w:val="single" w:color="auto" w:sz="4" w:space="0"/>
              <w:right w:val="single" w:color="auto" w:sz="4" w:space="0"/>
            </w:tcBorders>
            <w:shd w:val="clear" w:color="auto" w:fill="FFFFFF"/>
            <w:noWrap w:val="false"/>
            <w:tcMar>
              <w:top w:w="0" w:type="dxa"/>
              <w:left w:w="108" w:type="dxa"/>
              <w:bottom w:w="0" w:type="dxa"/>
              <w:right w:w="108" w:type="dxa"/>
            </w:tcMar>
            <w:vAlign w:val="center"/>
          </w:tcPr>
          <w:p>
            <w:pPr>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264" w:lineRule="atLeast"/>
              <w:ind w:left="0" w:right="0"/>
              <w:jc w:val="both"/>
              <w:rPr>
                <w:rFonts w:hint="eastAsia" w:ascii="仿宋_GB2312" w:hAnsi="微软雅黑" w:eastAsia="仿宋_GB2312" w:cs="仿宋_GB2312"/>
                <w:i w:val="false"/>
                <w:iCs w:val="false"/>
                <w:caps w:val="false"/>
                <w:color w:val="333333"/>
                <w:spacing w:val="0"/>
                <w:kern w:val="0"/>
                <w:sz w:val="24"/>
                <w:szCs w:val="24"/>
                <w:lang w:val="en-US" w:eastAsia="zh-CN" w:bidi="ar"/>
              </w:rPr>
            </w:pPr>
            <w:r>
              <w:rPr>
                <w:rFonts w:hint="default" w:ascii="仿宋_GB2312" w:hAnsi="微软雅黑" w:eastAsia="仿宋_GB2312" w:cs="仿宋_GB2312"/>
                <w:i w:val="false"/>
                <w:iCs w:val="false"/>
                <w:caps w:val="false"/>
                <w:color w:val="333333"/>
                <w:spacing w:val="0"/>
                <w:kern w:val="0"/>
                <w:sz w:val="24"/>
                <w:szCs w:val="24"/>
                <w:lang w:val="en-US" w:eastAsia="zh-CN" w:bidi="ar"/>
              </w:rPr>
              <w:t>生态环保站（文广站）</w:t>
            </w:r>
          </w:p>
        </w:tc>
      </w:tr>
    </w:tbl>
    <w:p>
      <w:pPr>
        <w:ind w:firstLine="628" w:firstLineChars="200"/>
        <w:rPr>
          <w:rFonts w:hint="eastAsia" w:ascii="仿宋_GB2312" w:hAnsi="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pStyle w:val="000007"/>
        <w:ind/>
        <w:rPr>
          <w:rFonts w:hint="eastAsia"/>
        </w:rPr>
      </w:pPr>
    </w:p>
    <w:p>
      <w:pPr>
        <w:ind w:firstLine="628" w:firstLineChars="200"/>
        <w:rPr>
          <w:rFonts w:hint="eastAsia" w:ascii="黑体" w:hAnsi="黑体" w:eastAsia="黑体"/>
          <w:szCs w:val="32"/>
        </w:rPr>
      </w:pPr>
      <w:r>
        <w:rPr>
          <w:rFonts w:hint="eastAsia" w:ascii="黑体" w:hAnsi="黑体" w:eastAsia="黑体"/>
          <w:szCs w:val="32"/>
        </w:rPr>
        <w:t xml:space="preserve">第二部分 </w:t>
      </w:r>
      <w:r>
        <w:rPr>
          <w:rFonts w:hint="eastAsia" w:ascii="黑体" w:hAnsi="黑体" w:eastAsia="黑体"/>
          <w:szCs w:val="32"/>
          <w:lang w:val="en-US" w:eastAsia="zh-CN"/>
        </w:rPr>
        <w:t>寿县</w:t>
      </w:r>
      <w:r>
        <w:rPr>
          <w:rFonts w:hint="eastAsia" w:ascii="黑体" w:hAnsi="黑体" w:eastAsia="黑体"/>
          <w:szCs w:val="32"/>
          <w:lang w:eastAsia="zh-CN"/>
        </w:rPr>
        <w:t>安丰镇人民政府202</w:t>
      </w:r>
      <w:r>
        <w:rPr>
          <w:rFonts w:hint="eastAsia" w:ascii="黑体" w:hAnsi="黑体" w:eastAsia="黑体"/>
          <w:szCs w:val="32"/>
          <w:lang w:val="en-US" w:eastAsia="zh-CN"/>
        </w:rPr>
        <w:t>4</w:t>
      </w:r>
      <w:r>
        <w:rPr>
          <w:rFonts w:hint="eastAsia" w:ascii="黑体" w:hAnsi="黑体" w:eastAsia="黑体"/>
          <w:szCs w:val="32"/>
        </w:rPr>
        <w:t>年</w:t>
      </w:r>
      <w:r>
        <w:rPr>
          <w:rFonts w:hint="eastAsia" w:ascii="黑体" w:hAnsi="黑体" w:eastAsia="黑体"/>
          <w:color w:val="000000"/>
          <w:szCs w:val="32"/>
        </w:rPr>
        <w:t>度</w:t>
      </w:r>
      <w:r>
        <w:rPr>
          <w:rFonts w:hint="eastAsia" w:ascii="黑体" w:hAnsi="黑体" w:eastAsia="黑体"/>
          <w:szCs w:val="32"/>
          <w:lang w:eastAsia="zh-CN"/>
        </w:rPr>
        <w:t>部门</w:t>
      </w:r>
      <w:r>
        <w:rPr>
          <w:rFonts w:hint="eastAsia" w:ascii="黑体" w:hAnsi="黑体" w:eastAsia="黑体"/>
          <w:szCs w:val="32"/>
        </w:rPr>
        <w:t>决算表</w:t>
      </w: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tbl>
      <w:tblPr>
        <w:tblStyle w:val="000001"/>
        <w:tblW w:w="0" w:type="auto"/>
        <w:tblInd w:w="-12" w:type="dxa"/>
        <w:tblLayout w:type="fixed"/>
        <w:tblCellMar>
          <w:top w:w="12" w:type="dxa"/>
          <w:left w:w="12" w:type="dxa"/>
          <w:bottom w:w="0" w:type="dxa"/>
          <w:right w:w="12" w:type="dxa"/>
        </w:tblCellMar>
      </w:tblPr>
      <w:tblGrid>
        <w:gridCol w:w="3435"/>
        <w:gridCol w:w="523"/>
        <w:gridCol w:w="677"/>
        <w:gridCol w:w="3283"/>
        <w:gridCol w:w="371"/>
        <w:gridCol w:w="764"/>
      </w:tblGrid>
      <w:tr>
        <w:trPr>
          <w:wBefore/>
          <w:trHeight w:val="384" w:hRule="atLeast"/>
        </w:trPr>
        <w:tc>
          <w:tcPr>
            <w:tcW w:w="9053" w:type="dxa"/>
            <w:gridSpan w:val="6"/>
            <w:tcBorders>
              <w:top w:val="nil"/>
              <w:left w:val="nil"/>
              <w:bottom w:val="nil"/>
              <w:right w:val="nil"/>
            </w:tcBorders>
            <w:tcMar>
              <w:top w:w="12" w:type="dxa"/>
              <w:left w:w="12" w:type="dxa"/>
              <w:right w:w="12" w:type="dxa"/>
            </w:tcMar>
            <w:vAlign w:val="bottom"/>
          </w:tcPr>
          <w:p>
            <w:pPr>
              <w:ind w:firstLine="588" w:firstLineChars="200"/>
              <w:jc w:val="center"/>
              <w:rPr>
                <w:rFonts w:hint="eastAsia" w:ascii="宋体" w:hAnsi="宋体" w:eastAsia="宋体" w:cs="宋体"/>
                <w:i w:val="false"/>
                <w:color w:val="000000"/>
                <w:sz w:val="30"/>
                <w:szCs w:val="30"/>
                <w:u w:val="none"/>
              </w:rPr>
            </w:pPr>
            <w:r>
              <w:rPr>
                <w:rFonts w:hint="eastAsia" w:ascii="宋体" w:hAnsi="宋体" w:eastAsia="宋体" w:cs="宋体"/>
                <w:i w:val="false"/>
                <w:color w:val="000000"/>
                <w:kern w:val="0"/>
                <w:sz w:val="30"/>
                <w:szCs w:val="30"/>
                <w:u w:val="none"/>
                <w:lang w:val="en-US" w:eastAsia="zh-CN" w:bidi="ar"/>
              </w:rPr>
              <w:t>收入支出决算总表</w:t>
            </w:r>
          </w:p>
        </w:tc>
      </w:tr>
      <w:tr>
        <w:trPr>
          <w:wBefore/>
          <w:trHeight w:val="264" w:hRule="atLeast"/>
        </w:trPr>
        <w:tc>
          <w:tcPr>
            <w:tcW w:w="3435" w:type="dxa"/>
            <w:tcBorders>
              <w:top w:val="nil"/>
              <w:left w:val="nil"/>
              <w:bottom w:val="nil"/>
              <w:right w:val="nil"/>
            </w:tcBorders>
            <w:tcMar>
              <w:top w:w="12" w:type="dxa"/>
              <w:left w:w="12" w:type="dxa"/>
              <w:right w:w="12" w:type="dxa"/>
            </w:tcMar>
            <w:vAlign w:val="bottom"/>
          </w:tcPr>
          <w:p>
            <w:pPr>
              <w:ind/>
              <w:rPr>
                <w:rFonts w:hint="eastAsia" w:ascii="Arial" w:hAnsi="Arial" w:cs="Arial"/>
                <w:i w:val="false"/>
                <w:color w:val="000000"/>
                <w:sz w:val="20"/>
                <w:szCs w:val="20"/>
                <w:u w:val="none"/>
              </w:rPr>
            </w:pPr>
          </w:p>
        </w:tc>
        <w:tc>
          <w:tcPr>
            <w:tcW w:w="52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677"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328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371"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764"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公开01表</w:t>
            </w:r>
          </w:p>
        </w:tc>
      </w:tr>
      <w:tr>
        <w:trPr>
          <w:wBefore/>
          <w:trHeight w:val="264" w:hRule="atLeast"/>
        </w:trPr>
        <w:tc>
          <w:tcPr>
            <w:tcW w:w="3435"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left"/>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2"/>
                <w:szCs w:val="22"/>
                <w:u w:val="none"/>
                <w:lang w:val="en-US" w:eastAsia="zh-CN" w:bidi="ar"/>
              </w:rPr>
              <w:t>部门：</w:t>
            </w:r>
          </w:p>
        </w:tc>
        <w:tc>
          <w:tcPr>
            <w:tcW w:w="52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677"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328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135"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金额单位：万元</w:t>
            </w:r>
          </w:p>
        </w:tc>
      </w:tr>
      <w:tr>
        <w:trPr>
          <w:wBefore/>
          <w:trHeight w:val="235" w:hRule="atLeast"/>
        </w:trPr>
        <w:tc>
          <w:tcPr>
            <w:tcW w:w="46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支出</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金额</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ind/>
              <w:jc w:val="center"/>
              <w:rPr>
                <w:rFonts w:hint="eastAsia" w:ascii="宋体" w:hAnsi="宋体" w:eastAsia="宋体" w:cs="宋体"/>
                <w:i w:val="false"/>
                <w:color w:val="000000"/>
                <w:sz w:val="22"/>
                <w:szCs w:val="22"/>
                <w:u w:val="none"/>
              </w:rPr>
            </w:pP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w:t>
            </w: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ind/>
              <w:jc w:val="center"/>
              <w:rPr>
                <w:rFonts w:hint="eastAsia" w:ascii="宋体" w:hAnsi="宋体" w:eastAsia="宋体" w:cs="宋体"/>
                <w:i w:val="false"/>
                <w:color w:val="000000"/>
                <w:sz w:val="22"/>
                <w:szCs w:val="22"/>
                <w:u w:val="none"/>
              </w:rPr>
            </w:pP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tabs>
                <w:tab w:val="left" w:pos="282"/>
              </w:tabs>
              <w:ind/>
              <w:jc w:val="lef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eastAsia="zh-CN"/>
              </w:rPr>
              <w:tab/>
            </w:r>
            <w:r>
              <w:rPr>
                <w:rFonts w:hint="eastAsia" w:ascii="宋体" w:hAnsi="宋体" w:eastAsia="宋体" w:cs="宋体"/>
                <w:i w:val="false"/>
                <w:color w:val="000000"/>
                <w:sz w:val="22"/>
                <w:szCs w:val="22"/>
                <w:u w:val="none"/>
                <w:lang w:val="en-US" w:eastAsia="zh-CN"/>
              </w:rPr>
              <w:t>7886.79</w:t>
            </w: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35</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1149.84</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895.73</w:t>
            </w: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36</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37</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38</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39</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40</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7</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41</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22.75</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8</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42</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175.58</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9</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43</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68.03</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10</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44</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11</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45</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899.23</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12</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46</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5516.38</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13</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47</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880.05</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14</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48</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15</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49</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16</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50</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17</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51</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18</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52</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19</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53</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70.62</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20</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54</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21</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55</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0"/>
                <w:szCs w:val="20"/>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22</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56</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0"/>
                <w:szCs w:val="20"/>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23</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57</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center"/>
              <w:rPr>
                <w:rFonts w:hint="eastAsia" w:ascii="宋体" w:hAnsi="宋体" w:eastAsia="宋体" w:cs="宋体"/>
                <w:b/>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24</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58</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25</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59</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26</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60</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22"/>
                <w:szCs w:val="22"/>
                <w:u w:val="none"/>
              </w:rPr>
            </w:pPr>
            <w:r>
              <w:rPr>
                <w:rFonts w:hint="eastAsia" w:ascii="宋体" w:hAnsi="宋体" w:eastAsia="宋体" w:cs="宋体"/>
                <w:b/>
                <w:i w:val="false"/>
                <w:color w:val="000000"/>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27</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8782.52</w:t>
            </w: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22"/>
                <w:szCs w:val="22"/>
                <w:u w:val="none"/>
              </w:rPr>
            </w:pPr>
            <w:r>
              <w:rPr>
                <w:rFonts w:hint="eastAsia" w:ascii="宋体" w:hAnsi="宋体" w:eastAsia="宋体" w:cs="宋体"/>
                <w:b/>
                <w:i w:val="false"/>
                <w:color w:val="000000"/>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61</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default" w:ascii="宋体" w:hAnsi="宋体" w:eastAsia="宋体" w:cs="宋体"/>
                <w:i w:val="false"/>
                <w:color w:val="000000"/>
                <w:sz w:val="22"/>
                <w:szCs w:val="22"/>
                <w:u w:val="none"/>
                <w:lang w:val="en-US" w:eastAsia="zh-CN"/>
              </w:rPr>
            </w:pPr>
            <w:r>
              <w:rPr>
                <w:rFonts w:hint="eastAsia" w:ascii="宋体" w:hAnsi="宋体" w:eastAsia="宋体" w:cs="宋体"/>
                <w:i w:val="false"/>
                <w:color w:val="000000"/>
                <w:sz w:val="22"/>
                <w:szCs w:val="22"/>
                <w:u w:val="none"/>
                <w:lang w:val="en-US" w:eastAsia="zh-CN"/>
              </w:rPr>
              <w:t>8782.52</w:t>
            </w: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使用非财政拨款结余</w:t>
            </w:r>
            <w:r>
              <w:rPr>
                <w:rFonts w:hint="eastAsia" w:ascii="宋体" w:hAnsi="宋体" w:eastAsia="宋体" w:cs="宋体"/>
                <w:i w:val="false"/>
                <w:color w:val="0000FF"/>
                <w:kern w:val="0"/>
                <w:sz w:val="20"/>
                <w:szCs w:val="20"/>
                <w:u w:val="none"/>
                <w:lang w:val="en-US" w:eastAsia="zh-CN" w:bidi="ar"/>
              </w:rPr>
              <w:t>（含专用结余）</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28</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62</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29</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63</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5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30</w:t>
            </w:r>
          </w:p>
        </w:tc>
        <w:tc>
          <w:tcPr>
            <w:tcW w:w="6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c>
          <w:tcPr>
            <w:tcW w:w="371"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64</w:t>
            </w:r>
          </w:p>
        </w:tc>
        <w:tc>
          <w:tcPr>
            <w:tcW w:w="764" w:type="dxa"/>
            <w:tcBorders>
              <w:top w:val="nil"/>
              <w:left w:val="nil"/>
              <w:bottom w:val="single" w:color="000000" w:sz="4" w:space="0"/>
              <w:right w:val="single" w:color="000000" w:sz="8"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p>
        </w:tc>
      </w:tr>
      <w:tr>
        <w:trPr>
          <w:wBefore/>
          <w:trHeight w:val="235" w:hRule="atLeast"/>
        </w:trPr>
        <w:tc>
          <w:tcPr>
            <w:tcW w:w="3435" w:type="dxa"/>
            <w:tcBorders>
              <w:top w:val="nil"/>
              <w:left w:val="single" w:color="000000" w:sz="4" w:space="0"/>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22"/>
                <w:szCs w:val="22"/>
                <w:u w:val="none"/>
              </w:rPr>
            </w:pPr>
            <w:r>
              <w:rPr>
                <w:rFonts w:hint="eastAsia" w:ascii="宋体" w:hAnsi="宋体" w:eastAsia="宋体" w:cs="宋体"/>
                <w:b/>
                <w:i w:val="false"/>
                <w:color w:val="000000"/>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31</w:t>
            </w:r>
          </w:p>
        </w:tc>
        <w:tc>
          <w:tcPr>
            <w:tcW w:w="677" w:type="dxa"/>
            <w:tcBorders>
              <w:top w:val="nil"/>
              <w:left w:val="nil"/>
              <w:bottom w:val="single" w:color="000000" w:sz="8"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3283" w:type="dxa"/>
            <w:tcBorders>
              <w:top w:val="nil"/>
              <w:left w:val="nil"/>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22"/>
                <w:szCs w:val="22"/>
                <w:u w:val="none"/>
              </w:rPr>
            </w:pPr>
            <w:r>
              <w:rPr>
                <w:rFonts w:hint="eastAsia" w:ascii="宋体" w:hAnsi="宋体" w:eastAsia="宋体" w:cs="宋体"/>
                <w:b/>
                <w:i w:val="false"/>
                <w:color w:val="000000"/>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65</w:t>
            </w:r>
          </w:p>
        </w:tc>
        <w:tc>
          <w:tcPr>
            <w:tcW w:w="764" w:type="dxa"/>
            <w:tcBorders>
              <w:top w:val="nil"/>
              <w:left w:val="nil"/>
              <w:bottom w:val="single" w:color="000000" w:sz="8"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9053" w:type="dxa"/>
            <w:gridSpan w:val="6"/>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0"/>
                <w:szCs w:val="20"/>
                <w:u w:val="none"/>
                <w:lang w:val="en-US" w:eastAsia="zh-CN" w:bidi="ar"/>
              </w:rPr>
              <w:t>注：本表反映部门本年度的总收支和年末结转结余情况；本套报表金额单位转换成万元时，因四舍五入可能存在尾数误差。</w:t>
            </w:r>
          </w:p>
        </w:tc>
      </w:tr>
    </w:tbl>
    <w:p>
      <w:pPr>
        <w:ind w:firstLine="628" w:firstLineChars="200"/>
        <w:jc w:val="center"/>
        <w:rPr>
          <w:rFonts w:hint="eastAsia" w:ascii="黑体" w:hAnsi="黑体" w:eastAsia="黑体"/>
          <w:szCs w:val="32"/>
        </w:rPr>
      </w:pPr>
      <w:r>
        <w:rPr>
          <w:rFonts w:hint="eastAsia" w:ascii="黑体" w:hAnsi="黑体" w:eastAsia="黑体"/>
          <w:szCs w:val="32"/>
        </w:rPr>
        <w:t>收入决算表</w:t>
      </w:r>
    </w:p>
    <w:tbl>
      <w:tblPr>
        <w:tblStyle w:val="000001"/>
        <w:tblW w:w="0" w:type="auto"/>
        <w:tblInd w:w="-12" w:type="dxa"/>
        <w:tblLayout w:type="fixed"/>
        <w:tblCellMar>
          <w:top w:w="12" w:type="dxa"/>
          <w:left w:w="12" w:type="dxa"/>
          <w:bottom w:w="0" w:type="dxa"/>
          <w:right w:w="12" w:type="dxa"/>
        </w:tblCellMar>
        <w:tblLook w:firstRow="false" w:lastRow="false" w:firstColumn="false" w:lastColumn="false" w:noHBand="false" w:noVBand="false"/>
      </w:tblPr>
      <w:tblGrid>
        <w:gridCol w:w="400"/>
        <w:gridCol w:w="206"/>
        <w:gridCol w:w="187"/>
        <w:gridCol w:w="77"/>
        <w:gridCol w:w="264"/>
        <w:gridCol w:w="1013"/>
        <w:gridCol w:w="873"/>
        <w:gridCol w:w="955"/>
        <w:gridCol w:w="832"/>
        <w:gridCol w:w="736"/>
        <w:gridCol w:w="292"/>
        <w:gridCol w:w="595"/>
        <w:gridCol w:w="818"/>
        <w:gridCol w:w="804"/>
        <w:gridCol w:w="1078"/>
        <w:gridCol w:w="2264"/>
      </w:tblGrid>
      <w:tr>
        <w:trPr>
          <w:gridAfter w:val="1"/>
          <w:wBefore/>
          <w:wAfter w:w="2264" w:type="dxa"/>
          <w:trHeight w:val="264" w:hRule="atLeast"/>
        </w:trPr>
        <w:tc>
          <w:tcPr>
            <w:tcW w:w="606"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left"/>
              <w:rPr>
                <w:rFonts w:hint="eastAsia" w:ascii="仿宋_GB2312" w:hAnsi="仿宋_GB2312" w:eastAsia="仿宋_GB2312" w:cs="仿宋_GB2312"/>
                <w:b w:val="false"/>
                <w:bCs/>
                <w:color w:val="0000FF"/>
                <w:sz w:val="21"/>
                <w:szCs w:val="21"/>
                <w:lang w:val="en-US" w:eastAsia="zh-CN"/>
              </w:rPr>
            </w:pPr>
          </w:p>
        </w:tc>
        <w:tc>
          <w:tcPr>
            <w:tcW w:w="264"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6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1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7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95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3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28"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9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18"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0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78"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公开02表</w:t>
            </w:r>
          </w:p>
        </w:tc>
      </w:tr>
      <w:tr>
        <w:trPr>
          <w:gridAfter w:val="1"/>
          <w:wBefore/>
          <w:wAfter w:w="2264" w:type="dxa"/>
          <w:trHeight w:val="264" w:hRule="atLeast"/>
        </w:trPr>
        <w:tc>
          <w:tcPr>
            <w:tcW w:w="606"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left"/>
              <w:rPr>
                <w:rFonts w:hint="eastAsia" w:ascii="仿宋_GB2312" w:hAnsi="仿宋_GB2312" w:eastAsia="仿宋_GB2312" w:cs="仿宋_GB2312"/>
                <w:b w:val="false"/>
                <w:bCs/>
                <w:color w:val="0000FF"/>
                <w:sz w:val="21"/>
                <w:szCs w:val="21"/>
                <w:lang w:val="en-US" w:eastAsia="zh-CN"/>
              </w:rPr>
            </w:pPr>
            <w:r>
              <w:rPr>
                <w:rFonts w:hint="eastAsia" w:ascii="宋体" w:hAnsi="宋体" w:eastAsia="宋体" w:cs="宋体"/>
                <w:i w:val="false"/>
                <w:color w:val="000000"/>
                <w:kern w:val="0"/>
                <w:sz w:val="22"/>
                <w:szCs w:val="22"/>
                <w:u w:val="none"/>
                <w:lang w:val="en-US" w:eastAsia="zh-CN" w:bidi="ar"/>
              </w:rPr>
              <w:t>部门：</w:t>
            </w:r>
          </w:p>
        </w:tc>
        <w:tc>
          <w:tcPr>
            <w:tcW w:w="264"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6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1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7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95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3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28"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9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18"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80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78"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金额单位：万元</w:t>
            </w:r>
          </w:p>
        </w:tc>
      </w:tr>
      <w:tr>
        <w:trPr>
          <w:gridAfter w:val="1"/>
          <w:wBefore/>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其他收入</w:t>
            </w:r>
          </w:p>
        </w:tc>
      </w:tr>
      <w:tr>
        <w:trPr>
          <w:gridAfter w:val="1"/>
          <w:wBefore/>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101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95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32"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736"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0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ind w:right="1337" w:rightChars="426"/>
              <w:jc w:val="center"/>
              <w:rPr>
                <w:rFonts w:hint="eastAsia" w:ascii="宋体" w:hAnsi="宋体" w:eastAsia="宋体" w:cs="宋体"/>
                <w:i w:val="false"/>
                <w:color w:val="000000"/>
                <w:sz w:val="20"/>
                <w:szCs w:val="20"/>
                <w:u w:val="none"/>
              </w:rPr>
            </w:pPr>
          </w:p>
        </w:tc>
        <w:tc>
          <w:tcPr>
            <w:tcW w:w="107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101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95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32"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736"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0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ind w:right="1337" w:rightChars="426"/>
              <w:jc w:val="center"/>
              <w:rPr>
                <w:rFonts w:hint="eastAsia" w:ascii="宋体" w:hAnsi="宋体" w:eastAsia="宋体" w:cs="宋体"/>
                <w:i w:val="false"/>
                <w:color w:val="000000"/>
                <w:sz w:val="20"/>
                <w:szCs w:val="20"/>
                <w:u w:val="none"/>
              </w:rPr>
            </w:pPr>
          </w:p>
        </w:tc>
        <w:tc>
          <w:tcPr>
            <w:tcW w:w="107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101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95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32"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736"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80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ind w:right="1337" w:rightChars="426"/>
              <w:jc w:val="center"/>
              <w:rPr>
                <w:rFonts w:hint="eastAsia" w:ascii="宋体" w:hAnsi="宋体" w:eastAsia="宋体" w:cs="宋体"/>
                <w:i w:val="false"/>
                <w:color w:val="000000"/>
                <w:sz w:val="20"/>
                <w:szCs w:val="20"/>
                <w:u w:val="none"/>
              </w:rPr>
            </w:pPr>
          </w:p>
        </w:tc>
        <w:tc>
          <w:tcPr>
            <w:tcW w:w="107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40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项</w:t>
            </w:r>
          </w:p>
        </w:tc>
        <w:tc>
          <w:tcPr>
            <w:tcW w:w="101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2</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3</w:t>
            </w: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5</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6</w:t>
            </w: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7</w:t>
            </w: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8</w:t>
            </w:r>
          </w:p>
        </w:tc>
      </w:tr>
      <w:tr>
        <w:trPr>
          <w:gridAfter w:val="1"/>
          <w:wBefore/>
          <w:wAfter w:w="2264" w:type="dxa"/>
          <w:trHeight w:val="235" w:hRule="atLeast"/>
        </w:trPr>
        <w:tc>
          <w:tcPr>
            <w:tcW w:w="40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393"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341"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0"/>
                <w:szCs w:val="20"/>
                <w:u w:val="none"/>
              </w:rPr>
            </w:pPr>
          </w:p>
        </w:tc>
        <w:tc>
          <w:tcPr>
            <w:tcW w:w="101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b/>
                <w:i w:val="false"/>
                <w:color w:val="000000"/>
                <w:sz w:val="20"/>
                <w:szCs w:val="20"/>
                <w:u w:val="none"/>
                <w:lang w:val="en-US" w:eastAsia="zh-CN"/>
              </w:rPr>
            </w:pPr>
            <w:r>
              <w:rPr>
                <w:rFonts w:hint="eastAsia" w:ascii="宋体" w:hAnsi="宋体" w:eastAsia="宋体" w:cs="宋体"/>
                <w:b/>
                <w:i w:val="false"/>
                <w:color w:val="000000"/>
                <w:sz w:val="20"/>
                <w:szCs w:val="20"/>
                <w:u w:val="none"/>
                <w:lang w:val="en-US" w:eastAsia="zh-CN"/>
              </w:rPr>
              <w:t>18251.44</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0"/>
                <w:szCs w:val="20"/>
                <w:u w:val="none"/>
              </w:rPr>
            </w:pPr>
            <w:r>
              <w:rPr>
                <w:rFonts w:hint="eastAsia" w:ascii="宋体" w:hAnsi="宋体" w:eastAsia="宋体" w:cs="宋体"/>
                <w:b/>
                <w:i w:val="false"/>
                <w:color w:val="000000"/>
                <w:sz w:val="20"/>
                <w:szCs w:val="20"/>
                <w:u w:val="none"/>
              </w:rPr>
              <w:t>8782.52</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b/>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0"/>
                <w:szCs w:val="20"/>
                <w:u w:val="none"/>
              </w:rPr>
            </w:pPr>
            <w:r>
              <w:rPr>
                <w:rFonts w:hint="eastAsia" w:ascii="宋体" w:hAnsi="宋体" w:eastAsia="宋体" w:cs="宋体"/>
                <w:b/>
                <w:i w:val="false"/>
                <w:color w:val="000000"/>
                <w:sz w:val="20"/>
                <w:szCs w:val="20"/>
                <w:u w:val="none"/>
              </w:rPr>
              <w:t>9468.91</w:t>
            </w:r>
          </w:p>
        </w:tc>
      </w:tr>
      <w:tr>
        <w:trPr>
          <w:gridAfter w:val="1"/>
          <w:wBefore/>
          <w:wAfter w:w="2264" w:type="dxa"/>
          <w:trHeight w:val="90"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2010101</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行政运行</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713.71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713.71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2010301</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行政运行</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713.71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713.71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2010302</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一般行政管理事务</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33.15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33.15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314"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2010350</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事业运行</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92.35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92.35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2010507</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专项普查活动</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6.03</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6.03</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2013299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其他组织事务支出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6.49</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6.4</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2019999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其他一般公共服务支出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8.45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8.4</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2079999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其他文化旅游体育与传媒支出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18.77</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3.9</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2080505</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机关事业单位基本养老保险缴费支出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80.79</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80.79</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2080506</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机关事业单位职业年金缴费支出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default" w:ascii="宋体" w:hAnsi="宋体" w:eastAsia="宋体" w:cs="宋体"/>
                <w:i w:val="false"/>
                <w:color w:val="000000"/>
                <w:sz w:val="20"/>
                <w:szCs w:val="20"/>
                <w:u w:val="none"/>
                <w:lang w:val="en-US" w:eastAsia="zh-CN"/>
              </w:rPr>
            </w:pPr>
            <w:r>
              <w:rPr>
                <w:rFonts w:hint="eastAsia" w:ascii="宋体" w:hAnsi="宋体" w:eastAsia="宋体" w:cs="宋体"/>
                <w:i w:val="false"/>
                <w:color w:val="000000"/>
                <w:sz w:val="20"/>
                <w:szCs w:val="20"/>
                <w:u w:val="none"/>
                <w:lang w:val="en-US" w:eastAsia="zh-CN"/>
              </w:rPr>
              <w:t>40.39</w:t>
            </w:r>
            <w:bookmarkStart w:id="1" w:name="_GoBack"/>
            <w:bookmarkEnd w:id="1"/>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40.39</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2080799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其他就业补助支出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8.5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8.5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2080999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其他退役安置支出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20.5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20.5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2081006</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养老服务</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8.6</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8.6</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2082001</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临时救助支出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12.64</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12.64</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2089999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其他社会保障和就业支出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4.1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4.1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2100399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其他基层医疗卫生机构支出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61.68</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61.68</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2100408</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基本公共卫生服务</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0.96</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0.96</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2120104</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城管执法</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2120801</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征地和拆迁补偿支出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355.89</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355.89</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2120804</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农业基础设施建设支出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295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295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2120816</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农业农村生态环境支出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27.81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27.81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2120899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其他国有土地使用权出让收入安排的支出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217.01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217.01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2130122</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农业生产发展</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113.06</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113.06</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2130126</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农村社会事业</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162.11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162.11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2130305</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水利工程建设</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1.49</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1.49</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2130306</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水利工程运行与维护</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2130504</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农村基础设施建设</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507.15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507.15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2130505</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生产发展</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156.8</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156.8</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2130599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其他巩固脱贫攻坚成果衔接乡村振兴支出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1539.42</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1539.42</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2130705</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对村民委员会和村党支部的补助</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126.28</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126.28</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2130706</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对村集体经济组织的补助</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31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2139999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其他农林水支出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2742.95</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2742.95</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2210201</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住房公积金</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70.62</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70.62</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2299999</w:t>
            </w: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r>
              <w:rPr>
                <w:rFonts w:hint="eastAsia" w:ascii="宋体" w:hAnsi="宋体" w:eastAsia="宋体" w:cs="宋体"/>
                <w:i w:val="false"/>
                <w:iCs w:val="false"/>
                <w:color w:val="000000"/>
                <w:kern w:val="0"/>
                <w:sz w:val="22"/>
                <w:szCs w:val="22"/>
                <w:u w:val="none"/>
                <w:lang w:val="en-US" w:eastAsia="zh-CN" w:bidi="ar"/>
              </w:rPr>
              <w:t>其他支出</w:t>
            </w: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9378.91</w:t>
            </w: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r>
              <w:rPr>
                <w:rFonts w:hint="eastAsia" w:ascii="宋体" w:hAnsi="宋体" w:eastAsia="宋体" w:cs="宋体"/>
                <w:i w:val="false"/>
                <w:color w:val="000000"/>
                <w:sz w:val="20"/>
                <w:szCs w:val="20"/>
                <w:u w:val="none"/>
              </w:rPr>
              <w:t>9378.91</w:t>
            </w: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注：本表反映部门本年度取得的各项收入情况。</w:t>
            </w:r>
          </w:p>
          <w:p>
            <w:pPr>
              <w:keepNext w:val="false"/>
              <w:keepLines w:val="false"/>
              <w:widowControl/>
              <w:suppressLineNumbers w:val="false"/>
              <w:ind/>
              <w:jc w:val="left"/>
              <w:rPr>
                <w:rFonts w:hint="eastAsia" w:ascii="宋体" w:hAnsi="宋体" w:eastAsia="宋体" w:cs="宋体"/>
                <w:i w:val="false"/>
                <w:color w:val="000000"/>
                <w:kern w:val="2"/>
                <w:sz w:val="20"/>
                <w:szCs w:val="20"/>
                <w:u w:val="none"/>
                <w:lang w:val="en-US" w:eastAsia="zh-CN" w:bidi="ar-SA"/>
              </w:rPr>
            </w:pP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2"/>
                <w:sz w:val="20"/>
                <w:szCs w:val="20"/>
                <w:u w:val="none"/>
                <w:lang w:val="en-US" w:eastAsia="zh-CN" w:bidi="ar-SA"/>
              </w:rPr>
            </w:pP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gridAfter w:val="1"/>
          <w:wBefore/>
          <w:wAfter w:w="2264" w:type="dxa"/>
          <w:trHeight w:val="235" w:hRule="atLeast"/>
        </w:trPr>
        <w:tc>
          <w:tcPr>
            <w:tcW w:w="1134" w:type="dxa"/>
            <w:gridSpan w:val="5"/>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2"/>
                <w:sz w:val="20"/>
                <w:szCs w:val="20"/>
                <w:u w:val="none"/>
                <w:lang w:val="en-US" w:eastAsia="zh-CN" w:bidi="ar-SA"/>
              </w:rPr>
            </w:pPr>
          </w:p>
        </w:tc>
        <w:tc>
          <w:tcPr>
            <w:tcW w:w="1013" w:type="dxa"/>
            <w:tcBorders>
              <w:top w:val="nil"/>
              <w:left w:val="nil"/>
              <w:bottom w:val="single" w:color="000000" w:sz="4" w:space="0"/>
              <w:right w:val="single" w:color="000000" w:sz="4" w:space="0"/>
            </w:tcBorders>
            <w:shd w:val="clear"/>
            <w:tcMar>
              <w:top w:w="12" w:type="dxa"/>
              <w:left w:w="12" w:type="dxa"/>
              <w:right w:w="12" w:type="dxa"/>
            </w:tcMar>
            <w:vAlign w:val="center"/>
          </w:tcPr>
          <w:p>
            <w:pPr>
              <w:keepNext w:val="false"/>
              <w:keepLines w:val="false"/>
              <w:widowControl/>
              <w:suppressLineNumbers w:val="false"/>
              <w:ind/>
              <w:jc w:val="left"/>
              <w:textAlignment w:val="center"/>
              <w:rPr>
                <w:rFonts w:hint="eastAsia" w:ascii="宋体" w:hAnsi="宋体" w:eastAsia="宋体" w:cs="宋体"/>
                <w:i w:val="false"/>
                <w:color w:val="000000"/>
                <w:kern w:val="2"/>
                <w:sz w:val="20"/>
                <w:szCs w:val="20"/>
                <w:u w:val="none"/>
                <w:lang w:val="en-US" w:eastAsia="zh-CN" w:bidi="ar-SA"/>
              </w:rPr>
            </w:pPr>
          </w:p>
        </w:tc>
        <w:tc>
          <w:tcPr>
            <w:tcW w:w="8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95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3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37" w:rightChars="426"/>
              <w:jc w:val="right"/>
              <w:rPr>
                <w:rFonts w:hint="eastAsia" w:ascii="宋体" w:hAnsi="宋体" w:eastAsia="宋体" w:cs="宋体"/>
                <w:i w:val="false"/>
                <w:color w:val="000000"/>
                <w:sz w:val="20"/>
                <w:szCs w:val="20"/>
                <w:u w:val="none"/>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0"/>
                <w:szCs w:val="20"/>
                <w:u w:val="none"/>
              </w:rPr>
            </w:pPr>
          </w:p>
        </w:tc>
      </w:tr>
      <w:tr>
        <w:trPr>
          <w:wBefore/>
          <w:trHeight w:val="388" w:hRule="atLeast"/>
        </w:trPr>
        <w:tc>
          <w:tcPr>
            <w:tcW w:w="11394" w:type="dxa"/>
            <w:gridSpan w:val="16"/>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0"/>
                <w:szCs w:val="20"/>
                <w:u w:val="none"/>
              </w:rPr>
            </w:pPr>
          </w:p>
        </w:tc>
      </w:tr>
      <w:tr>
        <w:trPr>
          <w:wBefore/>
          <w:trHeight w:val="388" w:hRule="atLeast"/>
        </w:trPr>
        <w:tc>
          <w:tcPr>
            <w:tcW w:w="11394" w:type="dxa"/>
            <w:gridSpan w:val="16"/>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0"/>
                <w:szCs w:val="20"/>
                <w:u w:val="none"/>
              </w:rPr>
            </w:pP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r>
        <w:rPr>
          <w:rFonts w:hint="eastAsia" w:ascii="黑体" w:hAnsi="黑体" w:eastAsia="黑体"/>
          <w:szCs w:val="32"/>
        </w:rPr>
        <w:t xml:space="preserve">              </w:t>
      </w:r>
    </w:p>
    <w:p>
      <w:pPr>
        <w:ind w:firstLine="628" w:firstLineChars="200"/>
        <w:jc w:val="center"/>
        <w:rPr>
          <w:rFonts w:hint="eastAsia" w:ascii="黑体" w:hAnsi="黑体" w:eastAsia="黑体"/>
          <w:szCs w:val="32"/>
        </w:rPr>
      </w:pPr>
      <w:r>
        <w:rPr>
          <w:rFonts w:hint="eastAsia" w:ascii="黑体" w:hAnsi="黑体" w:eastAsia="黑体"/>
          <w:szCs w:val="32"/>
        </w:rPr>
        <w:t>支出决算表</w:t>
      </w:r>
    </w:p>
    <w:tbl>
      <w:tblPr>
        <w:tblStyle w:val="000001"/>
        <w:tblW w:w="0" w:type="auto"/>
        <w:tblInd w:w="-12" w:type="dxa"/>
        <w:tblLayout w:type="fixed"/>
        <w:tblCellMar>
          <w:top w:w="12" w:type="dxa"/>
          <w:left w:w="12" w:type="dxa"/>
          <w:bottom w:w="0" w:type="dxa"/>
          <w:right w:w="12" w:type="dxa"/>
        </w:tblCellMar>
        <w:tblLook w:firstRow="false" w:lastRow="false" w:firstColumn="false" w:lastColumn="false" w:noHBand="false" w:noVBand="false"/>
      </w:tblPr>
      <w:tblGrid>
        <w:gridCol w:w="411"/>
        <w:gridCol w:w="264"/>
        <w:gridCol w:w="195"/>
        <w:gridCol w:w="99"/>
        <w:gridCol w:w="294"/>
        <w:gridCol w:w="980"/>
        <w:gridCol w:w="1459"/>
        <w:gridCol w:w="1023"/>
        <w:gridCol w:w="1077"/>
        <w:gridCol w:w="1050"/>
        <w:gridCol w:w="1105"/>
        <w:gridCol w:w="1200"/>
      </w:tblGrid>
      <w:tr>
        <w:trPr>
          <w:wBefore/>
          <w:trHeight w:val="264" w:hRule="atLeast"/>
        </w:trPr>
        <w:tc>
          <w:tcPr>
            <w:tcW w:w="675" w:type="dxa"/>
            <w:gridSpan w:val="2"/>
            <w:tcBorders>
              <w:top w:val="nil"/>
              <w:left w:val="nil"/>
              <w:bottom w:val="nil"/>
              <w:right w:val="nil"/>
            </w:tcBorders>
            <w:tcMar>
              <w:top w:w="12" w:type="dxa"/>
              <w:left w:w="12" w:type="dxa"/>
              <w:right w:w="12" w:type="dxa"/>
            </w:tcMar>
            <w:vAlign w:val="bottom"/>
          </w:tcPr>
          <w:p>
            <w:pPr>
              <w:ind/>
              <w:rPr>
                <w:rFonts w:hint="eastAsia" w:ascii="Arial" w:hAnsi="Arial" w:cs="Arial"/>
                <w:i w:val="false"/>
                <w:color w:val="000000"/>
                <w:sz w:val="20"/>
                <w:szCs w:val="20"/>
                <w:u w:val="none"/>
              </w:rPr>
            </w:pPr>
          </w:p>
        </w:tc>
        <w:tc>
          <w:tcPr>
            <w:tcW w:w="294"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9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980"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459"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2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77"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50"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10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200"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公开03表</w:t>
            </w:r>
          </w:p>
        </w:tc>
      </w:tr>
      <w:tr>
        <w:trPr>
          <w:wBefore/>
          <w:trHeight w:val="264" w:hRule="atLeast"/>
        </w:trPr>
        <w:tc>
          <w:tcPr>
            <w:tcW w:w="675"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left"/>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2"/>
                <w:szCs w:val="22"/>
                <w:u w:val="none"/>
                <w:lang w:val="en-US" w:eastAsia="zh-CN" w:bidi="ar"/>
              </w:rPr>
              <w:t>部门</w:t>
            </w:r>
            <w:r>
              <w:rPr>
                <w:rFonts w:hint="eastAsia" w:ascii="仿宋_GB2312" w:hAnsi="仿宋_GB2312" w:eastAsia="仿宋_GB2312" w:cs="仿宋_GB2312"/>
                <w:b w:val="false"/>
                <w:bCs/>
                <w:color w:val="0000FF"/>
                <w:sz w:val="21"/>
                <w:szCs w:val="21"/>
                <w:lang w:val="en-US" w:eastAsia="zh-CN"/>
              </w:rPr>
              <w:t>：</w:t>
            </w:r>
          </w:p>
        </w:tc>
        <w:tc>
          <w:tcPr>
            <w:tcW w:w="294"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9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980"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459"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2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77"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050"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10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200"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金额单位：万元</w:t>
            </w:r>
          </w:p>
        </w:tc>
      </w:tr>
      <w:tr>
        <w:trPr>
          <w:wBefore/>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对附属单位补助支出</w:t>
            </w:r>
          </w:p>
        </w:tc>
      </w:tr>
      <w:tr>
        <w:trPr>
          <w:wBefore/>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98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2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r>
      <w:tr>
        <w:trPr>
          <w:wBefore/>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98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2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r>
      <w:tr>
        <w:trPr>
          <w:wBefore/>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98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2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r>
      <w:tr>
        <w:trPr>
          <w:wBefore/>
          <w:trHeight w:val="235" w:hRule="atLeast"/>
        </w:trPr>
        <w:tc>
          <w:tcPr>
            <w:tcW w:w="411"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项</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4</w:t>
            </w: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6</w:t>
            </w:r>
          </w:p>
        </w:tc>
      </w:tr>
      <w:tr>
        <w:trPr>
          <w:wBefore/>
          <w:trHeight w:val="235" w:hRule="atLeast"/>
        </w:trPr>
        <w:tc>
          <w:tcPr>
            <w:tcW w:w="411"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459"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393"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r>
              <w:rPr>
                <w:rFonts w:hint="eastAsia" w:ascii="宋体" w:hAnsi="宋体" w:eastAsia="宋体" w:cs="宋体"/>
                <w:b/>
                <w:i w:val="false"/>
                <w:color w:val="000000"/>
                <w:sz w:val="22"/>
                <w:szCs w:val="22"/>
                <w:u w:val="none"/>
              </w:rPr>
              <w:t>180363.24</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r>
              <w:rPr>
                <w:rFonts w:hint="eastAsia" w:ascii="宋体" w:hAnsi="宋体" w:eastAsia="宋体" w:cs="宋体"/>
                <w:b/>
                <w:i w:val="false"/>
                <w:color w:val="000000"/>
                <w:sz w:val="22"/>
                <w:szCs w:val="22"/>
                <w:u w:val="none"/>
              </w:rPr>
              <w:t>1287.22</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r>
              <w:rPr>
                <w:rFonts w:hint="eastAsia" w:ascii="宋体" w:hAnsi="宋体" w:eastAsia="宋体" w:cs="宋体"/>
                <w:b/>
                <w:i w:val="false"/>
                <w:color w:val="000000"/>
                <w:sz w:val="22"/>
                <w:szCs w:val="22"/>
                <w:u w:val="none"/>
              </w:rPr>
              <w:t>16749.01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2010301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行政运行</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713.71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359.26</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354.44</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2010302</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一般行政管理事务</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33.15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33.15</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2010350</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事业运行</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92.35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92.35</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其他政府办公厅（室）及相关机构事务支出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288.54</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283.19</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5.34</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2010505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专项统计业务</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1.09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1.09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2010507</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专项普查活动</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6.03</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6.03</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2013299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其他组织事务支出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6.4</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6.4</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2019999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其他一般公共服务支出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8.4</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3.45</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2070199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其他文化和旅游支出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18.77</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18.77</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2079999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其他文化旅游体育与传媒支出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2080505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机关事业单位基本养老保险缴费支出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80.79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80.79</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2080506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机关事业单位职业年金缴费支出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40.39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40.39</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2080799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其他就业补助支出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其他退役安置支出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20.5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20.5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2081006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养老服务</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8.6</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8.6</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2082001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临时救助支出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12.64</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2089999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其他社会保障和就业支出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2100399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其他基层医疗卫生机构支出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61.6</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61.68</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2100408</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基本公共卫生服务</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0.96</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0.96</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2100499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其他公共卫生支出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1.39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1.39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481"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2100799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其他计划生育事务支出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2120104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城管执法</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2120801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征地和拆迁补偿支出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355.89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355.89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2120804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农村基础设施建设支出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295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295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2120816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农业农村生态环境支出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27.81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27.81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2120899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其他国有土地使用权出让收入安排的支出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217.01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217.01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2130109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农产品质量安全</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2130122</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农业生产发展</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113.06</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113.06</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2130124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农村合作经济</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2130126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农村社会事业</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162.11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162.11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其他农业农村支出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186.15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186.15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2130305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水利工程建设</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1.49</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1.49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2130306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水利工程运行与维护</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2130504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农村基础设施建设</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207.15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207.15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2130505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生产发展</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156.8</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156.8</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2130599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其他巩固脱贫攻坚成果衔接乡村振兴支出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1539.42</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1539.42</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2130705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对村民委员会和村党支部的补助</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126.28</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126.28</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2130706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对村集体经济组织的补助</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其他目标价格补贴</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29.44</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29.44</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2139999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其他农林水支出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2727.95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2727.95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2140104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公路建设</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880.05</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880.05</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2210201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住房公积金</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70.62</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70.62</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2299999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其他支出</w:t>
            </w:r>
          </w:p>
        </w:tc>
        <w:tc>
          <w:tcPr>
            <w:tcW w:w="145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9178.71</w:t>
            </w:r>
          </w:p>
        </w:tc>
        <w:tc>
          <w:tcPr>
            <w:tcW w:w="1023"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323.98</w:t>
            </w:r>
          </w:p>
        </w:tc>
        <w:tc>
          <w:tcPr>
            <w:tcW w:w="1077"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8854.73</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35" w:hRule="atLeast"/>
        </w:trPr>
        <w:tc>
          <w:tcPr>
            <w:tcW w:w="9157" w:type="dxa"/>
            <w:gridSpan w:val="12"/>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0"/>
                <w:szCs w:val="20"/>
                <w:u w:val="none"/>
                <w:lang w:val="en-US" w:eastAsia="zh-CN" w:bidi="ar"/>
              </w:rPr>
              <w:t>注：本表反映部门本年度各项支出情况。</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财政拨款收入支出决算总表</w:t>
      </w:r>
    </w:p>
    <w:tbl>
      <w:tblPr>
        <w:tblStyle w:val="000001"/>
        <w:tblW w:w="0" w:type="auto"/>
        <w:tblInd w:w="-12" w:type="dxa"/>
        <w:tblLayout w:type="fixed"/>
        <w:tblCellMar>
          <w:top w:w="12" w:type="dxa"/>
          <w:left w:w="12" w:type="dxa"/>
          <w:bottom w:w="0" w:type="dxa"/>
          <w:right w:w="12" w:type="dxa"/>
        </w:tblCellMar>
        <w:tblLook w:firstRow="false" w:lastRow="false" w:firstColumn="false" w:lastColumn="false" w:noHBand="false" w:noVBand="false"/>
      </w:tblPr>
      <w:tblGrid>
        <w:gridCol w:w="1939"/>
        <w:gridCol w:w="447"/>
        <w:gridCol w:w="579"/>
        <w:gridCol w:w="2618"/>
        <w:gridCol w:w="403"/>
        <w:gridCol w:w="720"/>
        <w:gridCol w:w="787"/>
        <w:gridCol w:w="152"/>
        <w:gridCol w:w="271"/>
        <w:gridCol w:w="382"/>
        <w:gridCol w:w="722"/>
      </w:tblGrid>
      <w:tr>
        <w:trPr>
          <w:wBefore/>
          <w:trHeight w:val="264" w:hRule="atLeast"/>
        </w:trPr>
        <w:tc>
          <w:tcPr>
            <w:tcW w:w="1939" w:type="dxa"/>
            <w:tcBorders>
              <w:top w:val="nil"/>
              <w:left w:val="nil"/>
              <w:bottom w:val="nil"/>
              <w:right w:val="nil"/>
            </w:tcBorders>
            <w:tcMar>
              <w:top w:w="12" w:type="dxa"/>
              <w:left w:w="12" w:type="dxa"/>
              <w:right w:w="12" w:type="dxa"/>
            </w:tcMar>
            <w:vAlign w:val="bottom"/>
          </w:tcPr>
          <w:p>
            <w:pPr>
              <w:ind/>
              <w:rPr>
                <w:rFonts w:hint="eastAsia" w:ascii="Arial" w:hAnsi="Arial" w:cs="Arial"/>
                <w:i w:val="false"/>
                <w:color w:val="000000"/>
                <w:sz w:val="20"/>
                <w:szCs w:val="20"/>
                <w:u w:val="none"/>
              </w:rPr>
            </w:pPr>
          </w:p>
        </w:tc>
        <w:tc>
          <w:tcPr>
            <w:tcW w:w="447"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79"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618"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40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720"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939"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71"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104"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公开04表</w:t>
            </w:r>
          </w:p>
        </w:tc>
      </w:tr>
      <w:tr>
        <w:trPr>
          <w:wBefore/>
          <w:trHeight w:val="264" w:hRule="atLeast"/>
        </w:trPr>
        <w:tc>
          <w:tcPr>
            <w:tcW w:w="1939" w:type="dxa"/>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left"/>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18"/>
                <w:szCs w:val="18"/>
                <w:u w:val="none"/>
                <w:lang w:val="en-US" w:eastAsia="zh-CN" w:bidi="ar"/>
              </w:rPr>
              <w:t>部门：</w:t>
            </w:r>
          </w:p>
        </w:tc>
        <w:tc>
          <w:tcPr>
            <w:tcW w:w="447"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79"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618"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40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720"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939"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71"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104"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金额单位：万元</w:t>
            </w:r>
          </w:p>
        </w:tc>
      </w:tr>
      <w:tr>
        <w:trPr>
          <w:wBefore/>
          <w:trHeight w:val="235" w:hRule="atLeast"/>
        </w:trPr>
        <w:tc>
          <w:tcPr>
            <w:tcW w:w="296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支     出</w:t>
            </w:r>
          </w:p>
        </w:tc>
      </w:tr>
      <w:tr>
        <w:trPr>
          <w:wBefore/>
          <w:trHeight w:val="224" w:hRule="atLeast"/>
        </w:trPr>
        <w:tc>
          <w:tcPr>
            <w:tcW w:w="1939"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18"/>
                <w:szCs w:val="18"/>
                <w:u w:val="none"/>
                <w:lang w:val="en-US" w:eastAsia="zh-CN" w:bidi="ar"/>
              </w:rPr>
            </w:pPr>
            <w:r>
              <w:rPr>
                <w:rFonts w:hint="eastAsia" w:ascii="宋体" w:hAnsi="宋体" w:eastAsia="宋体" w:cs="宋体"/>
                <w:i w:val="false"/>
                <w:color w:val="000000"/>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18"/>
                <w:szCs w:val="18"/>
                <w:u w:val="none"/>
                <w:lang w:val="en-US" w:eastAsia="zh-CN" w:bidi="ar"/>
              </w:rPr>
            </w:pPr>
            <w:r>
              <w:rPr>
                <w:rFonts w:hint="eastAsia" w:ascii="宋体" w:hAnsi="宋体" w:eastAsia="宋体" w:cs="宋体"/>
                <w:i w:val="false"/>
                <w:color w:val="000000"/>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18"/>
                <w:szCs w:val="18"/>
                <w:u w:val="none"/>
                <w:lang w:val="en-US" w:eastAsia="zh-CN" w:bidi="ar"/>
              </w:rPr>
            </w:pPr>
            <w:r>
              <w:rPr>
                <w:rFonts w:hint="eastAsia" w:ascii="宋体" w:hAnsi="宋体" w:eastAsia="宋体" w:cs="宋体"/>
                <w:i w:val="false"/>
                <w:color w:val="000000"/>
                <w:kern w:val="0"/>
                <w:sz w:val="18"/>
                <w:szCs w:val="18"/>
                <w:u w:val="none"/>
                <w:lang w:val="en-US" w:eastAsia="zh-CN" w:bidi="ar"/>
              </w:rPr>
              <w:t>国有资本经营预算财政拨款</w:t>
            </w:r>
          </w:p>
        </w:tc>
      </w:tr>
      <w:tr>
        <w:trPr>
          <w:wBefore/>
          <w:trHeight w:val="471" w:hRule="atLeast"/>
        </w:trPr>
        <w:tc>
          <w:tcPr>
            <w:tcW w:w="193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447"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579"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2618"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403"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72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787"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805" w:type="dxa"/>
            <w:gridSpan w:val="3"/>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c>
          <w:tcPr>
            <w:tcW w:w="722" w:type="dxa"/>
            <w:vMerge w:val="continue"/>
            <w:tcBorders>
              <w:top w:val="nil"/>
              <w:left w:val="nil"/>
              <w:bottom w:val="single" w:color="000000" w:sz="4" w:space="0"/>
              <w:right w:val="single" w:color="000000" w:sz="8" w:space="0"/>
            </w:tcBorders>
            <w:tcMar>
              <w:top w:w="12" w:type="dxa"/>
              <w:left w:w="12" w:type="dxa"/>
              <w:right w:w="12" w:type="dxa"/>
            </w:tcMar>
            <w:vAlign w:val="center"/>
          </w:tcPr>
          <w:p>
            <w:pPr>
              <w:jc w:val="center"/>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ind/>
              <w:jc w:val="center"/>
              <w:rPr>
                <w:rFonts w:hint="eastAsia" w:ascii="宋体" w:hAnsi="宋体" w:eastAsia="宋体" w:cs="宋体"/>
                <w:i w:val="false"/>
                <w:color w:val="000000"/>
                <w:sz w:val="18"/>
                <w:szCs w:val="18"/>
                <w:u w:val="none"/>
              </w:rPr>
            </w:pP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w:t>
            </w: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ind/>
              <w:jc w:val="center"/>
              <w:rPr>
                <w:rFonts w:hint="eastAsia" w:ascii="宋体" w:hAnsi="宋体" w:eastAsia="宋体" w:cs="宋体"/>
                <w:i w:val="false"/>
                <w:color w:val="000000"/>
                <w:sz w:val="18"/>
                <w:szCs w:val="18"/>
                <w:u w:val="none"/>
              </w:rPr>
            </w:pP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w:t>
            </w: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5"/>
                <w:szCs w:val="15"/>
                <w:u w:val="none"/>
              </w:rPr>
            </w:pPr>
            <w:r>
              <w:rPr>
                <w:rFonts w:hint="eastAsia" w:ascii="宋体" w:hAnsi="宋体" w:eastAsia="宋体" w:cs="宋体"/>
                <w:i w:val="false"/>
                <w:color w:val="000000"/>
                <w:kern w:val="0"/>
                <w:sz w:val="15"/>
                <w:szCs w:val="15"/>
                <w:u w:val="none"/>
                <w:lang w:val="en-US" w:eastAsia="zh-CN" w:bidi="ar"/>
              </w:rPr>
              <w:t>5</w:t>
            </w: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5"/>
                <w:szCs w:val="15"/>
                <w:u w:val="none"/>
              </w:rPr>
            </w:pPr>
            <w:r>
              <w:rPr>
                <w:rFonts w:hint="eastAsia" w:ascii="宋体" w:hAnsi="宋体" w:eastAsia="宋体" w:cs="宋体"/>
                <w:i w:val="false"/>
                <w:color w:val="000000"/>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7886.79</w:t>
            </w: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30</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1149.84</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1149.84</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5"/>
                <w:szCs w:val="15"/>
                <w:u w:val="none"/>
              </w:rPr>
            </w:pPr>
            <w:r>
              <w:rPr>
                <w:rFonts w:hint="eastAsia" w:ascii="宋体" w:hAnsi="宋体" w:eastAsia="宋体" w:cs="宋体"/>
                <w:i w:val="false"/>
                <w:color w:val="000000"/>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895.73</w:t>
            </w: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31</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5"/>
                <w:szCs w:val="15"/>
                <w:u w:val="none"/>
              </w:rPr>
            </w:pPr>
            <w:r>
              <w:rPr>
                <w:rFonts w:hint="eastAsia" w:ascii="宋体" w:hAnsi="宋体" w:eastAsia="宋体" w:cs="宋体"/>
                <w:i w:val="false"/>
                <w:color w:val="000000"/>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32</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33</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34</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6</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35</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7</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36</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22.75</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22.75</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8</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37</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175.58</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175.58</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9</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38</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68.03</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68.03</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10</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39</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11</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40</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899.23</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3.5</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895.73</w:t>
            </w: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12</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41</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5516.38</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5516.38</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13</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42</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880.05</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880.05</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14</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43</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15</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44</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16</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45</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17</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46</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18</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47</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19</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48</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70.62</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70.62</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20</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49</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8"/>
                <w:szCs w:val="18"/>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21</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50</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5"/>
                <w:szCs w:val="15"/>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22</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51</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5"/>
                <w:szCs w:val="15"/>
                <w:u w:val="none"/>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23</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52</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18"/>
                <w:szCs w:val="18"/>
                <w:u w:val="none"/>
              </w:rPr>
            </w:pPr>
            <w:r>
              <w:rPr>
                <w:rFonts w:hint="eastAsia" w:ascii="宋体" w:hAnsi="宋体" w:eastAsia="宋体" w:cs="宋体"/>
                <w:b/>
                <w:i w:val="false"/>
                <w:color w:val="000000"/>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24</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53</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25</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54</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26</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55</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27</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18"/>
                <w:szCs w:val="18"/>
                <w:u w:val="none"/>
              </w:rPr>
            </w:pPr>
            <w:r>
              <w:rPr>
                <w:rFonts w:hint="eastAsia" w:ascii="宋体" w:hAnsi="宋体" w:eastAsia="宋体" w:cs="宋体"/>
                <w:b/>
                <w:i w:val="false"/>
                <w:color w:val="000000"/>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56</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8782.52</w:t>
            </w: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7886.79</w:t>
            </w: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895.73</w:t>
            </w: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28</w:t>
            </w:r>
          </w:p>
        </w:tc>
        <w:tc>
          <w:tcPr>
            <w:tcW w:w="57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261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57</w:t>
            </w:r>
          </w:p>
        </w:tc>
        <w:tc>
          <w:tcPr>
            <w:tcW w:w="720"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87"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805" w:type="dxa"/>
            <w:gridSpan w:val="3"/>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1939" w:type="dxa"/>
            <w:tcBorders>
              <w:top w:val="nil"/>
              <w:left w:val="single" w:color="000000" w:sz="4" w:space="0"/>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18"/>
                <w:szCs w:val="18"/>
                <w:u w:val="none"/>
              </w:rPr>
            </w:pPr>
            <w:r>
              <w:rPr>
                <w:rFonts w:hint="eastAsia" w:ascii="宋体" w:hAnsi="宋体" w:eastAsia="宋体" w:cs="宋体"/>
                <w:b/>
                <w:i w:val="false"/>
                <w:color w:val="000000"/>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29</w:t>
            </w:r>
          </w:p>
        </w:tc>
        <w:tc>
          <w:tcPr>
            <w:tcW w:w="579" w:type="dxa"/>
            <w:tcBorders>
              <w:top w:val="nil"/>
              <w:left w:val="nil"/>
              <w:bottom w:val="single" w:color="000000" w:sz="8"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8782.52</w:t>
            </w:r>
          </w:p>
        </w:tc>
        <w:tc>
          <w:tcPr>
            <w:tcW w:w="2618" w:type="dxa"/>
            <w:tcBorders>
              <w:top w:val="nil"/>
              <w:left w:val="nil"/>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b/>
                <w:i w:val="false"/>
                <w:color w:val="000000"/>
                <w:sz w:val="18"/>
                <w:szCs w:val="18"/>
                <w:u w:val="none"/>
              </w:rPr>
            </w:pPr>
            <w:r>
              <w:rPr>
                <w:rFonts w:hint="eastAsia" w:ascii="宋体" w:hAnsi="宋体" w:eastAsia="宋体" w:cs="宋体"/>
                <w:b/>
                <w:i w:val="false"/>
                <w:color w:val="000000"/>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18"/>
                <w:szCs w:val="18"/>
                <w:u w:val="none"/>
                <w:lang w:val="en-US" w:eastAsia="zh-CN" w:bidi="ar"/>
              </w:rPr>
              <w:t>58</w:t>
            </w:r>
          </w:p>
        </w:tc>
        <w:tc>
          <w:tcPr>
            <w:tcW w:w="720" w:type="dxa"/>
            <w:tcBorders>
              <w:top w:val="nil"/>
              <w:left w:val="nil"/>
              <w:bottom w:val="single" w:color="000000" w:sz="8"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8782.52</w:t>
            </w:r>
          </w:p>
        </w:tc>
        <w:tc>
          <w:tcPr>
            <w:tcW w:w="787" w:type="dxa"/>
            <w:tcBorders>
              <w:top w:val="nil"/>
              <w:left w:val="nil"/>
              <w:bottom w:val="single" w:color="000000" w:sz="8"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7886.79</w:t>
            </w:r>
          </w:p>
        </w:tc>
        <w:tc>
          <w:tcPr>
            <w:tcW w:w="805" w:type="dxa"/>
            <w:gridSpan w:val="3"/>
            <w:tcBorders>
              <w:top w:val="nil"/>
              <w:left w:val="nil"/>
              <w:bottom w:val="single" w:color="000000" w:sz="8"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895.73</w:t>
            </w:r>
          </w:p>
        </w:tc>
        <w:tc>
          <w:tcPr>
            <w:tcW w:w="722" w:type="dxa"/>
            <w:tcBorders>
              <w:top w:val="nil"/>
              <w:left w:val="nil"/>
              <w:bottom w:val="single" w:color="000000" w:sz="8" w:space="0"/>
              <w:right w:val="single" w:color="000000" w:sz="8"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90" w:hRule="atLeast"/>
        </w:trPr>
        <w:tc>
          <w:tcPr>
            <w:tcW w:w="9020" w:type="dxa"/>
            <w:gridSpan w:val="11"/>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8"/>
                <w:szCs w:val="18"/>
                <w:u w:val="none"/>
              </w:rPr>
            </w:pPr>
            <w:r>
              <w:rPr>
                <w:rFonts w:hint="eastAsia" w:ascii="宋体" w:hAnsi="宋体" w:eastAsia="宋体" w:cs="宋体"/>
                <w:i w:val="false"/>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一般公共预算财政拨款支出决算表</w:t>
      </w:r>
    </w:p>
    <w:tbl>
      <w:tblPr>
        <w:tblStyle w:val="000001"/>
        <w:tblW w:w="0" w:type="auto"/>
        <w:tblInd w:w="-12" w:type="dxa"/>
        <w:tblLayout w:type="fixed"/>
        <w:tblCellMar>
          <w:top w:w="12" w:type="dxa"/>
          <w:left w:w="12" w:type="dxa"/>
          <w:bottom w:w="0" w:type="dxa"/>
          <w:right w:w="12" w:type="dxa"/>
        </w:tblCellMar>
        <w:tblLook w:firstRow="false" w:lastRow="false" w:firstColumn="false" w:lastColumn="false" w:noHBand="false" w:noVBand="false"/>
      </w:tblPr>
      <w:tblGrid>
        <w:gridCol w:w="445"/>
        <w:gridCol w:w="446"/>
        <w:gridCol w:w="96"/>
        <w:gridCol w:w="386"/>
        <w:gridCol w:w="1905"/>
        <w:gridCol w:w="1273"/>
        <w:gridCol w:w="501"/>
        <w:gridCol w:w="866"/>
        <w:gridCol w:w="1016"/>
        <w:gridCol w:w="1909"/>
      </w:tblGrid>
      <w:tr>
        <w:trPr>
          <w:wBefore/>
          <w:trHeight w:val="259" w:hRule="atLeast"/>
        </w:trPr>
        <w:tc>
          <w:tcPr>
            <w:tcW w:w="445" w:type="dxa"/>
            <w:tcBorders>
              <w:top w:val="nil"/>
              <w:left w:val="nil"/>
              <w:bottom w:val="nil"/>
              <w:right w:val="nil"/>
            </w:tcBorders>
            <w:tcMar>
              <w:top w:w="12" w:type="dxa"/>
              <w:left w:w="12" w:type="dxa"/>
              <w:right w:w="12" w:type="dxa"/>
            </w:tcMar>
            <w:vAlign w:val="bottom"/>
          </w:tcPr>
          <w:p>
            <w:pPr>
              <w:ind/>
              <w:rPr>
                <w:rFonts w:hint="eastAsia" w:ascii="Arial" w:hAnsi="Arial" w:cs="Arial"/>
                <w:i w:val="false"/>
                <w:color w:val="000000"/>
                <w:sz w:val="20"/>
                <w:szCs w:val="20"/>
                <w:u w:val="none"/>
              </w:rPr>
            </w:pPr>
          </w:p>
        </w:tc>
        <w:tc>
          <w:tcPr>
            <w:tcW w:w="542"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386"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90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27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367"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925"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公开05表</w:t>
            </w:r>
          </w:p>
        </w:tc>
      </w:tr>
      <w:tr>
        <w:trPr>
          <w:wBefore/>
          <w:trHeight w:val="259" w:hRule="atLeast"/>
        </w:trPr>
        <w:tc>
          <w:tcPr>
            <w:tcW w:w="987" w:type="dxa"/>
            <w:gridSpan w:val="3"/>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r>
              <w:rPr>
                <w:rFonts w:hint="eastAsia" w:ascii="宋体" w:hAnsi="宋体" w:eastAsia="宋体" w:cs="宋体"/>
                <w:i w:val="false"/>
                <w:color w:val="000000"/>
                <w:kern w:val="0"/>
                <w:sz w:val="22"/>
                <w:szCs w:val="22"/>
                <w:u w:val="none"/>
                <w:lang w:val="en-US" w:eastAsia="zh-CN" w:bidi="ar"/>
              </w:rPr>
              <w:t>部门：</w:t>
            </w:r>
          </w:p>
        </w:tc>
        <w:tc>
          <w:tcPr>
            <w:tcW w:w="386"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905"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273"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367"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925"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金额单位：万元</w:t>
            </w:r>
          </w:p>
        </w:tc>
      </w:tr>
      <w:tr>
        <w:trPr>
          <w:wBefore/>
          <w:trHeight w:val="289"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本年支出</w:t>
            </w:r>
          </w:p>
        </w:tc>
      </w:tr>
      <w:tr>
        <w:trPr>
          <w:wBefore/>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774"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项目支出</w:t>
            </w:r>
          </w:p>
        </w:tc>
      </w:tr>
      <w:tr>
        <w:trPr>
          <w:wBefore/>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77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8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09"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r>
      <w:tr>
        <w:trPr>
          <w:wBefore/>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77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8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09"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r>
      <w:tr>
        <w:trPr>
          <w:wBefore/>
          <w:trHeight w:val="289" w:hRule="atLeast"/>
        </w:trPr>
        <w:tc>
          <w:tcPr>
            <w:tcW w:w="445"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项</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2</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3</w:t>
            </w:r>
          </w:p>
        </w:tc>
      </w:tr>
      <w:tr>
        <w:trPr>
          <w:wBefore/>
          <w:trHeight w:val="289" w:hRule="atLeast"/>
        </w:trPr>
        <w:tc>
          <w:tcPr>
            <w:tcW w:w="445"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446"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4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r>
              <w:rPr>
                <w:rFonts w:hint="eastAsia" w:ascii="宋体" w:hAnsi="宋体" w:eastAsia="宋体" w:cs="宋体"/>
                <w:b/>
                <w:i w:val="false"/>
                <w:color w:val="000000"/>
                <w:sz w:val="22"/>
                <w:szCs w:val="22"/>
                <w:u w:val="none"/>
              </w:rPr>
              <w:t>7886.79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r>
              <w:rPr>
                <w:rFonts w:hint="eastAsia" w:ascii="宋体" w:hAnsi="宋体" w:eastAsia="宋体" w:cs="宋体"/>
                <w:b/>
                <w:i w:val="false"/>
                <w:color w:val="000000"/>
                <w:sz w:val="22"/>
                <w:szCs w:val="22"/>
                <w:u w:val="none"/>
              </w:rPr>
              <w:t>963.24</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b/>
                <w:i w:val="false"/>
                <w:color w:val="000000"/>
                <w:sz w:val="22"/>
                <w:szCs w:val="22"/>
                <w:u w:val="none"/>
              </w:rPr>
            </w:pPr>
            <w:r>
              <w:rPr>
                <w:rFonts w:hint="eastAsia" w:ascii="宋体" w:hAnsi="宋体" w:eastAsia="宋体" w:cs="宋体"/>
                <w:b/>
                <w:i w:val="false"/>
                <w:color w:val="000000"/>
                <w:sz w:val="22"/>
                <w:szCs w:val="22"/>
                <w:u w:val="none"/>
              </w:rPr>
              <w:t>6923.54</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行政运行</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713.71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359.26</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354.44</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一般行政管理事务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33.15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33.15</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2010350</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事业运行</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92.35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92.35</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22"/>
                <w:szCs w:val="22"/>
                <w:u w:val="none"/>
              </w:rPr>
            </w:pP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2010399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其他政府办公厅（室）及相关机构事务支出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288.54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283.19</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5.34</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2010505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专项统计业务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1.09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1.09</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2010507</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专项普查活动</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6.03</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6.03</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2013299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其他组织事务支出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6.49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6.49</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2019999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其他一般公共服务支出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8.45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3.45</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2070199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其他文化和旅游支出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18.77</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18.77</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2079999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其他文化旅游体育与传媒支出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3.98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3.98</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2080505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机关事业单位基本养老保险缴费支出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80.79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80.79</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2080506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机关事业单位职业年金缴费支出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40.39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40.39</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2080799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其他就业补助支出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2080999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其他退役安置支出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20.5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20.5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2081006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养老服务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8.63</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8.6</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2082001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临时救助支出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12.64</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2089999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其他社会保障和就业支出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4.11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4.1</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2100399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其他基层医疗卫生机构支出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61.68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61.68</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2100408</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基本公共卫生服务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0.96</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2100499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其他公共卫生支出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1.39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1.39</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2100799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其他计划生育事务支出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4</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2120104</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城管执法</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2130109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农产品质量安全</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0.99</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2130122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农业生产发展</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113.06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113.06</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2130124</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农村合作经济</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2130126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农村社会事业</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162.11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162.11</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2130199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其他农业农村支出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186.15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186.15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2130305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水利工程建设</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1.49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1.49</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2130306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水利工程运行与维护</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2130504</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农村基础设施建设</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507.15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507.15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2130505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生产发展</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156.8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156.8</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2130599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其他巩固脱贫攻坚成果衔接乡村振兴支出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1539.42</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1539.42</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2130705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对村民委员会和村党支部的补助</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126.28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126.28</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2130706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对村集体经济组织的补助</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31</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2130999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其他目标价格补贴</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29.44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29.44</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2139999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其他农林水支出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2652.95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2652.95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2140104</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公路建设</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880.05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880.05</w:t>
            </w:r>
          </w:p>
        </w:tc>
      </w:tr>
      <w:tr>
        <w:trPr>
          <w:wBefore/>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2210201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numPr/>
              <w:ind/>
              <w:jc w:val="left"/>
              <w:rPr>
                <w:rFonts w:hint="eastAsia" w:ascii="宋体" w:hAnsi="宋体" w:eastAsia="宋体" w:cs="宋体"/>
                <w:i w:val="false"/>
                <w:color w:val="000000"/>
                <w:sz w:val="22"/>
                <w:szCs w:val="22"/>
                <w:u w:val="none"/>
              </w:rPr>
            </w:pPr>
            <w:r>
              <w:rPr>
                <w:rFonts w:ascii="宋体" w:hAnsi="宋体" w:eastAsia="宋体" w:cs="宋体"/>
                <w:i w:val="false"/>
                <w:strike w:val="false"/>
                <w:color w:val="000000"/>
                <w:spacing w:val="0"/>
                <w:sz w:val="22"/>
                <w:u w:val="none"/>
              </w:rPr>
              <w:t>住房公积金</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70.62</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r>
              <w:rPr>
                <w:rFonts w:hint="eastAsia" w:ascii="宋体" w:hAnsi="宋体" w:eastAsia="宋体" w:cs="宋体"/>
                <w:i w:val="false"/>
                <w:color w:val="000000"/>
                <w:sz w:val="22"/>
                <w:szCs w:val="22"/>
                <w:u w:val="none"/>
              </w:rPr>
              <w:t>70.62</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numPr/>
              <w:ind/>
              <w:jc w:val="right"/>
              <w:rPr>
                <w:rFonts w:hint="eastAsia" w:ascii="宋体" w:hAnsi="宋体" w:eastAsia="宋体" w:cs="宋体"/>
                <w:i w:val="false"/>
                <w:color w:val="000000"/>
                <w:sz w:val="22"/>
                <w:szCs w:val="22"/>
                <w:u w:val="none"/>
              </w:rPr>
            </w:pPr>
          </w:p>
        </w:tc>
      </w:tr>
      <w:tr>
        <w:trPr>
          <w:wBefore/>
          <w:trHeight w:val="289" w:hRule="atLeast"/>
        </w:trPr>
        <w:tc>
          <w:tcPr>
            <w:tcW w:w="8843" w:type="dxa"/>
            <w:gridSpan w:val="10"/>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2"/>
                <w:szCs w:val="22"/>
                <w:u w:val="none"/>
              </w:rPr>
            </w:pPr>
            <w:r>
              <w:rPr>
                <w:rFonts w:hint="eastAsia" w:ascii="宋体" w:hAnsi="宋体" w:eastAsia="宋体" w:cs="宋体"/>
                <w:i w:val="false"/>
                <w:color w:val="000000"/>
                <w:kern w:val="0"/>
                <w:sz w:val="20"/>
                <w:szCs w:val="20"/>
                <w:u w:val="none"/>
                <w:lang w:val="en-US" w:eastAsia="zh-CN" w:bidi="ar"/>
              </w:rPr>
              <w:t>注：本表反映部门本年度一般公共预算财政拨款支出情况。</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rPr>
          <w:rFonts w:hint="eastAsia" w:ascii="黑体" w:hAnsi="黑体" w:eastAsia="黑体"/>
          <w:szCs w:val="32"/>
        </w:rPr>
      </w:pPr>
    </w:p>
    <w:p>
      <w:pPr>
        <w:ind/>
        <w:rPr>
          <w:rFonts w:hint="eastAsia" w:ascii="黑体" w:hAnsi="黑体" w:eastAsia="黑体"/>
          <w:szCs w:val="32"/>
        </w:rPr>
      </w:pPr>
    </w:p>
    <w:p>
      <w:pPr>
        <w:ind/>
        <w:rPr>
          <w:rFonts w:hint="eastAsia" w:ascii="黑体" w:hAnsi="黑体" w:eastAsia="黑体"/>
          <w:szCs w:val="32"/>
        </w:rPr>
      </w:pPr>
    </w:p>
    <w:p>
      <w:pPr>
        <w:ind/>
        <w:rPr>
          <w:rFonts w:hint="eastAsia" w:ascii="黑体" w:hAnsi="黑体" w:eastAsia="黑体"/>
          <w:szCs w:val="32"/>
        </w:rPr>
      </w:pPr>
    </w:p>
    <w:p>
      <w:pPr>
        <w:ind/>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一般公共预算财政拨款基本支出决算</w:t>
      </w:r>
      <w:r>
        <w:rPr>
          <w:rFonts w:hint="eastAsia" w:ascii="黑体" w:hAnsi="黑体" w:eastAsia="黑体"/>
          <w:szCs w:val="32"/>
          <w:lang w:eastAsia="zh-CN"/>
        </w:rPr>
        <w:t>明细</w:t>
      </w:r>
      <w:r>
        <w:rPr>
          <w:rFonts w:hint="eastAsia" w:ascii="黑体" w:hAnsi="黑体" w:eastAsia="黑体"/>
          <w:szCs w:val="32"/>
        </w:rPr>
        <w:t>表</w:t>
      </w:r>
    </w:p>
    <w:tbl>
      <w:tblPr>
        <w:tblStyle w:val="000001"/>
        <w:tblW w:w="0" w:type="auto"/>
        <w:tblInd w:w="-12" w:type="dxa"/>
        <w:tblLayout w:type="fixed"/>
        <w:tblCellMar>
          <w:top w:w="12" w:type="dxa"/>
          <w:left w:w="12" w:type="dxa"/>
          <w:bottom w:w="0" w:type="dxa"/>
          <w:right w:w="12" w:type="dxa"/>
        </w:tblCellMar>
        <w:tblLook w:firstRow="false" w:lastRow="false" w:firstColumn="false" w:lastColumn="false" w:noHBand="false" w:noVBand="false"/>
      </w:tblPr>
      <w:tblGrid>
        <w:gridCol w:w="510"/>
        <w:gridCol w:w="96"/>
        <w:gridCol w:w="1791"/>
        <w:gridCol w:w="622"/>
        <w:gridCol w:w="578"/>
        <w:gridCol w:w="1702"/>
        <w:gridCol w:w="524"/>
        <w:gridCol w:w="545"/>
        <w:gridCol w:w="88"/>
        <w:gridCol w:w="1692"/>
        <w:gridCol w:w="177"/>
        <w:gridCol w:w="573"/>
      </w:tblGrid>
      <w:tr>
        <w:trPr>
          <w:wBefore/>
          <w:trHeight w:val="264" w:hRule="atLeast"/>
        </w:trPr>
        <w:tc>
          <w:tcPr>
            <w:tcW w:w="606" w:type="dxa"/>
            <w:gridSpan w:val="2"/>
            <w:tcBorders>
              <w:top w:val="nil"/>
              <w:left w:val="nil"/>
              <w:bottom w:val="nil"/>
              <w:right w:val="nil"/>
            </w:tcBorders>
            <w:tcMar>
              <w:top w:w="12" w:type="dxa"/>
              <w:left w:w="12" w:type="dxa"/>
              <w:right w:w="12" w:type="dxa"/>
            </w:tcMar>
            <w:vAlign w:val="bottom"/>
          </w:tcPr>
          <w:p>
            <w:pPr>
              <w:ind/>
              <w:rPr>
                <w:rFonts w:hint="eastAsia" w:ascii="Arial" w:hAnsi="Arial" w:cs="Arial"/>
                <w:i w:val="false"/>
                <w:color w:val="000000"/>
                <w:sz w:val="20"/>
                <w:szCs w:val="20"/>
                <w:u w:val="none"/>
              </w:rPr>
            </w:pPr>
          </w:p>
        </w:tc>
        <w:tc>
          <w:tcPr>
            <w:tcW w:w="1791"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62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78"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70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2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633"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69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750"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公开06表</w:t>
            </w:r>
          </w:p>
        </w:tc>
      </w:tr>
      <w:tr>
        <w:trPr>
          <w:wBefore/>
          <w:trHeight w:val="264" w:hRule="atLeast"/>
        </w:trPr>
        <w:tc>
          <w:tcPr>
            <w:tcW w:w="606" w:type="dxa"/>
            <w:gridSpan w:val="2"/>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left"/>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部门：</w:t>
            </w:r>
          </w:p>
        </w:tc>
        <w:tc>
          <w:tcPr>
            <w:tcW w:w="1791"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62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78"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1702"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524" w:type="dxa"/>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633" w:type="dxa"/>
            <w:gridSpan w:val="2"/>
            <w:tcBorders>
              <w:top w:val="nil"/>
              <w:left w:val="nil"/>
              <w:bottom w:val="nil"/>
              <w:right w:val="nil"/>
            </w:tcBorders>
            <w:tcMar>
              <w:top w:w="12" w:type="dxa"/>
              <w:left w:w="12" w:type="dxa"/>
              <w:right w:w="12" w:type="dxa"/>
            </w:tcMar>
            <w:vAlign w:val="bottom"/>
          </w:tcPr>
          <w:p>
            <w:pPr>
              <w:ind/>
              <w:rPr>
                <w:rFonts w:ascii="Arial" w:hAnsi="Arial" w:cs="Arial"/>
                <w:i w:val="false"/>
                <w:color w:val="000000"/>
                <w:sz w:val="20"/>
                <w:szCs w:val="20"/>
                <w:u w:val="none"/>
              </w:rPr>
            </w:pPr>
          </w:p>
        </w:tc>
        <w:tc>
          <w:tcPr>
            <w:tcW w:w="2442" w:type="dxa"/>
            <w:gridSpan w:val="3"/>
            <w:tcBorders>
              <w:top w:val="nil"/>
              <w:left w:val="nil"/>
              <w:bottom w:val="nil"/>
              <w:right w:val="nil"/>
            </w:tcBorders>
            <w:tcMar>
              <w:top w:w="12" w:type="dxa"/>
              <w:left w:w="12" w:type="dxa"/>
              <w:right w:w="12" w:type="dxa"/>
            </w:tcMar>
            <w:vAlign w:val="bottom"/>
          </w:tcPr>
          <w:p>
            <w:pPr>
              <w:keepNext w:val="false"/>
              <w:keepLines w:val="false"/>
              <w:widowControl/>
              <w:suppressLineNumbers w:val="false"/>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金额单位：万元</w:t>
            </w:r>
          </w:p>
        </w:tc>
      </w:tr>
      <w:tr>
        <w:trPr>
          <w:wBefore/>
          <w:trHeight w:val="235" w:hRule="atLeast"/>
        </w:trPr>
        <w:tc>
          <w:tcPr>
            <w:tcW w:w="301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公用经费</w:t>
            </w:r>
          </w:p>
        </w:tc>
      </w:tr>
      <w:tr>
        <w:trPr>
          <w:wBefore/>
          <w:trHeight w:val="424" w:hRule="atLeast"/>
        </w:trPr>
        <w:tc>
          <w:tcPr>
            <w:tcW w:w="51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金额</w:t>
            </w:r>
          </w:p>
        </w:tc>
      </w:tr>
      <w:tr>
        <w:trPr>
          <w:wBefore/>
          <w:trHeight w:val="388" w:hRule="atLeast"/>
        </w:trPr>
        <w:tc>
          <w:tcPr>
            <w:tcW w:w="51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622"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578"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702"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524"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545"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1957" w:type="dxa"/>
            <w:gridSpan w:val="3"/>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c>
          <w:tcPr>
            <w:tcW w:w="573"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false"/>
                <w:color w:val="000000"/>
                <w:sz w:val="22"/>
                <w:szCs w:val="22"/>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783.34</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35.97</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90"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510.58</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11.76</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3</w:t>
            </w: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18.86</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90"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13</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5.21</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3</w:t>
            </w: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128.42</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90"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9</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6.82</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2.6</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21.42</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8.79</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2.49</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70.62</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1.6</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140.92</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123.75</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50"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16.93</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59"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2</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6.05</w:t>
            </w: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0.24</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12"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6"/>
                <w:szCs w:val="16"/>
                <w:u w:val="none"/>
              </w:rPr>
            </w:pP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6"/>
                <w:szCs w:val="16"/>
                <w:u w:val="none"/>
              </w:rPr>
            </w:pP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307</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6"/>
                <w:szCs w:val="16"/>
                <w:u w:val="none"/>
              </w:rPr>
            </w:pP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p>
        </w:tc>
      </w:tr>
      <w:tr>
        <w:trPr>
          <w:wBefore/>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ind/>
              <w:jc w:val="left"/>
              <w:rPr>
                <w:rFonts w:hint="eastAsia" w:ascii="宋体" w:hAnsi="宋体" w:eastAsia="宋体" w:cs="宋体"/>
                <w:i w:val="false"/>
                <w:color w:val="000000"/>
                <w:sz w:val="13"/>
                <w:szCs w:val="13"/>
                <w:u w:val="none"/>
              </w:rPr>
            </w:pPr>
          </w:p>
        </w:tc>
        <w:tc>
          <w:tcPr>
            <w:tcW w:w="1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kern w:val="0"/>
                <w:sz w:val="16"/>
                <w:szCs w:val="16"/>
                <w:u w:val="none"/>
                <w:lang w:val="en-US" w:eastAsia="zh-CN" w:bidi="ar"/>
              </w:rPr>
            </w:pPr>
            <w:r>
              <w:rPr>
                <w:rFonts w:hint="eastAsia" w:ascii="宋体" w:hAnsi="宋体" w:eastAsia="宋体" w:cs="宋体"/>
                <w:i w:val="false"/>
                <w:color w:val="000000"/>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5"/>
                <w:szCs w:val="15"/>
                <w:u w:val="none"/>
              </w:rPr>
            </w:pPr>
          </w:p>
        </w:tc>
      </w:tr>
      <w:tr>
        <w:trPr>
          <w:wBefore/>
          <w:trHeight w:val="318" w:hRule="atLeast"/>
        </w:trPr>
        <w:tc>
          <w:tcPr>
            <w:tcW w:w="2397" w:type="dxa"/>
            <w:gridSpan w:val="3"/>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6"/>
                <w:szCs w:val="16"/>
                <w:u w:val="none"/>
              </w:rPr>
            </w:pPr>
            <w:r>
              <w:rPr>
                <w:rFonts w:hint="eastAsia" w:ascii="宋体" w:hAnsi="宋体" w:eastAsia="宋体" w:cs="宋体"/>
                <w:i w:val="false"/>
                <w:color w:val="000000"/>
                <w:sz w:val="16"/>
                <w:szCs w:val="16"/>
                <w:u w:val="none"/>
              </w:rPr>
              <w:t>924.26</w:t>
            </w:r>
          </w:p>
        </w:tc>
        <w:tc>
          <w:tcPr>
            <w:tcW w:w="5306" w:type="dxa"/>
            <w:gridSpan w:val="7"/>
            <w:tcBorders>
              <w:top w:val="nil"/>
              <w:left w:val="nil"/>
              <w:bottom w:val="single" w:color="000000" w:sz="4" w:space="0"/>
              <w:right w:val="single" w:color="000000" w:sz="4" w:space="0"/>
            </w:tcBorders>
            <w:tcMar>
              <w:top w:w="12" w:type="dxa"/>
              <w:left w:w="12" w:type="dxa"/>
              <w:right w:w="12" w:type="dxa"/>
            </w:tcMar>
            <w:vAlign w:val="center"/>
          </w:tcPr>
          <w:p>
            <w:pPr>
              <w:keepNext w:val="false"/>
              <w:keepLines w:val="false"/>
              <w:widowControl/>
              <w:suppressLineNumbers w:val="false"/>
              <w:ind/>
              <w:jc w:val="center"/>
              <w:rPr>
                <w:rFonts w:hint="eastAsia" w:ascii="宋体" w:hAnsi="宋体" w:eastAsia="宋体" w:cs="宋体"/>
                <w:i w:val="false"/>
                <w:color w:val="000000"/>
                <w:sz w:val="16"/>
                <w:szCs w:val="16"/>
                <w:u w:val="none"/>
              </w:rPr>
            </w:pPr>
            <w:r>
              <w:rPr>
                <w:rFonts w:hint="eastAsia" w:ascii="宋体" w:hAnsi="宋体" w:eastAsia="宋体" w:cs="宋体"/>
                <w:i w:val="false"/>
                <w:color w:val="000000"/>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ind/>
              <w:jc w:val="right"/>
              <w:rPr>
                <w:rFonts w:hint="eastAsia" w:ascii="宋体" w:hAnsi="宋体" w:eastAsia="宋体" w:cs="宋体"/>
                <w:i w:val="false"/>
                <w:color w:val="000000"/>
                <w:sz w:val="18"/>
                <w:szCs w:val="18"/>
                <w:u w:val="none"/>
              </w:rPr>
            </w:pPr>
            <w:r>
              <w:rPr>
                <w:rFonts w:hint="eastAsia" w:ascii="宋体" w:hAnsi="宋体" w:eastAsia="宋体" w:cs="宋体"/>
                <w:i w:val="false"/>
                <w:color w:val="000000"/>
                <w:sz w:val="18"/>
                <w:szCs w:val="18"/>
                <w:u w:val="none"/>
              </w:rPr>
              <w:t>38.97</w:t>
            </w:r>
          </w:p>
        </w:tc>
      </w:tr>
      <w:tr>
        <w:trPr>
          <w:wBefore/>
          <w:trHeight w:val="90" w:hRule="atLeast"/>
        </w:trPr>
        <w:tc>
          <w:tcPr>
            <w:tcW w:w="8898" w:type="dxa"/>
            <w:gridSpan w:val="12"/>
            <w:tcBorders>
              <w:top w:val="nil"/>
              <w:left w:val="nil"/>
              <w:bottom w:val="nil"/>
              <w:right w:val="nil"/>
            </w:tcBorders>
            <w:tcMar>
              <w:top w:w="12" w:type="dxa"/>
              <w:left w:w="12" w:type="dxa"/>
              <w:right w:w="12" w:type="dxa"/>
            </w:tcMar>
            <w:vAlign w:val="center"/>
          </w:tcPr>
          <w:p>
            <w:pPr>
              <w:keepNext w:val="false"/>
              <w:keepLines w:val="false"/>
              <w:widowControl/>
              <w:suppressLineNumbers w:val="false"/>
              <w:ind/>
              <w:jc w:val="left"/>
              <w:rPr>
                <w:rFonts w:hint="eastAsia" w:ascii="宋体" w:hAnsi="宋体" w:eastAsia="宋体" w:cs="宋体"/>
                <w:i w:val="false"/>
                <w:color w:val="000000"/>
                <w:sz w:val="20"/>
                <w:szCs w:val="20"/>
                <w:u w:val="none"/>
              </w:rPr>
            </w:pPr>
            <w:r>
              <w:rPr>
                <w:rFonts w:hint="eastAsia" w:ascii="宋体" w:hAnsi="宋体" w:eastAsia="宋体" w:cs="宋体"/>
                <w:i w:val="false"/>
                <w:color w:val="000000"/>
                <w:kern w:val="0"/>
                <w:sz w:val="20"/>
                <w:szCs w:val="20"/>
                <w:u w:val="none"/>
                <w:lang w:val="en-US" w:eastAsia="zh-CN" w:bidi="ar"/>
              </w:rPr>
              <w:t>注：本表反映部门本年度一般公共预算财政拨款基本支出明细情况。</w:t>
            </w:r>
          </w:p>
        </w:tc>
      </w:tr>
    </w:tbl>
    <w:p>
      <w:pPr>
        <w:ind/>
        <w:jc w:val="center"/>
        <w:rPr>
          <w:rFonts w:hint="eastAsia" w:ascii="黑体" w:hAnsi="黑体" w:eastAsia="黑体"/>
          <w:szCs w:val="32"/>
        </w:rPr>
      </w:pPr>
    </w:p>
    <w:p>
      <w:pPr>
        <w:ind/>
        <w:jc w:val="center"/>
        <w:rPr>
          <w:rFonts w:hint="eastAsia" w:ascii="黑体" w:hAnsi="黑体" w:eastAsia="黑体"/>
          <w:szCs w:val="32"/>
        </w:rPr>
      </w:pPr>
    </w:p>
    <w:p>
      <w:pPr>
        <w:ind/>
        <w:jc w:val="center"/>
        <w:rPr>
          <w:rFonts w:hint="eastAsia" w:ascii="黑体" w:hAnsi="黑体" w:eastAsia="黑体"/>
          <w:szCs w:val="32"/>
        </w:rPr>
      </w:pPr>
      <w:r>
        <w:rPr>
          <w:rFonts w:hint="eastAsia" w:ascii="黑体" w:hAnsi="黑体" w:eastAsia="黑体"/>
          <w:szCs w:val="32"/>
        </w:rPr>
        <w:t>政府性基金预算财政拨款收入支出决算表</w:t>
      </w:r>
    </w:p>
    <w:p>
      <w:pPr>
        <w:ind/>
        <w:jc w:val="right"/>
        <w:rPr>
          <w:rFonts w:hint="eastAsia" w:ascii="黑体" w:hAnsi="黑体" w:eastAsia="黑体"/>
          <w:sz w:val="20"/>
        </w:rPr>
      </w:pPr>
      <w:r>
        <w:rPr>
          <w:rFonts w:hint="eastAsia" w:ascii="黑体" w:hAnsi="黑体" w:eastAsia="黑体"/>
          <w:sz w:val="20"/>
        </w:rPr>
        <w:t xml:space="preserve">                                                                              </w:t>
      </w:r>
      <w:r>
        <w:rPr>
          <w:rFonts w:hint="eastAsia" w:ascii="宋体" w:hAnsi="宋体" w:eastAsia="宋体" w:cs="宋体"/>
          <w:color w:val="000000"/>
          <w:kern w:val="0"/>
          <w:sz w:val="20"/>
        </w:rPr>
        <w:t>公开07表</w:t>
      </w:r>
    </w:p>
    <w:tbl>
      <w:tblPr>
        <w:tblStyle w:val="000001"/>
        <w:tblW w:w="0" w:type="auto"/>
        <w:tblInd w:w="-15" w:type="dxa"/>
        <w:tblLayout w:type="fixed"/>
        <w:tblCellMar>
          <w:top w:w="0" w:type="dxa"/>
          <w:left w:w="108" w:type="dxa"/>
          <w:bottom w:w="0" w:type="dxa"/>
          <w:right w:w="108" w:type="dxa"/>
        </w:tblCellMar>
        <w:tblLook w:firstRow="false" w:lastRow="false" w:firstColumn="false" w:lastColumn="false" w:noHBand="false" w:noVBand="false"/>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trPr>
          <w:wBefore/>
          <w:trHeight w:val="255" w:hRule="atLeast"/>
        </w:trPr>
        <w:tc>
          <w:tcPr>
            <w:tcW w:w="731" w:type="dxa"/>
            <w:gridSpan w:val="2"/>
            <w:tcBorders>
              <w:top w:val="nil"/>
              <w:left w:val="nil"/>
              <w:bottom w:val="nil"/>
              <w:right w:val="nil"/>
            </w:tcBorders>
            <w:vAlign w:val="bottom"/>
          </w:tcPr>
          <w:p>
            <w:pPr>
              <w:widowControl/>
              <w:ind/>
              <w:jc w:val="left"/>
              <w:rPr>
                <w:rFonts w:ascii="宋体" w:hAnsi="宋体" w:eastAsia="宋体" w:cs="Arial"/>
                <w:color w:val="000000"/>
                <w:kern w:val="0"/>
                <w:sz w:val="20"/>
              </w:rPr>
            </w:pPr>
            <w:r>
              <w:rPr>
                <w:rFonts w:hint="eastAsia" w:ascii="宋体" w:hAnsi="宋体" w:eastAsia="宋体" w:cs="Arial"/>
                <w:color w:val="000000"/>
                <w:kern w:val="0"/>
                <w:sz w:val="20"/>
                <w:szCs w:val="20"/>
                <w:lang w:eastAsia="zh-CN"/>
              </w:rPr>
              <w:t>部门：</w:t>
            </w:r>
          </w:p>
        </w:tc>
        <w:tc>
          <w:tcPr>
            <w:tcW w:w="404" w:type="dxa"/>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774" w:type="dxa"/>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491" w:type="dxa"/>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470"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640"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480" w:type="dxa"/>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430"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708"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236" w:type="dxa"/>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430"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843"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286" w:type="dxa"/>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240" w:type="dxa"/>
            <w:gridSpan w:val="2"/>
            <w:tcBorders>
              <w:top w:val="nil"/>
              <w:left w:val="nil"/>
              <w:bottom w:val="nil"/>
              <w:right w:val="nil"/>
            </w:tcBorders>
            <w:vAlign w:val="bottom"/>
          </w:tcPr>
          <w:p>
            <w:pPr>
              <w:widowControl/>
              <w:ind/>
              <w:jc w:val="left"/>
              <w:rPr>
                <w:rFonts w:ascii="Arial" w:hAnsi="Arial" w:eastAsia="宋体" w:cs="Arial"/>
                <w:color w:val="000000"/>
                <w:kern w:val="0"/>
                <w:sz w:val="20"/>
              </w:rPr>
            </w:pPr>
          </w:p>
        </w:tc>
        <w:tc>
          <w:tcPr>
            <w:tcW w:w="1697" w:type="dxa"/>
            <w:gridSpan w:val="3"/>
            <w:tcBorders>
              <w:top w:val="nil"/>
              <w:left w:val="nil"/>
              <w:bottom w:val="nil"/>
              <w:right w:val="nil"/>
            </w:tcBorders>
            <w:vAlign w:val="bottom"/>
          </w:tcPr>
          <w:p>
            <w:pPr>
              <w:widowControl/>
              <w:ind/>
              <w:jc w:val="both"/>
              <w:rPr>
                <w:rFonts w:ascii="宋体" w:hAnsi="宋体" w:eastAsia="宋体" w:cs="Arial"/>
                <w:color w:val="000000"/>
                <w:kern w:val="0"/>
                <w:sz w:val="20"/>
              </w:rPr>
            </w:pPr>
            <w:r>
              <w:rPr>
                <w:rFonts w:hint="eastAsia" w:ascii="宋体" w:hAnsi="宋体" w:eastAsia="宋体" w:cs="Arial"/>
                <w:color w:val="000000"/>
                <w:kern w:val="0"/>
                <w:sz w:val="20"/>
                <w:lang w:val="en-US" w:eastAsia="zh-CN"/>
              </w:rPr>
              <w:t xml:space="preserve"> </w:t>
            </w:r>
            <w:r>
              <w:rPr>
                <w:rFonts w:hint="eastAsia" w:ascii="宋体" w:hAnsi="宋体" w:eastAsia="宋体" w:cs="Arial"/>
                <w:color w:val="000000"/>
                <w:kern w:val="0"/>
                <w:sz w:val="20"/>
                <w:lang w:eastAsia="zh-CN"/>
              </w:rPr>
              <w:t>金额</w:t>
            </w:r>
            <w:r>
              <w:rPr>
                <w:rFonts w:hint="eastAsia" w:ascii="宋体" w:hAnsi="宋体" w:eastAsia="宋体" w:cs="Arial"/>
                <w:color w:val="000000"/>
                <w:kern w:val="0"/>
                <w:sz w:val="20"/>
              </w:rPr>
              <w:t>单位：万元</w:t>
            </w:r>
          </w:p>
        </w:tc>
      </w:tr>
      <w:tr>
        <w:trPr>
          <w:wBefore/>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科目</w:t>
            </w:r>
            <w:r>
              <w:rPr>
                <w:rFonts w:hint="eastAsia" w:ascii="宋体" w:hAnsi="宋体" w:eastAsia="宋体" w:cs="Arial"/>
                <w:color w:val="000000"/>
                <w:kern w:val="0"/>
                <w:sz w:val="22"/>
                <w:szCs w:val="22"/>
                <w:lang w:eastAsia="zh-CN"/>
              </w:rPr>
              <w:t>代</w:t>
            </w:r>
            <w:r>
              <w:rPr>
                <w:rFonts w:hint="eastAsia" w:ascii="宋体" w:hAnsi="宋体" w:eastAsia="宋体" w:cs="Arial"/>
                <w:color w:val="000000"/>
                <w:kern w:val="0"/>
                <w:sz w:val="22"/>
                <w:szCs w:val="22"/>
              </w:rPr>
              <w:t>码</w:t>
            </w:r>
          </w:p>
        </w:tc>
        <w:tc>
          <w:tcPr>
            <w:tcW w:w="774" w:type="dxa"/>
            <w:vMerge w:val="restart"/>
            <w:tcBorders>
              <w:top w:val="single" w:color="000000" w:sz="4" w:space="0"/>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年末结转和结余</w:t>
            </w:r>
          </w:p>
        </w:tc>
      </w:tr>
      <w:tr>
        <w:trPr>
          <w:wBefore/>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23"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501"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基本支出结转</w:t>
            </w:r>
          </w:p>
        </w:tc>
        <w:tc>
          <w:tcPr>
            <w:tcW w:w="477" w:type="dxa"/>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477"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591" w:type="dxa"/>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486"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546"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477" w:type="dxa"/>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494"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488" w:type="dxa"/>
            <w:gridSpan w:val="2"/>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基本支出结转</w:t>
            </w:r>
          </w:p>
        </w:tc>
        <w:tc>
          <w:tcPr>
            <w:tcW w:w="1241" w:type="dxa"/>
            <w:gridSpan w:val="2"/>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项目支出结转和结余</w:t>
            </w:r>
          </w:p>
        </w:tc>
      </w:tr>
      <w:tr>
        <w:trPr>
          <w:wBefore/>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7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8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4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9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00" w:type="dxa"/>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w:t>
            </w:r>
          </w:p>
        </w:tc>
        <w:tc>
          <w:tcPr>
            <w:tcW w:w="641" w:type="dxa"/>
            <w:vMerge w:val="restart"/>
            <w:tcBorders>
              <w:top w:val="nil"/>
              <w:left w:val="nil"/>
              <w:bottom w:val="single" w:color="000000" w:sz="4" w:space="0"/>
              <w:right w:val="single" w:color="000000" w:sz="4" w:space="0"/>
            </w:tcBorders>
            <w:vAlign w:val="center"/>
          </w:tcPr>
          <w:p>
            <w:pPr>
              <w:widowControl/>
              <w:ind/>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项目支出结余</w:t>
            </w:r>
          </w:p>
        </w:tc>
      </w:tr>
      <w:tr>
        <w:trPr>
          <w:wBefore/>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7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8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4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9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4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r>
      <w:tr>
        <w:trPr>
          <w:wBefore/>
          <w:trHeight w:val="308" w:hRule="atLeast"/>
        </w:trPr>
        <w:tc>
          <w:tcPr>
            <w:tcW w:w="371" w:type="dxa"/>
            <w:vMerge w:val="restart"/>
            <w:tcBorders>
              <w:top w:val="single" w:color="auto" w:sz="4" w:space="0"/>
              <w:left w:val="single" w:color="auto" w:sz="4" w:space="0"/>
              <w:bottom w:val="single" w:color="auto" w:sz="4" w:space="0"/>
              <w:right w:val="single" w:color="auto" w:sz="4" w:space="0"/>
            </w:tcBorders>
            <w:vAlign w:val="center"/>
          </w:tcPr>
          <w:p>
            <w:pPr>
              <w:keepNext w:val="false"/>
              <w:keepLines w:val="false"/>
              <w:widowControl/>
              <w:suppressLineNumbers w:val="false"/>
              <w:ind/>
              <w:jc w:val="center"/>
              <w:rPr>
                <w:rFonts w:ascii="宋体" w:hAnsi="宋体" w:eastAsia="宋体" w:cs="Arial"/>
                <w:color w:val="000000"/>
                <w:kern w:val="0"/>
                <w:sz w:val="22"/>
                <w:szCs w:val="22"/>
              </w:rPr>
            </w:pPr>
            <w:r>
              <w:rPr>
                <w:rFonts w:hint="eastAsia" w:ascii="宋体" w:hAnsi="宋体" w:eastAsia="宋体" w:cs="宋体"/>
                <w:i w:val="false"/>
                <w:color w:val="000000"/>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vAlign w:val="center"/>
          </w:tcPr>
          <w:p>
            <w:pPr>
              <w:keepNext w:val="false"/>
              <w:keepLines w:val="false"/>
              <w:widowControl/>
              <w:suppressLineNumbers w:val="false"/>
              <w:ind/>
              <w:jc w:val="center"/>
              <w:rPr>
                <w:rFonts w:ascii="宋体" w:hAnsi="宋体" w:eastAsia="宋体" w:cs="Arial"/>
                <w:color w:val="000000"/>
                <w:kern w:val="0"/>
                <w:sz w:val="22"/>
                <w:szCs w:val="22"/>
              </w:rPr>
            </w:pPr>
            <w:r>
              <w:rPr>
                <w:rFonts w:hint="eastAsia" w:ascii="宋体" w:hAnsi="宋体" w:eastAsia="宋体" w:cs="宋体"/>
                <w:i w:val="false"/>
                <w:color w:val="000000"/>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vAlign w:val="center"/>
          </w:tcPr>
          <w:p>
            <w:pPr>
              <w:keepNext w:val="false"/>
              <w:keepLines w:val="false"/>
              <w:widowControl/>
              <w:suppressLineNumbers w:val="false"/>
              <w:ind/>
              <w:jc w:val="center"/>
              <w:rPr>
                <w:rFonts w:ascii="宋体" w:hAnsi="宋体" w:eastAsia="宋体" w:cs="Arial"/>
                <w:color w:val="000000"/>
                <w:kern w:val="0"/>
                <w:sz w:val="22"/>
                <w:szCs w:val="22"/>
              </w:rPr>
            </w:pPr>
            <w:r>
              <w:rPr>
                <w:rFonts w:hint="eastAsia" w:ascii="宋体" w:hAnsi="宋体" w:eastAsia="宋体" w:cs="宋体"/>
                <w:i w:val="false"/>
                <w:color w:val="000000"/>
                <w:kern w:val="0"/>
                <w:sz w:val="22"/>
                <w:szCs w:val="22"/>
                <w:u w:val="none"/>
                <w:lang w:val="en-US" w:eastAsia="zh-CN" w:bidi="ar"/>
              </w:rPr>
              <w:t>项</w:t>
            </w:r>
          </w:p>
        </w:tc>
        <w:tc>
          <w:tcPr>
            <w:tcW w:w="774"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color w:val="000000"/>
                <w:kern w:val="0"/>
                <w:sz w:val="22"/>
                <w:szCs w:val="22"/>
              </w:rPr>
            </w:pPr>
            <w:r>
              <w:rPr>
                <w:rFonts w:hint="eastAsia" w:ascii="宋体" w:hAnsi="宋体" w:eastAsia="宋体" w:cs="宋体"/>
                <w:i w:val="false"/>
                <w:color w:val="000000"/>
                <w:kern w:val="0"/>
                <w:sz w:val="22"/>
                <w:szCs w:val="22"/>
                <w:u w:val="none"/>
                <w:lang w:val="en-US" w:eastAsia="zh-CN" w:bidi="ar"/>
              </w:rPr>
              <w:t>栏次</w:t>
            </w:r>
          </w:p>
        </w:tc>
        <w:tc>
          <w:tcPr>
            <w:tcW w:w="623"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2</w:t>
            </w:r>
          </w:p>
        </w:tc>
        <w:tc>
          <w:tcPr>
            <w:tcW w:w="477"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5</w:t>
            </w:r>
          </w:p>
        </w:tc>
        <w:tc>
          <w:tcPr>
            <w:tcW w:w="591"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8</w:t>
            </w:r>
          </w:p>
        </w:tc>
        <w:tc>
          <w:tcPr>
            <w:tcW w:w="477"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11</w:t>
            </w:r>
          </w:p>
        </w:tc>
        <w:tc>
          <w:tcPr>
            <w:tcW w:w="600"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12</w:t>
            </w:r>
          </w:p>
        </w:tc>
        <w:tc>
          <w:tcPr>
            <w:tcW w:w="641"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b/>
                <w:bCs/>
                <w:color w:val="000000"/>
                <w:kern w:val="0"/>
                <w:sz w:val="22"/>
                <w:szCs w:val="22"/>
              </w:rPr>
            </w:pPr>
            <w:r>
              <w:rPr>
                <w:rFonts w:hint="eastAsia" w:ascii="宋体" w:hAnsi="宋体" w:eastAsia="宋体" w:cs="宋体"/>
                <w:i w:val="false"/>
                <w:color w:val="000000"/>
                <w:kern w:val="0"/>
                <w:sz w:val="22"/>
                <w:szCs w:val="22"/>
                <w:u w:val="none"/>
                <w:lang w:val="en-US" w:eastAsia="zh-CN" w:bidi="ar"/>
              </w:rPr>
              <w:t>13</w:t>
            </w:r>
          </w:p>
        </w:tc>
      </w:tr>
      <w:tr>
        <w:trPr>
          <w:wBefore/>
          <w:trHeight w:val="500" w:hRule="atLeast"/>
        </w:trPr>
        <w:tc>
          <w:tcPr>
            <w:tcW w:w="371"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s="Arial"/>
                <w:color w:val="000000"/>
                <w:kern w:val="0"/>
                <w:sz w:val="22"/>
                <w:szCs w:val="22"/>
              </w:rPr>
            </w:pPr>
          </w:p>
        </w:tc>
        <w:tc>
          <w:tcPr>
            <w:tcW w:w="360" w:type="dxa"/>
            <w:vMerge w:val="continue"/>
            <w:tcBorders>
              <w:top w:val="nil"/>
              <w:left w:val="single" w:color="000000" w:sz="4" w:space="0"/>
              <w:bottom w:val="single" w:color="000000" w:sz="4" w:space="0"/>
              <w:right w:val="single" w:color="000000" w:sz="4" w:space="0"/>
            </w:tcBorders>
            <w:vAlign w:val="center"/>
          </w:tcPr>
          <w:p>
            <w:pPr>
              <w:jc w:val="center"/>
              <w:rPr/>
            </w:pPr>
          </w:p>
        </w:tc>
        <w:tc>
          <w:tcPr>
            <w:tcW w:w="404" w:type="dxa"/>
            <w:vMerge w:val="continue"/>
            <w:tcBorders>
              <w:top w:val="nil"/>
              <w:left w:val="single" w:color="000000" w:sz="4" w:space="0"/>
              <w:bottom w:val="single" w:color="000000" w:sz="4" w:space="0"/>
              <w:right w:val="single" w:color="000000" w:sz="4" w:space="0"/>
            </w:tcBorders>
            <w:vAlign w:val="center"/>
          </w:tcPr>
          <w:p>
            <w:pPr>
              <w:jc w:val="center"/>
              <w:rPr/>
            </w:pPr>
          </w:p>
        </w:tc>
        <w:tc>
          <w:tcPr>
            <w:tcW w:w="774" w:type="dxa"/>
            <w:tcBorders>
              <w:top w:val="nil"/>
              <w:left w:val="nil"/>
              <w:bottom w:val="single" w:color="000000" w:sz="4" w:space="0"/>
              <w:right w:val="single" w:color="000000" w:sz="4" w:space="0"/>
            </w:tcBorders>
            <w:vAlign w:val="center"/>
          </w:tcPr>
          <w:p>
            <w:pPr>
              <w:keepNext w:val="false"/>
              <w:keepLines w:val="false"/>
              <w:widowControl/>
              <w:suppressLineNumbers w:val="false"/>
              <w:ind/>
              <w:jc w:val="center"/>
              <w:rPr>
                <w:rFonts w:ascii="宋体" w:hAnsi="宋体" w:eastAsia="宋体" w:cs="Arial"/>
                <w:color w:val="000000"/>
                <w:kern w:val="0"/>
                <w:sz w:val="22"/>
                <w:szCs w:val="22"/>
              </w:rPr>
            </w:pPr>
            <w:r>
              <w:rPr>
                <w:rFonts w:hint="eastAsia" w:ascii="宋体" w:hAnsi="宋体" w:eastAsia="宋体" w:cs="宋体"/>
                <w:i w:val="false"/>
                <w:color w:val="000000"/>
                <w:kern w:val="0"/>
                <w:sz w:val="22"/>
                <w:szCs w:val="22"/>
                <w:u w:val="none"/>
                <w:lang w:val="en-US" w:eastAsia="zh-CN" w:bidi="ar"/>
              </w:rPr>
              <w:t>合计</w:t>
            </w:r>
          </w:p>
        </w:tc>
        <w:tc>
          <w:tcPr>
            <w:tcW w:w="623"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501"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477" w:type="dxa"/>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550"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895.73</w:t>
            </w:r>
          </w:p>
        </w:tc>
        <w:tc>
          <w:tcPr>
            <w:tcW w:w="477"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591" w:type="dxa"/>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895.73</w:t>
            </w:r>
          </w:p>
        </w:tc>
        <w:tc>
          <w:tcPr>
            <w:tcW w:w="486"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895.73</w:t>
            </w:r>
          </w:p>
        </w:tc>
        <w:tc>
          <w:tcPr>
            <w:tcW w:w="546"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477" w:type="dxa"/>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895.73</w:t>
            </w:r>
          </w:p>
        </w:tc>
        <w:tc>
          <w:tcPr>
            <w:tcW w:w="494"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488" w:type="dxa"/>
            <w:gridSpan w:val="2"/>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600" w:type="dxa"/>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c>
          <w:tcPr>
            <w:tcW w:w="641" w:type="dxa"/>
            <w:tcBorders>
              <w:top w:val="nil"/>
              <w:left w:val="nil"/>
              <w:bottom w:val="single" w:color="000000" w:sz="4" w:space="0"/>
              <w:right w:val="single" w:color="000000" w:sz="4" w:space="0"/>
            </w:tcBorders>
            <w:vAlign w:val="center"/>
          </w:tcPr>
          <w:p>
            <w:pPr>
              <w:ind/>
              <w:jc w:val="right"/>
              <w:rPr>
                <w:rFonts w:ascii="宋体" w:hAnsi="宋体" w:eastAsia="宋体" w:cs="Arial"/>
                <w:color w:val="000000"/>
                <w:kern w:val="0"/>
                <w:sz w:val="22"/>
                <w:szCs w:val="22"/>
              </w:rPr>
            </w:pPr>
          </w:p>
        </w:tc>
      </w:tr>
      <w:tr>
        <w:trPr>
          <w:wBefore/>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widowControl/>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2120801</w:t>
            </w:r>
          </w:p>
        </w:tc>
        <w:tc>
          <w:tcPr>
            <w:tcW w:w="774" w:type="dxa"/>
            <w:tcBorders>
              <w:top w:val="nil"/>
              <w:left w:val="nil"/>
              <w:bottom w:val="single" w:color="auto" w:sz="4" w:space="0"/>
              <w:right w:val="single" w:color="000000" w:sz="4" w:space="0"/>
            </w:tcBorders>
            <w:vAlign w:val="center"/>
          </w:tcPr>
          <w:p>
            <w:pPr>
              <w:widowControl/>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征地和拆迁补偿支出</w:t>
            </w:r>
          </w:p>
        </w:tc>
        <w:tc>
          <w:tcPr>
            <w:tcW w:w="623"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01"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77" w:type="dxa"/>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50"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355.89　</w:t>
            </w:r>
          </w:p>
        </w:tc>
        <w:tc>
          <w:tcPr>
            <w:tcW w:w="477"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p>
        </w:tc>
        <w:tc>
          <w:tcPr>
            <w:tcW w:w="591" w:type="dxa"/>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xml:space="preserve">355.89 </w:t>
            </w:r>
          </w:p>
        </w:tc>
        <w:tc>
          <w:tcPr>
            <w:tcW w:w="486"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xml:space="preserve">355.89 </w:t>
            </w:r>
          </w:p>
        </w:tc>
        <w:tc>
          <w:tcPr>
            <w:tcW w:w="546"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77" w:type="dxa"/>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xml:space="preserve">355.89 </w:t>
            </w:r>
          </w:p>
        </w:tc>
        <w:tc>
          <w:tcPr>
            <w:tcW w:w="494"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88" w:type="dxa"/>
            <w:gridSpan w:val="2"/>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600" w:type="dxa"/>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641" w:type="dxa"/>
            <w:tcBorders>
              <w:top w:val="nil"/>
              <w:left w:val="nil"/>
              <w:bottom w:val="single" w:color="auto" w:sz="4" w:space="0"/>
              <w:right w:val="single" w:color="000000"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r>
      <w:tr>
        <w:trPr>
          <w:wBefore/>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widowControl/>
              <w:numPr/>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2120804</w:t>
            </w:r>
          </w:p>
        </w:tc>
        <w:tc>
          <w:tcPr>
            <w:tcW w:w="774" w:type="dxa"/>
            <w:tcBorders>
              <w:top w:val="single" w:color="auto" w:sz="4" w:space="0"/>
              <w:left w:val="single" w:color="auto" w:sz="4" w:space="0"/>
              <w:bottom w:val="single" w:color="auto" w:sz="4" w:space="0"/>
              <w:right w:val="single" w:color="auto" w:sz="4" w:space="0"/>
            </w:tcBorders>
            <w:vAlign w:val="center"/>
          </w:tcPr>
          <w:p>
            <w:pPr>
              <w:widowControl/>
              <w:numPr/>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农村基础设施建设支出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295</w:t>
            </w:r>
          </w:p>
        </w:tc>
        <w:tc>
          <w:tcPr>
            <w:tcW w:w="477"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591"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295</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295</w:t>
            </w:r>
          </w:p>
        </w:tc>
        <w:tc>
          <w:tcPr>
            <w:tcW w:w="546"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295</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488"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r>
      <w:tr>
        <w:trPr>
          <w:wBefore/>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widowControl/>
              <w:numPr/>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2120816</w:t>
            </w:r>
          </w:p>
        </w:tc>
        <w:tc>
          <w:tcPr>
            <w:tcW w:w="774" w:type="dxa"/>
            <w:tcBorders>
              <w:top w:val="single" w:color="auto" w:sz="4" w:space="0"/>
              <w:left w:val="single" w:color="auto" w:sz="4" w:space="0"/>
              <w:bottom w:val="single" w:color="auto" w:sz="4" w:space="0"/>
              <w:right w:val="single" w:color="auto" w:sz="4" w:space="0"/>
            </w:tcBorders>
            <w:vAlign w:val="center"/>
          </w:tcPr>
          <w:p>
            <w:pPr>
              <w:widowControl/>
              <w:numPr/>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农业农村生态环境支出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27.81</w:t>
            </w:r>
          </w:p>
        </w:tc>
        <w:tc>
          <w:tcPr>
            <w:tcW w:w="477"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591"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27.81</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27.81</w:t>
            </w:r>
          </w:p>
        </w:tc>
        <w:tc>
          <w:tcPr>
            <w:tcW w:w="546"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27.81</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488" w:type="dxa"/>
            <w:gridSpan w:val="2"/>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numPr/>
              <w:ind/>
              <w:jc w:val="right"/>
              <w:rPr>
                <w:rFonts w:ascii="宋体" w:hAnsi="宋体" w:eastAsia="宋体" w:cs="Arial"/>
                <w:color w:val="000000"/>
                <w:kern w:val="0"/>
                <w:sz w:val="22"/>
                <w:szCs w:val="22"/>
              </w:rPr>
            </w:pPr>
          </w:p>
        </w:tc>
      </w:tr>
      <w:tr>
        <w:trPr>
          <w:wBefore/>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widowControl/>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2120899</w:t>
            </w:r>
          </w:p>
        </w:tc>
        <w:tc>
          <w:tcPr>
            <w:tcW w:w="774" w:type="dxa"/>
            <w:tcBorders>
              <w:top w:val="single" w:color="auto" w:sz="4" w:space="0"/>
              <w:left w:val="single" w:color="auto" w:sz="4" w:space="0"/>
              <w:bottom w:val="single" w:color="auto" w:sz="4" w:space="0"/>
              <w:right w:val="single" w:color="auto" w:sz="4" w:space="0"/>
            </w:tcBorders>
            <w:vAlign w:val="center"/>
          </w:tcPr>
          <w:p>
            <w:pPr>
              <w:widowControl/>
              <w:ind/>
              <w:jc w:val="left"/>
              <w:rPr>
                <w:rFonts w:ascii="宋体" w:hAnsi="宋体" w:eastAsia="宋体" w:cs="Arial"/>
                <w:color w:val="000000"/>
                <w:kern w:val="0"/>
                <w:sz w:val="22"/>
                <w:szCs w:val="22"/>
              </w:rPr>
            </w:pPr>
            <w:r>
              <w:rPr>
                <w:rFonts w:ascii="宋体" w:hAnsi="宋体" w:eastAsia="宋体" w:cs="宋体"/>
                <w:i w:val="false"/>
                <w:strike w:val="false"/>
                <w:color w:val="000000"/>
                <w:spacing w:val="0"/>
                <w:sz w:val="22"/>
                <w:u w:val="none"/>
              </w:rPr>
              <w:t>其他国有土地使用权出让收入安排的支出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77" w:type="dxa"/>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217.01　</w:t>
            </w:r>
          </w:p>
        </w:tc>
        <w:tc>
          <w:tcPr>
            <w:tcW w:w="477"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217.01　</w:t>
            </w:r>
          </w:p>
        </w:tc>
        <w:tc>
          <w:tcPr>
            <w:tcW w:w="591" w:type="dxa"/>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77" w:type="dxa"/>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600" w:type="dxa"/>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641" w:type="dxa"/>
            <w:tcBorders>
              <w:top w:val="single" w:color="auto" w:sz="4" w:space="0"/>
              <w:left w:val="single" w:color="auto" w:sz="4" w:space="0"/>
              <w:bottom w:val="single" w:color="auto" w:sz="4" w:space="0"/>
              <w:right w:val="single" w:color="auto" w:sz="4" w:space="0"/>
            </w:tcBorders>
            <w:vAlign w:val="center"/>
          </w:tcPr>
          <w:p>
            <w:pPr>
              <w:widowControl/>
              <w:ind/>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r>
      <w:tr>
        <w:trPr>
          <w:wBefore/>
          <w:trHeight w:val="595" w:hRule="atLeast"/>
        </w:trPr>
        <w:tc>
          <w:tcPr>
            <w:tcW w:w="8860" w:type="dxa"/>
            <w:gridSpan w:val="25"/>
            <w:tcBorders>
              <w:top w:val="single" w:color="auto" w:sz="4" w:space="0"/>
              <w:left w:val="nil"/>
              <w:bottom w:val="nil"/>
              <w:right w:val="nil"/>
            </w:tcBorders>
            <w:vAlign w:val="center"/>
          </w:tcPr>
          <w:p>
            <w:pPr>
              <w:keepNext w:val="false"/>
              <w:keepLines w:val="false"/>
              <w:widowControl/>
              <w:suppressLineNumbers w:val="false"/>
              <w:ind/>
              <w:jc w:val="left"/>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注：本表反映部门本年度政府性基金预算财政拨款收入、支出及结转和结余情况。</w:t>
            </w:r>
          </w:p>
          <w:p>
            <w:pPr>
              <w:keepNext w:val="false"/>
              <w:keepLines w:val="false"/>
              <w:widowControl/>
              <w:suppressLineNumbers w:val="false"/>
              <w:ind/>
              <w:jc w:val="left"/>
              <w:rPr>
                <w:rFonts w:hint="eastAsia" w:ascii="宋体" w:hAnsi="宋体" w:eastAsia="宋体" w:cs="Arial"/>
                <w:color w:val="000000"/>
                <w:kern w:val="0"/>
                <w:sz w:val="22"/>
                <w:szCs w:val="22"/>
                <w:lang w:eastAsia="zh-CN"/>
              </w:rPr>
            </w:pPr>
            <w:r>
              <w:rPr>
                <w:rFonts w:hint="eastAsia" w:ascii="宋体" w:hAnsi="宋体" w:eastAsia="宋体" w:cs="宋体"/>
                <w:i w:val="false"/>
                <w:color w:val="000000"/>
                <w:kern w:val="0"/>
                <w:sz w:val="20"/>
                <w:szCs w:val="20"/>
                <w:u w:val="none"/>
                <w:lang w:val="en-US" w:eastAsia="zh-CN" w:bidi="ar"/>
              </w:rPr>
              <w:t>没有政府性基金预算收支的部门也要公开空白表，并备注“说明：XX单位没有政府性基金预算收入，也没有使用政府性基金预算安排的支出，故本表无数据。”</w:t>
            </w:r>
          </w:p>
        </w:tc>
      </w:tr>
    </w:tbl>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jc w:val="center"/>
        <w:rPr>
          <w:rFonts w:hint="eastAsia" w:ascii="黑体" w:hAnsi="黑体" w:eastAsia="黑体"/>
          <w:szCs w:val="32"/>
        </w:rPr>
      </w:pPr>
    </w:p>
    <w:p>
      <w:pPr>
        <w:ind/>
        <w:jc w:val="center"/>
        <w:rPr>
          <w:rFonts w:hint="eastAsia" w:ascii="黑体" w:hAnsi="黑体" w:eastAsia="黑体"/>
          <w:szCs w:val="32"/>
        </w:rPr>
      </w:pPr>
      <w:r>
        <w:rPr>
          <w:rFonts w:hint="eastAsia" w:ascii="黑体" w:hAnsi="黑体" w:eastAsia="黑体"/>
          <w:szCs w:val="32"/>
        </w:rPr>
        <w:t>国有资本经营预算财政拨款支出决算表</w:t>
      </w:r>
    </w:p>
    <w:tbl>
      <w:tblPr>
        <w:tblStyle w:val="000001"/>
        <w:tblW w:w="0" w:type="auto"/>
        <w:tblInd w:w="-15" w:type="dxa"/>
        <w:tblLayout w:type="fixed"/>
        <w:tblCellMar>
          <w:top w:w="15" w:type="dxa"/>
          <w:left w:w="108" w:type="dxa"/>
          <w:bottom w:w="15" w:type="dxa"/>
          <w:right w:w="108" w:type="dxa"/>
        </w:tblCellMar>
        <w:tblLook w:firstRow="false" w:lastRow="false" w:firstColumn="false" w:lastColumn="false" w:noHBand="false" w:noVBand="false"/>
      </w:tblPr>
      <w:tblGrid>
        <w:gridCol w:w="573"/>
        <w:gridCol w:w="573"/>
        <w:gridCol w:w="574"/>
        <w:gridCol w:w="1425"/>
        <w:gridCol w:w="1840"/>
        <w:gridCol w:w="1833"/>
        <w:gridCol w:w="1961"/>
      </w:tblGrid>
      <w:tr>
        <w:trPr>
          <w:wBefore/>
          <w:trHeight w:val="360" w:hRule="atLeast"/>
        </w:trPr>
        <w:tc>
          <w:tcPr>
            <w:tcW w:w="8779" w:type="dxa"/>
            <w:gridSpan w:val="7"/>
            <w:tcBorders>
              <w:top w:val="nil"/>
              <w:left w:val="nil"/>
              <w:bottom w:val="nil"/>
              <w:right w:val="nil"/>
            </w:tcBorders>
            <w:vAlign w:val="bottom"/>
          </w:tcPr>
          <w:p>
            <w:pPr>
              <w:widowControl/>
              <w:ind/>
              <w:jc w:val="right"/>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公开08表</w:t>
            </w:r>
          </w:p>
        </w:tc>
      </w:tr>
      <w:tr>
        <w:trPr>
          <w:wBefore/>
          <w:trHeight w:val="450" w:hRule="atLeast"/>
        </w:trPr>
        <w:tc>
          <w:tcPr>
            <w:tcW w:w="8779" w:type="dxa"/>
            <w:gridSpan w:val="7"/>
            <w:tcBorders>
              <w:top w:val="nil"/>
              <w:left w:val="nil"/>
              <w:bottom w:val="single" w:color="auto" w:sz="4" w:space="0"/>
              <w:right w:val="nil"/>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lang w:eastAsia="zh-CN"/>
              </w:rPr>
              <w:t>部门</w:t>
            </w:r>
            <w:r>
              <w:rPr>
                <w:rFonts w:hint="eastAsia" w:ascii="宋体" w:hAnsi="宋体" w:eastAsia="宋体" w:cs="Arial"/>
                <w:color w:val="000000"/>
                <w:kern w:val="0"/>
                <w:sz w:val="22"/>
                <w:szCs w:val="22"/>
              </w:rPr>
              <w:t>：                                                             金额单位：万元</w:t>
            </w:r>
          </w:p>
        </w:tc>
      </w:tr>
      <w:tr>
        <w:trPr>
          <w:wBefore/>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科目</w:t>
            </w:r>
            <w:r>
              <w:rPr>
                <w:rFonts w:hint="eastAsia" w:ascii="宋体" w:hAnsi="宋体" w:eastAsia="宋体" w:cs="Arial"/>
                <w:color w:val="000000"/>
                <w:kern w:val="0"/>
                <w:sz w:val="22"/>
                <w:szCs w:val="22"/>
                <w:lang w:eastAsia="zh-CN"/>
              </w:rPr>
              <w:t>代</w:t>
            </w:r>
            <w:r>
              <w:rPr>
                <w:rFonts w:hint="eastAsia" w:ascii="宋体" w:hAnsi="宋体" w:eastAsia="宋体" w:cs="Arial"/>
                <w:color w:val="000000"/>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本年支出</w:t>
            </w:r>
          </w:p>
        </w:tc>
      </w:tr>
      <w:tr>
        <w:trPr>
          <w:wBefore/>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r>
      <w:tr>
        <w:trPr>
          <w:wBefore/>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r>
        <w:trPr>
          <w:wBefore/>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r>
        <w:trPr>
          <w:wBefore/>
          <w:trHeight w:val="673" w:hRule="atLeast"/>
        </w:trPr>
        <w:tc>
          <w:tcPr>
            <w:tcW w:w="573"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类</w:t>
            </w:r>
          </w:p>
        </w:tc>
        <w:tc>
          <w:tcPr>
            <w:tcW w:w="573"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款</w:t>
            </w:r>
          </w:p>
        </w:tc>
        <w:tc>
          <w:tcPr>
            <w:tcW w:w="574"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3</w:t>
            </w:r>
          </w:p>
        </w:tc>
      </w:tr>
      <w:tr>
        <w:trPr>
          <w:wBefore/>
          <w:trHeight w:val="634"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r>
      <w:tr>
        <w:trPr>
          <w:wBefore/>
          <w:trHeight w:val="799"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840"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ind/>
              <w:jc w:val="center"/>
              <w:rPr>
                <w:rFonts w:hint="eastAsia" w:ascii="宋体" w:hAnsi="宋体" w:eastAsia="宋体" w:cs="Arial"/>
                <w:color w:val="000000"/>
                <w:kern w:val="0"/>
                <w:sz w:val="22"/>
                <w:szCs w:val="22"/>
              </w:rPr>
            </w:pPr>
          </w:p>
        </w:tc>
      </w:tr>
      <w:tr>
        <w:trPr>
          <w:wBefore/>
          <w:trHeight w:val="598" w:hRule="atLeast"/>
        </w:trPr>
        <w:tc>
          <w:tcPr>
            <w:tcW w:w="8779" w:type="dxa"/>
            <w:gridSpan w:val="7"/>
            <w:tcBorders>
              <w:top w:val="single" w:color="auto" w:sz="4" w:space="0"/>
              <w:left w:val="nil"/>
              <w:bottom w:val="nil"/>
              <w:right w:val="nil"/>
            </w:tcBorders>
            <w:vAlign w:val="center"/>
          </w:tcPr>
          <w:p>
            <w:pPr>
              <w:keepNext w:val="false"/>
              <w:keepLines w:val="false"/>
              <w:widowControl/>
              <w:suppressLineNumbers w:val="false"/>
              <w:ind/>
              <w:jc w:val="left"/>
              <w:rPr>
                <w:rFonts w:hint="eastAsia" w:ascii="宋体" w:hAnsi="宋体" w:eastAsia="宋体" w:cs="宋体"/>
                <w:i w:val="false"/>
                <w:color w:val="000000"/>
                <w:kern w:val="0"/>
                <w:sz w:val="20"/>
                <w:szCs w:val="20"/>
                <w:u w:val="none"/>
                <w:lang w:val="en-US" w:eastAsia="zh-CN" w:bidi="ar"/>
              </w:rPr>
            </w:pPr>
            <w:r>
              <w:rPr>
                <w:rFonts w:hint="eastAsia" w:ascii="宋体" w:hAnsi="宋体" w:eastAsia="宋体" w:cs="宋体"/>
                <w:i w:val="false"/>
                <w:color w:val="000000"/>
                <w:kern w:val="0"/>
                <w:sz w:val="20"/>
                <w:szCs w:val="20"/>
                <w:u w:val="none"/>
                <w:lang w:val="en-US" w:eastAsia="zh-CN" w:bidi="ar"/>
              </w:rPr>
              <w:t>注：本表反映部门本年度国有资本经营预算财政拨款支出情况。</w:t>
            </w:r>
          </w:p>
          <w:p>
            <w:pPr>
              <w:keepNext w:val="false"/>
              <w:keepLines w:val="false"/>
              <w:widowControl/>
              <w:suppressLineNumbers w:val="false"/>
              <w:ind/>
              <w:jc w:val="left"/>
              <w:rPr>
                <w:rFonts w:hint="eastAsia" w:ascii="宋体" w:hAnsi="宋体" w:eastAsia="宋体" w:cs="Arial"/>
                <w:color w:val="000000"/>
                <w:kern w:val="0"/>
                <w:sz w:val="22"/>
                <w:szCs w:val="22"/>
              </w:rPr>
            </w:pPr>
            <w:r>
              <w:rPr>
                <w:rFonts w:hint="eastAsia" w:ascii="宋体" w:hAnsi="宋体" w:eastAsia="宋体" w:cs="宋体"/>
                <w:i w:val="false"/>
                <w:color w:val="000000"/>
                <w:kern w:val="0"/>
                <w:sz w:val="20"/>
                <w:szCs w:val="20"/>
                <w:u w:val="none"/>
                <w:lang w:val="en-US" w:eastAsia="zh-CN" w:bidi="ar"/>
              </w:rPr>
              <w:t>没有国有资本经营预算收支的部门也要公开空白表，并备注“说明：XX单位没有国有资本经营预算财政拨款安排的支出，故本表无数据。”</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r>
        <w:rPr>
          <w:rFonts w:hint="eastAsia" w:ascii="黑体" w:hAnsi="黑体" w:eastAsia="黑体"/>
          <w:szCs w:val="32"/>
        </w:rPr>
        <w:t xml:space="preserve">第三部分 </w:t>
      </w:r>
      <w:r>
        <w:rPr>
          <w:rFonts w:hint="eastAsia" w:ascii="黑体" w:hAnsi="黑体" w:eastAsia="黑体"/>
          <w:szCs w:val="32"/>
          <w:lang w:val="en-US" w:eastAsia="zh-CN"/>
        </w:rPr>
        <w:t>寿县</w:t>
      </w:r>
      <w:r>
        <w:rPr>
          <w:rFonts w:hint="eastAsia" w:ascii="黑体" w:hAnsi="黑体" w:eastAsia="黑体"/>
          <w:szCs w:val="32"/>
          <w:lang w:eastAsia="zh-CN"/>
        </w:rPr>
        <w:t>安丰镇人民政府202</w:t>
      </w:r>
      <w:r>
        <w:rPr>
          <w:rFonts w:hint="eastAsia" w:ascii="黑体" w:hAnsi="黑体" w:eastAsia="黑体"/>
          <w:szCs w:val="32"/>
          <w:lang w:val="en-US" w:eastAsia="zh-CN"/>
        </w:rPr>
        <w:t>4</w:t>
      </w:r>
      <w:r>
        <w:rPr>
          <w:rFonts w:hint="eastAsia" w:ascii="黑体" w:hAnsi="黑体" w:eastAsia="黑体"/>
          <w:szCs w:val="32"/>
        </w:rPr>
        <w:t>年度</w:t>
      </w:r>
      <w:r>
        <w:rPr>
          <w:rFonts w:hint="eastAsia" w:ascii="黑体" w:hAnsi="黑体" w:eastAsia="黑体"/>
          <w:szCs w:val="32"/>
          <w:lang w:eastAsia="zh-CN"/>
        </w:rPr>
        <w:t>部门</w:t>
      </w:r>
      <w:r>
        <w:rPr>
          <w:rFonts w:hint="eastAsia" w:ascii="黑体" w:hAnsi="黑体" w:eastAsia="黑体"/>
          <w:szCs w:val="32"/>
        </w:rPr>
        <w:t>决算情况说明</w:t>
      </w:r>
    </w:p>
    <w:p>
      <w:pPr>
        <w:ind w:firstLine="628" w:firstLineChars="200"/>
        <w:rPr>
          <w:rFonts w:hint="eastAsia" w:ascii="黑体" w:hAnsi="黑体" w:eastAsia="黑体"/>
          <w:szCs w:val="32"/>
        </w:rPr>
      </w:pPr>
      <w:r>
        <w:rPr>
          <w:rFonts w:hint="eastAsia" w:ascii="黑体" w:hAnsi="黑体" w:eastAsia="黑体"/>
          <w:szCs w:val="32"/>
        </w:rPr>
        <w:t>一、收入支出决算总体情况说明</w:t>
      </w:r>
    </w:p>
    <w:p>
      <w:pPr>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年度收入总计18251万元（含使用非财政拨款结余</w:t>
      </w:r>
      <w:r>
        <w:rPr>
          <w:rFonts w:hint="eastAsia" w:ascii="仿宋_GB2312" w:hAnsi="仿宋"/>
          <w:szCs w:val="32"/>
          <w:lang w:eastAsia="zh-CN"/>
        </w:rPr>
        <w:t>、</w:t>
      </w:r>
      <w:r>
        <w:rPr>
          <w:rFonts w:hint="eastAsia" w:ascii="仿宋_GB2312" w:hAnsi="仿宋"/>
          <w:szCs w:val="32"/>
        </w:rPr>
        <w:t>年初结转</w:t>
      </w:r>
      <w:r>
        <w:rPr>
          <w:rFonts w:hint="eastAsia" w:ascii="仿宋_GB2312" w:hAnsi="仿宋"/>
          <w:szCs w:val="32"/>
          <w:lang w:eastAsia="zh-CN"/>
        </w:rPr>
        <w:t>和</w:t>
      </w:r>
      <w:r>
        <w:rPr>
          <w:rFonts w:hint="eastAsia" w:ascii="仿宋_GB2312" w:hAnsi="仿宋"/>
          <w:szCs w:val="32"/>
        </w:rPr>
        <w:t>结余）、支出总计18036万元（含结余分配</w:t>
      </w:r>
      <w:r>
        <w:rPr>
          <w:rFonts w:hint="eastAsia" w:ascii="仿宋_GB2312" w:hAnsi="仿宋"/>
          <w:szCs w:val="32"/>
          <w:lang w:eastAsia="zh-CN"/>
        </w:rPr>
        <w:t>、</w:t>
      </w:r>
      <w:r>
        <w:rPr>
          <w:rFonts w:hint="eastAsia" w:ascii="仿宋_GB2312" w:hAnsi="仿宋"/>
          <w:szCs w:val="32"/>
        </w:rPr>
        <w:t>年末结转</w:t>
      </w:r>
      <w:r>
        <w:rPr>
          <w:rFonts w:hint="eastAsia" w:ascii="仿宋_GB2312" w:hAnsi="仿宋"/>
          <w:szCs w:val="32"/>
          <w:lang w:eastAsia="zh-CN"/>
        </w:rPr>
        <w:t>和</w:t>
      </w:r>
      <w:r>
        <w:rPr>
          <w:rFonts w:hint="eastAsia" w:ascii="仿宋_GB2312" w:hAnsi="仿宋"/>
          <w:szCs w:val="32"/>
        </w:rPr>
        <w:t>结余）。与</w:t>
      </w:r>
      <w:r>
        <w:rPr>
          <w:rFonts w:hint="eastAsia" w:ascii="仿宋_GB2312" w:hAnsi="仿宋"/>
          <w:szCs w:val="32"/>
          <w:lang w:eastAsia="zh-CN"/>
        </w:rPr>
        <w:t>2023</w:t>
      </w:r>
      <w:r>
        <w:rPr>
          <w:rFonts w:hint="eastAsia" w:ascii="仿宋_GB2312" w:hAnsi="仿宋"/>
          <w:szCs w:val="32"/>
        </w:rPr>
        <w:t>年相比，收入增加6004万元，增长49%，收入增加了3307万元，增长了22%，主要原因：</w:t>
      </w:r>
      <w:r>
        <w:rPr>
          <w:rFonts w:ascii="仿宋" w:hAnsi="仿宋" w:cs="仿宋"/>
          <w:i w:val="false"/>
          <w:strike w:val="false"/>
          <w:color w:val="333333"/>
          <w:spacing w:val="0"/>
          <w:sz w:val="32"/>
          <w:u w:val="none"/>
          <w:shd w:val="clear" w:color="auto" w:fill="FFFFFF"/>
        </w:rPr>
        <w:t>一般公共预算财政拨款收入和政府性基金预算财政拨款收入较上年</w:t>
      </w:r>
      <w:r>
        <w:rPr>
          <w:rFonts w:hint="eastAsia" w:ascii="仿宋" w:hAnsi="仿宋" w:cs="仿宋"/>
          <w:i w:val="false"/>
          <w:strike w:val="false"/>
          <w:color w:val="333333"/>
          <w:spacing w:val="0"/>
          <w:sz w:val="32"/>
          <w:u w:val="none"/>
          <w:shd w:val="clear" w:color="auto" w:fill="FFFFFF"/>
        </w:rPr>
        <w:t>增加</w:t>
      </w:r>
      <w:r>
        <w:rPr>
          <w:rFonts w:ascii="仿宋" w:hAnsi="仿宋" w:cs="仿宋"/>
          <w:i w:val="false"/>
          <w:strike w:val="false"/>
          <w:color w:val="333333"/>
          <w:spacing w:val="0"/>
          <w:sz w:val="32"/>
          <w:u w:val="none"/>
          <w:shd w:val="clear" w:color="auto" w:fill="FFFFFF"/>
        </w:rPr>
        <w:t>；二是代管资金收支今年纳入决算，梧桐二期金额庞大。</w:t>
      </w:r>
      <w:r>
        <w:rPr>
          <w:rFonts w:hint="eastAsia" w:ascii="仿宋_GB2312" w:hAnsi="仿宋"/>
          <w:szCs w:val="32"/>
        </w:rPr>
        <w:t>。</w:t>
      </w:r>
    </w:p>
    <w:p>
      <w:pPr>
        <w:ind w:firstLine="628" w:firstLineChars="200"/>
        <w:rPr>
          <w:rFonts w:hint="eastAsia" w:ascii="黑体" w:hAnsi="仿宋" w:eastAsia="黑体"/>
          <w:szCs w:val="32"/>
        </w:rPr>
      </w:pPr>
      <w:r>
        <w:rPr>
          <w:rFonts w:hint="eastAsia" w:ascii="黑体" w:hAnsi="仿宋" w:eastAsia="黑体"/>
          <w:szCs w:val="32"/>
        </w:rPr>
        <w:t>二、收入决算情况说明</w:t>
      </w:r>
    </w:p>
    <w:p>
      <w:pPr>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年度收入合计18251万元，其中：财政拨款收入8782万元，占48%；其他收入9468.91万元，占52%。</w:t>
      </w:r>
    </w:p>
    <w:p>
      <w:pPr>
        <w:ind w:firstLine="628" w:firstLineChars="200"/>
        <w:rPr>
          <w:rFonts w:hint="eastAsia" w:ascii="黑体" w:hAnsi="仿宋" w:eastAsia="黑体"/>
          <w:szCs w:val="32"/>
        </w:rPr>
      </w:pPr>
      <w:r>
        <w:rPr>
          <w:rFonts w:hint="eastAsia" w:ascii="黑体" w:hAnsi="仿宋" w:eastAsia="黑体"/>
          <w:szCs w:val="32"/>
        </w:rPr>
        <w:t>三、支出决算情况说明</w:t>
      </w:r>
    </w:p>
    <w:p>
      <w:pPr>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年度支出合计18036万元，其中：基本支出1287.22万元，占0.7%；项目支出16749.01万元，占93%。</w:t>
      </w:r>
    </w:p>
    <w:p>
      <w:pPr>
        <w:ind w:firstLine="628" w:firstLineChars="200"/>
        <w:rPr>
          <w:rFonts w:hint="eastAsia" w:ascii="黑体" w:hAnsi="黑体" w:eastAsia="黑体" w:cs="黑体"/>
          <w:b w:val="false"/>
          <w:bCs/>
          <w:color w:val="000000"/>
          <w:sz w:val="32"/>
          <w:szCs w:val="32"/>
        </w:rPr>
      </w:pPr>
      <w:r>
        <w:rPr>
          <w:rFonts w:hint="eastAsia" w:ascii="黑体" w:hAnsi="黑体" w:eastAsia="黑体" w:cs="黑体"/>
          <w:b w:val="false"/>
          <w:bCs/>
          <w:color w:val="000000"/>
          <w:sz w:val="32"/>
          <w:szCs w:val="32"/>
        </w:rPr>
        <w:t>四、财政拨款收入支出决算总体情况说明</w:t>
      </w:r>
    </w:p>
    <w:p>
      <w:pPr>
        <w:ind w:firstLine="628" w:firstLineChars="200"/>
        <w:rPr>
          <w:rFonts w:hint="eastAsia" w:ascii="仿宋_GB2312" w:hAnsi="仿宋"/>
          <w:szCs w:val="32"/>
        </w:rPr>
      </w:pPr>
      <w:r>
        <w:rPr>
          <w:rFonts w:hint="eastAsia" w:ascii="仿宋_GB2312" w:hAnsi="仿宋_GB2312" w:eastAsia="仿宋_GB2312" w:cs="仿宋_GB2312"/>
          <w:b w:val="false"/>
          <w:bCs/>
          <w:color w:val="000000"/>
          <w:sz w:val="32"/>
          <w:szCs w:val="32"/>
          <w:lang w:eastAsia="zh-CN"/>
        </w:rPr>
        <w:t>202</w:t>
      </w:r>
      <w:r>
        <w:rPr>
          <w:rFonts w:hint="eastAsia" w:ascii="仿宋_GB2312" w:hAnsi="仿宋_GB2312" w:cs="仿宋_GB2312"/>
          <w:b w:val="false"/>
          <w:bCs/>
          <w:color w:val="000000"/>
          <w:sz w:val="32"/>
          <w:szCs w:val="32"/>
          <w:lang w:val="en-US" w:eastAsia="zh-CN"/>
        </w:rPr>
        <w:t>4</w:t>
      </w:r>
      <w:r>
        <w:rPr>
          <w:rFonts w:hint="eastAsia" w:ascii="仿宋_GB2312" w:hAnsi="仿宋_GB2312" w:eastAsia="仿宋_GB2312" w:cs="仿宋_GB2312"/>
          <w:b w:val="false"/>
          <w:bCs/>
          <w:color w:val="000000"/>
          <w:sz w:val="32"/>
          <w:szCs w:val="32"/>
        </w:rPr>
        <w:t>年</w:t>
      </w:r>
      <w:r>
        <w:rPr>
          <w:rFonts w:hint="eastAsia" w:ascii="仿宋_GB2312" w:hAnsi="仿宋_GB2312" w:eastAsia="仿宋_GB2312" w:cs="仿宋_GB2312"/>
          <w:b w:val="false"/>
          <w:bCs/>
          <w:color w:val="000000"/>
          <w:sz w:val="32"/>
          <w:szCs w:val="32"/>
          <w:lang w:eastAsia="zh-CN"/>
        </w:rPr>
        <w:t>度</w:t>
      </w:r>
      <w:r>
        <w:rPr>
          <w:rFonts w:hint="eastAsia" w:ascii="仿宋_GB2312" w:hAnsi="仿宋_GB2312" w:eastAsia="仿宋_GB2312" w:cs="仿宋_GB2312"/>
          <w:b w:val="false"/>
          <w:bCs/>
          <w:color w:val="000000"/>
          <w:sz w:val="32"/>
          <w:szCs w:val="32"/>
        </w:rPr>
        <w:t>财政拨款收入</w:t>
      </w:r>
      <w:r>
        <w:rPr>
          <w:rFonts w:hint="eastAsia" w:ascii="仿宋_GB2312" w:hAnsi="仿宋"/>
          <w:szCs w:val="32"/>
        </w:rPr>
        <w:t>总计8782.52万元（含年初财政拨款结转</w:t>
      </w:r>
      <w:r>
        <w:rPr>
          <w:rFonts w:hint="eastAsia" w:ascii="仿宋_GB2312" w:hAnsi="仿宋_GB2312" w:eastAsia="仿宋_GB2312" w:cs="仿宋_GB2312"/>
          <w:b w:val="false"/>
          <w:bCs/>
          <w:color w:val="000000"/>
          <w:sz w:val="32"/>
          <w:szCs w:val="32"/>
          <w:lang w:eastAsia="zh-CN"/>
        </w:rPr>
        <w:t>和</w:t>
      </w:r>
      <w:r>
        <w:rPr>
          <w:rFonts w:hint="eastAsia" w:ascii="仿宋_GB2312" w:hAnsi="仿宋_GB2312" w:eastAsia="仿宋_GB2312" w:cs="仿宋_GB2312"/>
          <w:b w:val="false"/>
          <w:bCs/>
          <w:color w:val="000000"/>
          <w:sz w:val="32"/>
          <w:szCs w:val="32"/>
        </w:rPr>
        <w:t>结</w:t>
      </w:r>
      <w:r>
        <w:rPr>
          <w:rFonts w:hint="eastAsia" w:ascii="仿宋_GB2312" w:hAnsi="仿宋"/>
          <w:szCs w:val="32"/>
        </w:rPr>
        <w:t>余），支出总计8782.52万元（含年末财政拨款结转和结余）。与</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年相比，财政拨款收、支总计各减少3945.59万元，主要原因：</w:t>
      </w:r>
      <w:r>
        <w:rPr>
          <w:rFonts w:ascii="仿宋" w:hAnsi="仿宋" w:cs="仿宋"/>
          <w:i w:val="false"/>
          <w:strike w:val="false"/>
          <w:color w:val="333333"/>
          <w:spacing w:val="0"/>
          <w:sz w:val="32"/>
          <w:u w:val="none"/>
          <w:shd w:val="clear" w:color="auto" w:fill="FFFFFF"/>
        </w:rPr>
        <w:t>一般公共预算财政拨款收入和政府性基金预算财政拨款收入较上年减少</w:t>
      </w:r>
      <w:r>
        <w:rPr>
          <w:rFonts w:ascii="仿宋" w:hAnsi="仿宋" w:cs="仿宋"/>
          <w:i w:val="false"/>
          <w:strike w:val="false"/>
          <w:color w:val="000000"/>
          <w:spacing w:val="0"/>
          <w:sz w:val="32"/>
          <w:u w:val="none"/>
          <w:shd w:val="clear" w:color="auto" w:fill="FFFFFF"/>
        </w:rPr>
        <w:t>。</w:t>
      </w:r>
      <w:r>
        <w:rPr>
          <w:rFonts w:hint="eastAsia" w:ascii="仿宋_GB2312" w:hAnsi="仿宋"/>
          <w:color w:val="000000"/>
          <w:szCs w:val="32"/>
        </w:rPr>
        <w:t>。</w:t>
      </w:r>
    </w:p>
    <w:p>
      <w:pPr>
        <w:numPr>
          <w:ilvl w:val="0"/>
          <w:numId w:val="1"/>
        </w:numPr>
        <w:ind/>
        <w:rPr>
          <w:rFonts w:hint="eastAsia" w:ascii="黑体" w:hAnsi="仿宋" w:eastAsia="黑体"/>
          <w:szCs w:val="32"/>
        </w:rPr>
      </w:pPr>
      <w:r>
        <w:rPr>
          <w:rFonts w:hint="eastAsia" w:ascii="黑体" w:hAnsi="仿宋" w:eastAsia="黑体"/>
          <w:szCs w:val="32"/>
        </w:rPr>
        <w:t>五、一般公共预算财政拨款支出决算情况说明</w:t>
      </w:r>
    </w:p>
    <w:p>
      <w:pPr>
        <w:ind w:firstLine="628" w:firstLineChars="200"/>
        <w:rPr>
          <w:rFonts w:hint="eastAsia" w:ascii="仿宋_GB2312" w:hAnsi="仿宋"/>
          <w:b/>
          <w:bCs/>
          <w:szCs w:val="32"/>
        </w:rPr>
      </w:pPr>
      <w:r>
        <w:rPr>
          <w:rFonts w:hint="eastAsia" w:ascii="仿宋_GB2312" w:hAnsi="仿宋"/>
          <w:b/>
          <w:bCs/>
          <w:szCs w:val="32"/>
        </w:rPr>
        <w:t>（一）一般公共预算财政拨款支出决算总体情况。</w:t>
      </w:r>
    </w:p>
    <w:p>
      <w:pPr>
        <w:ind w:firstLine="628" w:firstLineChars="200"/>
        <w:rPr>
          <w:rFonts w:hint="eastAsia" w:ascii="仿宋_GB2312" w:hAnsi="仿宋"/>
          <w:color w:val="0000FF"/>
          <w:szCs w:val="32"/>
        </w:rPr>
      </w:pPr>
      <w:r>
        <w:rPr>
          <w:rFonts w:hint="eastAsia" w:ascii="仿宋_GB2312" w:hAnsi="仿宋_GB2312" w:eastAsia="仿宋_GB2312" w:cs="仿宋_GB2312"/>
          <w:b w:val="false"/>
          <w:bCs/>
          <w:color w:val="000000"/>
          <w:sz w:val="32"/>
          <w:szCs w:val="32"/>
          <w:lang w:eastAsia="zh-CN"/>
        </w:rPr>
        <w:t>202</w:t>
      </w:r>
      <w:r>
        <w:rPr>
          <w:rFonts w:hint="eastAsia" w:ascii="仿宋_GB2312" w:hAnsi="仿宋_GB2312" w:cs="仿宋_GB2312"/>
          <w:b w:val="false"/>
          <w:bCs/>
          <w:color w:val="000000"/>
          <w:sz w:val="32"/>
          <w:szCs w:val="32"/>
          <w:lang w:val="en-US" w:eastAsia="zh-CN"/>
        </w:rPr>
        <w:t>4</w:t>
      </w:r>
      <w:r>
        <w:rPr>
          <w:rFonts w:hint="eastAsia" w:ascii="仿宋_GB2312" w:hAnsi="仿宋_GB2312" w:eastAsia="仿宋_GB2312" w:cs="仿宋_GB2312"/>
          <w:b w:val="false"/>
          <w:bCs/>
          <w:color w:val="000000"/>
          <w:sz w:val="32"/>
          <w:szCs w:val="32"/>
          <w:lang w:eastAsia="zh-CN"/>
        </w:rPr>
        <w:t>年度一般公共预算财政拨款支出8782.52万元，占本年支出的49%。</w:t>
      </w:r>
    </w:p>
    <w:p>
      <w:pPr>
        <w:ind w:firstLine="628" w:firstLineChars="200"/>
        <w:rPr>
          <w:rFonts w:hint="eastAsia" w:ascii="仿宋_GB2312" w:hAnsi="仿宋"/>
          <w:b/>
          <w:szCs w:val="32"/>
        </w:rPr>
      </w:pPr>
      <w:r>
        <w:rPr>
          <w:rFonts w:hint="eastAsia" w:ascii="仿宋_GB2312" w:hAnsi="仿宋"/>
          <w:b/>
          <w:szCs w:val="32"/>
        </w:rPr>
        <w:t>（二）一般公共预算财政拨款支出决算结构情况。</w:t>
      </w:r>
    </w:p>
    <w:p>
      <w:pPr>
        <w:ind w:firstLine="628" w:firstLineChars="200"/>
        <w:rPr>
          <w:rFonts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年度一般公共预算财政拨款支出8782.52万元，主要用于以下方面：</w:t>
      </w:r>
      <w:r>
        <w:rPr>
          <w:rFonts w:hint="eastAsia" w:ascii="仿宋_GB2312" w:hAnsi="仿宋"/>
          <w:b/>
          <w:szCs w:val="32"/>
        </w:rPr>
        <w:t>一般公共服务（类）</w:t>
      </w:r>
      <w:r>
        <w:rPr>
          <w:rFonts w:hint="eastAsia" w:ascii="仿宋_GB2312" w:hAnsi="仿宋"/>
          <w:szCs w:val="32"/>
        </w:rPr>
        <w:t>支出1149.84万元，占13%;</w:t>
      </w:r>
      <w:r>
        <w:rPr>
          <w:rFonts w:hint="eastAsia" w:ascii="仿宋_GB2312" w:hAnsi="仿宋"/>
          <w:b/>
          <w:szCs w:val="32"/>
        </w:rPr>
        <w:t>文化</w:t>
      </w:r>
      <w:r>
        <w:rPr>
          <w:rFonts w:hint="eastAsia" w:ascii="仿宋_GB2312" w:hAnsi="仿宋"/>
          <w:b/>
          <w:szCs w:val="32"/>
          <w:lang w:eastAsia="zh-CN"/>
        </w:rPr>
        <w:t>旅游</w:t>
      </w:r>
      <w:r>
        <w:rPr>
          <w:rFonts w:hint="eastAsia" w:ascii="仿宋_GB2312" w:hAnsi="仿宋"/>
          <w:b/>
          <w:szCs w:val="32"/>
        </w:rPr>
        <w:t>体育与传媒（类）</w:t>
      </w:r>
      <w:r>
        <w:rPr>
          <w:rFonts w:hint="eastAsia" w:ascii="仿宋_GB2312" w:hAnsi="仿宋"/>
          <w:szCs w:val="32"/>
        </w:rPr>
        <w:t>支出22.75万元；</w:t>
      </w:r>
      <w:r>
        <w:rPr>
          <w:rFonts w:hint="eastAsia" w:ascii="仿宋_GB2312" w:hAnsi="仿宋"/>
          <w:b/>
          <w:szCs w:val="32"/>
        </w:rPr>
        <w:t>社会保障和就业（类）</w:t>
      </w:r>
      <w:r>
        <w:rPr>
          <w:rFonts w:hint="eastAsia" w:ascii="仿宋_GB2312" w:hAnsi="仿宋"/>
          <w:szCs w:val="32"/>
        </w:rPr>
        <w:t>支出175.59万元，占0.02%；</w:t>
      </w:r>
      <w:r>
        <w:rPr>
          <w:rFonts w:hint="eastAsia" w:ascii="仿宋_GB2312" w:hAnsi="仿宋"/>
          <w:b/>
          <w:szCs w:val="32"/>
        </w:rPr>
        <w:t>农林水（类）</w:t>
      </w:r>
      <w:r>
        <w:rPr>
          <w:rFonts w:hint="eastAsia" w:ascii="仿宋_GB2312" w:hAnsi="仿宋"/>
          <w:szCs w:val="32"/>
        </w:rPr>
        <w:t>支出5516.38万元，占63%；</w:t>
      </w:r>
      <w:r>
        <w:rPr>
          <w:rFonts w:hint="eastAsia" w:ascii="仿宋_GB2312" w:hAnsi="仿宋"/>
          <w:b/>
          <w:szCs w:val="32"/>
        </w:rPr>
        <w:t>住房保障（类）</w:t>
      </w:r>
      <w:r>
        <w:rPr>
          <w:rFonts w:hint="eastAsia" w:ascii="仿宋_GB2312" w:hAnsi="仿宋"/>
          <w:szCs w:val="32"/>
        </w:rPr>
        <w:t>支出70.63万元。</w:t>
      </w:r>
    </w:p>
    <w:p>
      <w:pPr>
        <w:ind w:firstLine="628" w:firstLineChars="200"/>
        <w:rPr>
          <w:rFonts w:hint="eastAsia" w:ascii="仿宋_GB2312" w:hAnsi="仿宋"/>
          <w:b/>
          <w:bCs/>
          <w:szCs w:val="32"/>
        </w:rPr>
      </w:pPr>
      <w:r>
        <w:rPr>
          <w:rFonts w:hint="eastAsia" w:ascii="仿宋_GB2312" w:hAnsi="仿宋"/>
          <w:b/>
          <w:bCs/>
          <w:szCs w:val="32"/>
        </w:rPr>
        <w:t>（三）一般公共预算财政拨款支出决算具体情况。</w:t>
      </w:r>
    </w:p>
    <w:p>
      <w:pPr>
        <w:ind w:firstLine="628" w:firstLineChars="200"/>
        <w:jc w:val="left"/>
        <w:rPr>
          <w:rFonts w:hint="eastAsia" w:ascii="仿宋_GB2312" w:hAnsi="仿宋"/>
          <w:szCs w:val="32"/>
        </w:rPr>
      </w:pPr>
      <w:r>
        <w:rPr>
          <w:rFonts w:hint="eastAsia" w:ascii="仿宋_GB2312" w:hAnsi="仿宋"/>
          <w:szCs w:val="32"/>
          <w:lang w:eastAsia="zh-CN"/>
        </w:rPr>
        <w:t xml:space="preserve">   2024</w:t>
      </w:r>
      <w:r>
        <w:rPr>
          <w:rFonts w:hint="eastAsia" w:ascii="仿宋_GB2312" w:hAnsi="仿宋"/>
          <w:szCs w:val="32"/>
        </w:rPr>
        <w:t>年度一般公共预算财政拨款支出年初预算为1344.2927万元，支出决算为7886.79万元，完成年初预算的587%。决算数大于预算数的主要原因:</w:t>
      </w:r>
      <w:r>
        <w:rPr>
          <w:rFonts w:ascii="仿宋" w:hAnsi="仿宋" w:cs="仿宋"/>
          <w:i w:val="false"/>
          <w:strike w:val="false"/>
          <w:color w:val="333333"/>
          <w:spacing w:val="0"/>
          <w:sz w:val="32"/>
          <w:u w:val="none"/>
          <w:shd w:val="clear" w:color="auto" w:fill="FFFFFF"/>
        </w:rPr>
        <w:t>一是乡镇只做保运转预算，实际支出项目增加；二是追加人员经费。</w:t>
      </w:r>
      <w:r>
        <w:rPr>
          <w:rFonts w:hint="eastAsia" w:ascii="仿宋_GB2312" w:hAnsi="仿宋"/>
          <w:szCs w:val="32"/>
        </w:rPr>
        <w:t>其中:基本支出963.24万元，占12%；项目支出6923.54万元，占88%。具体情况如下：</w:t>
      </w:r>
    </w:p>
    <w:p>
      <w:pPr>
        <w:ind w:firstLine="628" w:firstLineChars="200"/>
        <w:rPr>
          <w:rFonts w:hint="eastAsia" w:ascii="仿宋_GB2312" w:hAnsi="仿宋"/>
          <w:szCs w:val="32"/>
        </w:rPr>
      </w:pPr>
      <w:r>
        <w:rPr>
          <w:rFonts w:hint="eastAsia" w:ascii="仿宋_GB2312" w:hAnsi="仿宋"/>
          <w:szCs w:val="32"/>
        </w:rPr>
        <w:t>1.</w:t>
      </w:r>
      <w:r>
        <w:rPr>
          <w:rFonts w:hint="eastAsia" w:ascii="仿宋_GB2312" w:hAnsi="仿宋"/>
          <w:b/>
          <w:szCs w:val="32"/>
        </w:rPr>
        <w:t>一般公共服务（类）财政事务（款）行政运行（项）</w:t>
      </w:r>
      <w:r>
        <w:rPr>
          <w:rFonts w:hint="eastAsia" w:ascii="仿宋_GB2312" w:hAnsi="仿宋"/>
          <w:szCs w:val="32"/>
        </w:rPr>
        <w:t>。支出决算为713.71万元。</w:t>
      </w:r>
    </w:p>
    <w:p>
      <w:pPr>
        <w:ind w:firstLine="628" w:firstLineChars="200"/>
        <w:rPr>
          <w:rFonts w:hint="eastAsia" w:ascii="仿宋_GB2312" w:hAnsi="仿宋"/>
          <w:szCs w:val="32"/>
        </w:rPr>
      </w:pPr>
      <w:r>
        <w:rPr>
          <w:rFonts w:hint="eastAsia" w:ascii="仿宋_GB2312" w:hAnsi="仿宋"/>
          <w:szCs w:val="32"/>
        </w:rPr>
        <w:t>2.</w:t>
      </w:r>
      <w:r>
        <w:rPr>
          <w:rFonts w:hint="eastAsia" w:ascii="仿宋_GB2312" w:hAnsi="仿宋"/>
          <w:b/>
          <w:szCs w:val="32"/>
        </w:rPr>
        <w:t>一般公共服务（类）财政事务（款）一般行政管理事务（项）</w:t>
      </w:r>
      <w:r>
        <w:rPr>
          <w:rFonts w:hint="eastAsia" w:ascii="仿宋_GB2312" w:hAnsi="仿宋"/>
          <w:szCs w:val="32"/>
        </w:rPr>
        <w:t>。支出决算为33.16万元。</w:t>
      </w:r>
    </w:p>
    <w:p>
      <w:pPr>
        <w:snapToGrid/>
        <w:spacing w:before="0" w:after="0" w:line="240"/>
        <w:ind w:left="0" w:right="0" w:firstLine="628"/>
        <w:jc w:val="both"/>
        <w:rPr/>
      </w:pPr>
      <w:r>
        <w:rPr>
          <w:rFonts w:ascii="仿宋" w:hAnsi="仿宋" w:cs="仿宋"/>
          <w:i w:val="false"/>
          <w:strike w:val="false"/>
          <w:color w:val="333333"/>
          <w:spacing w:val="0"/>
          <w:sz w:val="32"/>
          <w:u w:val="none"/>
          <w:shd w:val="clear" w:color="auto" w:fill="FFFFFF"/>
        </w:rPr>
        <w:t xml:space="preserve">3. </w:t>
      </w:r>
      <w:r>
        <w:rPr>
          <w:rFonts w:ascii="仿宋" w:hAnsi="仿宋" w:cs="仿宋"/>
          <w:b/>
          <w:i w:val="false"/>
          <w:strike w:val="false"/>
          <w:color w:val="333333"/>
          <w:spacing w:val="0"/>
          <w:sz w:val="32"/>
          <w:u w:val="none"/>
          <w:shd w:val="clear" w:color="auto" w:fill="FFFFFF"/>
        </w:rPr>
        <w:t>一般公共服务（类）政府办公厅（室）及相关机构事务（款）</w:t>
      </w:r>
    </w:p>
    <w:p>
      <w:pPr>
        <w:snapToGrid/>
        <w:spacing w:before="0" w:after="0" w:line="240"/>
        <w:ind w:left="0" w:right="0" w:firstLine="628"/>
        <w:jc w:val="both"/>
        <w:rPr/>
      </w:pPr>
      <w:r>
        <w:rPr>
          <w:rFonts w:ascii="仿宋" w:hAnsi="仿宋" w:cs="仿宋"/>
          <w:b/>
          <w:i w:val="false"/>
          <w:strike w:val="false"/>
          <w:color w:val="333333"/>
          <w:spacing w:val="0"/>
          <w:sz w:val="32"/>
          <w:u w:val="none"/>
          <w:shd w:val="clear" w:color="auto" w:fill="FFFFFF"/>
        </w:rPr>
        <w:t>其他政府办公厅（室）及相关机构事务支出（项）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288.54</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ascii="仿宋" w:hAnsi="仿宋" w:cs="仿宋"/>
          <w:i w:val="false"/>
          <w:strike w:val="false"/>
          <w:color w:val="333333"/>
          <w:spacing w:val="0"/>
          <w:sz w:val="32"/>
          <w:u w:val="none"/>
          <w:shd w:val="clear" w:color="auto" w:fill="FFFFFF"/>
        </w:rPr>
        <w:t xml:space="preserve">4. </w:t>
      </w:r>
      <w:r>
        <w:rPr>
          <w:rFonts w:ascii="仿宋" w:hAnsi="仿宋" w:cs="仿宋"/>
          <w:b/>
          <w:i w:val="false"/>
          <w:strike w:val="false"/>
          <w:color w:val="333333"/>
          <w:spacing w:val="0"/>
          <w:sz w:val="32"/>
          <w:u w:val="none"/>
          <w:shd w:val="clear" w:color="auto" w:fill="FFFFFF"/>
        </w:rPr>
        <w:t>一般公共服务（类）政府办公厅（室）及相关机构事务（款）事业运行（项）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92.35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ascii="仿宋" w:hAnsi="仿宋" w:cs="仿宋"/>
          <w:i w:val="false"/>
          <w:strike w:val="false"/>
          <w:color w:val="333333"/>
          <w:spacing w:val="0"/>
          <w:sz w:val="32"/>
          <w:u w:val="none"/>
          <w:shd w:val="clear" w:color="auto" w:fill="FFFFFF"/>
        </w:rPr>
        <w:t xml:space="preserve">5. </w:t>
      </w:r>
      <w:r>
        <w:rPr>
          <w:rFonts w:ascii="仿宋" w:hAnsi="仿宋" w:cs="仿宋"/>
          <w:b/>
          <w:i w:val="false"/>
          <w:strike w:val="false"/>
          <w:color w:val="333333"/>
          <w:spacing w:val="0"/>
          <w:sz w:val="32"/>
          <w:u w:val="none"/>
          <w:shd w:val="clear" w:color="auto" w:fill="FFFFFF"/>
        </w:rPr>
        <w:t>一般公共服务（类）统计信息事务（款）专项普查活动（项）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6.03</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ascii="仿宋" w:hAnsi="仿宋" w:cs="仿宋"/>
          <w:i w:val="false"/>
          <w:strike w:val="false"/>
          <w:color w:val="333333"/>
          <w:spacing w:val="0"/>
          <w:sz w:val="32"/>
          <w:u w:val="none"/>
          <w:shd w:val="clear" w:color="auto" w:fill="FFFFFF"/>
        </w:rPr>
        <w:t xml:space="preserve">6. </w:t>
      </w:r>
      <w:r>
        <w:rPr>
          <w:rFonts w:ascii="仿宋" w:hAnsi="仿宋" w:cs="仿宋"/>
          <w:b/>
          <w:i w:val="false"/>
          <w:strike w:val="false"/>
          <w:color w:val="333333"/>
          <w:spacing w:val="0"/>
          <w:sz w:val="32"/>
          <w:u w:val="none"/>
          <w:shd w:val="clear" w:color="auto" w:fill="FFFFFF"/>
        </w:rPr>
        <w:t>一般公共服务（类）统计信息事务（款）</w:t>
      </w:r>
      <w:r>
        <w:rPr>
          <w:b/>
          <w:i w:val="false"/>
          <w:strike w:val="false"/>
          <w:color w:val="333333"/>
          <w:spacing w:val="0"/>
          <w:u w:val="none"/>
          <w:shd w:val="clear" w:color="auto" w:fill="FFFFFF"/>
        </w:rPr>
        <w:t>专项统计业务</w:t>
      </w:r>
      <w:r>
        <w:rPr>
          <w:rFonts w:ascii="仿宋" w:hAnsi="仿宋" w:cs="仿宋"/>
          <w:b/>
          <w:i w:val="false"/>
          <w:strike w:val="false"/>
          <w:color w:val="333333"/>
          <w:spacing w:val="0"/>
          <w:sz w:val="32"/>
          <w:u w:val="none"/>
          <w:shd w:val="clear" w:color="auto" w:fill="FFFFFF"/>
        </w:rPr>
        <w:t>（项）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1.09</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7</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社会保障和就业支出（类）行政事业单位养老支出（款）机关事业单位基本养老保险缴费支出（项）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80.79</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8</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社会保障和就业支出（类）行政事业单位养老支出（款）机关事业单位职业年金缴费支出（项）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40.39</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9</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社会保障和就业支出（类）就业补助（款）其他就业补助支出（项）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8.5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10</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社会保障和就业支出（类）退役安置（款）其他退役安置支出（项）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20.5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11</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社会保障和就业支出（类）社会福利（款）养老服务（项）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8.63</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12</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社会保障和就业支出（类）临时救助（款）临时救助支出（项）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12.64</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13</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社会保障和就业支出（类）退役军人管理事务（款）其他退役军人事务管理支出（项）</w:t>
      </w:r>
      <w:r>
        <w:rPr>
          <w:rFonts w:ascii="仿宋" w:hAnsi="仿宋" w:cs="仿宋"/>
          <w:i w:val="false"/>
          <w:strike w:val="false"/>
          <w:color w:val="333333"/>
          <w:spacing w:val="0"/>
          <w:sz w:val="32"/>
          <w:u w:val="none"/>
          <w:shd w:val="clear" w:color="auto" w:fill="FFFFFF"/>
        </w:rPr>
        <w:t>支出决算为9.16万元。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14</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社会保障和就业支出（类）其他社会保障和就业支出（款）其他社会保障和就业支出（项）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4.11</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15</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卫生健康支出（类）基层医疗卫生机构（款）其他基层医疗卫生机构支出（项）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61.68</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16</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卫生健康支出（类）公共卫生（款）</w:t>
      </w:r>
      <w:r>
        <w:rPr>
          <w:rFonts w:hint="eastAsia" w:ascii="仿宋" w:hAnsi="仿宋" w:cs="仿宋"/>
          <w:b/>
          <w:i w:val="false"/>
          <w:strike w:val="false"/>
          <w:color w:val="333333"/>
          <w:spacing w:val="0"/>
          <w:sz w:val="32"/>
          <w:u w:val="none"/>
          <w:shd w:val="clear" w:color="auto" w:fill="FFFFFF"/>
        </w:rPr>
        <w:t>基本</w:t>
      </w:r>
      <w:r>
        <w:rPr>
          <w:rFonts w:ascii="仿宋" w:hAnsi="仿宋" w:cs="仿宋"/>
          <w:b/>
          <w:i w:val="false"/>
          <w:strike w:val="false"/>
          <w:color w:val="333333"/>
          <w:spacing w:val="0"/>
          <w:sz w:val="32"/>
          <w:u w:val="none"/>
          <w:shd w:val="clear" w:color="auto" w:fill="FFFFFF"/>
        </w:rPr>
        <w:t>公共卫生服务（项）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0.96</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17</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卫生健康支出（类）计划生育事务（款）其他计划生育事务支出（项）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4</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18</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城乡社区支出（类）城乡社区管理事务（款）城管执法（项）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3.5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19</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农林水支出（类）农业农村（款）农业生产发展（项）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113.06</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20</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农林水支出（类）农业农村（款）农村社会事业（项）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162.11</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21</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农林水支出（类）农业农村（款）其他农业农村支出（项）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186.15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22</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农林水支出（类）水利（款）水利工程运行与维护（项）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2.5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23</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农林水支出（类）巩固拓展脱贫攻坚成果衔接乡村振兴（款）农村基础设施建设（项）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507.15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24</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农林水支出（类）巩固拓展脱贫攻坚成果衔接乡村振兴（款）生产发展（项）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156.8</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25</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农林水支出（类）巩固拓展脱贫攻坚成果衔接乡村振兴（款）其他巩固拓展脱贫攻坚成果衔接乡村振兴支出（项）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1539.42</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26</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农林水支出（类）农村综合改革（款）对村民委员会和村党支部的补助（项）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126.28</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27</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农林水支出（类）农村综合改革（款）对村集体经济组织的补助（项）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31</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28</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农林水支出（类）其他农林水支出（款）其他农林水支出（项）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2652.95</w:t>
      </w:r>
      <w:r>
        <w:rPr>
          <w:rFonts w:ascii="仿宋" w:hAnsi="仿宋" w:cs="仿宋"/>
          <w:i w:val="false"/>
          <w:strike w:val="false"/>
          <w:color w:val="333333"/>
          <w:spacing w:val="0"/>
          <w:sz w:val="32"/>
          <w:u w:val="none"/>
          <w:shd w:val="clear" w:color="auto" w:fill="FFFFFF"/>
        </w:rPr>
        <w:t>万元。</w:t>
      </w:r>
    </w:p>
    <w:p>
      <w:pPr>
        <w:snapToGrid/>
        <w:spacing w:before="0" w:after="0" w:line="240"/>
        <w:ind w:left="0" w:right="0" w:firstLine="628"/>
        <w:jc w:val="both"/>
        <w:rPr/>
      </w:pPr>
      <w:r>
        <w:rPr>
          <w:rFonts w:hint="eastAsia" w:ascii="仿宋" w:hAnsi="仿宋" w:cs="仿宋"/>
          <w:i w:val="false"/>
          <w:strike w:val="false"/>
          <w:color w:val="333333"/>
          <w:spacing w:val="0"/>
          <w:sz w:val="32"/>
          <w:u w:val="none"/>
          <w:shd w:val="clear" w:color="auto" w:fill="FFFFFF"/>
        </w:rPr>
        <w:t>29</w:t>
      </w:r>
      <w:r>
        <w:rPr>
          <w:rFonts w:ascii="仿宋" w:hAnsi="仿宋" w:cs="仿宋"/>
          <w:i w:val="false"/>
          <w:strike w:val="false"/>
          <w:color w:val="333333"/>
          <w:spacing w:val="0"/>
          <w:sz w:val="32"/>
          <w:u w:val="none"/>
          <w:shd w:val="clear" w:color="auto" w:fill="FFFFFF"/>
        </w:rPr>
        <w:t xml:space="preserve">. </w:t>
      </w:r>
      <w:r>
        <w:rPr>
          <w:rFonts w:ascii="仿宋" w:hAnsi="仿宋" w:cs="仿宋"/>
          <w:b/>
          <w:i w:val="false"/>
          <w:strike w:val="false"/>
          <w:color w:val="333333"/>
          <w:spacing w:val="0"/>
          <w:sz w:val="32"/>
          <w:u w:val="none"/>
          <w:shd w:val="clear" w:color="auto" w:fill="FFFFFF"/>
        </w:rPr>
        <w:t>住房保障支出（类）住房改革支出（款）住房公积金（项）</w:t>
      </w:r>
      <w:r>
        <w:rPr>
          <w:rFonts w:ascii="仿宋" w:hAnsi="仿宋" w:cs="仿宋"/>
          <w:i w:val="false"/>
          <w:strike w:val="false"/>
          <w:color w:val="333333"/>
          <w:spacing w:val="0"/>
          <w:sz w:val="32"/>
          <w:u w:val="none"/>
          <w:shd w:val="clear" w:color="auto" w:fill="FFFFFF"/>
        </w:rPr>
        <w:t>支出决算为</w:t>
      </w:r>
      <w:r>
        <w:rPr>
          <w:rFonts w:hint="eastAsia" w:ascii="仿宋" w:hAnsi="仿宋" w:cs="仿宋"/>
          <w:i w:val="false"/>
          <w:strike w:val="false"/>
          <w:color w:val="333333"/>
          <w:spacing w:val="0"/>
          <w:sz w:val="32"/>
          <w:u w:val="none"/>
          <w:shd w:val="clear" w:color="auto" w:fill="FFFFFF"/>
        </w:rPr>
        <w:t>70.62</w:t>
      </w:r>
      <w:r>
        <w:rPr>
          <w:rFonts w:ascii="仿宋" w:hAnsi="仿宋" w:cs="仿宋"/>
          <w:i w:val="false"/>
          <w:strike w:val="false"/>
          <w:color w:val="333333"/>
          <w:spacing w:val="0"/>
          <w:sz w:val="32"/>
          <w:u w:val="none"/>
          <w:shd w:val="clear" w:color="auto" w:fill="FFFFFF"/>
        </w:rPr>
        <w:t>万元。</w:t>
      </w:r>
    </w:p>
    <w:p>
      <w:pPr>
        <w:ind w:firstLine="628" w:firstLineChars="200"/>
        <w:rPr>
          <w:rFonts w:hint="eastAsia"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年度财政拨款基本支出963.25万元，其中</w:t>
      </w:r>
      <w:r>
        <w:rPr>
          <w:rFonts w:hint="eastAsia" w:ascii="仿宋_GB2312" w:hAnsi="仿宋"/>
          <w:color w:val="000000"/>
          <w:szCs w:val="32"/>
        </w:rPr>
        <w:t>：</w:t>
      </w:r>
      <w:r>
        <w:rPr>
          <w:rFonts w:hint="eastAsia" w:ascii="仿宋_GB2312" w:hAnsi="仿宋"/>
          <w:szCs w:val="32"/>
        </w:rPr>
        <w:t>人员经费924.27万元，主要包括:基本工资、津贴补贴、奖金、伙食补助费、绩效工资、机关事业单位基本养老保险</w:t>
      </w:r>
      <w:r>
        <w:rPr>
          <w:rFonts w:hint="eastAsia" w:ascii="仿宋_GB2312" w:hAnsi="仿宋"/>
          <w:szCs w:val="32"/>
          <w:lang w:eastAsia="zh-CN"/>
        </w:rPr>
        <w:t>缴</w:t>
      </w:r>
      <w:r>
        <w:rPr>
          <w:rFonts w:hint="eastAsia" w:ascii="仿宋_GB2312" w:hAnsi="仿宋"/>
          <w:szCs w:val="32"/>
        </w:rPr>
        <w:t>费、职业年金缴费、职工基本医疗保险缴费、公务员医疗补助缴费、其他社会保障缴费、住房公积金、医疗费、其他工资福利支出、离休费、退休费、退职（役）费、抚恤金、生活补助、救济费、医疗费补助、助学金、奖励金、个人农业生产补贴、</w:t>
      </w:r>
      <w:r>
        <w:rPr>
          <w:rFonts w:hint="eastAsia" w:ascii="仿宋_GB2312" w:hAnsi="仿宋"/>
          <w:szCs w:val="32"/>
          <w:lang w:eastAsia="zh-CN"/>
        </w:rPr>
        <w:t>代缴社会保险费、其他对个人和家庭的补助支出</w:t>
      </w:r>
      <w:r>
        <w:rPr>
          <w:rFonts w:hint="eastAsia" w:ascii="仿宋_GB2312" w:hAnsi="仿宋"/>
          <w:szCs w:val="32"/>
        </w:rPr>
        <w:t>；公用经费38.98万元，主要包括：办公费、印刷费、咨询费、手续费、水费、电费、邮电费、取暖费、物业管理费、差旅费、因公出国（境）费</w:t>
      </w:r>
      <w:r>
        <w:rPr>
          <w:rFonts w:hint="eastAsia" w:ascii="仿宋_GB2312" w:hAnsi="仿宋"/>
          <w:szCs w:val="32"/>
          <w:lang w:eastAsia="zh-CN"/>
        </w:rPr>
        <w:t>用</w:t>
      </w:r>
      <w:r>
        <w:rPr>
          <w:rFonts w:hint="eastAsia" w:ascii="仿宋_GB2312" w:hAnsi="仿宋"/>
          <w:szCs w:val="32"/>
        </w:rPr>
        <w:t>、维修（护）费、租赁费、会议费、培训费、公务接待费、专用材料费、被装购置费、专用燃料费、劳务费、委托业务费、工会经费、福利费、公务用车运行维护费、其他交通费用、税金及附加费用、</w:t>
      </w:r>
      <w:r>
        <w:rPr>
          <w:rFonts w:hint="eastAsia" w:ascii="仿宋_GB2312" w:hAnsi="仿宋"/>
          <w:szCs w:val="32"/>
          <w:lang w:eastAsia="zh-CN"/>
        </w:rPr>
        <w:t>其他商品和服务支出</w:t>
      </w:r>
      <w:r>
        <w:rPr>
          <w:rFonts w:hint="eastAsia" w:ascii="仿宋_GB2312" w:hAnsi="仿宋"/>
          <w:szCs w:val="32"/>
        </w:rPr>
        <w:t>、 国内债务付息、国外债务付息、国内债务发行费用、国外债务发行费用、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资本金注入、政府投资基金股权投资、费用补贴、利息补贴、其他对企业补助、对社会保险基金补助、补充全国社会保障基金、国家赔偿费用支出、对民间非营利组织和群众性自治组织补贴、</w:t>
      </w:r>
      <w:r>
        <w:rPr>
          <w:rFonts w:hint="eastAsia" w:ascii="仿宋_GB2312" w:hAnsi="仿宋"/>
          <w:szCs w:val="32"/>
          <w:lang w:eastAsia="zh-CN"/>
        </w:rPr>
        <w:t>经常性赠</w:t>
      </w:r>
      <w:r>
        <w:rPr>
          <w:rFonts w:hint="eastAsia" w:ascii="仿宋_GB2312" w:hAnsi="仿宋"/>
          <w:szCs w:val="32"/>
        </w:rPr>
        <w:t>与、</w:t>
      </w:r>
      <w:r>
        <w:rPr>
          <w:rFonts w:hint="eastAsia" w:ascii="仿宋_GB2312" w:hAnsi="仿宋"/>
          <w:szCs w:val="32"/>
          <w:lang w:eastAsia="zh-CN"/>
        </w:rPr>
        <w:t>资本性赠与、</w:t>
      </w:r>
      <w:r>
        <w:rPr>
          <w:rFonts w:hint="eastAsia" w:ascii="仿宋_GB2312" w:hAnsi="仿宋"/>
          <w:szCs w:val="32"/>
        </w:rPr>
        <w:t>其他支出等。</w:t>
      </w:r>
    </w:p>
    <w:p>
      <w:pPr>
        <w:ind w:firstLine="628" w:firstLineChars="200"/>
        <w:rPr>
          <w:rFonts w:hint="eastAsia" w:ascii="黑体" w:hAnsi="黑体" w:eastAsia="黑体"/>
          <w:szCs w:val="32"/>
        </w:rPr>
      </w:pPr>
      <w:r>
        <w:rPr>
          <w:rFonts w:hint="eastAsia" w:ascii="黑体" w:hAnsi="仿宋" w:eastAsia="黑体"/>
          <w:szCs w:val="32"/>
        </w:rPr>
        <w:t>七、</w:t>
      </w:r>
      <w:r>
        <w:rPr>
          <w:rFonts w:hint="eastAsia" w:ascii="黑体" w:hAnsi="黑体" w:eastAsia="黑体"/>
          <w:szCs w:val="32"/>
        </w:rPr>
        <w:t>政府性基金</w:t>
      </w:r>
      <w:r>
        <w:rPr>
          <w:rFonts w:hint="eastAsia" w:ascii="黑体" w:hAnsi="黑体" w:eastAsia="黑体"/>
          <w:szCs w:val="32"/>
          <w:lang w:eastAsia="zh-CN"/>
        </w:rPr>
        <w:t>预算</w:t>
      </w:r>
      <w:r>
        <w:rPr>
          <w:rFonts w:hint="eastAsia" w:ascii="黑体" w:hAnsi="黑体" w:eastAsia="黑体"/>
          <w:szCs w:val="32"/>
        </w:rPr>
        <w:t>财政拨款收入支出决算情况说明</w:t>
      </w:r>
    </w:p>
    <w:p>
      <w:pPr>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年度政府性基金预算财政拨款年初结转和结余0万元，本年收入895.73万元，本年支出895.73万元，年末结转和结余0万元。具体情况说明如下：</w:t>
      </w:r>
    </w:p>
    <w:p>
      <w:pPr>
        <w:numPr>
          <w:ilvl w:val="0"/>
          <w:numId w:val="2"/>
        </w:numPr>
        <w:pBdr/>
        <w:ind/>
        <w:rPr>
          <w:rFonts w:hint="eastAsia" w:ascii="黑体" w:hAnsi="黑体" w:eastAsia="黑体"/>
          <w:szCs w:val="32"/>
        </w:rPr>
      </w:pPr>
      <w:r>
        <w:rPr>
          <w:rFonts w:ascii="黑体" w:hAnsi="黑体" w:eastAsia="黑体" w:cs="黑体"/>
          <w:i w:val="false"/>
          <w:strike w:val="false"/>
          <w:spacing w:val="0"/>
          <w:u w:val="none"/>
        </w:rPr>
        <w:t>征地和拆迁补偿支出</w:t>
      </w:r>
      <w:r>
        <w:rPr>
          <w:rFonts w:hint="eastAsia" w:ascii="黑体" w:hAnsi="黑体" w:eastAsia="黑体" w:cs="黑体"/>
          <w:i w:val="false"/>
          <w:strike w:val="false"/>
          <w:spacing w:val="0"/>
          <w:u w:val="none"/>
        </w:rPr>
        <w:t>决算为355.9万元。</w:t>
      </w:r>
    </w:p>
    <w:p>
      <w:pPr>
        <w:numPr>
          <w:ilvl w:val="0"/>
          <w:numId w:val="2"/>
        </w:numPr>
        <w:pBdr/>
        <w:ind/>
        <w:rPr>
          <w:rFonts w:hint="eastAsia" w:ascii="黑体" w:hAnsi="黑体" w:eastAsia="黑体"/>
          <w:szCs w:val="32"/>
        </w:rPr>
      </w:pPr>
      <w:r>
        <w:rPr>
          <w:rFonts w:ascii="黑体" w:hAnsi="黑体" w:eastAsia="黑体" w:cs="黑体"/>
          <w:i w:val="false"/>
          <w:strike w:val="false"/>
          <w:spacing w:val="0"/>
          <w:u w:val="none"/>
        </w:rPr>
        <w:t>农村基础设施建设支出</w:t>
      </w:r>
      <w:r>
        <w:rPr>
          <w:rFonts w:hint="eastAsia" w:ascii="黑体" w:hAnsi="黑体" w:eastAsia="黑体" w:cs="黑体"/>
          <w:i w:val="false"/>
          <w:strike w:val="false"/>
          <w:spacing w:val="0"/>
          <w:u w:val="none"/>
        </w:rPr>
        <w:t>决算为295万元。</w:t>
      </w:r>
    </w:p>
    <w:p>
      <w:pPr>
        <w:numPr>
          <w:ilvl w:val="0"/>
          <w:numId w:val="2"/>
        </w:numPr>
        <w:pBdr/>
        <w:ind/>
        <w:rPr>
          <w:rFonts w:hint="eastAsia" w:ascii="黑体" w:hAnsi="黑体" w:eastAsia="黑体"/>
          <w:szCs w:val="32"/>
        </w:rPr>
      </w:pPr>
      <w:r>
        <w:rPr>
          <w:rFonts w:ascii="黑体" w:hAnsi="黑体" w:eastAsia="黑体" w:cs="黑体"/>
          <w:i w:val="false"/>
          <w:strike w:val="false"/>
          <w:spacing w:val="0"/>
          <w:u w:val="none"/>
        </w:rPr>
        <w:t>农业农村生态环境支出</w:t>
      </w:r>
      <w:r>
        <w:rPr>
          <w:rFonts w:hint="eastAsia" w:ascii="黑体" w:hAnsi="黑体" w:eastAsia="黑体" w:cs="黑体"/>
          <w:i w:val="false"/>
          <w:strike w:val="false"/>
          <w:spacing w:val="0"/>
          <w:u w:val="none"/>
        </w:rPr>
        <w:t>决算为27.81万元。</w:t>
      </w:r>
    </w:p>
    <w:p>
      <w:pPr>
        <w:numPr>
          <w:ilvl w:val="0"/>
          <w:numId w:val="2"/>
        </w:numPr>
        <w:pBdr/>
        <w:ind/>
        <w:rPr>
          <w:rFonts w:hint="eastAsia" w:ascii="黑体" w:hAnsi="黑体" w:eastAsia="黑体"/>
          <w:szCs w:val="32"/>
        </w:rPr>
      </w:pPr>
      <w:r>
        <w:rPr>
          <w:rFonts w:ascii="黑体" w:hAnsi="黑体" w:eastAsia="黑体" w:cs="黑体"/>
          <w:i w:val="false"/>
          <w:strike w:val="false"/>
          <w:spacing w:val="0"/>
          <w:u w:val="none"/>
        </w:rPr>
        <w:t>其他国有土地使用权出让收入安排的支出</w:t>
      </w:r>
      <w:r>
        <w:rPr>
          <w:rFonts w:hint="eastAsia" w:ascii="黑体" w:hAnsi="黑体" w:eastAsia="黑体" w:cs="黑体"/>
          <w:i w:val="false"/>
          <w:strike w:val="false"/>
          <w:spacing w:val="0"/>
          <w:u w:val="none"/>
        </w:rPr>
        <w:t>决算为217.02万元。</w:t>
      </w:r>
    </w:p>
    <w:p>
      <w:pPr>
        <w:ind w:left="976"/>
        <w:rPr>
          <w:rFonts w:hint="eastAsia" w:ascii="黑体" w:hAnsi="黑体" w:eastAsia="黑体"/>
          <w:szCs w:val="32"/>
        </w:rPr>
      </w:pPr>
      <w:r>
        <w:rPr>
          <w:rFonts w:hint="eastAsia" w:ascii="黑体" w:hAnsi="黑体" w:eastAsia="黑体"/>
          <w:szCs w:val="32"/>
        </w:rPr>
        <w:t>八、国有资本经营预算财政拨款支出情况说明</w:t>
      </w:r>
    </w:p>
    <w:p>
      <w:pPr>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年度国有资本经营预算财政拨款年初结转和结余0万元，本年收入0万元，本年支出0万元，年末结转和结余0万元。</w:t>
      </w:r>
    </w:p>
    <w:p>
      <w:pPr>
        <w:ind w:firstLine="628" w:firstLineChars="200"/>
        <w:rPr>
          <w:rFonts w:hint="eastAsia" w:ascii="楷体_GB2312" w:hAnsi="仿宋" w:eastAsia="楷体_GB2312"/>
          <w:szCs w:val="32"/>
        </w:rPr>
      </w:pPr>
    </w:p>
    <w:p>
      <w:pPr>
        <w:spacing w:line="600" w:lineRule="exact"/>
        <w:ind w:firstLine="628" w:firstLineChars="200"/>
        <w:rPr>
          <w:rFonts w:hint="eastAsia" w:ascii="黑体" w:hAnsi="黑体" w:eastAsia="黑体"/>
          <w:szCs w:val="32"/>
        </w:rPr>
      </w:pPr>
      <w:r>
        <w:rPr>
          <w:rFonts w:hint="eastAsia" w:ascii="黑体" w:hAnsi="黑体" w:eastAsia="黑体"/>
          <w:szCs w:val="32"/>
        </w:rPr>
        <w:t>九、其他重要事项情况说明</w:t>
      </w:r>
    </w:p>
    <w:p>
      <w:pPr>
        <w:spacing w:line="600" w:lineRule="exact"/>
        <w:ind w:firstLine="628" w:firstLineChars="200"/>
        <w:rPr>
          <w:rFonts w:hint="eastAsia" w:ascii="仿宋_GB2312" w:hAnsi="楷体"/>
          <w:b/>
          <w:szCs w:val="32"/>
        </w:rPr>
      </w:pPr>
      <w:r>
        <w:rPr>
          <w:rFonts w:hint="eastAsia" w:ascii="仿宋_GB2312" w:hAnsi="楷体"/>
          <w:b/>
          <w:szCs w:val="32"/>
        </w:rPr>
        <w:t>（一）机关运行经费支出情况。</w:t>
      </w:r>
    </w:p>
    <w:p>
      <w:pPr>
        <w:spacing w:line="600" w:lineRule="exact"/>
        <w:ind w:firstLine="628" w:firstLineChars="200"/>
        <w:rPr>
          <w:rFonts w:hint="eastAsia" w:ascii="仿宋_GB2312" w:hAnsi="仿宋"/>
          <w:szCs w:val="32"/>
        </w:rPr>
      </w:pP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w:t>
      </w:r>
      <w:r>
        <w:rPr>
          <w:rFonts w:hint="eastAsia" w:ascii="仿宋_GB2312" w:hAnsi="仿宋"/>
          <w:szCs w:val="32"/>
          <w:lang w:val="en-US" w:eastAsia="zh-CN"/>
        </w:rPr>
        <w:t>寿县</w:t>
      </w:r>
      <w:r>
        <w:rPr>
          <w:rFonts w:hint="eastAsia" w:ascii="仿宋_GB2312" w:hAnsi="仿宋"/>
          <w:szCs w:val="32"/>
          <w:lang w:eastAsia="zh-CN"/>
        </w:rPr>
        <w:t>安丰镇人民政府</w:t>
      </w:r>
      <w:r>
        <w:rPr>
          <w:rFonts w:hint="eastAsia" w:ascii="仿宋_GB2312" w:hAnsi="仿宋"/>
          <w:szCs w:val="32"/>
        </w:rPr>
        <w:t>机关运行经费支出XX万元，比</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年增加（减少）XX万元，增长（下降）XX%，主要原因是……。</w:t>
      </w:r>
    </w:p>
    <w:p>
      <w:pPr>
        <w:spacing w:line="600" w:lineRule="exact"/>
        <w:ind w:firstLine="628" w:firstLineChars="200"/>
        <w:rPr>
          <w:rFonts w:hint="eastAsia" w:ascii="仿宋_GB2312" w:hAnsi="楷体"/>
          <w:b/>
          <w:szCs w:val="32"/>
        </w:rPr>
      </w:pPr>
      <w:r>
        <w:rPr>
          <w:rFonts w:hint="eastAsia" w:ascii="仿宋_GB2312" w:hAnsi="楷体"/>
          <w:b/>
          <w:szCs w:val="32"/>
        </w:rPr>
        <w:t>（二）政府采购支出情况。</w:t>
      </w:r>
    </w:p>
    <w:p>
      <w:pPr>
        <w:ind/>
        <w:jc w:val="left"/>
        <w:rPr>
          <w:rFonts w:hint="eastAsia" w:ascii="仿宋_GB2312" w:hAnsi="仿宋"/>
          <w:szCs w:val="32"/>
        </w:rPr>
      </w:pPr>
      <w:r>
        <w:rPr>
          <w:rFonts w:hint="eastAsia" w:ascii="仿宋_GB2312" w:hAnsi="仿宋"/>
          <w:szCs w:val="32"/>
          <w:lang w:val="en-US" w:eastAsia="zh-CN"/>
        </w:rPr>
        <w:t xml:space="preserve">    </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w:t>
      </w:r>
      <w:r>
        <w:rPr>
          <w:rFonts w:hint="eastAsia" w:ascii="仿宋_GB2312" w:hAnsi="仿宋"/>
          <w:szCs w:val="32"/>
          <w:lang w:val="en-US" w:eastAsia="zh-CN"/>
        </w:rPr>
        <w:t>寿县</w:t>
      </w:r>
      <w:r>
        <w:rPr>
          <w:rFonts w:hint="eastAsia" w:ascii="仿宋_GB2312" w:hAnsi="仿宋"/>
          <w:szCs w:val="32"/>
          <w:lang w:eastAsia="zh-CN"/>
        </w:rPr>
        <w:t>安丰镇人民政府</w:t>
      </w:r>
      <w:r>
        <w:rPr>
          <w:rFonts w:hint="eastAsia" w:ascii="仿宋_GB2312" w:hAnsi="仿宋"/>
          <w:szCs w:val="32"/>
        </w:rPr>
        <w:t>政府采购支出总额1012.19万元，其中：设备购置11.98万元。</w:t>
      </w:r>
    </w:p>
    <w:p>
      <w:pPr>
        <w:spacing w:line="600" w:lineRule="exact"/>
        <w:ind w:firstLine="628" w:firstLineChars="200"/>
        <w:rPr>
          <w:rFonts w:hint="eastAsia" w:ascii="仿宋_GB2312" w:hAnsi="楷体"/>
          <w:b/>
          <w:szCs w:val="32"/>
        </w:rPr>
      </w:pPr>
      <w:r>
        <w:rPr>
          <w:rFonts w:hint="eastAsia" w:ascii="仿宋_GB2312" w:hAnsi="楷体"/>
          <w:b/>
          <w:szCs w:val="32"/>
        </w:rPr>
        <w:t>（三）国有资产占有使用情况。</w:t>
      </w:r>
    </w:p>
    <w:p>
      <w:pPr>
        <w:spacing w:line="600" w:lineRule="exact"/>
        <w:ind w:left="0" w:firstLine="628" w:firstLineChars="200"/>
        <w:rPr>
          <w:rFonts w:hint="eastAsia" w:ascii="仿宋_GB2312" w:hAnsi="楷体"/>
          <w:b/>
          <w:szCs w:val="32"/>
          <w:highlight w:val="yellow"/>
        </w:rPr>
      </w:pPr>
      <w:r>
        <w:rPr>
          <w:rFonts w:ascii="仿宋" w:hAnsi="仿宋" w:cs="仿宋"/>
          <w:i w:val="false"/>
          <w:strike w:val="false"/>
          <w:color w:val="333333"/>
          <w:spacing w:val="0"/>
          <w:sz w:val="32"/>
          <w:u w:val="none"/>
          <w:shd w:val="clear" w:color="auto" w:fill="FFFFFF"/>
        </w:rPr>
        <w:t>截至202</w:t>
      </w:r>
      <w:r>
        <w:rPr>
          <w:rFonts w:hint="eastAsia" w:ascii="仿宋" w:hAnsi="仿宋" w:cs="仿宋"/>
          <w:i w:val="false"/>
          <w:strike w:val="false"/>
          <w:color w:val="333333"/>
          <w:spacing w:val="0"/>
          <w:sz w:val="32"/>
          <w:u w:val="none"/>
          <w:shd w:val="clear" w:color="auto" w:fill="FFFFFF"/>
        </w:rPr>
        <w:t>4</w:t>
      </w:r>
      <w:r>
        <w:rPr>
          <w:rFonts w:ascii="仿宋" w:hAnsi="仿宋" w:cs="仿宋"/>
          <w:i w:val="false"/>
          <w:strike w:val="false"/>
          <w:color w:val="333333"/>
          <w:spacing w:val="0"/>
          <w:sz w:val="32"/>
          <w:u w:val="none"/>
          <w:shd w:val="clear" w:color="auto" w:fill="FFFFFF"/>
        </w:rPr>
        <w:t>年12月31日，安徽省安丰镇人民政府共有车辆3辆，其中：主要领导干部用车2辆、应急保障用车1辆。</w:t>
      </w:r>
    </w:p>
    <w:p>
      <w:pPr>
        <w:spacing w:line="600" w:lineRule="exact"/>
        <w:ind w:firstLine="628" w:firstLineChars="200"/>
        <w:rPr>
          <w:rFonts w:hint="eastAsia" w:ascii="黑体" w:hAnsi="黑体" w:eastAsia="黑体"/>
          <w:szCs w:val="32"/>
        </w:rPr>
      </w:pPr>
      <w:r>
        <w:rPr>
          <w:rFonts w:hint="eastAsia" w:ascii="黑体" w:hAnsi="黑体" w:eastAsia="黑体"/>
          <w:szCs w:val="32"/>
        </w:rPr>
        <w:t>第四部分 名词解释</w:t>
      </w:r>
    </w:p>
    <w:p>
      <w:pPr>
        <w:spacing w:line="600" w:lineRule="exact"/>
        <w:ind/>
        <w:rPr>
          <w:rFonts w:hint="eastAsia" w:ascii="仿宋_GB2312" w:hAnsi="仿宋"/>
          <w:szCs w:val="32"/>
        </w:rPr>
      </w:pPr>
      <w:r>
        <w:rPr>
          <w:rFonts w:hint="eastAsia" w:ascii="仿宋_GB2312" w:hAnsi="仿宋"/>
          <w:b/>
          <w:szCs w:val="32"/>
          <w:lang w:val="en-US" w:eastAsia="zh-CN"/>
        </w:rPr>
        <w:t xml:space="preserve">    </w:t>
      </w:r>
      <w:r>
        <w:rPr>
          <w:rFonts w:hint="eastAsia" w:ascii="仿宋_GB2312" w:hAnsi="仿宋"/>
          <w:b/>
          <w:szCs w:val="32"/>
        </w:rPr>
        <w:t>一、财政拨款收入：</w:t>
      </w:r>
      <w:r>
        <w:rPr>
          <w:rFonts w:hint="eastAsia" w:ascii="仿宋_GB2312" w:hAnsi="仿宋"/>
          <w:szCs w:val="32"/>
        </w:rPr>
        <w:t>指单位从同级财政部门取得的财政预算资金。</w:t>
      </w:r>
    </w:p>
    <w:p>
      <w:pPr>
        <w:spacing w:line="600" w:lineRule="exact"/>
        <w:ind/>
        <w:rPr>
          <w:rFonts w:hint="eastAsia" w:ascii="仿宋_GB2312" w:hAnsi="仿宋"/>
          <w:szCs w:val="32"/>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二、</w:t>
      </w:r>
      <w:r>
        <w:rPr>
          <w:rFonts w:hint="eastAsia" w:ascii="仿宋_GB2312" w:hAnsi="仿宋"/>
          <w:b/>
          <w:bCs/>
          <w:szCs w:val="32"/>
        </w:rPr>
        <w:t>事业收入：</w:t>
      </w:r>
      <w:r>
        <w:rPr>
          <w:rFonts w:hint="eastAsia" w:ascii="仿宋_GB2312" w:hAnsi="仿宋"/>
          <w:szCs w:val="32"/>
        </w:rPr>
        <w:t>指事业单位开展专业业务活动及辅助活动所取得的收入。</w:t>
      </w:r>
    </w:p>
    <w:p>
      <w:pPr>
        <w:spacing w:line="600" w:lineRule="exact"/>
        <w:ind/>
        <w:rPr>
          <w:rFonts w:ascii="仿宋_GB2312" w:hAnsi="黑体"/>
          <w:b/>
          <w:bCs/>
          <w:szCs w:val="32"/>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pPr>
        <w:pStyle w:val="00000a"/>
        <w:spacing w:before="0" w:beforeAutospacing="false" w:after="0" w:afterAutospacing="false"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00000a"/>
        <w:spacing w:before="0" w:beforeAutospacing="false" w:after="0" w:afterAutospacing="false"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color w:val="383535"/>
        </w:rPr>
        <w:t>：</w:t>
      </w:r>
      <w:r>
        <w:rPr>
          <w:rFonts w:hint="eastAsia" w:ascii="仿宋_GB2312" w:hAnsi="黑体" w:eastAsia="仿宋_GB2312"/>
          <w:bCs/>
          <w:sz w:val="32"/>
          <w:szCs w:val="32"/>
        </w:rPr>
        <w:t>指事业单位在专业业务活动及其辅助活动之外开展非独立核算经营活动取得的收入。</w:t>
      </w:r>
    </w:p>
    <w:p>
      <w:pPr>
        <w:spacing w:line="600" w:lineRule="exact"/>
        <w:ind/>
        <w:rPr>
          <w:rFonts w:hint="eastAsia" w:ascii="仿宋_GB2312" w:hAnsi="仿宋"/>
          <w:szCs w:val="32"/>
        </w:rPr>
      </w:pPr>
      <w:r>
        <w:rPr>
          <w:rFonts w:hint="eastAsia" w:ascii="仿宋_GB2312" w:hAnsi="黑体"/>
          <w:b/>
          <w:sz w:val="32"/>
          <w:szCs w:val="32"/>
          <w:lang w:val="en-US" w:eastAsia="zh-CN"/>
        </w:rPr>
        <w:t xml:space="preserve">    </w:t>
      </w: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指除财政拨款收入、事业收入、上级补助收入、附属单位上缴收入、经营收入以外的各项收</w:t>
      </w:r>
      <w:r>
        <w:rPr>
          <w:rFonts w:hint="eastAsia" w:ascii="仿宋_GB2312" w:hAnsi="仿宋"/>
          <w:szCs w:val="32"/>
        </w:rPr>
        <w:t>入。</w:t>
      </w:r>
    </w:p>
    <w:p>
      <w:pPr>
        <w:spacing w:line="600" w:lineRule="exact"/>
        <w:ind/>
        <w:rPr>
          <w:rFonts w:hint="eastAsia" w:ascii="仿宋_GB2312" w:hAnsi="黑体" w:eastAsia="仿宋_GB2312"/>
          <w:bCs/>
          <w:sz w:val="32"/>
          <w:szCs w:val="32"/>
          <w:lang w:eastAsia="zh-CN"/>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七</w:t>
      </w:r>
      <w:r>
        <w:rPr>
          <w:rFonts w:hint="eastAsia" w:ascii="仿宋_GB2312" w:hAnsi="仿宋"/>
          <w:szCs w:val="32"/>
          <w:lang w:eastAsia="zh-CN"/>
        </w:rPr>
        <w:t>、</w:t>
      </w:r>
      <w:r>
        <w:rPr>
          <w:rFonts w:hint="eastAsia" w:ascii="仿宋_GB2312" w:hAnsi="黑体" w:eastAsia="仿宋_GB2312"/>
          <w:b/>
          <w:bCs/>
          <w:sz w:val="32"/>
          <w:szCs w:val="32"/>
          <w:lang w:eastAsia="zh-CN"/>
        </w:rPr>
        <w:t>使用非财政拨款结余：</w:t>
      </w:r>
      <w:r>
        <w:rPr>
          <w:rFonts w:hint="eastAsia" w:ascii="仿宋_GB2312" w:hAnsi="黑体" w:eastAsia="仿宋_GB2312"/>
          <w:bCs/>
          <w:sz w:val="32"/>
          <w:szCs w:val="32"/>
          <w:lang w:eastAsia="zh-CN"/>
        </w:rPr>
        <w:t>指事业单位使用以前年度积累的非财政拨款结余弥补当年收支差额的金额。</w:t>
      </w:r>
    </w:p>
    <w:p>
      <w:pPr>
        <w:pStyle w:val="00000a"/>
        <w:spacing w:before="0" w:beforeAutospacing="false" w:after="0" w:afterAutospacing="false"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lang w:eastAsia="zh-CN"/>
        </w:rPr>
        <w:t>八</w:t>
      </w:r>
      <w:r>
        <w:rPr>
          <w:rFonts w:hint="eastAsia" w:ascii="仿宋_GB2312" w:hAnsi="黑体" w:eastAsia="仿宋_GB2312"/>
          <w:b/>
          <w:bCs/>
          <w:sz w:val="32"/>
          <w:szCs w:val="32"/>
        </w:rPr>
        <w:t>、年初结转和结余：</w:t>
      </w:r>
      <w:r>
        <w:rPr>
          <w:rFonts w:hint="eastAsia" w:ascii="仿宋_GB2312" w:hAnsi="黑体" w:eastAsia="仿宋_GB2312"/>
          <w:bCs/>
          <w:sz w:val="32"/>
          <w:szCs w:val="32"/>
        </w:rPr>
        <w:t>指以前年度安排、结转到本年仍按原规定用途继续使用的资金。</w:t>
      </w:r>
    </w:p>
    <w:p>
      <w:pPr>
        <w:pStyle w:val="00000a"/>
        <w:spacing w:before="0" w:beforeAutospacing="false" w:after="0" w:afterAutospacing="false"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lang w:eastAsia="zh-CN"/>
        </w:rPr>
        <w:t>九</w:t>
      </w:r>
      <w:r>
        <w:rPr>
          <w:rFonts w:hint="eastAsia" w:ascii="仿宋_GB2312" w:hAnsi="黑体" w:eastAsia="仿宋_GB2312"/>
          <w:b/>
          <w:bCs/>
          <w:sz w:val="32"/>
          <w:szCs w:val="32"/>
        </w:rPr>
        <w:t>、结余分配：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pPr>
        <w:pStyle w:val="00000a"/>
        <w:spacing w:before="0" w:beforeAutospacing="false" w:after="0" w:afterAutospacing="false" w:line="600" w:lineRule="exact"/>
        <w:ind w:firstLine="616" w:firstLineChars="196"/>
        <w:rPr>
          <w:rFonts w:hint="eastAsia" w:ascii="仿宋_GB2312" w:hAnsi="黑体" w:eastAsia="仿宋_GB2312"/>
          <w:b/>
          <w:sz w:val="32"/>
          <w:szCs w:val="32"/>
        </w:rPr>
      </w:pPr>
      <w:r>
        <w:rPr>
          <w:rFonts w:hint="eastAsia" w:ascii="仿宋_GB2312" w:hAnsi="黑体" w:eastAsia="仿宋_GB2312"/>
          <w:b/>
          <w:bCs/>
          <w:sz w:val="32"/>
          <w:szCs w:val="32"/>
          <w:lang w:eastAsia="zh-CN"/>
        </w:rPr>
        <w:t>十</w:t>
      </w:r>
      <w:r>
        <w:rPr>
          <w:rFonts w:hint="eastAsia" w:ascii="仿宋_GB2312" w:hAnsi="黑体" w:eastAsia="仿宋_GB2312"/>
          <w:b/>
          <w:bCs/>
          <w:sz w:val="32"/>
          <w:szCs w:val="32"/>
        </w:rPr>
        <w:t>、年末结转和结余：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00000a"/>
        <w:spacing w:before="0" w:beforeAutospacing="false" w:after="0" w:afterAutospacing="false" w:line="600" w:lineRule="exact"/>
        <w:ind w:firstLine="616" w:firstLineChars="196"/>
        <w:rPr>
          <w:rFonts w:hint="eastAsia" w:ascii="仿宋_GB2312" w:hAnsi="黑体" w:eastAsia="仿宋_GB2312"/>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一</w:t>
      </w:r>
      <w:r>
        <w:rPr>
          <w:rFonts w:hint="eastAsia" w:ascii="仿宋_GB2312" w:hAnsi="黑体" w:eastAsia="仿宋_GB2312"/>
          <w:b/>
          <w:sz w:val="32"/>
          <w:szCs w:val="32"/>
        </w:rPr>
        <w:t>、基本支出：</w:t>
      </w:r>
      <w:r>
        <w:rPr>
          <w:rFonts w:hint="eastAsia" w:ascii="仿宋_GB2312" w:hAnsi="黑体" w:eastAsia="仿宋_GB2312"/>
          <w:sz w:val="32"/>
          <w:szCs w:val="32"/>
        </w:rPr>
        <w:t>指单位为保障其机构正常运转、完成日常工作任务而发生的人员支出和公用支出。</w:t>
      </w:r>
    </w:p>
    <w:p>
      <w:pPr>
        <w:pStyle w:val="00000a"/>
        <w:spacing w:before="0" w:beforeAutospacing="false" w:after="0" w:afterAutospacing="false" w:line="600" w:lineRule="exact"/>
        <w:ind w:firstLine="616" w:firstLineChars="196"/>
        <w:jc w:val="both"/>
        <w:rPr>
          <w:rFonts w:hint="eastAsia" w:ascii="仿宋_GB2312" w:hAnsi="黑体" w:eastAsia="仿宋_GB2312"/>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二</w:t>
      </w:r>
      <w:r>
        <w:rPr>
          <w:rFonts w:hint="eastAsia" w:ascii="仿宋_GB2312" w:hAnsi="黑体" w:eastAsia="仿宋_GB2312"/>
          <w:b/>
          <w:sz w:val="32"/>
          <w:szCs w:val="32"/>
        </w:rPr>
        <w:t>、项目支出：</w:t>
      </w:r>
      <w:r>
        <w:rPr>
          <w:rFonts w:hint="eastAsia" w:ascii="仿宋_GB2312" w:hAnsi="黑体" w:eastAsia="仿宋_GB2312"/>
          <w:sz w:val="32"/>
          <w:szCs w:val="32"/>
        </w:rPr>
        <w:t>指单位为完成特定行政任务和事业发展目标在基本支出之外所发生的支出。</w:t>
      </w:r>
      <w:r>
        <w:rPr>
          <w:rFonts w:hint="eastAsia" w:ascii="仿宋_GB2312" w:hAnsi="黑体" w:eastAsia="仿宋_GB2312"/>
          <w:sz w:val="32"/>
          <w:szCs w:val="32"/>
        </w:rPr>
        <w:br w:type="textWrapping" w:clear="all"/>
      </w:r>
      <w:r>
        <w:rPr>
          <w:rFonts w:hint="eastAsia" w:ascii="仿宋_GB2312" w:hAnsi="黑体" w:eastAsia="仿宋_GB2312"/>
          <w:sz w:val="32"/>
          <w:szCs w:val="32"/>
        </w:rPr>
        <w:t xml:space="preserve">    </w:t>
      </w:r>
      <w:r>
        <w:rPr>
          <w:rFonts w:hint="eastAsia" w:ascii="仿宋_GB2312" w:hAnsi="黑体" w:eastAsia="仿宋_GB2312"/>
          <w:b/>
          <w:sz w:val="32"/>
          <w:szCs w:val="32"/>
        </w:rPr>
        <w:t>十</w:t>
      </w:r>
      <w:r>
        <w:rPr>
          <w:rFonts w:hint="eastAsia" w:ascii="仿宋_GB2312" w:hAnsi="黑体" w:eastAsia="仿宋_GB2312"/>
          <w:b/>
          <w:sz w:val="32"/>
          <w:szCs w:val="32"/>
          <w:lang w:eastAsia="zh-CN"/>
        </w:rPr>
        <w:t>三</w:t>
      </w:r>
      <w:r>
        <w:rPr>
          <w:rFonts w:hint="eastAsia" w:ascii="仿宋_GB2312" w:hAnsi="黑体" w:eastAsia="仿宋_GB2312"/>
          <w:b/>
          <w:sz w:val="32"/>
          <w:szCs w:val="32"/>
        </w:rPr>
        <w:t>、经营支出：</w:t>
      </w:r>
      <w:r>
        <w:rPr>
          <w:rFonts w:hint="eastAsia" w:ascii="仿宋_GB2312" w:hAnsi="黑体" w:eastAsia="仿宋_GB2312"/>
          <w:sz w:val="32"/>
          <w:szCs w:val="32"/>
        </w:rPr>
        <w:t>指事业单位在专业业务活动及其辅助活动之外开展非独立核算经营活动发生的支出。</w:t>
      </w:r>
    </w:p>
    <w:p>
      <w:pPr>
        <w:pStyle w:val="00000a"/>
        <w:spacing w:before="0" w:beforeAutospacing="false" w:after="0" w:afterAutospacing="false"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四</w:t>
      </w:r>
      <w:r>
        <w:rPr>
          <w:rFonts w:hint="eastAsia" w:ascii="仿宋_GB2312" w:hAnsi="黑体" w:eastAsia="仿宋_GB2312"/>
          <w:b/>
          <w:sz w:val="32"/>
          <w:szCs w:val="32"/>
        </w:rPr>
        <w:t>、“三公”经费：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00000a"/>
        <w:spacing w:before="0" w:beforeAutospacing="false" w:after="0" w:afterAutospacing="false"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五</w:t>
      </w:r>
      <w:r>
        <w:rPr>
          <w:rFonts w:hint="eastAsia" w:ascii="仿宋_GB2312" w:hAnsi="黑体" w:eastAsia="仿宋_GB2312"/>
          <w:b/>
          <w:sz w:val="32"/>
          <w:szCs w:val="32"/>
        </w:rPr>
        <w:t>、机关运行经费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eastAsia="zh-CN"/>
        </w:rPr>
      </w:pPr>
    </w:p>
    <w:p>
      <w:pPr>
        <w:pStyle w:val="000007"/>
        <w:ind/>
        <w:rPr>
          <w:rFonts w:hint="eastAsia" w:ascii="仿宋" w:hAnsi="仿宋" w:eastAsia="仿宋" w:cs="仿宋"/>
          <w:b w:val="false"/>
          <w:bCs/>
          <w:sz w:val="32"/>
          <w:szCs w:val="32"/>
          <w:lang w:eastAsia="zh-CN"/>
        </w:rPr>
      </w:pPr>
    </w:p>
    <w:p>
      <w:pPr>
        <w:pStyle w:val="000007"/>
        <w:ind/>
        <w:rPr>
          <w:rFonts w:hint="eastAsia" w:ascii="仿宋" w:hAnsi="仿宋" w:eastAsia="仿宋" w:cs="仿宋"/>
          <w:b w:val="false"/>
          <w:bCs/>
          <w:sz w:val="32"/>
          <w:szCs w:val="32"/>
          <w:lang w:eastAsia="zh-CN"/>
        </w:rPr>
      </w:pPr>
    </w:p>
    <w:p>
      <w:pPr>
        <w:pStyle w:val="000007"/>
        <w:ind/>
        <w:rPr>
          <w:rFonts w:hint="eastAsia" w:ascii="仿宋" w:hAnsi="仿宋" w:eastAsia="仿宋" w:cs="仿宋"/>
          <w:b w:val="false"/>
          <w:bCs/>
          <w:sz w:val="32"/>
          <w:szCs w:val="32"/>
          <w:lang w:eastAsia="zh-CN"/>
        </w:rPr>
      </w:pPr>
    </w:p>
    <w:p>
      <w:pPr>
        <w:pStyle w:val="000007"/>
        <w:ind/>
        <w:rPr>
          <w:rFonts w:hint="eastAsia" w:ascii="仿宋" w:hAnsi="仿宋" w:eastAsia="仿宋" w:cs="仿宋"/>
          <w:b w:val="false"/>
          <w:bCs/>
          <w:sz w:val="32"/>
          <w:szCs w:val="32"/>
          <w:lang w:eastAsia="zh-CN"/>
        </w:rPr>
      </w:pPr>
    </w:p>
    <w:p>
      <w:pPr>
        <w:pStyle w:val="000007"/>
        <w:ind/>
        <w:rPr>
          <w:rFonts w:hint="eastAsia" w:ascii="仿宋" w:hAnsi="仿宋" w:eastAsia="仿宋" w:cs="仿宋"/>
          <w:b w:val="false"/>
          <w:bCs/>
          <w:sz w:val="32"/>
          <w:szCs w:val="32"/>
          <w:lang w:eastAsia="zh-CN"/>
        </w:rPr>
      </w:pPr>
    </w:p>
    <w:p>
      <w:pPr>
        <w:pStyle w:val="000007"/>
        <w:ind/>
        <w:rPr>
          <w:rFonts w:hint="eastAsia"/>
          <w:lang w:eastAsia="zh-CN"/>
        </w:rPr>
      </w:pPr>
    </w:p>
    <w:p>
      <w:pPr>
        <w:ind/>
        <w:jc w:val="both"/>
        <w:rPr>
          <w:rFonts w:hint="eastAsia" w:ascii="仿宋" w:hAnsi="仿宋" w:eastAsia="仿宋" w:cs="仿宋"/>
          <w:b w:val="false"/>
          <w:bCs/>
          <w:sz w:val="32"/>
          <w:szCs w:val="32"/>
          <w:lang w:eastAsia="zh-CN"/>
        </w:rPr>
      </w:pPr>
    </w:p>
    <w:p>
      <w:pPr>
        <w:ind/>
        <w:jc w:val="both"/>
        <w:rPr>
          <w:rFonts w:hint="eastAsia" w:ascii="仿宋" w:hAnsi="仿宋" w:eastAsia="仿宋" w:cs="仿宋"/>
          <w:b w:val="false"/>
          <w:bCs/>
          <w:sz w:val="32"/>
          <w:szCs w:val="32"/>
          <w:lang w:val="en-US" w:eastAsia="zh-CN"/>
        </w:rPr>
      </w:pPr>
      <w:r>
        <w:rPr>
          <w:rFonts w:hint="eastAsia" w:ascii="仿宋" w:hAnsi="仿宋" w:eastAsia="仿宋" w:cs="仿宋"/>
          <w:b w:val="false"/>
          <w:bCs/>
          <w:sz w:val="32"/>
          <w:szCs w:val="32"/>
          <w:lang w:eastAsia="zh-CN"/>
        </w:rPr>
        <w:t>附件</w:t>
      </w:r>
      <w:r>
        <w:rPr>
          <w:rFonts w:hint="eastAsia" w:ascii="仿宋" w:hAnsi="仿宋" w:eastAsia="仿宋" w:cs="仿宋"/>
          <w:b w:val="false"/>
          <w:bCs/>
          <w:sz w:val="32"/>
          <w:szCs w:val="32"/>
          <w:lang w:val="en-US" w:eastAsia="zh-CN"/>
        </w:rPr>
        <w:t>2：部门三公经费公开(参考格式)</w:t>
      </w:r>
    </w:p>
    <w:p>
      <w:pPr>
        <w:ind/>
        <w:jc w:val="both"/>
        <w:rPr>
          <w:rFonts w:ascii="黑体" w:hAnsi="黑体" w:eastAsia="黑体" w:cs="黑体"/>
          <w:b w:val="false"/>
          <w:bCs/>
          <w:sz w:val="32"/>
          <w:szCs w:val="32"/>
          <w:lang w:val="en-US" w:eastAsia="zh-CN"/>
        </w:rPr>
      </w:pPr>
    </w:p>
    <w:p>
      <w:pPr>
        <w:ind/>
        <w:jc w:val="center"/>
        <w:rPr>
          <w:rFonts w:hint="eastAsia" w:ascii="宋体" w:hAnsi="宋体"/>
          <w:b/>
          <w:sz w:val="36"/>
          <w:szCs w:val="36"/>
        </w:rPr>
      </w:pPr>
      <w:r>
        <w:rPr>
          <w:rFonts w:hint="eastAsia" w:ascii="宋体" w:hAnsi="宋体"/>
          <w:b/>
          <w:sz w:val="36"/>
          <w:szCs w:val="36"/>
          <w:lang w:val="en-US" w:eastAsia="zh-CN"/>
        </w:rPr>
        <w:t>寿县</w:t>
      </w:r>
      <w:r>
        <w:rPr>
          <w:rFonts w:hint="eastAsia" w:ascii="宋体" w:hAnsi="宋体"/>
          <w:b/>
          <w:sz w:val="36"/>
          <w:szCs w:val="36"/>
          <w:lang w:eastAsia="zh-CN"/>
        </w:rPr>
        <w:t>安丰镇人民政府202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ind/>
        <w:jc w:val="center"/>
        <w:rPr>
          <w:rFonts w:hint="eastAsia" w:ascii="楷体_GB2312" w:eastAsia="楷体_GB2312"/>
          <w:szCs w:val="32"/>
        </w:rPr>
      </w:pPr>
      <w:r>
        <w:rPr>
          <w:rFonts w:hint="eastAsia" w:ascii="楷体_GB2312" w:eastAsia="楷体_GB2312"/>
          <w:szCs w:val="32"/>
        </w:rPr>
        <w:t>(参考格式)</w:t>
      </w:r>
    </w:p>
    <w:p>
      <w:pPr>
        <w:ind/>
        <w:jc w:val="center"/>
        <w:rPr>
          <w:rFonts w:hint="eastAsia" w:ascii="楷体_GB2312" w:eastAsia="楷体_GB2312"/>
          <w:szCs w:val="32"/>
        </w:rPr>
      </w:pPr>
    </w:p>
    <w:p>
      <w:pPr>
        <w:spacing w:line="360" w:lineRule="auto"/>
        <w:ind/>
        <w:jc w:val="center"/>
        <w:rPr>
          <w:rFonts w:hint="eastAsia" w:ascii="宋体" w:hAnsi="宋体"/>
          <w:sz w:val="6"/>
          <w:szCs w:val="32"/>
        </w:rPr>
      </w:pPr>
    </w:p>
    <w:p>
      <w:pPr>
        <w:ind/>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p>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000001"/>
        <w:tblpPr w:leftFromText="180" w:rightFromText="180" w:vertAnchor="text" w:horzAnchor="margin" w:tblpY="454"/>
        <w:tblOverlap w:val="never"/>
        <w:tblW w:w="0" w:type="auto"/>
        <w:tblInd w:w="-108" w:type="dxa"/>
        <w:tblLayout w:type="fixed"/>
        <w:tblCellMar>
          <w:top w:w="0" w:type="dxa"/>
          <w:left w:w="108" w:type="dxa"/>
          <w:bottom w:w="0" w:type="dxa"/>
          <w:right w:w="108" w:type="dxa"/>
        </w:tblCellMar>
        <w:tblLook w:firstRow="false" w:lastRow="false" w:firstColumn="false" w:lastColumn="false" w:noHBand="false" w:noVBand="false"/>
      </w:tblPr>
      <w:tblGrid>
        <w:gridCol w:w="4379"/>
        <w:gridCol w:w="2157"/>
        <w:gridCol w:w="2220"/>
      </w:tblGrid>
      <w:tr>
        <w:trPr>
          <w:wBefore/>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ind/>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ind/>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ind/>
              <w:jc w:val="center"/>
              <w:rPr>
                <w:rFonts w:ascii="宋体" w:hAnsi="宋体" w:cs="宋体"/>
                <w:b/>
                <w:bCs/>
                <w:kern w:val="0"/>
                <w:szCs w:val="21"/>
              </w:rPr>
            </w:pPr>
            <w:r>
              <w:rPr>
                <w:rFonts w:hint="eastAsia" w:ascii="宋体" w:hAnsi="宋体" w:cs="宋体"/>
                <w:b/>
                <w:bCs/>
                <w:kern w:val="0"/>
                <w:szCs w:val="21"/>
              </w:rPr>
              <w:t>决 算 数</w:t>
            </w:r>
          </w:p>
        </w:tc>
      </w:tr>
      <w:tr>
        <w:trPr>
          <w:wBefore/>
          <w:trHeight w:val="397" w:hRule="atLeast"/>
        </w:trPr>
        <w:tc>
          <w:tcPr>
            <w:tcW w:w="4379" w:type="dxa"/>
            <w:tcBorders>
              <w:top w:val="nil"/>
              <w:left w:val="single" w:color="auto" w:sz="4" w:space="0"/>
              <w:bottom w:val="single" w:color="auto" w:sz="4" w:space="0"/>
              <w:right w:val="single" w:color="auto" w:sz="4" w:space="0"/>
            </w:tcBorders>
            <w:vAlign w:val="center"/>
          </w:tcPr>
          <w:p>
            <w:pPr>
              <w:widowControl/>
              <w:ind/>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ind/>
              <w:jc w:val="center"/>
              <w:rPr>
                <w:rFonts w:ascii="宋体" w:hAnsi="宋体" w:cs="宋体"/>
                <w:b/>
                <w:bCs/>
                <w:kern w:val="0"/>
                <w:szCs w:val="21"/>
              </w:rPr>
            </w:pPr>
            <w:r>
              <w:rPr>
                <w:rFonts w:hint="eastAsia" w:ascii="宋体" w:hAnsi="宋体" w:cs="宋体"/>
                <w:b/>
                <w:bCs/>
                <w:kern w:val="0"/>
                <w:szCs w:val="21"/>
              </w:rPr>
              <w:t>55.41　</w:t>
            </w:r>
          </w:p>
        </w:tc>
        <w:tc>
          <w:tcPr>
            <w:tcW w:w="2220" w:type="dxa"/>
            <w:tcBorders>
              <w:top w:val="nil"/>
              <w:left w:val="nil"/>
              <w:bottom w:val="single" w:color="auto" w:sz="4" w:space="0"/>
              <w:right w:val="single" w:color="auto" w:sz="4" w:space="0"/>
            </w:tcBorders>
            <w:vAlign w:val="center"/>
          </w:tcPr>
          <w:p>
            <w:pPr>
              <w:widowControl/>
              <w:ind/>
              <w:jc w:val="center"/>
              <w:rPr>
                <w:rFonts w:ascii="宋体" w:hAnsi="宋体" w:cs="宋体"/>
                <w:b/>
                <w:bCs/>
                <w:kern w:val="0"/>
                <w:szCs w:val="21"/>
              </w:rPr>
            </w:pPr>
            <w:r>
              <w:rPr>
                <w:rFonts w:hint="eastAsia" w:ascii="宋体" w:hAnsi="宋体" w:cs="宋体"/>
                <w:b/>
                <w:bCs/>
                <w:kern w:val="0"/>
                <w:szCs w:val="21"/>
              </w:rPr>
              <w:t>55.41　</w:t>
            </w:r>
          </w:p>
        </w:tc>
      </w:tr>
      <w:tr>
        <w:trPr>
          <w:wBefore/>
          <w:trHeight w:val="397" w:hRule="atLeast"/>
        </w:trPr>
        <w:tc>
          <w:tcPr>
            <w:tcW w:w="4379" w:type="dxa"/>
            <w:tcBorders>
              <w:top w:val="nil"/>
              <w:left w:val="single" w:color="auto" w:sz="4" w:space="0"/>
              <w:bottom w:val="single" w:color="auto" w:sz="4" w:space="0"/>
              <w:right w:val="single" w:color="auto" w:sz="4" w:space="0"/>
            </w:tcBorders>
            <w:vAlign w:val="center"/>
          </w:tcPr>
          <w:p>
            <w:pPr>
              <w:widowControl/>
              <w:ind/>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w:t>
            </w:r>
          </w:p>
        </w:tc>
      </w:tr>
      <w:tr>
        <w:trPr>
          <w:wBefore/>
          <w:trHeight w:val="397" w:hRule="atLeast"/>
        </w:trPr>
        <w:tc>
          <w:tcPr>
            <w:tcW w:w="4379" w:type="dxa"/>
            <w:tcBorders>
              <w:top w:val="nil"/>
              <w:left w:val="single" w:color="auto" w:sz="4" w:space="0"/>
              <w:bottom w:val="single" w:color="auto" w:sz="4" w:space="0"/>
              <w:right w:val="single" w:color="auto" w:sz="4" w:space="0"/>
            </w:tcBorders>
            <w:vAlign w:val="center"/>
          </w:tcPr>
          <w:p>
            <w:pPr>
              <w:widowControl/>
              <w:ind/>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36.43</w:t>
            </w:r>
          </w:p>
        </w:tc>
        <w:tc>
          <w:tcPr>
            <w:tcW w:w="2220"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xml:space="preserve"> 36.43</w:t>
            </w:r>
          </w:p>
        </w:tc>
      </w:tr>
      <w:tr>
        <w:trPr>
          <w:wBefore/>
          <w:trHeight w:val="397" w:hRule="atLeast"/>
        </w:trPr>
        <w:tc>
          <w:tcPr>
            <w:tcW w:w="4379" w:type="dxa"/>
            <w:tcBorders>
              <w:top w:val="nil"/>
              <w:left w:val="single" w:color="auto" w:sz="4" w:space="0"/>
              <w:bottom w:val="single" w:color="auto" w:sz="4" w:space="0"/>
              <w:right w:val="single" w:color="auto" w:sz="4" w:space="0"/>
            </w:tcBorders>
            <w:vAlign w:val="center"/>
          </w:tcPr>
          <w:p>
            <w:pPr>
              <w:widowControl/>
              <w:ind/>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18.98</w:t>
            </w:r>
          </w:p>
        </w:tc>
        <w:tc>
          <w:tcPr>
            <w:tcW w:w="2220"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xml:space="preserve"> 18.98</w:t>
            </w:r>
          </w:p>
        </w:tc>
      </w:tr>
      <w:tr>
        <w:trPr>
          <w:wBefore/>
          <w:trHeight w:val="397" w:hRule="atLeast"/>
        </w:trPr>
        <w:tc>
          <w:tcPr>
            <w:tcW w:w="4379" w:type="dxa"/>
            <w:tcBorders>
              <w:top w:val="nil"/>
              <w:left w:val="single" w:color="auto" w:sz="4" w:space="0"/>
              <w:bottom w:val="single" w:color="auto" w:sz="4" w:space="0"/>
              <w:right w:val="single" w:color="auto" w:sz="4" w:space="0"/>
            </w:tcBorders>
            <w:vAlign w:val="center"/>
          </w:tcPr>
          <w:p>
            <w:pPr>
              <w:widowControl/>
              <w:ind/>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w:t>
            </w:r>
          </w:p>
        </w:tc>
      </w:tr>
      <w:tr>
        <w:trPr>
          <w:wBefore/>
          <w:trHeight w:val="397" w:hRule="atLeast"/>
        </w:trPr>
        <w:tc>
          <w:tcPr>
            <w:tcW w:w="4379" w:type="dxa"/>
            <w:tcBorders>
              <w:top w:val="nil"/>
              <w:left w:val="single" w:color="auto" w:sz="4" w:space="0"/>
              <w:bottom w:val="single" w:color="auto" w:sz="4" w:space="0"/>
              <w:right w:val="single" w:color="auto" w:sz="4" w:space="0"/>
            </w:tcBorders>
            <w:vAlign w:val="center"/>
          </w:tcPr>
          <w:p>
            <w:pPr>
              <w:widowControl/>
              <w:ind/>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公务用车运行维护费  </w:t>
            </w:r>
          </w:p>
        </w:tc>
        <w:tc>
          <w:tcPr>
            <w:tcW w:w="2157"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18.98</w:t>
            </w:r>
          </w:p>
        </w:tc>
        <w:tc>
          <w:tcPr>
            <w:tcW w:w="2220" w:type="dxa"/>
            <w:tcBorders>
              <w:top w:val="nil"/>
              <w:left w:val="nil"/>
              <w:bottom w:val="single" w:color="auto" w:sz="4" w:space="0"/>
              <w:right w:val="single" w:color="auto" w:sz="4" w:space="0"/>
            </w:tcBorders>
            <w:vAlign w:val="bottom"/>
          </w:tcPr>
          <w:p>
            <w:pPr>
              <w:widowControl/>
              <w:ind/>
              <w:jc w:val="left"/>
              <w:rPr>
                <w:rFonts w:ascii="宋体" w:hAnsi="宋体" w:cs="宋体"/>
                <w:kern w:val="0"/>
                <w:szCs w:val="21"/>
              </w:rPr>
            </w:pPr>
            <w:r>
              <w:rPr>
                <w:rFonts w:hint="eastAsia" w:ascii="宋体" w:hAnsi="宋体" w:cs="宋体"/>
                <w:kern w:val="0"/>
                <w:szCs w:val="21"/>
              </w:rPr>
              <w:t>　18.98</w:t>
            </w:r>
          </w:p>
        </w:tc>
      </w:tr>
    </w:tbl>
    <w:p>
      <w:pPr>
        <w:keepNext w:val="false"/>
        <w:keepLines w:val="false"/>
        <w:pageBreakBefore w:val="false"/>
        <w:widowControl w:val="false"/>
        <w:kinsoku/>
        <w:wordWrap/>
        <w:overflowPunct/>
        <w:topLinePunct w:val="false"/>
        <w:autoSpaceDE/>
        <w:autoSpaceDN/>
        <w:bidi w:val="false"/>
        <w:spacing w:line="300" w:lineRule="exact"/>
        <w:ind w:left="0" w:leftChars="0" w:right="0" w:rightChars="0" w:firstLine="0" w:firstLineChars="0"/>
        <w:jc w:val="both"/>
        <w:outlineLvl w:val="9"/>
        <w:rPr>
          <w:rFonts w:hint="eastAsia" w:ascii="仿宋_GB2312" w:hAnsi="仿宋"/>
          <w:sz w:val="21"/>
          <w:szCs w:val="21"/>
          <w:lang w:val="en-US" w:eastAsia="zh-CN"/>
        </w:rPr>
      </w:pPr>
    </w:p>
    <w:p>
      <w:pPr>
        <w:keepNext w:val="false"/>
        <w:keepLines w:val="false"/>
        <w:pageBreakBefore w:val="false"/>
        <w:widowControl w:val="false"/>
        <w:kinsoku/>
        <w:wordWrap/>
        <w:overflowPunct/>
        <w:topLinePunct w:val="false"/>
        <w:autoSpaceDE/>
        <w:autoSpaceDN/>
        <w:bidi w:val="false"/>
        <w:spacing w:line="300" w:lineRule="exact"/>
        <w:ind w:left="0" w:leftChars="0" w:right="0" w:rightChars="0" w:firstLine="0" w:firstLineChars="0"/>
        <w:jc w:val="both"/>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pPr>
        <w:ind/>
        <w:rPr>
          <w:rFonts w:hint="eastAsia" w:ascii="黑体" w:hAnsi="黑体" w:eastAsia="黑体"/>
          <w:szCs w:val="32"/>
        </w:rPr>
      </w:pPr>
      <w:r>
        <w:rPr>
          <w:rFonts w:ascii="黑体" w:hAnsi="黑体" w:eastAsia="黑体"/>
          <w:szCs w:val="32"/>
        </w:rPr>
        <w:t xml:space="preserve">   </w:t>
      </w:r>
    </w:p>
    <w:p>
      <w:pPr>
        <w:pStyle w:val="000007"/>
        <w:ind w:left="1258" w:hanging="1258"/>
        <w:jc w:val="both"/>
        <w:rPr>
          <w:rFonts w:hint="eastAsia" w:ascii="仿宋_GB2312" w:eastAsia="仿宋_GB2312"/>
          <w:sz w:val="32"/>
        </w:rPr>
      </w:pPr>
    </w:p>
    <w:sectPr>
      <w:pgSz w:w="11906" w:h="16838"/>
      <w:pgMar w:top="2155" w:right="1531" w:bottom="1588" w:left="1588" w:header="0" w:footer="1588" w:gutter="0"/>
      <w:pgBorders>
        <w:top w:val="none" w:sz="0" w:space="0"/>
        <w:left w:val="none" w:sz="0" w:space="0"/>
        <w:bottom w:val="none" w:sz="0" w:space="0"/>
        <w:right w:val="none" w:sz="0" w:space="0"/>
      </w:pgBorders>
      <w:pgNumType/>
      <w:cols w:space="720" w:num="1"/>
      <w:docGrid w:type="linesAndChars" w:linePitch="569" w:charSpace="-1266"/>
    </w:sectPr>
  </w:body>
</w:document>
</file>

<file path=word/fontTable.xml><?xml version="1.0" encoding="utf-8"?>
<w:fonts xmlns:w="http://schemas.openxmlformats.org/wordprocessingml/2006/main">
  <w:font w:name="Times New Roman">
    <w:panose1 w:val="02020603050405020304"/>
    <w:charset w:val="CC" w:characterSet="ISO-8859-1"/>
    <w:family w:val="auto"/>
    <w:pitch w:val="default"/>
    <w:sig w:usb0="E0002EFF" w:usb1="C000785B" w:usb2="00000009" w:usb3="00000000" w:csb0="400001FF" w:csb1="FFFF0000"/>
  </w:font>
  <w:font w:name="微软雅黑">
    <w:panose1 w:val="020B0503020204020204"/>
    <w:charset w:val="86" w:characterSet="ISO-8859-1"/>
    <w:family w:val="auto"/>
    <w:pitch w:val="default"/>
    <w:sig w:usb0="80000287" w:usb1="2ACF3C50" w:usb2="00000016" w:usb3="00000000" w:csb0="0004001F" w:csb1="00000000"/>
  </w:font>
  <w:font w:name="方正小标宋简体">
    <w:altName w:val="黑体"/>
    <w:panose1 w:val="03000509000000000000"/>
    <w:charset w:val="86" w:characterSet="ISO-8859-1"/>
    <w:family w:val="auto"/>
    <w:pitch w:val="default"/>
    <w:sig w:usb0="00000000" w:usb1="00000000" w:usb2="00000000" w:usb3="00000000" w:csb0="00040000" w:csb1="00000000"/>
  </w:font>
  <w:font w:name="仿宋_GB2312">
    <w:altName w:val="仿宋"/>
    <w:panose1 w:val="02010609030101010101"/>
    <w:charset w:val="86" w:characterSet="ISO-8859-1"/>
    <w:family w:val="modern"/>
    <w:pitch w:val="default"/>
    <w:sig w:usb0="00000000" w:usb1="00000000" w:usb2="00000000" w:usb3="00000000" w:csb0="00040000" w:csb1="00000000"/>
  </w:font>
  <w:font w:name="仿宋">
    <w:panose1 w:val="02010609060101010101"/>
    <w:charset w:val="86" w:characterSet="ISO-8859-1"/>
    <w:family w:val="auto"/>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Arial">
    <w:panose1 w:val="020B0604020202020204"/>
    <w:charset w:val="01" w:characterSet="ISO-8859-1"/>
    <w:family w:val="swiss"/>
    <w:pitch w:val="default"/>
    <w:sig w:usb0="E0002EFF" w:usb1="C000785B" w:usb2="00000009" w:usb3="00000000" w:csb0="400001FF" w:csb1="FFFF0000"/>
  </w:font>
  <w:font w:name="Courier New">
    <w:panose1 w:val="02070309020205020404"/>
    <w:charset w:val="01" w:characterSet="ISO-8859-1"/>
    <w:family w:val="modern"/>
    <w:pitch w:val="default"/>
    <w:sig w:usb0="E0002EFF" w:usb1="C0007843" w:usb2="00000009" w:usb3="00000000" w:csb0="400001FF" w:csb1="FFFF0000"/>
  </w:font>
  <w:font w:name="楷体_GB2312">
    <w:altName w:val="楷体"/>
    <w:panose1 w:val="02010609030101010101"/>
    <w:charset w:val="86" w:characterSet="ISO-8859-1"/>
    <w:family w:val="modern"/>
    <w:pitch w:val="default"/>
    <w:sig w:usb0="00000000" w:usb1="00000000" w:usb2="00000000" w:usb3="00000000" w:csb0="00040000" w:csb1="00000000"/>
  </w:font>
  <w:font w:name="楷体">
    <w:panose1 w:val="02010609060101010101"/>
    <w:charset w:val="86" w:characterSet="ISO-8859-1"/>
    <w:family w:val="modern"/>
    <w:pitch w:val="default"/>
    <w:sig w:usb0="800002BF" w:usb1="38CF7CFA" w:usb2="0000001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黑体">
    <w:panose1 w:val="02010609060101010101"/>
    <w:charset w:val="86" w:characterSet="ISO-8859-1"/>
    <w:family w:val="auto"/>
    <w:pitch w:val="default"/>
    <w:sig w:usb0="800002BF" w:usb1="38CF7CFA" w:usb2="00000016" w:usb3="00000000" w:csb0="00040001" w:csb1="00000000"/>
  </w:font>
  <w:font w:name="Wingdings">
    <w:panose1 w:val="05000000000000000000"/>
    <w:charset w:val="02" w:characterSet="ISO-8859-1"/>
    <w:family w:val="auto"/>
    <w:pitch w:val="default"/>
    <w:sig w:usb0="00000000" w:usb1="00000000" w:usb2="00000000" w:usb3="00000000" w:csb0="80000000" w:csb1="00000000"/>
  </w:font>
  <w:font w:name="宋体">
    <w:panose1 w:val="02010600030101010101"/>
    <w:charset w:val="86" w:characterSet="ISO-8859-1"/>
    <w:family w:val="auto"/>
    <w:pitch w:val="default"/>
    <w:sig w:usb0="00000203" w:usb1="288F0000" w:usb2="00000006" w:usb3="00000000" w:csb0="00040001" w:csb1="00000000"/>
  </w:font>
  <w:font w:name="华文中宋">
    <w:altName w:val="宋体"/>
    <w:panose1 w:val="02010600040101010101"/>
    <w:charset w:val="86" w:characterSet="ISO-8859-1"/>
    <w:family w:val="auto"/>
    <w:pitch w:val="default"/>
    <w:sig w:usb0="00000000" w:usb1="00000000" w:usb2="00000000" w:usb3="00000000" w:csb0="0004009F" w:csb1="DFD70000"/>
  </w:font>
</w:fonts>
</file>

<file path=word/numbering.xml><?xml version="1.0" encoding="utf-8"?>
<w:numbering xmlns:w="http://schemas.openxmlformats.org/wordprocessingml/2006/main">
  <w:abstractNum w:abstractNumId="1">
    <w:lvl w:ilvl="1">
      <w:start w:val="1"/>
      <w:numFmt w:val="decimal"/>
      <w:lvlText w:val="%2."/>
      <w:lvlJc w:val="left"/>
      <w:pPr>
        <w:tabs>
          <w:tab w:val="num" w:pos="1440"/>
        </w:tabs>
        <w:ind w:left="1440" w:hanging="720"/>
      </w:pPr>
    </w:lvl>
    <w:lvl w:ilvl="0">
      <w:start w:val="1"/>
      <w:numFmt w:val="decimal"/>
      <w:lvlText w:val="%1."/>
      <w:lvlJc w:val="left"/>
      <w:pPr>
        <w:tabs>
          <w:tab w:val="num" w:pos="720"/>
        </w:tabs>
        <w:ind w:left="720" w:hanging="720"/>
      </w:pPr>
    </w:lvl>
    <w:lvl w:ilvl="2">
      <w:start w:val="1"/>
      <w:numFmt w:val="decimal"/>
      <w:lvlText w:val="%3."/>
      <w:lvlJc w:val="left"/>
      <w:pPr>
        <w:tabs>
          <w:tab w:val="num" w:pos="2160"/>
        </w:tabs>
        <w:ind w:left="216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abstractNum>
  <w:abstractNum w:abstractNumId="2">
    <w:lvl w:ilvl="6">
      <w:start w:val="1"/>
      <w:numFmt w:val="decimal"/>
      <w:lvlText w:val="%7."/>
      <w:lvlJc w:val="left"/>
      <w:pPr>
        <w:ind w:left="4816" w:hanging="336"/>
      </w:pPr>
      <w:rPr/>
    </w:lvl>
    <w:lvl w:ilvl="7">
      <w:start w:val="1"/>
      <w:numFmt w:val="lowerLetter"/>
      <w:lvlText w:val="%8."/>
      <w:lvlJc w:val="left"/>
      <w:pPr>
        <w:ind w:left="5456" w:hanging="336"/>
      </w:pPr>
      <w:rPr/>
    </w:lvl>
    <w:lvl w:ilvl="5">
      <w:start w:val="1"/>
      <w:numFmt w:val="lowerRoman"/>
      <w:lvlText w:val="%6."/>
      <w:lvlJc w:val="left"/>
      <w:pPr>
        <w:ind w:left="4176" w:hanging="336"/>
      </w:pPr>
      <w:rPr/>
    </w:lvl>
    <w:lvl w:ilvl="1">
      <w:start w:val="1"/>
      <w:numFmt w:val="lowerLetter"/>
      <w:lvlText w:val="%2."/>
      <w:lvlJc w:val="left"/>
      <w:pPr>
        <w:ind w:left="1616" w:hanging="336"/>
      </w:pPr>
      <w:rPr/>
    </w:lvl>
    <w:lvl w:ilvl="3">
      <w:start w:val="1"/>
      <w:numFmt w:val="decimal"/>
      <w:lvlText w:val="%4."/>
      <w:lvlJc w:val="left"/>
      <w:pPr>
        <w:ind w:left="2896" w:hanging="336"/>
      </w:pPr>
      <w:rPr/>
    </w:lvl>
    <w:lvl w:ilvl="2">
      <w:start w:val="1"/>
      <w:numFmt w:val="lowerRoman"/>
      <w:lvlText w:val="%3."/>
      <w:lvlJc w:val="left"/>
      <w:pPr>
        <w:ind w:left="2256" w:hanging="336"/>
      </w:pPr>
      <w:rPr/>
    </w:lvl>
    <w:lvl w:ilvl="4">
      <w:start w:val="1"/>
      <w:numFmt w:val="lowerLetter"/>
      <w:lvlText w:val="%5."/>
      <w:lvlJc w:val="left"/>
      <w:pPr>
        <w:ind w:left="3536" w:hanging="336"/>
      </w:pPr>
      <w:rPr/>
    </w:lvl>
    <w:lvl w:ilvl="0">
      <w:start w:val="1"/>
      <w:numFmt w:val="decimal"/>
      <w:lvlText w:val="%1."/>
      <w:lvlJc w:val="left"/>
      <w:pPr>
        <w:tabs/>
        <w:ind w:left="976" w:hanging="336" w:firstLine="0"/>
      </w:pPr>
      <w:rPr>
        <w:rFonts w:hint="default" w:ascii="" w:hAnsi="" w:cs=""/>
      </w:rPr>
    </w:lvl>
    <w:lvl w:ilvl="8">
      <w:start w:val="1"/>
      <w:numFmt w:val="lowerRoman"/>
      <w:lvlText w:val="%9."/>
      <w:lvlJc w:val="left"/>
      <w:pPr>
        <w:ind w:left="6096" w:hanging="336"/>
      </w:pPr>
      <w:rPr/>
    </w:lvl>
  </w:abstractNum>
  <w:abstractNum w:abstractNumId="3">
    <w:lvl w:ilvl="5">
      <w:start w:val="1"/>
      <w:numFmt w:val="decimal"/>
      <w:lvlText w:val="%6."/>
      <w:lvlJc w:val="left"/>
      <w:pPr>
        <w:tabs>
          <w:tab w:val="num" w:pos="4320"/>
        </w:tabs>
        <w:ind w:left="4320" w:hanging="720"/>
      </w:pPr>
    </w:lvl>
    <w:lvl w:ilvl="2">
      <w:start w:val="1"/>
      <w:numFmt w:val="decimal"/>
      <w:lvlText w:val="%3."/>
      <w:lvlJc w:val="left"/>
      <w:pPr>
        <w:tabs>
          <w:tab w:val="num" w:pos="2160"/>
        </w:tabs>
        <w:ind w:left="2160" w:hanging="720"/>
      </w:pPr>
    </w:lvl>
    <w:lvl w:ilvl="6">
      <w:start w:val="1"/>
      <w:numFmt w:val="decimal"/>
      <w:lvlText w:val="%7."/>
      <w:lvlJc w:val="left"/>
      <w:pPr>
        <w:tabs>
          <w:tab w:val="num" w:pos="5040"/>
        </w:tabs>
        <w:ind w:left="5040" w:hanging="720"/>
      </w:pPr>
    </w:lvl>
    <w:lvl w:ilvl="4">
      <w:start w:val="1"/>
      <w:numFmt w:val="decimal"/>
      <w:lvlText w:val="%5."/>
      <w:lvlJc w:val="left"/>
      <w:pPr>
        <w:tabs>
          <w:tab w:val="num" w:pos="3600"/>
        </w:tabs>
        <w:ind w:left="3600" w:hanging="720"/>
      </w:pPr>
    </w:lvl>
    <w:lvl w:ilvl="3">
      <w:start w:val="1"/>
      <w:numFmt w:val="decimal"/>
      <w:lvlText w:val="%4."/>
      <w:lvlJc w:val="left"/>
      <w:pPr>
        <w:tabs>
          <w:tab w:val="num" w:pos="2880"/>
        </w:tabs>
        <w:ind w:left="2880" w:hanging="720"/>
      </w:pPr>
    </w:lvl>
    <w:lvl w:ilvl="1">
      <w:start w:val="1"/>
      <w:numFmt w:val="decimal"/>
      <w:lvlText w:val="%2."/>
      <w:lvlJc w:val="left"/>
      <w:pPr>
        <w:tabs>
          <w:tab w:val="num" w:pos="1440"/>
        </w:tabs>
        <w:ind w:left="1440" w:hanging="720"/>
      </w:pPr>
    </w:lvl>
    <w:lvl w:ilvl="7">
      <w:start w:val="1"/>
      <w:numFmt w:val="decimal"/>
      <w:lvlText w:val="%8."/>
      <w:lvlJc w:val="left"/>
      <w:pPr>
        <w:tabs>
          <w:tab w:val="num" w:pos="5760"/>
        </w:tabs>
        <w:ind w:left="5760" w:hanging="720"/>
      </w:pPr>
    </w:lvl>
    <w:lvl w:ilvl="0">
      <w:start w:val="1"/>
      <w:numFmt w:val="decimal"/>
      <w:lvlText w:val="%1."/>
      <w:lvlJc w:val="left"/>
      <w:pPr>
        <w:tabs>
          <w:tab w:val="num" w:pos="720"/>
        </w:tabs>
        <w:ind w:left="720" w:hanging="720"/>
      </w:pPr>
    </w:lvl>
  </w:abstractNum>
  <w:abstractNum w:abstractNumId="4">
    <w:lvl w:ilvl="1">
      <w:start w:val="1"/>
      <w:numFmt w:val="bullet"/>
      <w:lvlText w:val="¡"/>
      <w:lvlJc w:val="left"/>
      <w:pPr>
        <w:ind w:left="1616" w:hanging="336"/>
      </w:pPr>
      <w:rPr>
        <w:rFonts w:hint="default" w:ascii="wingdings" w:hAnsi="wingdings" w:cs="wingdings"/>
      </w:rPr>
    </w:lvl>
    <w:lvl w:ilvl="5">
      <w:start w:val="1"/>
      <w:numFmt w:val="bullet"/>
      <w:lvlText w:val=""/>
      <w:pPr>
        <w:ind w:left="4176" w:hanging="336"/>
      </w:pPr>
      <w:rPr>
        <w:rFonts w:hint="default" w:ascii="wingdings" w:hAnsi="wingdings" w:cs="wingdings"/>
      </w:rPr>
    </w:lvl>
    <w:lvl w:ilvl="2">
      <w:start w:val="1"/>
      <w:numFmt w:val="bullet"/>
      <w:lvlText w:val=""/>
      <w:lvlJc w:val="left"/>
      <w:pPr>
        <w:ind w:left="2256" w:hanging="336"/>
      </w:pPr>
      <w:rPr>
        <w:rFonts w:hint="default" w:ascii="wingdings" w:hAnsi="wingdings" w:cs="wingdings"/>
      </w:rPr>
    </w:lvl>
    <w:lvl w:ilvl="3">
      <w:start w:val="1"/>
      <w:numFmt w:val="bullet"/>
      <w:lvlText w:val=""/>
      <w:pPr>
        <w:ind w:left="2896" w:hanging="336"/>
      </w:pPr>
      <w:rPr>
        <w:rFonts w:hint="default" w:ascii="wingdings" w:hAnsi="wingdings" w:cs="wingdings"/>
      </w:rPr>
    </w:lvl>
    <w:lvl w:ilvl="8">
      <w:start w:val="1"/>
      <w:numFmt w:val="bullet"/>
      <w:lvlText w:val=""/>
      <w:pPr>
        <w:ind w:left="6096" w:hanging="336"/>
      </w:pPr>
      <w:rPr>
        <w:rFonts w:hint="default" w:ascii="wingdings" w:hAnsi="wingdings" w:cs="wingdings"/>
      </w:rPr>
    </w:lvl>
    <w:lvl w:ilvl="0">
      <w:start w:val="1"/>
      <w:numFmt w:val="bullet"/>
      <w:lvlText w:val=""/>
      <w:lvlJc w:val="left"/>
      <w:pPr>
        <w:tabs/>
        <w:ind w:left="976" w:hanging="336" w:firstLine="0"/>
      </w:pPr>
      <w:rPr>
        <w:rFonts w:hint="default" w:ascii="wingdings" w:hAnsi="wingdings" w:cs="wingdings"/>
        <w:u/>
      </w:rPr>
    </w:lvl>
    <w:lvl w:ilvl="4">
      <w:start w:val="1"/>
      <w:numFmt w:val="bullet"/>
      <w:lvlText w:val="¡"/>
      <w:pPr>
        <w:ind w:left="3536" w:hanging="336"/>
      </w:pPr>
      <w:rPr>
        <w:rFonts w:hint="default" w:ascii="wingdings" w:hAnsi="wingdings" w:cs="wingdings"/>
      </w:rPr>
    </w:lvl>
    <w:lvl w:ilvl="6">
      <w:start w:val="1"/>
      <w:numFmt w:val="bullet"/>
      <w:lvlText w:val=""/>
      <w:pPr>
        <w:ind w:left="4816" w:hanging="336"/>
      </w:pPr>
      <w:rPr>
        <w:rFonts w:hint="default" w:ascii="wingdings" w:hAnsi="wingdings" w:cs="wingdings"/>
      </w:rPr>
    </w:lvl>
    <w:lvl w:ilvl="7">
      <w:start w:val="1"/>
      <w:numFmt w:val="bullet"/>
      <w:lvlText w:val="¡"/>
      <w:pPr>
        <w:ind w:left="5456" w:hanging="336"/>
      </w:pPr>
      <w:rPr>
        <w:rFonts w:hint="default" w:ascii="wingdings" w:hAnsi="wingdings" w:cs="wingdings"/>
      </w:rPr>
    </w:lvl>
  </w:abstractNum>
  <w:abstractNum w:abstractNumId="5">
    <w:lvl w:ilvl="6">
      <w:start w:val="1"/>
      <w:numFmt w:val="decimal"/>
      <w:lvlText w:val="%7."/>
      <w:lvlJc w:val="left"/>
      <w:pPr>
        <w:tabs>
          <w:tab w:val="num" w:pos="5040"/>
        </w:tabs>
        <w:ind w:left="5040" w:hanging="720"/>
      </w:pPr>
    </w:lvl>
    <w:lvl w:ilvl="2">
      <w:start w:val="1"/>
      <w:numFmt w:val="decimal"/>
      <w:lvlText w:val="%3."/>
      <w:lvlJc w:val="left"/>
      <w:pPr>
        <w:tabs>
          <w:tab w:val="num" w:pos="2160"/>
        </w:tabs>
        <w:ind w:left="2160" w:hanging="720"/>
      </w:pPr>
    </w:lvl>
    <w:lvl w:ilvl="7">
      <w:start w:val="1"/>
      <w:numFmt w:val="decimal"/>
      <w:lvlText w:val="%8."/>
      <w:lvlJc w:val="left"/>
      <w:pPr>
        <w:tabs>
          <w:tab w:val="num" w:pos="5760"/>
        </w:tabs>
        <w:ind w:left="5760" w:hanging="720"/>
      </w:pPr>
    </w:lvl>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4">
      <w:start w:val="1"/>
      <w:numFmt w:val="decimal"/>
      <w:lvlText w:val="%5."/>
      <w:lvlJc w:val="left"/>
      <w:pPr>
        <w:tabs>
          <w:tab w:val="num" w:pos="3600"/>
        </w:tabs>
        <w:ind w:left="3600" w:hanging="720"/>
      </w:pPr>
    </w:lvl>
    <w:lvl w:ilvl="3">
      <w:start w:val="1"/>
      <w:numFmt w:val="decimal"/>
      <w:lvlText w:val="%4."/>
      <w:lvlJc w:val="left"/>
      <w:pPr>
        <w:tabs>
          <w:tab w:val="num" w:pos="2880"/>
        </w:tabs>
        <w:ind w:left="2880" w:hanging="720"/>
      </w:pPr>
    </w:lvl>
    <w:lvl w:ilvl="5">
      <w:start w:val="1"/>
      <w:numFmt w:val="decimal"/>
      <w:lvlText w:val="%6."/>
      <w:lvlJc w:val="left"/>
      <w:pPr>
        <w:tabs>
          <w:tab w:val="num" w:pos="4320"/>
        </w:tabs>
        <w:ind w:left="4320" w:hanging="720"/>
      </w:pPr>
    </w:lvl>
  </w:abstractNum>
  <w:num w:numId="1">
    <w:abstractNumId w:val="4"/>
  </w:num>
  <w:num w:numId="2">
    <w:abstractNumId w:val="2"/>
  </w:num>
</w:numbering>
</file>

<file path=word/settings.xml><?xml version="1.0" encoding="utf-8"?>
<w:settings xmlns:w="http://schemas.openxmlformats.org/wordprocessingml/2006/main">
  <w:zoom w:percent="110"/>
  <w:documentProtection w:enforcement="false"/>
  <w:defaultTabStop w:val="425"/>
  <w:displayHorizontalDrawingGridEvery w:val="1"/>
  <w:displayVerticalDrawingGridEvery w:val="1"/>
  <w:noPunctuationKerning/>
  <w:characterSpacingControl w:val="compressPunctuation"/>
  <w:endnotePr/>
  <w:compat>
    <w:balanceSingleByteDoubleByteWidth/>
    <w:doNotLeaveBackslashAlone/>
    <w:doNotExpandShiftReturn/>
    <w:useFELayout/>
    <w:compatSetting w:name="enableOpenTypeFeatures" w:uri="http://schemas.microsoft.com/office/word" w:val="1"/>
    <w:compatSetting w:name="overrideTableStyleFontSizeAndJustification" w:uri="http://schemas.microsoft.com/office/word" w:val="1"/>
    <w:compatSetting w:name="doNotFlipMirrorIndents" w:uri="http://schemas.microsoft.com/office/word" w:val="1"/>
    <w:compatSetting w:name="compatibilityMode" w:uri="http://schemas.microsoft.com/office/word" w:val="14"/>
  </w:compat>
  <w:rsids>
    <w:rsidRoot w:val="00000000"/>
    <w:rsid w:val="0238542D"/>
    <w:rsid w:val="1699423A"/>
    <w:rsid w:val="16B34B25"/>
    <w:rsid w:val="191A0E8B"/>
    <w:rsid w:val="1DED6B6E"/>
    <w:rsid w:val="273A6240"/>
    <w:rsid w:val="2A924D25"/>
    <w:rsid w:val="2D047A30"/>
    <w:rsid w:val="32C1020E"/>
    <w:rsid w:val="3EF97BF7"/>
    <w:rsid w:val="425B7C9B"/>
    <w:rsid w:val="439B47F3"/>
    <w:rsid w:val="43CD6976"/>
    <w:rsid w:val="4B29302C"/>
    <w:rsid w:val="56847368"/>
    <w:rsid w:val="57284198"/>
    <w:rsid w:val="5FDA624B"/>
    <w:rsid w:val="629B43B7"/>
    <w:rsid w:val="65D73958"/>
    <w:rsid w:val="660D2ED6"/>
    <w:rsid w:val="781A1483"/>
    <w:rsid w:val="7D3923A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shd/>
      </w:rPr>
    </w:rPrDefault>
    <w:pPrDefault>
      <w:pPr>
        <w:pBdr/>
        <w:tabs/>
        <w:spacing/>
        <w:ind/>
      </w:pPr>
    </w:pPrDefault>
  </w:docDefaults>
  <w:latentStyles w:defLockedState="false" w:defUIPriority="99" w:defSemiHidden="true" w:defUnhideWhenUsed="true" w:defQFormat="false" w:count="260">
    <w:lsdException w:name="index 7" w:uiPriority="0" w:semiHidden="false" w:unhideWhenUsed="false"/>
    <w:lsdException w:name="HTML Acronym" w:uiPriority="0" w:semiHidden="false" w:unhideWhenUsed="false"/>
    <w:lsdException w:name="HTML Address" w:uiPriority="0" w:semiHidden="false" w:unhideWhenUsed="false"/>
    <w:lsdException w:name="Hyperlink" w:uiPriority="0" w:semiHidden="false" w:unhideWhenUsed="false"/>
    <w:lsdException w:name="Table Columns 3" w:uiPriority="0" w:semiHidden="false" w:unhideWhenUsed="false"/>
    <w:lsdException w:name="Light Shading Accent 3" w:uiPriority="60" w:semiHidden="false" w:unhideWhenUsed="false"/>
    <w:lsdException w:name="Medium Grid 2 Accent 1" w:uiPriority="68" w:semiHidden="false" w:unhideWhenUsed="false"/>
    <w:lsdException w:name="annotation text" w:uiPriority="0" w:semiHidden="false" w:unhideWhenUsed="false"/>
    <w:lsdException w:name="HTML Typewriter" w:uiPriority="0" w:semiHidden="false" w:unhideWhenUsed="false"/>
    <w:lsdException w:name="toc 2" w:uiPriority="0" w:semiHidden="false" w:unhideWhenUsed="false"/>
    <w:lsdException w:name="Table Grid 6" w:uiPriority="0" w:semiHidden="false" w:unhideWhenUsed="false"/>
    <w:lsdException w:name="Table Grid" w:uiPriority="0" w:semiHidden="false" w:unhideWhenUsed="false" w:qFormat="true"/>
    <w:lsdException w:name="footer" w:uiPriority="0" w:semiHidden="false" w:unhideWhenUsed="false"/>
    <w:lsdException w:name="HTML Keyboard" w:uiPriority="0" w:semiHidden="false" w:unhideWhenUsed="false"/>
    <w:lsdException w:name="Table Grid 2" w:uiPriority="0" w:semiHidden="false" w:unhideWhenUsed="false"/>
    <w:lsdException w:name="List Number 3" w:uiPriority="0" w:semiHidden="false" w:unhideWhenUsed="false"/>
    <w:lsdException w:name="heading 8" w:uiPriority="0" w:qFormat="true"/>
    <w:lsdException w:name="Colorful List Accent 5" w:uiPriority="72" w:semiHidden="false" w:unhideWhenUsed="false"/>
    <w:lsdException w:name="index 1" w:uiPriority="0" w:semiHidden="false" w:unhideWhenUsed="false"/>
    <w:lsdException w:name="Medium Grid 2" w:uiPriority="68" w:semiHidden="false" w:unhideWhenUsed="false"/>
    <w:lsdException w:name="Medium List 1 Accent 6" w:uiPriority="65" w:semiHidden="false" w:unhideWhenUsed="false"/>
    <w:lsdException w:name="envelope return" w:uiPriority="0" w:semiHidden="false" w:unhideWhenUsed="false"/>
    <w:lsdException w:name="Medium Grid 1 Accent 3" w:uiPriority="67" w:semiHidden="false" w:unhideWhenUsed="false"/>
    <w:lsdException w:name="List 4" w:uiPriority="0" w:semiHidden="false" w:unhideWhenUsed="false"/>
    <w:lsdException w:name="index 5" w:uiPriority="0" w:semiHidden="false" w:unhideWhenUsed="false"/>
    <w:lsdException w:name="Salutation" w:uiPriority="0" w:semiHidden="false" w:unhideWhenUsed="false"/>
    <w:lsdException w:name="Date" w:uiPriority="0" w:semiHidden="false" w:unhideWhenUsed="false"/>
    <w:lsdException w:name="Table Web 2" w:uiPriority="0" w:semiHidden="false" w:unhideWhenUsed="false"/>
    <w:lsdException w:name="toa heading" w:uiPriority="0" w:semiHidden="false" w:unhideWhenUsed="false"/>
    <w:lsdException w:name="Medium Shading 1 Accent 2" w:uiPriority="63" w:semiHidden="false" w:unhideWhenUsed="false"/>
    <w:lsdException w:name="Light List Accent 5" w:uiPriority="61" w:semiHidden="false" w:unhideWhenUsed="false"/>
    <w:lsdException w:name="Medium Shading 2 Accent 1" w:uiPriority="64" w:semiHidden="false" w:unhideWhenUsed="false"/>
    <w:lsdException w:name="toc 3" w:uiPriority="0" w:semiHidden="false" w:unhideWhenUsed="false"/>
    <w:lsdException w:name="Medium Shading 1 Accent 6" w:uiPriority="63" w:semiHidden="false" w:unhideWhenUsed="false"/>
    <w:lsdException w:name="Medium Shading 2" w:uiPriority="64" w:semiHidden="false" w:unhideWhenUsed="false"/>
    <w:lsdException w:name="Medium Shading 2 Accent 6" w:uiPriority="64" w:semiHidden="false" w:unhideWhenUsed="false"/>
    <w:lsdException w:name="Colorful Shading" w:uiPriority="71" w:semiHidden="false" w:unhideWhenUsed="false"/>
    <w:lsdException w:name="toc 7" w:uiPriority="0" w:semiHidden="false" w:unhideWhenUsed="false"/>
    <w:lsdException w:name="Dark List Accent 6" w:uiPriority="70" w:semiHidden="false" w:unhideWhenUsed="false"/>
    <w:lsdException w:name="Normal" w:uiPriority="0" w:semiHidden="false" w:unhideWhenUsed="false" w:qFormat="true"/>
    <w:lsdException w:name="Colorful Grid Accent 2" w:uiPriority="73" w:semiHidden="false" w:unhideWhenUsed="false"/>
    <w:lsdException w:name="List Continue 4" w:uiPriority="0" w:semiHidden="false" w:unhideWhenUsed="false"/>
    <w:lsdException w:name="List Continue 5" w:uiPriority="0" w:semiHidden="false" w:unhideWhenUsed="false"/>
    <w:lsdException w:name="Medium Grid 2 Accent 5" w:uiPriority="68" w:semiHidden="false" w:unhideWhenUsed="false"/>
    <w:lsdException w:name="Medium Grid 2 Accent 4" w:uiPriority="68" w:semiHidden="false" w:unhideWhenUsed="false"/>
    <w:lsdException w:name="Dark List Accent 2" w:uiPriority="70" w:semiHidden="false" w:unhideWhenUsed="false"/>
    <w:lsdException w:name="Body Text Indent 3" w:uiPriority="0" w:semiHidden="false" w:unhideWhenUsed="false"/>
    <w:lsdException w:name="Colorful Grid Accent 6" w:uiPriority="73" w:semiHidden="false" w:unhideWhenUsed="false"/>
    <w:lsdException w:name="Table Colorful 3" w:uiPriority="0" w:semiHidden="false" w:unhideWhenUsed="false"/>
    <w:lsdException w:name="Medium List 1 Accent 3" w:uiPriority="65" w:semiHidden="false" w:unhideWhenUsed="false"/>
    <w:lsdException w:name="Colorful Shading Accent 5" w:uiPriority="71" w:semiHidden="false" w:unhideWhenUsed="false"/>
    <w:lsdException w:name="Medium Grid 3 Accent 5" w:uiPriority="69" w:semiHidden="false" w:unhideWhenUsed="false"/>
    <w:lsdException w:name="Colorful Shading Accent 6" w:uiPriority="71" w:semiHidden="false" w:unhideWhenUsed="false"/>
    <w:lsdException w:name="Colorful Shading Accent 2" w:uiPriority="71" w:semiHidden="false" w:unhideWhenUsed="false"/>
    <w:lsdException w:name="Light Shading Accent 4" w:uiPriority="60" w:semiHidden="false" w:unhideWhenUsed="false"/>
    <w:lsdException w:name="Table Simple 3" w:uiPriority="0" w:semiHidden="false" w:unhideWhenUsed="false"/>
    <w:lsdException w:name="Medium Grid 3 Accent 1" w:uiPriority="69" w:semiHidden="false" w:unhideWhenUsed="false"/>
    <w:lsdException w:name="Medium List 2 Accent 5" w:uiPriority="66" w:semiHidden="false" w:unhideWhenUsed="false"/>
    <w:lsdException w:name="Title" w:uiPriority="0" w:semiHidden="false" w:unhideWhenUsed="false" w:qFormat="true"/>
    <w:lsdException w:name="Colorful List Accent 1" w:uiPriority="72" w:semiHidden="false" w:unhideWhenUsed="false"/>
    <w:lsdException w:name="caption" w:uiPriority="0" w:qFormat="true"/>
    <w:lsdException w:name="Medium List 2 Accent 1" w:uiPriority="66" w:semiHidden="false" w:unhideWhenUsed="false"/>
    <w:lsdException w:name="Table Classic 2" w:uiPriority="0" w:semiHidden="false" w:unhideWhenUsed="false"/>
    <w:lsdException w:name="Closing" w:uiPriority="0" w:semiHidden="false" w:unhideWhenUsed="false"/>
    <w:lsdException w:name="Light Grid Accent 4" w:uiPriority="62" w:semiHidden="false" w:unhideWhenUsed="false"/>
    <w:lsdException w:name="heading 9" w:uiPriority="0" w:qFormat="true"/>
    <w:lsdException w:name="index 9" w:uiPriority="0" w:semiHidden="false" w:unhideWhenUsed="false"/>
    <w:lsdException w:name="Medium Grid 1 Accent 4" w:uiPriority="67" w:semiHidden="false" w:unhideWhenUsed="false"/>
    <w:lsdException w:name="heading 4" w:uiPriority="0" w:qFormat="true"/>
    <w:lsdException w:name="Subtitle" w:uiPriority="0" w:semiHidden="false" w:unhideWhenUsed="false" w:qFormat="true"/>
    <w:lsdException w:name="Table Grid 4" w:uiPriority="0" w:semiHidden="false" w:unhideWhenUsed="false"/>
    <w:lsdException w:name="Medium Grid 2 Accent 2" w:uiPriority="68" w:semiHidden="false" w:unhideWhenUsed="false"/>
    <w:lsdException w:name="endnote reference" w:uiPriority="0" w:semiHidden="false" w:unhideWhenUsed="false"/>
    <w:lsdException w:name="toc 5" w:uiPriority="0" w:semiHidden="false" w:unhideWhenUsed="false"/>
    <w:lsdException w:name="Table Columns 4" w:uiPriority="0" w:semiHidden="false" w:unhideWhenUsed="false"/>
    <w:lsdException w:name="E-mail Signature" w:uiPriority="0" w:semiHidden="false" w:unhideWhenUsed="false"/>
    <w:lsdException w:name="Table Subtle 1" w:uiPriority="0" w:semiHidden="false" w:unhideWhenUsed="false"/>
    <w:lsdException w:name="Table Grid 1" w:uiPriority="0" w:semiHidden="false" w:unhideWhenUsed="false"/>
    <w:lsdException w:name="table of figures" w:uiPriority="0" w:semiHidden="false" w:unhideWhenUsed="false"/>
    <w:lsdException w:name="Table List 2" w:uiPriority="0" w:semiHidden="false" w:unhideWhenUsed="false"/>
    <w:lsdException w:name="toc 9" w:uiPriority="0" w:semiHidden="false" w:unhideWhenUsed="false"/>
    <w:lsdException w:name="Dark List Accent 4" w:uiPriority="70" w:semiHidden="false" w:unhideWhenUsed="false"/>
    <w:lsdException w:name="Signature" w:uiPriority="0" w:semiHidden="false" w:unhideWhenUsed="false"/>
    <w:lsdException w:name="Colorful List" w:uiPriority="72" w:semiHidden="false" w:unhideWhenUsed="false"/>
    <w:lsdException w:name="Colorful List Accent 3" w:uiPriority="72" w:semiHidden="false" w:unhideWhenUsed="false"/>
    <w:lsdException w:name="Body Text 2" w:uiPriority="0" w:semiHidden="false" w:unhideWhenUsed="false"/>
    <w:lsdException w:name="Table List 5" w:uiPriority="0" w:semiHidden="false" w:unhideWhenUsed="false"/>
    <w:lsdException w:name="Table List 6" w:uiPriority="0" w:semiHidden="false" w:unhideWhenUsed="false"/>
    <w:lsdException w:name="Medium List 1 Accent 1" w:uiPriority="65" w:semiHidden="false" w:unhideWhenUsed="false"/>
    <w:lsdException w:name="List Bullet 2" w:uiPriority="0" w:semiHidden="false" w:unhideWhenUsed="false"/>
    <w:lsdException w:name="List Number 4" w:uiPriority="0" w:semiHidden="false" w:unhideWhenUsed="false"/>
    <w:lsdException w:name="List Number 5" w:uiPriority="0" w:semiHidden="false" w:unhideWhenUsed="false"/>
    <w:lsdException w:name="Default Paragraph Font" w:uiPriority="0" w:unhideWhenUsed="false" w:qFormat="true"/>
    <w:lsdException w:name="List 3" w:uiPriority="0" w:semiHidden="false" w:unhideWhenUsed="false"/>
    <w:lsdException w:name="Medium List 1" w:uiPriority="65" w:semiHidden="false" w:unhideWhenUsed="false"/>
    <w:lsdException w:name="Light List Accent 4" w:uiPriority="61" w:semiHidden="false" w:unhideWhenUsed="false"/>
    <w:lsdException w:name="Block Text" w:uiPriority="0" w:semiHidden="false" w:unhideWhenUsed="false"/>
    <w:lsdException w:name="Light List Accent 6" w:uiPriority="61" w:semiHidden="false" w:unhideWhenUsed="false"/>
    <w:lsdException w:name="Table 3D effects 1" w:uiPriority="0" w:semiHidden="false" w:unhideWhenUsed="false"/>
    <w:lsdException w:name="Table Web 1" w:uiPriority="0" w:semiHidden="false" w:unhideWhenUsed="false"/>
    <w:lsdException w:name="Light Shading Accent 2" w:uiPriority="60" w:semiHidden="false" w:unhideWhenUsed="false"/>
    <w:lsdException w:name="Medium Shading 1 Accent 5" w:uiPriority="63" w:semiHidden="false" w:unhideWhenUsed="false"/>
    <w:lsdException w:name="Body Text First Indent 2" w:uiPriority="0" w:semiHidden="false" w:unhideWhenUsed="false"/>
    <w:lsdException w:name="Medium Shading 1 Accent 1" w:uiPriority="63" w:semiHidden="false" w:unhideWhenUsed="false"/>
    <w:lsdException w:name="Medium List 2 Accent 4" w:uiPriority="66" w:semiHidden="false" w:unhideWhenUsed="false"/>
    <w:lsdException w:name="Light List Accent 2" w:uiPriority="61" w:semiHidden="false" w:unhideWhenUsed="false"/>
    <w:lsdException w:name="List Continue" w:uiPriority="0" w:semiHidden="false" w:unhideWhenUsed="false"/>
    <w:lsdException w:name="Light Shading Accent 6" w:uiPriority="60" w:semiHidden="false" w:unhideWhenUsed="false"/>
    <w:lsdException w:name="Medium Shading 2 Accent 3" w:uiPriority="64" w:semiHidden="false" w:unhideWhenUsed="false"/>
    <w:lsdException w:name="Document Map" w:uiPriority="0" w:semiHidden="false" w:unhideWhenUsed="false"/>
    <w:lsdException w:name="List Continue 2" w:uiPriority="0" w:semiHidden="false" w:unhideWhenUsed="false"/>
    <w:lsdException w:name="Table Classic 4" w:uiPriority="0" w:semiHidden="false" w:unhideWhenUsed="false"/>
    <w:lsdException w:name="Light Grid Accent 6" w:uiPriority="62" w:semiHidden="false" w:unhideWhenUsed="false"/>
    <w:lsdException w:name="Dark List Accent 5" w:uiPriority="70" w:semiHidden="false" w:unhideWhenUsed="false"/>
    <w:lsdException w:name="Medium Grid 3" w:uiPriority="69" w:semiHidden="false" w:unhideWhenUsed="false"/>
    <w:lsdException w:name="Normal Table" w:uiPriority="0" w:unhideWhenUsed="false" w:qFormat="true"/>
    <w:lsdException w:name="Medium Grid 2 Accent 6" w:uiPriority="68" w:semiHidden="false" w:unhideWhenUsed="false"/>
    <w:lsdException w:name="Colorful Grid Accent 5" w:uiPriority="73" w:semiHidden="false" w:unhideWhenUsed="false"/>
    <w:lsdException w:name="Medium Grid 1 Accent 2" w:uiPriority="67" w:semiHidden="false" w:unhideWhenUsed="false"/>
    <w:lsdException w:name="index 4" w:uiPriority="0" w:semiHidden="false" w:unhideWhenUsed="false"/>
    <w:lsdException w:name="Table Contemporary" w:uiPriority="0" w:semiHidden="false" w:unhideWhenUsed="false"/>
    <w:lsdException w:name="Plain Text" w:uiPriority="0" w:semiHidden="false" w:unhideWhenUsed="false"/>
    <w:lsdException w:name="Colorful Shading Accent 4" w:uiPriority="71" w:semiHidden="false" w:unhideWhenUsed="false"/>
    <w:lsdException w:name="HTML Cite" w:uiPriority="0" w:semiHidden="false" w:unhideWhenUsed="false"/>
    <w:lsdException w:name="toc 1" w:uiPriority="0" w:semiHidden="false" w:unhideWhenUsed="false"/>
    <w:lsdException w:name="Table Grid 5" w:uiPriority="0" w:semiHidden="false" w:unhideWhenUsed="false"/>
    <w:lsdException w:name="Table Simple 2" w:uiPriority="0" w:semiHidden="false" w:unhideWhenUsed="false"/>
    <w:lsdException w:name="Body Text Indent" w:uiPriority="0" w:semiHidden="false" w:unhideWhenUsed="false"/>
    <w:lsdException w:name="Light List Accent 3" w:uiPriority="61" w:semiHidden="false" w:unhideWhenUsed="false"/>
    <w:lsdException w:name="Body Text" w:uiPriority="0" w:semiHidden="false" w:unhideWhenUsed="false" w:qFormat="true"/>
    <w:lsdException w:name="Colorful Shading Accent 1" w:uiPriority="71" w:semiHidden="false" w:unhideWhenUsed="false"/>
    <w:lsdException w:name="Note Heading" w:uiPriority="0" w:semiHidden="false" w:unhideWhenUsed="false"/>
    <w:lsdException w:name="HTML Code" w:uiPriority="0" w:semiHidden="false" w:unhideWhenUsed="false"/>
    <w:lsdException w:name="Strong" w:uiPriority="0" w:semiHidden="false" w:unhideWhenUsed="false" w:qFormat="true"/>
    <w:lsdException w:name="Light Grid Accent 3" w:uiPriority="62" w:semiHidden="false" w:unhideWhenUsed="false"/>
    <w:lsdException w:name="toc 6" w:uiPriority="0" w:semiHidden="false" w:unhideWhenUsed="false"/>
    <w:lsdException w:name="Medium List 2 Accent 6" w:uiPriority="66" w:semiHidden="false" w:unhideWhenUsed="false"/>
    <w:lsdException w:name="page number" w:uiPriority="0" w:semiHidden="false" w:unhideWhenUsed="false"/>
    <w:lsdException w:name="Medium List 2 Accent 2" w:uiPriority="66" w:semiHidden="false" w:unhideWhenUsed="false"/>
    <w:lsdException w:name="heading 7" w:uiPriority="0" w:qFormat="true"/>
    <w:lsdException w:name="table of authorities" w:uiPriority="0" w:semiHidden="false" w:unhideWhenUsed="false"/>
    <w:lsdException w:name="Normal Indent" w:uiPriority="0" w:semiHidden="false" w:unhideWhenUsed="false"/>
    <w:lsdException w:name="Colorful List Accent 4" w:uiPriority="72" w:semiHidden="false" w:unhideWhenUsed="false"/>
    <w:lsdException w:name="Body Text Indent 2" w:uiPriority="0" w:semiHidden="false" w:unhideWhenUsed="false"/>
    <w:lsdException w:name="heading 3" w:uiPriority="0" w:qFormat="true"/>
    <w:lsdException w:name="List Bullet 4" w:uiPriority="0" w:semiHidden="false" w:unhideWhenUsed="false"/>
    <w:lsdException w:name="Medium List 1 Accent 2" w:uiPriority="65" w:semiHidden="false" w:unhideWhenUsed="false"/>
    <w:lsdException w:name="Table Classic 1" w:uiPriority="0" w:semiHidden="false" w:unhideWhenUsed="false"/>
    <w:lsdException w:name="Emphasis" w:uiPriority="0" w:semiHidden="false" w:unhideWhenUsed="false" w:qFormat="true"/>
    <w:lsdException w:name="HTML Definition" w:uiPriority="0" w:semiHidden="false" w:unhideWhenUsed="false"/>
    <w:lsdException w:name="Medium List 1 Accent 5" w:uiPriority="65" w:semiHidden="false" w:unhideWhenUsed="false"/>
    <w:lsdException w:name="Medium Grid 3 Accent 4" w:uiPriority="69" w:semiHidden="false" w:unhideWhenUsed="false"/>
    <w:lsdException w:name="List" w:uiPriority="0" w:semiHidden="false" w:unhideWhenUsed="false"/>
    <w:lsdException w:name="HTML Sample" w:uiPriority="0" w:semiHidden="false" w:unhideWhenUsed="false"/>
    <w:lsdException w:name="Table Grid 7" w:uiPriority="0" w:semiHidden="false" w:unhideWhenUsed="false"/>
    <w:lsdException w:name="Table Subtle 2" w:uiPriority="0" w:semiHidden="false" w:unhideWhenUsed="false"/>
    <w:lsdException w:name="Table Grid 8" w:uiPriority="0" w:semiHidden="false" w:unhideWhenUsed="false"/>
    <w:lsdException w:name="Medium Grid 3 Accent 3" w:uiPriority="69" w:semiHidden="false" w:unhideWhenUsed="false"/>
    <w:lsdException w:name="Medium Shading 1" w:uiPriority="63" w:semiHidden="false" w:unhideWhenUsed="false"/>
    <w:lsdException w:name="Medium Grid 1 Accent 6" w:uiPriority="67" w:semiHidden="false" w:unhideWhenUsed="false"/>
    <w:lsdException w:name="Medium Shading 2 Accent 5" w:uiPriority="64" w:semiHidden="false" w:unhideWhenUsed="false"/>
    <w:lsdException w:name="Table Grid 3" w:uiPriority="0" w:semiHidden="false" w:unhideWhenUsed="false"/>
    <w:lsdException w:name="toc 8" w:uiPriority="0" w:semiHidden="false" w:unhideWhenUsed="false"/>
    <w:lsdException w:name="Body Text First Indent" w:uiPriority="0" w:semiHidden="false" w:unhideWhenUsed="false"/>
    <w:lsdException w:name="Table List 1" w:uiPriority="0" w:semiHidden="false" w:unhideWhenUsed="false"/>
    <w:lsdException w:name="envelope address" w:uiPriority="0" w:semiHidden="false" w:unhideWhenUsed="false"/>
    <w:lsdException w:name="annotation subject" w:uiPriority="0" w:semiHidden="false" w:unhideWhenUsed="false"/>
    <w:lsdException w:name="Colorful Grid Accent 1" w:uiPriority="73" w:semiHidden="false" w:unhideWhenUsed="false"/>
    <w:lsdException w:name="index 8" w:uiPriority="0" w:semiHidden="false" w:unhideWhenUsed="false"/>
    <w:lsdException w:name="footnote text" w:uiPriority="0" w:semiHidden="false" w:unhideWhenUsed="false"/>
    <w:lsdException w:name="List Number 2" w:uiPriority="0" w:semiHidden="false" w:unhideWhenUsed="false"/>
    <w:lsdException w:name="Table List 4" w:uiPriority="0" w:semiHidden="false" w:unhideWhenUsed="false"/>
    <w:lsdException w:name="Colorful Grid" w:uiPriority="73" w:semiHidden="false" w:unhideWhenUsed="false"/>
    <w:lsdException w:name="List Bullet 5" w:uiPriority="0" w:semiHidden="false" w:unhideWhenUsed="false"/>
    <w:lsdException w:name="Table Colorful 2" w:uiPriority="0" w:semiHidden="false" w:unhideWhenUsed="false"/>
    <w:lsdException w:name="Medium List 2" w:uiPriority="66" w:semiHidden="false" w:unhideWhenUsed="false"/>
    <w:lsdException w:name="Light List Accent 1" w:uiPriority="61" w:semiHidden="false" w:unhideWhenUsed="false"/>
    <w:lsdException w:name="Table 3D effects 3" w:uiPriority="0" w:semiHidden="false" w:unhideWhenUsed="false"/>
    <w:lsdException w:name="Table 3D effects 2" w:uiPriority="0" w:semiHidden="false" w:unhideWhenUsed="false"/>
    <w:lsdException w:name="Table Columns 1" w:uiPriority="0" w:semiHidden="false" w:unhideWhenUsed="false"/>
    <w:lsdException w:name="Light Shading" w:uiPriority="60" w:semiHidden="false" w:unhideWhenUsed="false"/>
    <w:lsdException w:name="Table Web 3" w:uiPriority="0" w:semiHidden="false" w:unhideWhenUsed="false"/>
    <w:lsdException w:name="Medium Grid 2 Accent 3" w:uiPriority="68" w:semiHidden="false" w:unhideWhenUsed="false"/>
    <w:lsdException w:name="Table Columns 2" w:uiPriority="0" w:semiHidden="false" w:unhideWhenUsed="false"/>
    <w:lsdException w:name="Light Grid Accent 1" w:uiPriority="62" w:semiHidden="false" w:unhideWhenUsed="false"/>
    <w:lsdException w:name="Light Shading Accent 5" w:uiPriority="60" w:semiHidden="false" w:unhideWhenUsed="false"/>
    <w:lsdException w:name="Medium Shading 2 Accent 4" w:uiPriority="64" w:semiHidden="false" w:unhideWhenUsed="false"/>
    <w:lsdException w:name="Table Columns 5" w:uiPriority="0" w:semiHidden="false" w:unhideWhenUsed="false"/>
    <w:lsdException w:name="Colorful List Accent 2" w:uiPriority="72" w:semiHidden="false" w:unhideWhenUsed="false"/>
    <w:lsdException w:name="heading 5" w:uiPriority="0" w:qFormat="true"/>
    <w:lsdException w:name="Table Professional" w:uiPriority="0" w:semiHidden="false" w:unhideWhenUsed="false"/>
    <w:lsdException w:name="Table Classic 3" w:uiPriority="0" w:semiHidden="false" w:unhideWhenUsed="false"/>
    <w:lsdException w:name="List 5" w:uiPriority="0" w:semiHidden="false" w:unhideWhenUsed="false"/>
    <w:lsdException w:name="index 3" w:uiPriority="0" w:semiHidden="false" w:unhideWhenUsed="false"/>
    <w:lsdException w:name="Colorful List Accent 6" w:uiPriority="72" w:semiHidden="false" w:unhideWhenUsed="false"/>
    <w:lsdException w:name="Balloon Text" w:uiPriority="0" w:unhideWhenUsed="false" w:qFormat="true"/>
    <w:lsdException w:name="Colorful Grid Accent 3" w:uiPriority="73" w:semiHidden="false" w:unhideWhenUsed="false"/>
    <w:lsdException w:name="FollowedHyperlink" w:uiPriority="0" w:semiHidden="false" w:unhideWhenUsed="false"/>
    <w:lsdException w:name="index 6" w:uiPriority="0" w:semiHidden="false" w:unhideWhenUsed="false"/>
    <w:lsdException w:name="List 2" w:uiPriority="0" w:semiHidden="false" w:unhideWhenUsed="false"/>
    <w:lsdException w:name="Medium Grid 1 Accent 5" w:uiPriority="67" w:semiHidden="false" w:unhideWhenUsed="false"/>
    <w:lsdException w:name="index 2" w:uiPriority="0" w:semiHidden="false" w:unhideWhenUsed="false"/>
    <w:lsdException w:name="HTML Variable" w:uiPriority="0" w:semiHidden="false" w:unhideWhenUsed="false"/>
    <w:lsdException w:name="Medium Shading 1 Accent 4" w:uiPriority="63" w:semiHidden="false" w:unhideWhenUsed="false"/>
    <w:lsdException w:name="Table Theme" w:uiPriority="0" w:semiHidden="false" w:unhideWhenUsed="false"/>
    <w:lsdException w:name="toc 4" w:uiPriority="0" w:semiHidden="false" w:unhideWhenUsed="false"/>
    <w:lsdException w:name="Medium Shading 1 Accent 3" w:uiPriority="63" w:semiHidden="false" w:unhideWhenUsed="false"/>
    <w:lsdException w:name="Table Simple 1" w:uiPriority="0" w:semiHidden="false" w:unhideWhenUsed="false"/>
    <w:lsdException w:name="Colorful Shading Accent 3" w:uiPriority="71" w:semiHidden="false" w:unhideWhenUsed="false"/>
    <w:lsdException w:name="List Number" w:uiPriority="0" w:semiHidden="false" w:unhideWhenUsed="false"/>
    <w:lsdException w:name="List Bullet" w:uiPriority="0" w:semiHidden="false" w:unhideWhenUsed="false"/>
    <w:lsdException w:name="List Continue 3" w:uiPriority="0" w:semiHidden="false" w:unhideWhenUsed="false"/>
    <w:lsdException w:name="footnote reference" w:uiPriority="0" w:semiHidden="false" w:unhideWhenUsed="false"/>
    <w:lsdException w:name="Body Text 3" w:uiPriority="0" w:semiHidden="false" w:unhideWhenUsed="false"/>
    <w:lsdException w:name="Dark List" w:uiPriority="70" w:semiHidden="false" w:unhideWhenUsed="false"/>
    <w:lsdException w:name="Dark List Accent 3" w:uiPriority="70" w:semiHidden="false" w:unhideWhenUsed="false"/>
    <w:lsdException w:name="List Bullet 3" w:uiPriority="0" w:semiHidden="false" w:unhideWhenUsed="false"/>
    <w:lsdException w:name="Medium List 1 Accent 4" w:uiPriority="65" w:semiHidden="false" w:unhideWhenUsed="false"/>
    <w:lsdException w:name="Message Header" w:uiPriority="0" w:semiHidden="false" w:unhideWhenUsed="false"/>
    <w:lsdException w:name="Table Elegant" w:uiPriority="0" w:semiHidden="false" w:unhideWhenUsed="false"/>
    <w:lsdException w:name="Medium Grid 3 Accent 2" w:uiPriority="69" w:semiHidden="false" w:unhideWhenUsed="false"/>
    <w:lsdException w:name="annotation reference" w:uiPriority="0" w:semiHidden="false" w:unhideWhenUsed="false"/>
    <w:lsdException w:name="Light Shading Accent 1" w:uiPriority="60" w:semiHidden="false" w:unhideWhenUsed="false"/>
    <w:lsdException w:name="HTML Preformatted" w:uiPriority="0" w:semiHidden="false" w:unhideWhenUsed="false"/>
    <w:lsdException w:name="Normal (Web)" w:uiPriority="0" w:semiHidden="false" w:unhideWhenUsed="false" w:qFormat="true"/>
    <w:lsdException w:name="Medium Grid 3 Accent 6" w:uiPriority="69" w:semiHidden="false" w:unhideWhenUsed="false"/>
    <w:lsdException w:name="Light Grid Accent 2" w:uiPriority="62" w:semiHidden="false" w:unhideWhenUsed="false"/>
    <w:lsdException w:name="line number" w:uiPriority="0" w:semiHidden="false" w:unhideWhenUsed="false"/>
    <w:lsdException w:name="endnote text" w:uiPriority="0" w:semiHidden="false" w:unhideWhenUsed="false"/>
    <w:lsdException w:name="Light List" w:uiPriority="61" w:semiHidden="false" w:unhideWhenUsed="false"/>
    <w:lsdException w:name="Medium Shading 2 Accent 2" w:uiPriority="64" w:semiHidden="false" w:unhideWhenUsed="false"/>
    <w:lsdException w:name="Light Grid" w:uiPriority="62" w:semiHidden="false" w:unhideWhenUsed="false"/>
    <w:lsdException w:name="Dark List Accent 1" w:uiPriority="70" w:semiHidden="false" w:unhideWhenUsed="false"/>
    <w:lsdException w:name="Medium List 2 Accent 3" w:uiPriority="66" w:semiHidden="false" w:unhideWhenUsed="false"/>
    <w:lsdException w:name="Table List 3" w:uiPriority="0" w:semiHidden="false" w:unhideWhenUsed="false"/>
    <w:lsdException w:name="Light Grid Accent 5" w:uiPriority="62" w:semiHidden="false" w:unhideWhenUsed="false"/>
    <w:lsdException w:name="heading 6" w:uiPriority="0" w:qFormat="true"/>
    <w:lsdException w:name="header" w:uiPriority="0" w:semiHidden="false" w:unhideWhenUsed="false"/>
    <w:lsdException w:name="Medium Grid 1" w:uiPriority="67" w:semiHidden="false" w:unhideWhenUsed="false"/>
    <w:lsdException w:name="macro" w:uiPriority="0" w:semiHidden="false" w:unhideWhenUsed="false"/>
    <w:lsdException w:name="Table Colorful 1" w:uiPriority="0" w:semiHidden="false" w:unhideWhenUsed="false"/>
    <w:lsdException w:name="Table List 8" w:uiPriority="0" w:semiHidden="false" w:unhideWhenUsed="false"/>
    <w:lsdException w:name="Table List 7" w:uiPriority="0" w:semiHidden="false" w:unhideWhenUsed="false"/>
    <w:lsdException w:name="Medium Grid 1 Accent 1" w:uiPriority="67" w:semiHidden="false" w:unhideWhenUsed="false"/>
    <w:lsdException w:name="index heading" w:uiPriority="0" w:semiHidden="false" w:unhideWhenUsed="false"/>
    <w:lsdException w:name="heading 1" w:uiPriority="0" w:semiHidden="false" w:unhideWhenUsed="false" w:qFormat="true"/>
    <w:lsdException w:name="heading 2" w:uiPriority="0" w:qFormat="true"/>
    <w:lsdException w:name="Colorful Grid Accent 4" w:uiPriority="73" w:semiHidden="false" w:unhideWhenUsed="false"/>
  </w:latentStyles>
  <w:style w:type="character" w:styleId="000005">
    <w:name w:val="page number"/>
    <w:basedOn w:val="000006"/>
    <w:uiPriority w:val="0"/>
  </w:style>
  <w:style w:type="table" w:styleId="000001" w:default="true">
    <w:name w:val="Normal Table"/>
    <w:uiPriority w:val="0"/>
    <w:semiHidden/>
    <w:qFormat/>
    <w:tblPr>
      <w:tblCellMar>
        <w:top w:w="0" w:type="dxa"/>
        <w:left w:w="108" w:type="dxa"/>
        <w:bottom w:w="0" w:type="dxa"/>
        <w:right w:w="108" w:type="dxa"/>
      </w:tblCellMar>
    </w:tblPr>
  </w:style>
  <w:style w:type="paragraph" w:styleId="00000a">
    <w:name w:val="Normal (Web)"/>
    <w:basedOn w:val="000004"/>
    <w:uiPriority w:val="0"/>
    <w:qFormat/>
    <w:pPr>
      <w:widowControl/>
      <w:spacing w:before="100" w:beforeAutospacing="true" w:after="100" w:afterAutospacing="true"/>
      <w:jc w:val="left"/>
    </w:pPr>
    <w:rPr>
      <w:rFonts w:ascii="宋体" w:hAnsi="宋体" w:eastAsia="宋体" w:cs="宋体"/>
      <w:kern w:val="0"/>
      <w:sz w:val="24"/>
      <w:szCs w:val="24"/>
    </w:rPr>
  </w:style>
  <w:style w:type="character" w:styleId="000006" w:default="true">
    <w:name w:val="Default Paragraph Font"/>
    <w:link w:val="000004"/>
    <w:uiPriority w:val="0"/>
    <w:semiHidden/>
    <w:qFormat/>
  </w:style>
  <w:style w:type="paragraph" w:styleId="000008">
    <w:name w:val="header"/>
    <w:basedOn w:val="000004"/>
    <w:uiPriority w:val="0"/>
    <w:pPr>
      <w:pBdr>
        <w:bottom w:val="single" w:color="000000" w:sz="6" w:space="1"/>
      </w:pBdr>
      <w:tabs>
        <w:tab w:val="center" w:pos="4153"/>
        <w:tab w:val="right" w:pos="8306"/>
      </w:tabs>
      <w:jc w:val="center"/>
    </w:pPr>
    <w:rPr>
      <w:sz w:val="18"/>
    </w:rPr>
  </w:style>
  <w:style w:type="paragraph" w:styleId="000007">
    <w:name w:val="Body Text"/>
    <w:basedOn w:val="000004"/>
    <w:uiPriority w:val="0"/>
    <w:qFormat/>
    <w:pPr>
      <w:jc w:val="center"/>
    </w:pPr>
    <w:rPr>
      <w:rFonts w:eastAsia="黑体"/>
      <w:sz w:val="36"/>
    </w:rPr>
  </w:style>
  <w:style w:type="paragraph" w:styleId="000004" w:default="true">
    <w:name w:val="Normal"/>
    <w:link w:val="000006"/>
    <w:uiPriority w:val="0"/>
    <w:qFormat/>
    <w:pPr>
      <w:widowControl w:val="false"/>
      <w:autoSpaceDE/>
      <w:autoSpaceDN/>
      <w:snapToGrid/>
      <w:jc w:val="both"/>
    </w:pPr>
    <w:rPr>
      <w:rFonts w:ascii="Times New Roman" w:hAnsi="Times New Roman" w:eastAsia="仿宋_GB2312" w:cs="Times New Roman"/>
      <w:kern w:val="2"/>
      <w:sz w:val="32"/>
      <w:szCs w:val="22"/>
      <w:lang w:val="en-US" w:eastAsia="zh-CN" w:bidi="ar-SA"/>
    </w:rPr>
  </w:style>
  <w:style w:type="character" w:styleId="000009">
    <w:name w:val="Strong"/>
    <w:basedOn w:val="000006"/>
    <w:uiPriority w:val="0"/>
    <w:qFormat/>
    <w:rPr>
      <w:b/>
      <w:bCs/>
    </w:rPr>
  </w:style>
  <w:style w:type="paragraph" w:styleId="00000b">
    <w:name w:val="footer"/>
    <w:basedOn w:val="000004"/>
    <w:uiPriority w:val="0"/>
    <w:pPr>
      <w:tabs>
        <w:tab w:val="center" w:pos="4153"/>
        <w:tab w:val="right" w:pos="8306"/>
      </w:tabs>
      <w:jc w:val="left"/>
    </w:pPr>
    <w:rPr>
      <w:sz w:val="18"/>
    </w:rPr>
  </w:style>
  <w:style w:type="table" w:styleId="000002">
    <w:name w:val="Table Grid"/>
    <w:basedOn w:val="000001"/>
    <w:uiPriority w:val="0"/>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03">
    <w:name w:val="Balloon Text"/>
    <w:basedOn w:val="000004"/>
    <w:uiPriority w:val="0"/>
    <w:semiHidden/>
    <w:qFormat/>
    <w:rPr>
      <w:sz w:val="18"/>
      <w:szCs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4" Type="http://schemas.openxmlformats.org/officeDocument/2006/relationships/numbering" Target="numbering.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2025-08-27T15:07:14Z</dcterms:created>
  <dcterms:modified xsi:type="dcterms:W3CDTF">2025-08-27T15:07:14Z</dcterms:modified>
</cp:coreProperties>
</file>