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71FA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废旧电力设备出售合同</w:t>
      </w:r>
    </w:p>
    <w:p w14:paraId="34361C92">
      <w:pPr>
        <w:rPr>
          <w:rFonts w:hint="eastAsia"/>
        </w:rPr>
      </w:pPr>
    </w:p>
    <w:p w14:paraId="2152CB91">
      <w:pPr>
        <w:rPr>
          <w:rFonts w:hint="eastAsia"/>
        </w:rPr>
      </w:pPr>
    </w:p>
    <w:p w14:paraId="4473190A">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甲方（出售方）</w:t>
      </w:r>
      <w:r>
        <w:rPr>
          <w:rFonts w:hint="eastAsia" w:ascii="仿宋_GB2312" w:hAnsi="仿宋_GB2312" w:eastAsia="仿宋_GB2312" w:cs="仿宋_GB2312"/>
          <w:sz w:val="32"/>
          <w:szCs w:val="32"/>
          <w:lang w:eastAsia="zh-CN"/>
        </w:rPr>
        <w:t>：</w:t>
      </w:r>
    </w:p>
    <w:p w14:paraId="4A535D1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 [</w:t>
      </w:r>
      <w:r>
        <w:rPr>
          <w:rFonts w:hint="eastAsia" w:ascii="仿宋_GB2312" w:hAnsi="仿宋_GB2312" w:eastAsia="仿宋_GB2312" w:cs="仿宋_GB2312"/>
          <w:sz w:val="32"/>
          <w:szCs w:val="32"/>
          <w:lang w:val="en-US" w:eastAsia="zh-CN"/>
        </w:rPr>
        <w:t>安徽新桥产业发展有限公司</w:t>
      </w:r>
      <w:r>
        <w:rPr>
          <w:rFonts w:hint="eastAsia" w:ascii="仿宋_GB2312" w:hAnsi="仿宋_GB2312" w:eastAsia="仿宋_GB2312" w:cs="仿宋_GB2312"/>
          <w:sz w:val="32"/>
          <w:szCs w:val="32"/>
        </w:rPr>
        <w:t>]</w:t>
      </w:r>
    </w:p>
    <w:p w14:paraId="7A049C6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 [</w:t>
      </w:r>
      <w:r>
        <w:rPr>
          <w:rFonts w:hint="eastAsia" w:ascii="仿宋_GB2312" w:hAnsi="仿宋_GB2312" w:eastAsia="仿宋_GB2312" w:cs="仿宋_GB2312"/>
          <w:sz w:val="32"/>
          <w:szCs w:val="32"/>
          <w:lang w:val="en-US" w:eastAsia="zh-CN"/>
        </w:rPr>
        <w:t>李奇</w:t>
      </w:r>
      <w:r>
        <w:rPr>
          <w:rFonts w:hint="eastAsia" w:ascii="仿宋_GB2312" w:hAnsi="仿宋_GB2312" w:eastAsia="仿宋_GB2312" w:cs="仿宋_GB2312"/>
          <w:sz w:val="32"/>
          <w:szCs w:val="32"/>
        </w:rPr>
        <w:t>]</w:t>
      </w:r>
    </w:p>
    <w:p w14:paraId="4739F11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w:t>
      </w:r>
      <w:r>
        <w:rPr>
          <w:rFonts w:hint="eastAsia" w:ascii="仿宋_GB2312" w:hAnsi="仿宋_GB2312" w:eastAsia="仿宋_GB2312" w:cs="仿宋_GB2312"/>
          <w:sz w:val="32"/>
          <w:szCs w:val="32"/>
          <w:lang w:val="en-US" w:eastAsia="zh-CN"/>
        </w:rPr>
        <w:t>安徽省寿县经济开发区创业就业服务中心4楼</w:t>
      </w:r>
      <w:r>
        <w:rPr>
          <w:rFonts w:hint="eastAsia" w:ascii="仿宋_GB2312" w:hAnsi="仿宋_GB2312" w:eastAsia="仿宋_GB2312" w:cs="仿宋_GB2312"/>
          <w:sz w:val="32"/>
          <w:szCs w:val="32"/>
        </w:rPr>
        <w:t>]</w:t>
      </w:r>
    </w:p>
    <w:p w14:paraId="6613B47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 [</w:t>
      </w:r>
      <w:r>
        <w:rPr>
          <w:rFonts w:hint="eastAsia" w:ascii="仿宋_GB2312" w:hAnsi="仿宋_GB2312" w:eastAsia="仿宋_GB2312" w:cs="仿宋_GB2312"/>
          <w:sz w:val="32"/>
          <w:szCs w:val="32"/>
          <w:lang w:val="en-US" w:eastAsia="zh-CN"/>
        </w:rPr>
        <w:t>0554-4993069</w:t>
      </w:r>
      <w:r>
        <w:rPr>
          <w:rFonts w:hint="eastAsia" w:ascii="仿宋_GB2312" w:hAnsi="仿宋_GB2312" w:eastAsia="仿宋_GB2312" w:cs="仿宋_GB2312"/>
          <w:sz w:val="32"/>
          <w:szCs w:val="32"/>
        </w:rPr>
        <w:t>]</w:t>
      </w:r>
    </w:p>
    <w:p w14:paraId="0BDBAF9B">
      <w:pPr>
        <w:rPr>
          <w:rFonts w:hint="eastAsia" w:ascii="仿宋_GB2312" w:hAnsi="仿宋_GB2312" w:eastAsia="仿宋_GB2312" w:cs="仿宋_GB2312"/>
          <w:sz w:val="32"/>
          <w:szCs w:val="32"/>
        </w:rPr>
      </w:pPr>
    </w:p>
    <w:p w14:paraId="5A29E8D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乙方（购买方）：</w:t>
      </w:r>
    </w:p>
    <w:p w14:paraId="4660F3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 [乙方公司全称]</w:t>
      </w:r>
    </w:p>
    <w:p w14:paraId="76A9C2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 [姓名]</w:t>
      </w:r>
    </w:p>
    <w:p w14:paraId="181F531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[乙方详细地址]</w:t>
      </w:r>
    </w:p>
    <w:p w14:paraId="7095AFA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 [电话、邮箱等]</w:t>
      </w:r>
    </w:p>
    <w:p w14:paraId="5236069E">
      <w:pPr>
        <w:rPr>
          <w:rFonts w:hint="eastAsia" w:ascii="仿宋_GB2312" w:hAnsi="仿宋_GB2312" w:eastAsia="仿宋_GB2312" w:cs="仿宋_GB2312"/>
          <w:sz w:val="32"/>
          <w:szCs w:val="32"/>
        </w:rPr>
      </w:pPr>
    </w:p>
    <w:p w14:paraId="77B3B8A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w:t>
      </w:r>
    </w:p>
    <w:p w14:paraId="4263E73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甲方拥有并拟处置其名下</w:t>
      </w:r>
      <w:r>
        <w:rPr>
          <w:rFonts w:hint="eastAsia" w:ascii="仿宋_GB2312" w:hAnsi="仿宋_GB2312" w:eastAsia="仿宋_GB2312" w:cs="仿宋_GB2312"/>
          <w:sz w:val="32"/>
          <w:szCs w:val="32"/>
          <w:u w:val="single"/>
          <w:lang w:val="en-US" w:eastAsia="zh-CN"/>
        </w:rPr>
        <w:t>寿县永乐路与创业大道交叉口南140米</w:t>
      </w:r>
      <w:r>
        <w:rPr>
          <w:rFonts w:hint="eastAsia" w:ascii="仿宋_GB2312" w:hAnsi="仿宋_GB2312" w:eastAsia="仿宋_GB2312" w:cs="仿宋_GB2312"/>
          <w:b w:val="0"/>
          <w:bCs w:val="0"/>
          <w:sz w:val="32"/>
          <w:szCs w:val="32"/>
          <w:u w:val="single"/>
          <w:lang w:val="en-US" w:eastAsia="zh-CN"/>
        </w:rPr>
        <w:t>原蓝博旺厂区范围内废旧电力设备</w:t>
      </w:r>
      <w:r>
        <w:rPr>
          <w:rFonts w:hint="eastAsia" w:ascii="仿宋_GB2312" w:hAnsi="仿宋_GB2312" w:eastAsia="仿宋_GB2312" w:cs="仿宋_GB2312"/>
          <w:sz w:val="32"/>
          <w:szCs w:val="32"/>
        </w:rPr>
        <w:t>（以下简称“标的设备”）；</w:t>
      </w:r>
    </w:p>
    <w:p w14:paraId="55D5E6F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乙方具备回收、处置废旧电力设备的相应能力，并有意购买标的设备；</w:t>
      </w:r>
    </w:p>
    <w:p w14:paraId="339B99D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双方本着平等自愿、诚实信用的原则，经友好协商，就标的设备买卖事宜达成一致。</w:t>
      </w:r>
    </w:p>
    <w:p w14:paraId="2AD74AFE">
      <w:pPr>
        <w:rPr>
          <w:rFonts w:hint="eastAsia" w:ascii="仿宋_GB2312" w:hAnsi="仿宋_GB2312" w:eastAsia="仿宋_GB2312" w:cs="仿宋_GB2312"/>
          <w:sz w:val="32"/>
          <w:szCs w:val="32"/>
        </w:rPr>
      </w:pPr>
    </w:p>
    <w:p w14:paraId="321B8A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现根据《中华人民共和国民法典》及相关法律法规的规定，订立本合同，以资共同遵守：</w:t>
      </w:r>
    </w:p>
    <w:p w14:paraId="1071725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标的设备描述</w:t>
      </w:r>
    </w:p>
    <w:tbl>
      <w:tblPr>
        <w:tblStyle w:val="3"/>
        <w:tblpPr w:leftFromText="180" w:rightFromText="180" w:vertAnchor="text" w:horzAnchor="page" w:tblpX="2265" w:tblpY="1278"/>
        <w:tblOverlap w:val="never"/>
        <w:tblW w:w="46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683"/>
        <w:gridCol w:w="1773"/>
        <w:gridCol w:w="1052"/>
        <w:gridCol w:w="901"/>
        <w:gridCol w:w="1577"/>
      </w:tblGrid>
      <w:tr w14:paraId="1FA4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73F84C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32"/>
                <w:vertAlign w:val="baseline"/>
                <w:lang w:val="en-US" w:eastAsia="zh-CN"/>
              </w:rPr>
            </w:pPr>
            <w:r>
              <w:rPr>
                <w:rFonts w:hint="eastAsia"/>
                <w:b/>
                <w:bCs/>
                <w:sz w:val="24"/>
                <w:szCs w:val="32"/>
                <w:vertAlign w:val="baseline"/>
                <w:lang w:val="en-US" w:eastAsia="zh-CN"/>
              </w:rPr>
              <w:t>序号</w:t>
            </w:r>
          </w:p>
        </w:tc>
        <w:tc>
          <w:tcPr>
            <w:tcW w:w="1071" w:type="pct"/>
            <w:vAlign w:val="center"/>
          </w:tcPr>
          <w:p w14:paraId="5D4A42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32"/>
                <w:vertAlign w:val="baseline"/>
                <w:lang w:val="en-US" w:eastAsia="zh-CN"/>
              </w:rPr>
            </w:pPr>
            <w:r>
              <w:rPr>
                <w:rFonts w:hint="eastAsia"/>
                <w:b/>
                <w:bCs/>
                <w:sz w:val="24"/>
                <w:szCs w:val="32"/>
                <w:vertAlign w:val="baseline"/>
                <w:lang w:val="en-US" w:eastAsia="zh-CN"/>
              </w:rPr>
              <w:t>名称</w:t>
            </w:r>
          </w:p>
        </w:tc>
        <w:tc>
          <w:tcPr>
            <w:tcW w:w="1128" w:type="pct"/>
            <w:vAlign w:val="center"/>
          </w:tcPr>
          <w:p w14:paraId="51BCF7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32"/>
                <w:vertAlign w:val="baseline"/>
                <w:lang w:val="en-US" w:eastAsia="zh-CN"/>
              </w:rPr>
            </w:pPr>
            <w:r>
              <w:rPr>
                <w:rFonts w:hint="eastAsia"/>
                <w:b/>
                <w:bCs/>
                <w:sz w:val="24"/>
                <w:szCs w:val="32"/>
                <w:vertAlign w:val="baseline"/>
                <w:lang w:val="en-US" w:eastAsia="zh-CN"/>
              </w:rPr>
              <w:t>规格型号</w:t>
            </w:r>
          </w:p>
        </w:tc>
        <w:tc>
          <w:tcPr>
            <w:tcW w:w="669" w:type="pct"/>
            <w:vAlign w:val="center"/>
          </w:tcPr>
          <w:p w14:paraId="0013AD22">
            <w:pPr>
              <w:keepNext w:val="0"/>
              <w:keepLines w:val="0"/>
              <w:widowControl/>
              <w:suppressLineNumbers w:val="0"/>
              <w:jc w:val="center"/>
              <w:textAlignment w:val="center"/>
              <w:rPr>
                <w:rFonts w:hint="default"/>
                <w:b/>
                <w:bCs/>
                <w:sz w:val="24"/>
                <w:szCs w:val="32"/>
                <w:vertAlign w:val="baseline"/>
                <w:lang w:val="en-US" w:eastAsia="zh-CN"/>
              </w:rPr>
            </w:pPr>
            <w:r>
              <w:rPr>
                <w:rFonts w:hint="eastAsia" w:ascii="宋体" w:hAnsi="宋体" w:eastAsia="宋体" w:cs="宋体"/>
                <w:b/>
                <w:bCs/>
                <w:i w:val="0"/>
                <w:iCs w:val="0"/>
                <w:color w:val="000000"/>
                <w:kern w:val="0"/>
                <w:sz w:val="22"/>
                <w:szCs w:val="22"/>
                <w:u w:val="none"/>
                <w:lang w:val="en-US" w:eastAsia="zh-CN" w:bidi="ar"/>
              </w:rPr>
              <w:t>数量</w:t>
            </w:r>
          </w:p>
        </w:tc>
        <w:tc>
          <w:tcPr>
            <w:tcW w:w="573" w:type="pct"/>
            <w:vAlign w:val="center"/>
          </w:tcPr>
          <w:p w14:paraId="19948546">
            <w:pPr>
              <w:keepNext w:val="0"/>
              <w:keepLines w:val="0"/>
              <w:widowControl/>
              <w:suppressLineNumbers w:val="0"/>
              <w:jc w:val="center"/>
              <w:textAlignment w:val="center"/>
              <w:rPr>
                <w:rFonts w:hint="default"/>
                <w:b/>
                <w:bCs/>
                <w:sz w:val="24"/>
                <w:szCs w:val="32"/>
                <w:vertAlign w:val="baseline"/>
                <w:lang w:val="en-US" w:eastAsia="zh-CN"/>
              </w:rPr>
            </w:pPr>
            <w:r>
              <w:rPr>
                <w:rFonts w:hint="eastAsia" w:ascii="宋体" w:hAnsi="宋体" w:eastAsia="宋体" w:cs="宋体"/>
                <w:b/>
                <w:bCs/>
                <w:i w:val="0"/>
                <w:iCs w:val="0"/>
                <w:color w:val="000000"/>
                <w:kern w:val="0"/>
                <w:sz w:val="22"/>
                <w:szCs w:val="22"/>
                <w:u w:val="none"/>
                <w:lang w:val="en-US" w:eastAsia="zh-CN" w:bidi="ar"/>
              </w:rPr>
              <w:t>单位</w:t>
            </w:r>
          </w:p>
        </w:tc>
        <w:tc>
          <w:tcPr>
            <w:tcW w:w="1003" w:type="pct"/>
            <w:vAlign w:val="center"/>
          </w:tcPr>
          <w:p w14:paraId="65FB5B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32"/>
                <w:vertAlign w:val="baseline"/>
                <w:lang w:val="en-US" w:eastAsia="zh-CN"/>
              </w:rPr>
            </w:pPr>
            <w:r>
              <w:rPr>
                <w:rFonts w:hint="eastAsia"/>
                <w:b/>
                <w:bCs/>
                <w:sz w:val="24"/>
                <w:szCs w:val="32"/>
                <w:vertAlign w:val="baseline"/>
                <w:lang w:val="en-US" w:eastAsia="zh-CN"/>
              </w:rPr>
              <w:t>备注</w:t>
            </w:r>
          </w:p>
        </w:tc>
      </w:tr>
      <w:tr w14:paraId="3C14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3FFE12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1</w:t>
            </w:r>
          </w:p>
        </w:tc>
        <w:tc>
          <w:tcPr>
            <w:tcW w:w="1071" w:type="pct"/>
            <w:vAlign w:val="center"/>
          </w:tcPr>
          <w:p w14:paraId="0FBEE574">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变压器</w:t>
            </w:r>
          </w:p>
        </w:tc>
        <w:tc>
          <w:tcPr>
            <w:tcW w:w="1128" w:type="pct"/>
            <w:vAlign w:val="center"/>
          </w:tcPr>
          <w:p w14:paraId="583E7188">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1000KV</w:t>
            </w:r>
          </w:p>
        </w:tc>
        <w:tc>
          <w:tcPr>
            <w:tcW w:w="669" w:type="pct"/>
            <w:vAlign w:val="center"/>
          </w:tcPr>
          <w:p w14:paraId="7FB5A6B7">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573" w:type="pct"/>
            <w:vAlign w:val="center"/>
          </w:tcPr>
          <w:p w14:paraId="63202CCF">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003" w:type="pct"/>
            <w:vMerge w:val="restart"/>
            <w:vAlign w:val="center"/>
          </w:tcPr>
          <w:p w14:paraId="195C88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4"/>
                <w:szCs w:val="32"/>
                <w:vertAlign w:val="baseline"/>
                <w:lang w:val="en-US" w:eastAsia="zh-CN"/>
              </w:rPr>
            </w:pPr>
          </w:p>
        </w:tc>
      </w:tr>
      <w:tr w14:paraId="33BF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0B0B9A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2</w:t>
            </w:r>
          </w:p>
        </w:tc>
        <w:tc>
          <w:tcPr>
            <w:tcW w:w="1071" w:type="pct"/>
            <w:vAlign w:val="center"/>
          </w:tcPr>
          <w:p w14:paraId="7166BBFC">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变压器外壳罩</w:t>
            </w:r>
          </w:p>
        </w:tc>
        <w:tc>
          <w:tcPr>
            <w:tcW w:w="1128" w:type="pct"/>
            <w:vAlign w:val="center"/>
          </w:tcPr>
          <w:p w14:paraId="12102D1E">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1.9*1.4*2.2</w:t>
            </w:r>
          </w:p>
        </w:tc>
        <w:tc>
          <w:tcPr>
            <w:tcW w:w="669" w:type="pct"/>
            <w:vAlign w:val="center"/>
          </w:tcPr>
          <w:p w14:paraId="485B8FB9">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573" w:type="pct"/>
            <w:vAlign w:val="center"/>
          </w:tcPr>
          <w:p w14:paraId="1B685515">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组</w:t>
            </w:r>
          </w:p>
        </w:tc>
        <w:tc>
          <w:tcPr>
            <w:tcW w:w="1003" w:type="pct"/>
            <w:vMerge w:val="continue"/>
            <w:vAlign w:val="center"/>
          </w:tcPr>
          <w:p w14:paraId="07CCB6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p>
        </w:tc>
      </w:tr>
      <w:tr w14:paraId="2C7A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3686F1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3</w:t>
            </w:r>
          </w:p>
        </w:tc>
        <w:tc>
          <w:tcPr>
            <w:tcW w:w="1071" w:type="pct"/>
            <w:vAlign w:val="center"/>
          </w:tcPr>
          <w:p w14:paraId="16BD296E">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变压器槽钢基础</w:t>
            </w:r>
          </w:p>
        </w:tc>
        <w:tc>
          <w:tcPr>
            <w:tcW w:w="1128" w:type="pct"/>
            <w:vAlign w:val="center"/>
          </w:tcPr>
          <w:p w14:paraId="3D1DF1F2">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0.82*0.98</w:t>
            </w:r>
          </w:p>
        </w:tc>
        <w:tc>
          <w:tcPr>
            <w:tcW w:w="669" w:type="pct"/>
            <w:vAlign w:val="center"/>
          </w:tcPr>
          <w:p w14:paraId="727F3F60">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573" w:type="pct"/>
            <w:vAlign w:val="center"/>
          </w:tcPr>
          <w:p w14:paraId="09EACF0C">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座</w:t>
            </w:r>
          </w:p>
        </w:tc>
        <w:tc>
          <w:tcPr>
            <w:tcW w:w="1003" w:type="pct"/>
            <w:vMerge w:val="continue"/>
            <w:vAlign w:val="center"/>
          </w:tcPr>
          <w:p w14:paraId="483B25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p>
        </w:tc>
      </w:tr>
      <w:tr w14:paraId="7C97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6E2DE8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4</w:t>
            </w:r>
          </w:p>
        </w:tc>
        <w:tc>
          <w:tcPr>
            <w:tcW w:w="1071" w:type="pct"/>
            <w:vAlign w:val="center"/>
          </w:tcPr>
          <w:p w14:paraId="73929501">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低压柜</w:t>
            </w:r>
          </w:p>
        </w:tc>
        <w:tc>
          <w:tcPr>
            <w:tcW w:w="1128" w:type="pct"/>
            <w:vAlign w:val="center"/>
          </w:tcPr>
          <w:p w14:paraId="4427C1AC">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铜排，母联排</w:t>
            </w:r>
          </w:p>
        </w:tc>
        <w:tc>
          <w:tcPr>
            <w:tcW w:w="669" w:type="pct"/>
            <w:vAlign w:val="center"/>
          </w:tcPr>
          <w:p w14:paraId="23F6F71C">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573" w:type="pct"/>
            <w:vAlign w:val="center"/>
          </w:tcPr>
          <w:p w14:paraId="7D373BE7">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003" w:type="pct"/>
            <w:vAlign w:val="center"/>
          </w:tcPr>
          <w:p w14:paraId="1CE12A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p>
        </w:tc>
      </w:tr>
      <w:tr w14:paraId="42CF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63D7BA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5</w:t>
            </w:r>
          </w:p>
        </w:tc>
        <w:tc>
          <w:tcPr>
            <w:tcW w:w="1071" w:type="pct"/>
            <w:vAlign w:val="center"/>
          </w:tcPr>
          <w:p w14:paraId="5708CE28">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高压柜</w:t>
            </w:r>
          </w:p>
        </w:tc>
        <w:tc>
          <w:tcPr>
            <w:tcW w:w="1128" w:type="pct"/>
            <w:vAlign w:val="center"/>
          </w:tcPr>
          <w:p w14:paraId="3FF0A884">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铜排，接地</w:t>
            </w:r>
          </w:p>
        </w:tc>
        <w:tc>
          <w:tcPr>
            <w:tcW w:w="669" w:type="pct"/>
            <w:vAlign w:val="center"/>
          </w:tcPr>
          <w:p w14:paraId="521446A8">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573" w:type="pct"/>
            <w:vAlign w:val="center"/>
          </w:tcPr>
          <w:p w14:paraId="013FF60C">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003" w:type="pct"/>
            <w:vAlign w:val="center"/>
          </w:tcPr>
          <w:p w14:paraId="05C87F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p>
        </w:tc>
      </w:tr>
      <w:tr w14:paraId="3A65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7DF495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6</w:t>
            </w:r>
          </w:p>
        </w:tc>
        <w:tc>
          <w:tcPr>
            <w:tcW w:w="1071" w:type="pct"/>
            <w:vAlign w:val="center"/>
          </w:tcPr>
          <w:p w14:paraId="58692C8B">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直流柜</w:t>
            </w:r>
          </w:p>
        </w:tc>
        <w:tc>
          <w:tcPr>
            <w:tcW w:w="1128" w:type="pct"/>
            <w:vAlign w:val="center"/>
          </w:tcPr>
          <w:p w14:paraId="5B3B8A5B">
            <w:pPr>
              <w:jc w:val="center"/>
              <w:rPr>
                <w:rFonts w:hint="default"/>
                <w:sz w:val="24"/>
                <w:szCs w:val="32"/>
                <w:vertAlign w:val="baseline"/>
                <w:lang w:val="en-US" w:eastAsia="zh-CN"/>
              </w:rPr>
            </w:pPr>
          </w:p>
        </w:tc>
        <w:tc>
          <w:tcPr>
            <w:tcW w:w="669" w:type="pct"/>
            <w:vAlign w:val="center"/>
          </w:tcPr>
          <w:p w14:paraId="5A60EF64">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573" w:type="pct"/>
            <w:vAlign w:val="center"/>
          </w:tcPr>
          <w:p w14:paraId="66F83493">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003" w:type="pct"/>
            <w:vAlign w:val="center"/>
          </w:tcPr>
          <w:p w14:paraId="7F73A4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p>
        </w:tc>
      </w:tr>
      <w:tr w14:paraId="6A3C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008241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7</w:t>
            </w:r>
          </w:p>
        </w:tc>
        <w:tc>
          <w:tcPr>
            <w:tcW w:w="1071" w:type="pct"/>
            <w:vAlign w:val="center"/>
          </w:tcPr>
          <w:p w14:paraId="4697C5EE">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动力柜</w:t>
            </w:r>
          </w:p>
        </w:tc>
        <w:tc>
          <w:tcPr>
            <w:tcW w:w="1128" w:type="pct"/>
            <w:vAlign w:val="center"/>
          </w:tcPr>
          <w:p w14:paraId="11F3C42E">
            <w:pPr>
              <w:jc w:val="center"/>
              <w:rPr>
                <w:rFonts w:hint="default"/>
                <w:sz w:val="24"/>
                <w:szCs w:val="32"/>
                <w:vertAlign w:val="baseline"/>
                <w:lang w:val="en-US" w:eastAsia="zh-CN"/>
              </w:rPr>
            </w:pPr>
          </w:p>
        </w:tc>
        <w:tc>
          <w:tcPr>
            <w:tcW w:w="669" w:type="pct"/>
            <w:vAlign w:val="center"/>
          </w:tcPr>
          <w:p w14:paraId="6F019CAA">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573" w:type="pct"/>
            <w:vAlign w:val="center"/>
          </w:tcPr>
          <w:p w14:paraId="3F046065">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003" w:type="pct"/>
            <w:vAlign w:val="center"/>
          </w:tcPr>
          <w:p w14:paraId="6700D5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p>
        </w:tc>
      </w:tr>
      <w:tr w14:paraId="1F87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150E05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8</w:t>
            </w:r>
          </w:p>
        </w:tc>
        <w:tc>
          <w:tcPr>
            <w:tcW w:w="1071" w:type="pct"/>
            <w:vAlign w:val="center"/>
          </w:tcPr>
          <w:p w14:paraId="79CA2D1A">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电力支架</w:t>
            </w:r>
          </w:p>
        </w:tc>
        <w:tc>
          <w:tcPr>
            <w:tcW w:w="1128" w:type="pct"/>
            <w:vAlign w:val="center"/>
          </w:tcPr>
          <w:p w14:paraId="01C8FF4F">
            <w:pPr>
              <w:jc w:val="center"/>
              <w:rPr>
                <w:rFonts w:hint="default"/>
                <w:sz w:val="24"/>
                <w:szCs w:val="32"/>
                <w:vertAlign w:val="baseline"/>
                <w:lang w:val="en-US" w:eastAsia="zh-CN"/>
              </w:rPr>
            </w:pPr>
          </w:p>
        </w:tc>
        <w:tc>
          <w:tcPr>
            <w:tcW w:w="669" w:type="pct"/>
            <w:vAlign w:val="center"/>
          </w:tcPr>
          <w:p w14:paraId="1F43CDDB">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573" w:type="pct"/>
            <w:vAlign w:val="center"/>
          </w:tcPr>
          <w:p w14:paraId="1E854E27">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003" w:type="pct"/>
            <w:vAlign w:val="center"/>
          </w:tcPr>
          <w:p w14:paraId="26BC50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p>
        </w:tc>
      </w:tr>
      <w:tr w14:paraId="3397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2790CB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9</w:t>
            </w:r>
          </w:p>
        </w:tc>
        <w:tc>
          <w:tcPr>
            <w:tcW w:w="1071" w:type="pct"/>
            <w:vAlign w:val="center"/>
          </w:tcPr>
          <w:p w14:paraId="248D22AF">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电缆沟铁块盖板</w:t>
            </w:r>
          </w:p>
        </w:tc>
        <w:tc>
          <w:tcPr>
            <w:tcW w:w="1128" w:type="pct"/>
            <w:vAlign w:val="center"/>
          </w:tcPr>
          <w:p w14:paraId="6819689B">
            <w:pPr>
              <w:jc w:val="center"/>
              <w:rPr>
                <w:rFonts w:hint="default"/>
                <w:sz w:val="24"/>
                <w:szCs w:val="32"/>
                <w:vertAlign w:val="baseline"/>
                <w:lang w:val="en-US" w:eastAsia="zh-CN"/>
              </w:rPr>
            </w:pPr>
          </w:p>
        </w:tc>
        <w:tc>
          <w:tcPr>
            <w:tcW w:w="669" w:type="pct"/>
            <w:vAlign w:val="center"/>
          </w:tcPr>
          <w:p w14:paraId="0FB917E3">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573" w:type="pct"/>
            <w:vAlign w:val="center"/>
          </w:tcPr>
          <w:p w14:paraId="335F26FC">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1003" w:type="pct"/>
            <w:vAlign w:val="center"/>
          </w:tcPr>
          <w:p w14:paraId="5EC488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p>
        </w:tc>
      </w:tr>
      <w:tr w14:paraId="4695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0C11AE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10</w:t>
            </w:r>
          </w:p>
        </w:tc>
        <w:tc>
          <w:tcPr>
            <w:tcW w:w="1071" w:type="pct"/>
            <w:vAlign w:val="center"/>
          </w:tcPr>
          <w:p w14:paraId="78C265CB">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低压电缆</w:t>
            </w:r>
          </w:p>
        </w:tc>
        <w:tc>
          <w:tcPr>
            <w:tcW w:w="1128" w:type="pct"/>
            <w:vAlign w:val="center"/>
          </w:tcPr>
          <w:p w14:paraId="58FC1507">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4*400+1*185</w:t>
            </w:r>
          </w:p>
        </w:tc>
        <w:tc>
          <w:tcPr>
            <w:tcW w:w="669" w:type="pct"/>
            <w:vAlign w:val="center"/>
          </w:tcPr>
          <w:p w14:paraId="471B792E">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340</w:t>
            </w:r>
          </w:p>
        </w:tc>
        <w:tc>
          <w:tcPr>
            <w:tcW w:w="573" w:type="pct"/>
            <w:vAlign w:val="center"/>
          </w:tcPr>
          <w:p w14:paraId="023ABA70">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003" w:type="pct"/>
            <w:vAlign w:val="center"/>
          </w:tcPr>
          <w:p w14:paraId="5A587B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铝芯</w:t>
            </w:r>
          </w:p>
        </w:tc>
      </w:tr>
      <w:tr w14:paraId="7EC7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2C77FB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11</w:t>
            </w:r>
          </w:p>
        </w:tc>
        <w:tc>
          <w:tcPr>
            <w:tcW w:w="1071" w:type="pct"/>
            <w:vAlign w:val="center"/>
          </w:tcPr>
          <w:p w14:paraId="7F44AD48">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低压电缆</w:t>
            </w:r>
          </w:p>
        </w:tc>
        <w:tc>
          <w:tcPr>
            <w:tcW w:w="1128" w:type="pct"/>
            <w:vAlign w:val="center"/>
          </w:tcPr>
          <w:p w14:paraId="6ED703A2">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3*150+2*95</w:t>
            </w:r>
          </w:p>
        </w:tc>
        <w:tc>
          <w:tcPr>
            <w:tcW w:w="669" w:type="pct"/>
            <w:vAlign w:val="center"/>
          </w:tcPr>
          <w:p w14:paraId="3706096C">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573" w:type="pct"/>
            <w:vAlign w:val="center"/>
          </w:tcPr>
          <w:p w14:paraId="23AB72A3">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003" w:type="pct"/>
            <w:vAlign w:val="center"/>
          </w:tcPr>
          <w:p w14:paraId="6EE4B0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铝芯</w:t>
            </w:r>
          </w:p>
        </w:tc>
      </w:tr>
      <w:tr w14:paraId="4385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446E7C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12</w:t>
            </w:r>
          </w:p>
        </w:tc>
        <w:tc>
          <w:tcPr>
            <w:tcW w:w="1071" w:type="pct"/>
            <w:vAlign w:val="center"/>
          </w:tcPr>
          <w:p w14:paraId="4968F6A8">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低压电缆</w:t>
            </w:r>
          </w:p>
        </w:tc>
        <w:tc>
          <w:tcPr>
            <w:tcW w:w="1128" w:type="pct"/>
            <w:vAlign w:val="center"/>
          </w:tcPr>
          <w:p w14:paraId="55AF55A4">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3*150+2*70</w:t>
            </w:r>
          </w:p>
        </w:tc>
        <w:tc>
          <w:tcPr>
            <w:tcW w:w="669" w:type="pct"/>
            <w:vAlign w:val="center"/>
          </w:tcPr>
          <w:p w14:paraId="32DAA051">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70</w:t>
            </w:r>
          </w:p>
        </w:tc>
        <w:tc>
          <w:tcPr>
            <w:tcW w:w="573" w:type="pct"/>
            <w:vAlign w:val="center"/>
          </w:tcPr>
          <w:p w14:paraId="24E1DABD">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003" w:type="pct"/>
            <w:vAlign w:val="center"/>
          </w:tcPr>
          <w:p w14:paraId="224A4F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铝芯</w:t>
            </w:r>
          </w:p>
        </w:tc>
      </w:tr>
      <w:tr w14:paraId="7167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5D6DB7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13</w:t>
            </w:r>
          </w:p>
        </w:tc>
        <w:tc>
          <w:tcPr>
            <w:tcW w:w="1071" w:type="pct"/>
            <w:vAlign w:val="center"/>
          </w:tcPr>
          <w:p w14:paraId="6BA6F866">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低压电缆</w:t>
            </w:r>
          </w:p>
        </w:tc>
        <w:tc>
          <w:tcPr>
            <w:tcW w:w="1128" w:type="pct"/>
            <w:vAlign w:val="center"/>
          </w:tcPr>
          <w:p w14:paraId="06B1D859">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3*240+2*120</w:t>
            </w:r>
          </w:p>
        </w:tc>
        <w:tc>
          <w:tcPr>
            <w:tcW w:w="669" w:type="pct"/>
            <w:vAlign w:val="center"/>
          </w:tcPr>
          <w:p w14:paraId="7D62E1DE">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70</w:t>
            </w:r>
          </w:p>
        </w:tc>
        <w:tc>
          <w:tcPr>
            <w:tcW w:w="573" w:type="pct"/>
            <w:vAlign w:val="center"/>
          </w:tcPr>
          <w:p w14:paraId="5F1AC6E0">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003" w:type="pct"/>
            <w:vAlign w:val="center"/>
          </w:tcPr>
          <w:p w14:paraId="0656C4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铝芯</w:t>
            </w:r>
          </w:p>
        </w:tc>
      </w:tr>
      <w:tr w14:paraId="3489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7A8736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14</w:t>
            </w:r>
          </w:p>
        </w:tc>
        <w:tc>
          <w:tcPr>
            <w:tcW w:w="1071" w:type="pct"/>
            <w:vAlign w:val="center"/>
          </w:tcPr>
          <w:p w14:paraId="3DF3CC6C">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低压电缆</w:t>
            </w:r>
          </w:p>
        </w:tc>
        <w:tc>
          <w:tcPr>
            <w:tcW w:w="1128" w:type="pct"/>
            <w:vAlign w:val="center"/>
          </w:tcPr>
          <w:p w14:paraId="756D6C6D">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4*470+1*35</w:t>
            </w:r>
          </w:p>
        </w:tc>
        <w:tc>
          <w:tcPr>
            <w:tcW w:w="669" w:type="pct"/>
            <w:vAlign w:val="center"/>
          </w:tcPr>
          <w:p w14:paraId="4139ADD4">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80</w:t>
            </w:r>
          </w:p>
        </w:tc>
        <w:tc>
          <w:tcPr>
            <w:tcW w:w="573" w:type="pct"/>
            <w:vAlign w:val="center"/>
          </w:tcPr>
          <w:p w14:paraId="08C9B669">
            <w:pPr>
              <w:keepNext w:val="0"/>
              <w:keepLines w:val="0"/>
              <w:widowControl/>
              <w:suppressLineNumbers w:val="0"/>
              <w:jc w:val="center"/>
              <w:textAlignment w:val="center"/>
              <w:rPr>
                <w:rFonts w:hint="default"/>
                <w:sz w:val="24"/>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003" w:type="pct"/>
            <w:vAlign w:val="center"/>
          </w:tcPr>
          <w:p w14:paraId="64AF57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铝芯</w:t>
            </w:r>
          </w:p>
        </w:tc>
      </w:tr>
      <w:tr w14:paraId="4CF4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63993E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highlight w:val="none"/>
                <w:vertAlign w:val="baseline"/>
                <w:lang w:val="en-US" w:eastAsia="zh-CN"/>
              </w:rPr>
            </w:pPr>
            <w:r>
              <w:rPr>
                <w:rFonts w:hint="eastAsia"/>
                <w:sz w:val="24"/>
                <w:szCs w:val="32"/>
                <w:highlight w:val="none"/>
                <w:vertAlign w:val="baseline"/>
                <w:lang w:val="en-US" w:eastAsia="zh-CN"/>
              </w:rPr>
              <w:t>15</w:t>
            </w:r>
          </w:p>
        </w:tc>
        <w:tc>
          <w:tcPr>
            <w:tcW w:w="1071" w:type="pct"/>
            <w:vAlign w:val="center"/>
          </w:tcPr>
          <w:p w14:paraId="57328F1B">
            <w:pPr>
              <w:keepNext w:val="0"/>
              <w:keepLines w:val="0"/>
              <w:widowControl/>
              <w:suppressLineNumbers w:val="0"/>
              <w:jc w:val="center"/>
              <w:textAlignment w:val="center"/>
              <w:rPr>
                <w:rFonts w:hint="default"/>
                <w:sz w:val="24"/>
                <w:szCs w:val="3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低压电缆</w:t>
            </w:r>
          </w:p>
        </w:tc>
        <w:tc>
          <w:tcPr>
            <w:tcW w:w="1128" w:type="pct"/>
            <w:vAlign w:val="center"/>
          </w:tcPr>
          <w:p w14:paraId="44312354">
            <w:pPr>
              <w:keepNext w:val="0"/>
              <w:keepLines w:val="0"/>
              <w:widowControl/>
              <w:suppressLineNumbers w:val="0"/>
              <w:jc w:val="center"/>
              <w:textAlignment w:val="center"/>
              <w:rPr>
                <w:rFonts w:hint="default"/>
                <w:sz w:val="24"/>
                <w:szCs w:val="3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4*95+1*50</w:t>
            </w:r>
          </w:p>
        </w:tc>
        <w:tc>
          <w:tcPr>
            <w:tcW w:w="669" w:type="pct"/>
            <w:vAlign w:val="center"/>
          </w:tcPr>
          <w:p w14:paraId="2827D974">
            <w:pPr>
              <w:keepNext w:val="0"/>
              <w:keepLines w:val="0"/>
              <w:widowControl/>
              <w:suppressLineNumbers w:val="0"/>
              <w:jc w:val="center"/>
              <w:textAlignment w:val="center"/>
              <w:rPr>
                <w:rFonts w:hint="default"/>
                <w:sz w:val="24"/>
                <w:szCs w:val="3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90</w:t>
            </w:r>
          </w:p>
        </w:tc>
        <w:tc>
          <w:tcPr>
            <w:tcW w:w="573" w:type="pct"/>
            <w:vAlign w:val="center"/>
          </w:tcPr>
          <w:p w14:paraId="4B3B32E4">
            <w:pPr>
              <w:keepNext w:val="0"/>
              <w:keepLines w:val="0"/>
              <w:widowControl/>
              <w:suppressLineNumbers w:val="0"/>
              <w:jc w:val="center"/>
              <w:textAlignment w:val="center"/>
              <w:rPr>
                <w:rFonts w:hint="default"/>
                <w:sz w:val="24"/>
                <w:szCs w:val="3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米</w:t>
            </w:r>
          </w:p>
        </w:tc>
        <w:tc>
          <w:tcPr>
            <w:tcW w:w="1003" w:type="pct"/>
            <w:vAlign w:val="center"/>
          </w:tcPr>
          <w:p w14:paraId="66E569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highlight w:val="none"/>
                <w:vertAlign w:val="baseline"/>
                <w:lang w:val="en-US" w:eastAsia="zh-CN"/>
              </w:rPr>
            </w:pPr>
            <w:r>
              <w:rPr>
                <w:rFonts w:hint="eastAsia"/>
                <w:sz w:val="24"/>
                <w:szCs w:val="32"/>
                <w:vertAlign w:val="baseline"/>
                <w:lang w:val="en-US" w:eastAsia="zh-CN"/>
              </w:rPr>
              <w:t>铝芯</w:t>
            </w:r>
          </w:p>
        </w:tc>
      </w:tr>
      <w:tr w14:paraId="52D5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7CFAB0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highlight w:val="none"/>
                <w:vertAlign w:val="baseline"/>
                <w:lang w:val="en-US" w:eastAsia="zh-CN"/>
              </w:rPr>
            </w:pPr>
            <w:r>
              <w:rPr>
                <w:rFonts w:hint="eastAsia"/>
                <w:sz w:val="24"/>
                <w:szCs w:val="32"/>
                <w:highlight w:val="none"/>
                <w:vertAlign w:val="baseline"/>
                <w:lang w:val="en-US" w:eastAsia="zh-CN"/>
              </w:rPr>
              <w:t>16</w:t>
            </w:r>
          </w:p>
        </w:tc>
        <w:tc>
          <w:tcPr>
            <w:tcW w:w="1071" w:type="pct"/>
            <w:vAlign w:val="center"/>
          </w:tcPr>
          <w:p w14:paraId="4E09B3C1">
            <w:pPr>
              <w:keepNext w:val="0"/>
              <w:keepLines w:val="0"/>
              <w:widowControl/>
              <w:suppressLineNumbers w:val="0"/>
              <w:jc w:val="center"/>
              <w:textAlignment w:val="center"/>
              <w:rPr>
                <w:rFonts w:hint="default"/>
                <w:sz w:val="24"/>
                <w:szCs w:val="3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高压电缆</w:t>
            </w:r>
          </w:p>
        </w:tc>
        <w:tc>
          <w:tcPr>
            <w:tcW w:w="1128" w:type="pct"/>
            <w:vAlign w:val="center"/>
          </w:tcPr>
          <w:p w14:paraId="18C10385">
            <w:pPr>
              <w:keepNext w:val="0"/>
              <w:keepLines w:val="0"/>
              <w:widowControl/>
              <w:suppressLineNumbers w:val="0"/>
              <w:jc w:val="center"/>
              <w:textAlignment w:val="center"/>
              <w:rPr>
                <w:rFonts w:hint="default"/>
                <w:sz w:val="24"/>
                <w:szCs w:val="3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3×185+2×95</w:t>
            </w:r>
          </w:p>
        </w:tc>
        <w:tc>
          <w:tcPr>
            <w:tcW w:w="669" w:type="pct"/>
            <w:vAlign w:val="center"/>
          </w:tcPr>
          <w:p w14:paraId="3739D098">
            <w:pPr>
              <w:keepNext w:val="0"/>
              <w:keepLines w:val="0"/>
              <w:widowControl/>
              <w:suppressLineNumbers w:val="0"/>
              <w:jc w:val="center"/>
              <w:textAlignment w:val="center"/>
              <w:rPr>
                <w:rFonts w:hint="default"/>
                <w:sz w:val="24"/>
                <w:szCs w:val="3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25</w:t>
            </w:r>
          </w:p>
        </w:tc>
        <w:tc>
          <w:tcPr>
            <w:tcW w:w="573" w:type="pct"/>
            <w:vAlign w:val="center"/>
          </w:tcPr>
          <w:p w14:paraId="184F57C9">
            <w:pPr>
              <w:keepNext w:val="0"/>
              <w:keepLines w:val="0"/>
              <w:widowControl/>
              <w:suppressLineNumbers w:val="0"/>
              <w:jc w:val="center"/>
              <w:textAlignment w:val="center"/>
              <w:rPr>
                <w:rFonts w:hint="default"/>
                <w:sz w:val="24"/>
                <w:szCs w:val="3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米</w:t>
            </w:r>
          </w:p>
        </w:tc>
        <w:tc>
          <w:tcPr>
            <w:tcW w:w="1003" w:type="pct"/>
            <w:vAlign w:val="center"/>
          </w:tcPr>
          <w:p w14:paraId="1179A5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highlight w:val="none"/>
                <w:vertAlign w:val="baseline"/>
                <w:lang w:val="en-US" w:eastAsia="zh-CN"/>
              </w:rPr>
            </w:pPr>
            <w:r>
              <w:rPr>
                <w:rFonts w:hint="eastAsia"/>
                <w:sz w:val="24"/>
                <w:szCs w:val="32"/>
                <w:highlight w:val="none"/>
                <w:vertAlign w:val="baseline"/>
                <w:lang w:val="en-US" w:eastAsia="zh-CN"/>
              </w:rPr>
              <w:t>铜芯</w:t>
            </w:r>
          </w:p>
        </w:tc>
      </w:tr>
      <w:tr w14:paraId="6BCD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776EA7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highlight w:val="none"/>
                <w:vertAlign w:val="baseline"/>
                <w:lang w:val="en-US" w:eastAsia="zh-CN"/>
              </w:rPr>
            </w:pPr>
            <w:r>
              <w:rPr>
                <w:rFonts w:hint="eastAsia"/>
                <w:sz w:val="24"/>
                <w:szCs w:val="32"/>
                <w:highlight w:val="none"/>
                <w:vertAlign w:val="baseline"/>
                <w:lang w:val="en-US" w:eastAsia="zh-CN"/>
              </w:rPr>
              <w:t>17</w:t>
            </w:r>
          </w:p>
        </w:tc>
        <w:tc>
          <w:tcPr>
            <w:tcW w:w="1071" w:type="pct"/>
            <w:vAlign w:val="center"/>
          </w:tcPr>
          <w:p w14:paraId="1CEA6525">
            <w:pPr>
              <w:keepNext w:val="0"/>
              <w:keepLines w:val="0"/>
              <w:widowControl/>
              <w:suppressLineNumbers w:val="0"/>
              <w:jc w:val="center"/>
              <w:textAlignment w:val="center"/>
              <w:rPr>
                <w:rFonts w:hint="default"/>
                <w:sz w:val="24"/>
                <w:szCs w:val="3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高压电缆</w:t>
            </w:r>
          </w:p>
        </w:tc>
        <w:tc>
          <w:tcPr>
            <w:tcW w:w="1128" w:type="pct"/>
            <w:vAlign w:val="center"/>
          </w:tcPr>
          <w:p w14:paraId="6BD547AA">
            <w:pPr>
              <w:keepNext w:val="0"/>
              <w:keepLines w:val="0"/>
              <w:widowControl/>
              <w:suppressLineNumbers w:val="0"/>
              <w:jc w:val="center"/>
              <w:textAlignment w:val="center"/>
              <w:rPr>
                <w:rFonts w:hint="default"/>
                <w:sz w:val="24"/>
                <w:szCs w:val="3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3*150</w:t>
            </w:r>
          </w:p>
        </w:tc>
        <w:tc>
          <w:tcPr>
            <w:tcW w:w="669" w:type="pct"/>
            <w:vAlign w:val="center"/>
          </w:tcPr>
          <w:p w14:paraId="59723659">
            <w:pPr>
              <w:keepNext w:val="0"/>
              <w:keepLines w:val="0"/>
              <w:widowControl/>
              <w:suppressLineNumbers w:val="0"/>
              <w:jc w:val="center"/>
              <w:textAlignment w:val="center"/>
              <w:rPr>
                <w:rFonts w:hint="default"/>
                <w:sz w:val="24"/>
                <w:szCs w:val="3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30</w:t>
            </w:r>
          </w:p>
        </w:tc>
        <w:tc>
          <w:tcPr>
            <w:tcW w:w="573" w:type="pct"/>
            <w:vAlign w:val="center"/>
          </w:tcPr>
          <w:p w14:paraId="7325CD10">
            <w:pPr>
              <w:keepNext w:val="0"/>
              <w:keepLines w:val="0"/>
              <w:widowControl/>
              <w:suppressLineNumbers w:val="0"/>
              <w:jc w:val="center"/>
              <w:textAlignment w:val="center"/>
              <w:rPr>
                <w:rFonts w:hint="default"/>
                <w:sz w:val="24"/>
                <w:szCs w:val="3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米</w:t>
            </w:r>
          </w:p>
        </w:tc>
        <w:tc>
          <w:tcPr>
            <w:tcW w:w="1003" w:type="pct"/>
            <w:vAlign w:val="center"/>
          </w:tcPr>
          <w:p w14:paraId="1683E0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highlight w:val="none"/>
                <w:vertAlign w:val="baseline"/>
                <w:lang w:val="en-US" w:eastAsia="zh-CN"/>
              </w:rPr>
            </w:pPr>
            <w:r>
              <w:rPr>
                <w:rFonts w:hint="eastAsia"/>
                <w:sz w:val="24"/>
                <w:szCs w:val="32"/>
                <w:highlight w:val="none"/>
                <w:vertAlign w:val="baseline"/>
                <w:lang w:val="en-US" w:eastAsia="zh-CN"/>
              </w:rPr>
              <w:t>铝芯</w:t>
            </w:r>
          </w:p>
        </w:tc>
      </w:tr>
      <w:tr w14:paraId="39F2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Align w:val="center"/>
          </w:tcPr>
          <w:p w14:paraId="0B5711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highlight w:val="none"/>
                <w:vertAlign w:val="baseline"/>
                <w:lang w:val="en-US" w:eastAsia="zh-CN"/>
              </w:rPr>
            </w:pPr>
            <w:r>
              <w:rPr>
                <w:rFonts w:hint="eastAsia"/>
                <w:sz w:val="24"/>
                <w:szCs w:val="32"/>
                <w:highlight w:val="none"/>
                <w:vertAlign w:val="baseline"/>
                <w:lang w:val="en-US" w:eastAsia="zh-CN"/>
              </w:rPr>
              <w:t>18</w:t>
            </w:r>
          </w:p>
        </w:tc>
        <w:tc>
          <w:tcPr>
            <w:tcW w:w="1071" w:type="pct"/>
            <w:vAlign w:val="center"/>
          </w:tcPr>
          <w:p w14:paraId="116D6F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highlight w:val="none"/>
                <w:vertAlign w:val="baseline"/>
                <w:lang w:val="en-US" w:eastAsia="zh-CN"/>
              </w:rPr>
            </w:pPr>
            <w:r>
              <w:rPr>
                <w:rFonts w:hint="eastAsia"/>
                <w:sz w:val="24"/>
                <w:szCs w:val="32"/>
                <w:highlight w:val="none"/>
                <w:vertAlign w:val="baseline"/>
                <w:lang w:val="en-US" w:eastAsia="zh-CN"/>
              </w:rPr>
              <w:t>高压电缆</w:t>
            </w:r>
          </w:p>
        </w:tc>
        <w:tc>
          <w:tcPr>
            <w:tcW w:w="1128" w:type="pct"/>
            <w:vAlign w:val="center"/>
          </w:tcPr>
          <w:p w14:paraId="651532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3*70</w:t>
            </w:r>
          </w:p>
        </w:tc>
        <w:tc>
          <w:tcPr>
            <w:tcW w:w="669" w:type="pct"/>
            <w:vAlign w:val="center"/>
          </w:tcPr>
          <w:p w14:paraId="267ED6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highlight w:val="none"/>
                <w:vertAlign w:val="baseline"/>
                <w:lang w:val="en-US" w:eastAsia="zh-CN"/>
              </w:rPr>
            </w:pPr>
            <w:r>
              <w:rPr>
                <w:rFonts w:hint="eastAsia"/>
                <w:sz w:val="24"/>
                <w:szCs w:val="32"/>
                <w:highlight w:val="none"/>
                <w:vertAlign w:val="baseline"/>
                <w:lang w:val="en-US" w:eastAsia="zh-CN"/>
              </w:rPr>
              <w:t>40</w:t>
            </w:r>
          </w:p>
        </w:tc>
        <w:tc>
          <w:tcPr>
            <w:tcW w:w="573" w:type="pct"/>
            <w:vAlign w:val="center"/>
          </w:tcPr>
          <w:p w14:paraId="7AB9FF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highlight w:val="none"/>
                <w:vertAlign w:val="baseline"/>
                <w:lang w:val="en-US" w:eastAsia="zh-CN"/>
              </w:rPr>
            </w:pPr>
            <w:r>
              <w:rPr>
                <w:rFonts w:hint="eastAsia"/>
                <w:sz w:val="24"/>
                <w:szCs w:val="32"/>
                <w:highlight w:val="none"/>
                <w:vertAlign w:val="baseline"/>
                <w:lang w:val="en-US" w:eastAsia="zh-CN"/>
              </w:rPr>
              <w:t>米</w:t>
            </w:r>
          </w:p>
        </w:tc>
        <w:tc>
          <w:tcPr>
            <w:tcW w:w="1003" w:type="pct"/>
            <w:vAlign w:val="center"/>
          </w:tcPr>
          <w:p w14:paraId="009636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highlight w:val="none"/>
                <w:vertAlign w:val="baseline"/>
                <w:lang w:val="en-US" w:eastAsia="zh-CN"/>
              </w:rPr>
            </w:pPr>
            <w:r>
              <w:rPr>
                <w:rFonts w:hint="eastAsia"/>
                <w:sz w:val="24"/>
                <w:szCs w:val="32"/>
                <w:highlight w:val="none"/>
                <w:vertAlign w:val="baseline"/>
                <w:lang w:val="en-US" w:eastAsia="zh-CN"/>
              </w:rPr>
              <w:t>铜芯</w:t>
            </w:r>
          </w:p>
        </w:tc>
      </w:tr>
      <w:tr w14:paraId="7364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3" w:type="pct"/>
            <w:gridSpan w:val="3"/>
            <w:vAlign w:val="center"/>
          </w:tcPr>
          <w:p w14:paraId="098E4A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r>
              <w:rPr>
                <w:rFonts w:hint="eastAsia"/>
                <w:sz w:val="24"/>
                <w:szCs w:val="32"/>
                <w:vertAlign w:val="baseline"/>
                <w:lang w:val="en-US" w:eastAsia="zh-CN"/>
              </w:rPr>
              <w:t>合计</w:t>
            </w:r>
          </w:p>
        </w:tc>
        <w:tc>
          <w:tcPr>
            <w:tcW w:w="669" w:type="pct"/>
            <w:vAlign w:val="center"/>
          </w:tcPr>
          <w:p w14:paraId="4B3071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p>
        </w:tc>
        <w:tc>
          <w:tcPr>
            <w:tcW w:w="573" w:type="pct"/>
            <w:vAlign w:val="center"/>
          </w:tcPr>
          <w:p w14:paraId="2A8540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p>
        </w:tc>
        <w:tc>
          <w:tcPr>
            <w:tcW w:w="1003" w:type="pct"/>
            <w:vAlign w:val="center"/>
          </w:tcPr>
          <w:p w14:paraId="1E3EC9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vertAlign w:val="baseline"/>
                <w:lang w:val="en-US" w:eastAsia="zh-CN"/>
              </w:rPr>
            </w:pPr>
          </w:p>
        </w:tc>
      </w:tr>
    </w:tbl>
    <w:p w14:paraId="77E6896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甲方同意出售、乙方同意购买的标的设备具体信息如下：</w:t>
      </w:r>
    </w:p>
    <w:p w14:paraId="37EEAC20">
      <w:pPr>
        <w:rPr>
          <w:rFonts w:hint="eastAsia" w:ascii="仿宋_GB2312" w:hAnsi="仿宋_GB2312" w:eastAsia="仿宋_GB2312" w:cs="仿宋_GB2312"/>
          <w:sz w:val="32"/>
          <w:szCs w:val="32"/>
        </w:rPr>
      </w:pPr>
    </w:p>
    <w:p w14:paraId="081E53C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设备状态确认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方明确，标的设备为废旧、淘汰、停用且已达到报废状态的设备。乙方已通过现场查勘（或基于甲方提供的详细资料）充分了解标的设备的实际状况、瑕疵、风险（包括但不限于可能存在的有害物质、结构不稳定、残余电荷等），并自愿承担购买该设备的一切风险。甲方对设备的性能、功能、可再利用性、环保合规性、安全性等不作任何明示或默示的保证。</w:t>
      </w:r>
    </w:p>
    <w:p w14:paraId="7417D43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交易价格与支付方式</w:t>
      </w:r>
    </w:p>
    <w:p w14:paraId="4A68A45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标</w:t>
      </w:r>
      <w:r>
        <w:rPr>
          <w:rFonts w:hint="eastAsia" w:ascii="仿宋_GB2312" w:hAnsi="仿宋_GB2312" w:eastAsia="仿宋_GB2312" w:cs="仿宋_GB2312"/>
          <w:sz w:val="32"/>
          <w:szCs w:val="32"/>
        </w:rPr>
        <w:t>的设备的总成交价款为人民币（大写）：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p>
    <w:p w14:paraId="1B4432E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支付方式：选择以下方式：</w:t>
      </w:r>
    </w:p>
    <w:p w14:paraId="0CB722B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一次性支付：乙方应于本合同生效后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个工作日内，将全部款项支付至甲方指定账户。</w:t>
      </w:r>
    </w:p>
    <w:p w14:paraId="4469B0A5">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2.3 甲方指定收款账户信息</w:t>
      </w:r>
      <w:r>
        <w:rPr>
          <w:rFonts w:hint="eastAsia" w:ascii="仿宋_GB2312" w:hAnsi="仿宋_GB2312" w:eastAsia="仿宋_GB2312" w:cs="仿宋_GB2312"/>
          <w:sz w:val="32"/>
          <w:szCs w:val="32"/>
          <w:lang w:eastAsia="zh-CN"/>
        </w:rPr>
        <w:t>：</w:t>
      </w:r>
    </w:p>
    <w:p w14:paraId="3460141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开户名称： [</w:t>
      </w:r>
      <w:r>
        <w:rPr>
          <w:rFonts w:hint="eastAsia" w:ascii="仿宋_GB2312" w:hAnsi="仿宋_GB2312" w:eastAsia="仿宋_GB2312" w:cs="仿宋_GB2312"/>
          <w:sz w:val="32"/>
          <w:szCs w:val="32"/>
          <w:u w:val="single"/>
          <w:lang w:val="en-US" w:eastAsia="zh-CN"/>
        </w:rPr>
        <w:t>安徽新桥产业发展有限公司</w:t>
      </w:r>
      <w:r>
        <w:rPr>
          <w:rFonts w:hint="eastAsia" w:ascii="仿宋_GB2312" w:hAnsi="仿宋_GB2312" w:eastAsia="仿宋_GB2312" w:cs="仿宋_GB2312"/>
          <w:sz w:val="32"/>
          <w:szCs w:val="32"/>
        </w:rPr>
        <w:t>]</w:t>
      </w:r>
    </w:p>
    <w:p w14:paraId="3F38D5F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开户银行： [</w:t>
      </w:r>
      <w:r>
        <w:rPr>
          <w:rFonts w:hint="eastAsia" w:ascii="仿宋_GB2312" w:hAnsi="仿宋_GB2312" w:eastAsia="仿宋_GB2312" w:cs="仿宋_GB2312"/>
          <w:sz w:val="32"/>
          <w:szCs w:val="32"/>
          <w:u w:val="single"/>
          <w:lang w:val="en-US" w:eastAsia="zh-CN"/>
        </w:rPr>
        <w:t>徽商银行寿县支行</w:t>
      </w:r>
      <w:r>
        <w:rPr>
          <w:rFonts w:hint="eastAsia" w:ascii="仿宋_GB2312" w:hAnsi="仿宋_GB2312" w:eastAsia="仿宋_GB2312" w:cs="仿宋_GB2312"/>
          <w:sz w:val="32"/>
          <w:szCs w:val="32"/>
        </w:rPr>
        <w:t>]</w:t>
      </w:r>
    </w:p>
    <w:p w14:paraId="491E450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银行账号： [</w:t>
      </w:r>
      <w:r>
        <w:rPr>
          <w:rFonts w:hint="eastAsia" w:ascii="仿宋_GB2312" w:hAnsi="仿宋_GB2312" w:eastAsia="仿宋_GB2312" w:cs="仿宋_GB2312"/>
          <w:sz w:val="32"/>
          <w:szCs w:val="32"/>
          <w:u w:val="single"/>
          <w:lang w:val="en-US" w:eastAsia="zh-CN"/>
        </w:rPr>
        <w:t>225012647641000002</w:t>
      </w:r>
      <w:r>
        <w:rPr>
          <w:rFonts w:hint="eastAsia" w:ascii="仿宋_GB2312" w:hAnsi="仿宋_GB2312" w:eastAsia="仿宋_GB2312" w:cs="仿宋_GB2312"/>
          <w:sz w:val="32"/>
          <w:szCs w:val="32"/>
        </w:rPr>
        <w:t>]</w:t>
      </w:r>
    </w:p>
    <w:p w14:paraId="2266C7F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设备交付、运输与装卸</w:t>
      </w:r>
    </w:p>
    <w:p w14:paraId="4BFED8C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交付地点：标的设备存放地：[</w:t>
      </w:r>
      <w:r>
        <w:rPr>
          <w:rFonts w:hint="eastAsia" w:ascii="仿宋_GB2312" w:hAnsi="仿宋_GB2312" w:eastAsia="仿宋_GB2312" w:cs="仿宋_GB2312"/>
          <w:sz w:val="32"/>
          <w:szCs w:val="32"/>
          <w:u w:val="single"/>
          <w:lang w:val="en-US" w:eastAsia="zh-CN"/>
        </w:rPr>
        <w:t>寿县永乐路与创业大道交叉口南140米</w:t>
      </w:r>
      <w:r>
        <w:rPr>
          <w:rFonts w:hint="eastAsia" w:ascii="仿宋_GB2312" w:hAnsi="仿宋_GB2312" w:eastAsia="仿宋_GB2312" w:cs="仿宋_GB2312"/>
          <w:b w:val="0"/>
          <w:bCs w:val="0"/>
          <w:sz w:val="32"/>
          <w:szCs w:val="32"/>
          <w:u w:val="single"/>
          <w:lang w:val="en-US" w:eastAsia="zh-CN"/>
        </w:rPr>
        <w:t>原蓝博旺厂区范围内废旧电力设备</w:t>
      </w:r>
      <w:r>
        <w:rPr>
          <w:rFonts w:hint="eastAsia" w:ascii="仿宋_GB2312" w:hAnsi="仿宋_GB2312" w:eastAsia="仿宋_GB2312" w:cs="仿宋_GB2312"/>
          <w:sz w:val="32"/>
          <w:szCs w:val="32"/>
        </w:rPr>
        <w:t>]。</w:t>
      </w:r>
    </w:p>
    <w:p w14:paraId="0631523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交付时间：乙方应在收到甲方通知（或双方约定的日期）后 [</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rPr>
        <w:t>] 个工作日内完成设备的拆卸、装载和运输离场工作。</w:t>
      </w:r>
    </w:p>
    <w:p w14:paraId="64933D0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交付方式：甲方在交付地点将标的设备实物点交给乙方。双方应签署《设备交接确认单》（附件二），自签署交接确认单之时起，标的设备损毁、灭失的风险转移至乙方。</w:t>
      </w:r>
    </w:p>
    <w:p w14:paraId="69656EC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运输与装卸：</w:t>
      </w:r>
    </w:p>
    <w:p w14:paraId="6F293C9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责任方：标的设备的</w:t>
      </w:r>
      <w:r>
        <w:rPr>
          <w:rFonts w:hint="eastAsia" w:ascii="仿宋_GB2312" w:hAnsi="仿宋_GB2312" w:eastAsia="仿宋_GB2312" w:cs="仿宋_GB2312"/>
          <w:sz w:val="32"/>
          <w:szCs w:val="32"/>
          <w:lang w:val="en-US" w:eastAsia="zh-CN"/>
        </w:rPr>
        <w:t>废旧电力设备</w:t>
      </w:r>
      <w:r>
        <w:rPr>
          <w:rFonts w:hint="eastAsia" w:ascii="仿宋_GB2312" w:hAnsi="仿宋_GB2312" w:eastAsia="仿宋_GB2312" w:cs="仿宋_GB2312"/>
          <w:sz w:val="32"/>
          <w:szCs w:val="32"/>
        </w:rPr>
        <w:t>拆卸、包装、装载、运输、卸载及由此产生的一切费用（包括但不限于人工费、机械费、运输费、保险费、过路过桥费等）均由乙方自行负责并承担。</w:t>
      </w:r>
    </w:p>
    <w:p w14:paraId="50AEDBA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安全要求：乙方在拆卸、装卸、运输过程中必须严格遵守国家及地方关于安全生产、危险品运输（如设备含油或有毒有害物质）、环境保护、道路交通等方面的法律法规和技术规范。乙方应自行配备合格的人员、工具、设备并采取充分的安全防护和环保措施。</w:t>
      </w:r>
    </w:p>
    <w:p w14:paraId="3EE1AC7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甲方配合：甲方应为乙方提供必要的现场进入便利和合理的配合（如提供场地、临时电源接口等），但甲方不承担拆卸、运输过程中的任何责任与费用。甲方有权监督乙方在甲方场地内的作业活动，乙方作业不得影响甲方正常生产经营（如有）及环境安全。</w:t>
      </w:r>
    </w:p>
    <w:p w14:paraId="138E68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所有权转移与风险承担</w:t>
      </w:r>
    </w:p>
    <w:p w14:paraId="489E562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标的设备的所有权自乙方按照本合同约定付清全部款项之时起转移至乙方。在乙方付清全款前，标的设备的所有权仍归甲方所有。</w:t>
      </w:r>
    </w:p>
    <w:p w14:paraId="76A4A3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标的设备的损毁、灭失等风险，自双方按本合同第三条签署《设备交接确认单》之时起由乙方承担。</w:t>
      </w:r>
    </w:p>
    <w:p w14:paraId="2A07682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双方的权利与义务</w:t>
      </w:r>
    </w:p>
    <w:p w14:paraId="41AAC46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甲方权利义务</w:t>
      </w:r>
    </w:p>
    <w:p w14:paraId="5210931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保证对标的设备拥有合法的所有权和处置权，保证出售行为不侵犯任何第三方的合法权益。</w:t>
      </w:r>
    </w:p>
    <w:p w14:paraId="54BD45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按合同约定向乙方交付标的设备。</w:t>
      </w:r>
    </w:p>
    <w:p w14:paraId="09F06DA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如实告知乙方标的设备的已知状况（特别是涉及安全、环保的关键信息）。</w:t>
      </w:r>
    </w:p>
    <w:p w14:paraId="5E78E00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 按约定提供必要的现场配合。</w:t>
      </w:r>
    </w:p>
    <w:p w14:paraId="0335447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 按合同约定收取货款。</w:t>
      </w:r>
    </w:p>
    <w:p w14:paraId="3E155C0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乙方权利义务</w:t>
      </w:r>
    </w:p>
    <w:p w14:paraId="322E47B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 按合同约定支付货款。</w:t>
      </w:r>
    </w:p>
    <w:p w14:paraId="16D18A1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 自行负责并承担费用完成设备的拆卸、运输、装卸工作，并确保安全、合规。</w:t>
      </w:r>
    </w:p>
    <w:p w14:paraId="6B2871B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 在拆卸、运输前及过程中，遵守甲方现场的安全、环保管理规定。</w:t>
      </w:r>
    </w:p>
    <w:p w14:paraId="22B2A19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5.9 接收标的设备后，应按照国家及地方有关法律、法规、标准对废旧电力设备（特别是含危险废物的部分）进行合法、合规、安全、环保的处置、拆解、利用或最终处理。</w:t>
      </w:r>
    </w:p>
    <w:p w14:paraId="7D3B40A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乙方承诺，在处置标的设备过程中，若产生任何环境污染、安全事故或因此引起的行政处罚、索赔等，均由乙方独立承担全部法律责任和经济赔偿责任。若因乙方原因导致甲方遭受任何损失（包括但不限于连带环保责任、行政处罚、声誉损失、第三方索赔等），乙方应负责全额赔偿。</w:t>
      </w:r>
    </w:p>
    <w:p w14:paraId="43E80B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环保与安全责任</w:t>
      </w:r>
    </w:p>
    <w:p w14:paraId="6D6722A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乙方全责原则：乙方确认并承诺，其完全了解废旧电力设备可能存在的环境污染和安全风险（如油污泄漏、有害物质释放、结构坍塌、残余电荷等）。自接收标的设备起（以交接确认单为准），乙方独立、完全承担标的设备在拆卸（若在甲方场地拆卸）、运输、储存、拆解、利用、处置等全过程中所发生的一切安全责任、环境保护责任以及相关法律责任。</w:t>
      </w:r>
    </w:p>
    <w:p w14:paraId="1A306F7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合规处置：乙方保证严格按照国家《固体废物污染环境防治法》、《危险废物经营许可证管理办法》等相关法律法规以及地方性规定，对标的设备（尤其是其中被界定为危险废物的部分，如废矿物油、含铅部件、含汞部件、含PCB部件等）进行规范管理、运输、处置。乙方必须委托或自行使用具有相应危险废物处理资质的单位进行最终处置，并确保所有环节可追溯。</w:t>
      </w:r>
    </w:p>
    <w:p w14:paraId="3495BE8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违约责任</w:t>
      </w:r>
    </w:p>
    <w:p w14:paraId="03E66F3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甲方违约：</w:t>
      </w:r>
    </w:p>
    <w:p w14:paraId="138881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若甲方无合法处置权或设备存在权属纠纷导致合同无法履行，甲方应返还乙方已付款项（如有），并承担乙方因此遭受的直接损失。</w:t>
      </w:r>
    </w:p>
    <w:p w14:paraId="411A06F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若甲方无故拒绝交付设备，应承担相应违约责任（具体可在补充条款约定，如支付违约金）。</w:t>
      </w:r>
    </w:p>
    <w:p w14:paraId="3E2519F5">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7.2 乙方违约</w:t>
      </w:r>
      <w:r>
        <w:rPr>
          <w:rFonts w:hint="eastAsia" w:ascii="仿宋_GB2312" w:hAnsi="仿宋_GB2312" w:eastAsia="仿宋_GB2312" w:cs="仿宋_GB2312"/>
          <w:sz w:val="32"/>
          <w:szCs w:val="32"/>
          <w:lang w:eastAsia="zh-CN"/>
        </w:rPr>
        <w:t>：</w:t>
      </w:r>
    </w:p>
    <w:p w14:paraId="6E610CB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若乙方未按约定时间拆卸运走设备，每逾期一日，应向甲方支付场地占用费/仓储费人民币 [</w:t>
      </w:r>
      <w:r>
        <w:rPr>
          <w:rFonts w:hint="eastAsia" w:ascii="仿宋_GB2312" w:hAnsi="仿宋_GB2312" w:eastAsia="仿宋_GB2312" w:cs="仿宋_GB2312"/>
          <w:sz w:val="32"/>
          <w:szCs w:val="32"/>
          <w:u w:val="single"/>
          <w:lang w:val="en-US" w:eastAsia="zh-CN"/>
        </w:rPr>
        <w:t xml:space="preserve"> 2000 </w:t>
      </w:r>
      <w:r>
        <w:rPr>
          <w:rFonts w:hint="eastAsia" w:ascii="仿宋_GB2312" w:hAnsi="仿宋_GB2312" w:eastAsia="仿宋_GB2312" w:cs="仿宋_GB2312"/>
          <w:sz w:val="32"/>
          <w:szCs w:val="32"/>
        </w:rPr>
        <w:t>] 元。逾期超过 [</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rPr>
        <w:t>] 日，甲方有权自行或委托第三方处置标的设备，处置所得优先抵扣乙方应付费用及违约金，不足部分乙方仍需补足，超出部分（如有）归甲方所有。</w:t>
      </w:r>
    </w:p>
    <w:p w14:paraId="00AC059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乙方违反第五条及第六条关于环保、安全、合规处置的承诺，或因其处置行为导致甲方承担任何责任或遭受损失（包括但不限于环保处罚、第三方索赔、声誉损失、清理费用等），乙方必须承担甲方因此产生的所有费用（包括但不限于赔偿金、罚款、律师费、诉讼费、差旅费、环境修复费等），并向甲方支付合同总价款 [</w:t>
      </w:r>
      <w:r>
        <w:rPr>
          <w:rFonts w:hint="eastAsia" w:ascii="仿宋_GB2312" w:hAnsi="仿宋_GB2312" w:eastAsia="仿宋_GB2312" w:cs="仿宋_GB2312"/>
          <w:sz w:val="32"/>
          <w:szCs w:val="32"/>
          <w:u w:val="single"/>
          <w:lang w:val="en-US" w:eastAsia="zh-CN"/>
        </w:rPr>
        <w:t xml:space="preserve"> 10 </w:t>
      </w:r>
      <w:r>
        <w:rPr>
          <w:rFonts w:hint="eastAsia" w:ascii="仿宋_GB2312" w:hAnsi="仿宋_GB2312" w:eastAsia="仿宋_GB2312" w:cs="仿宋_GB2312"/>
          <w:sz w:val="32"/>
          <w:szCs w:val="32"/>
        </w:rPr>
        <w:t xml:space="preserve">] % 的高额违约金。此条款下的责任不因合同终止或解除而免除。    </w:t>
      </w:r>
    </w:p>
    <w:p w14:paraId="794957E2">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若乙方在甲方场地作业时违反安全规定造成甲方人员伤亡或财产损失，乙方承担全部赔偿责任。</w:t>
      </w:r>
    </w:p>
    <w:p w14:paraId="63725B8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 争议解决</w:t>
      </w:r>
    </w:p>
    <w:p w14:paraId="21C33D9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 凡因本合同引起的或与本合同有关的任何争议，双方应首先通过友好协商解决。</w:t>
      </w:r>
    </w:p>
    <w:p w14:paraId="765290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 协商不成的，任何一方均有权选择以下第 [</w:t>
      </w:r>
      <w:r>
        <w:rPr>
          <w:rFonts w:hint="eastAsia" w:ascii="仿宋_GB2312" w:hAnsi="仿宋_GB2312" w:eastAsia="仿宋_GB2312" w:cs="仿宋_GB2312"/>
          <w:sz w:val="32"/>
          <w:szCs w:val="32"/>
          <w:u w:val="single"/>
          <w:lang w:val="en-US" w:eastAsia="zh-CN"/>
        </w:rPr>
        <w:t xml:space="preserve"> 1 </w:t>
      </w:r>
      <w:r>
        <w:rPr>
          <w:rFonts w:hint="eastAsia" w:ascii="仿宋_GB2312" w:hAnsi="仿宋_GB2312" w:eastAsia="仿宋_GB2312" w:cs="仿宋_GB2312"/>
          <w:sz w:val="32"/>
          <w:szCs w:val="32"/>
        </w:rPr>
        <w:t>] 种方式解决：</w:t>
      </w:r>
    </w:p>
    <w:p w14:paraId="72A804C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 向 [</w:t>
      </w:r>
      <w:r>
        <w:rPr>
          <w:rFonts w:hint="eastAsia" w:ascii="仿宋_GB2312" w:hAnsi="仿宋_GB2312" w:eastAsia="仿宋_GB2312" w:cs="仿宋_GB2312"/>
          <w:sz w:val="32"/>
          <w:szCs w:val="32"/>
          <w:lang w:val="en-US" w:eastAsia="zh-CN"/>
        </w:rPr>
        <w:t>货物</w:t>
      </w:r>
      <w:r>
        <w:rPr>
          <w:rFonts w:hint="eastAsia" w:ascii="仿宋_GB2312" w:hAnsi="仿宋_GB2312" w:eastAsia="仿宋_GB2312" w:cs="仿宋_GB2312"/>
          <w:sz w:val="32"/>
          <w:szCs w:val="32"/>
        </w:rPr>
        <w:t>签订地] 有管辖权的人民法院提起诉讼；</w:t>
      </w:r>
    </w:p>
    <w:p w14:paraId="251EAE3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 提交 [</w:t>
      </w:r>
      <w:r>
        <w:rPr>
          <w:rFonts w:hint="eastAsia" w:ascii="仿宋_GB2312" w:hAnsi="仿宋_GB2312" w:eastAsia="仿宋_GB2312" w:cs="仿宋_GB2312"/>
          <w:sz w:val="32"/>
          <w:szCs w:val="32"/>
          <w:lang w:val="en-US" w:eastAsia="zh-CN"/>
        </w:rPr>
        <w:t>货物签订地</w:t>
      </w:r>
      <w:r>
        <w:rPr>
          <w:rFonts w:hint="eastAsia" w:ascii="仿宋_GB2312" w:hAnsi="仿宋_GB2312" w:eastAsia="仿宋_GB2312" w:cs="仿宋_GB2312"/>
          <w:sz w:val="32"/>
          <w:szCs w:val="32"/>
        </w:rPr>
        <w:t>仲裁委员会] 按照申请仲裁时该会现行有效的仲裁规则在 [</w:t>
      </w:r>
      <w:r>
        <w:rPr>
          <w:rFonts w:hint="eastAsia" w:ascii="仿宋_GB2312" w:hAnsi="仿宋_GB2312" w:eastAsia="仿宋_GB2312" w:cs="仿宋_GB2312"/>
          <w:sz w:val="32"/>
          <w:szCs w:val="32"/>
          <w:lang w:val="en-US" w:eastAsia="zh-CN"/>
        </w:rPr>
        <w:t>货物签订</w:t>
      </w:r>
      <w:r>
        <w:rPr>
          <w:rFonts w:hint="eastAsia" w:ascii="仿宋_GB2312" w:hAnsi="仿宋_GB2312" w:eastAsia="仿宋_GB2312" w:cs="仿宋_GB2312"/>
          <w:sz w:val="32"/>
          <w:szCs w:val="32"/>
        </w:rPr>
        <w:t>仲裁地点] 进行仲裁。仲裁裁决是终局的，对双方均有约束力。</w:t>
      </w:r>
    </w:p>
    <w:p w14:paraId="3B6E12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 合同生效与其他</w:t>
      </w:r>
    </w:p>
    <w:p w14:paraId="446A504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.1 本合同自双方法定代表人或授权代表签字并加盖公章（或合同专用章）之日起生效。</w:t>
      </w:r>
    </w:p>
    <w:p w14:paraId="728BB22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本合同一式 [</w:t>
      </w:r>
      <w:r>
        <w:rPr>
          <w:rFonts w:hint="eastAsia" w:ascii="仿宋_GB2312" w:hAnsi="仿宋_GB2312" w:eastAsia="仿宋_GB2312" w:cs="仿宋_GB2312"/>
          <w:sz w:val="32"/>
          <w:szCs w:val="32"/>
          <w:u w:val="single"/>
          <w:lang w:val="en-US" w:eastAsia="zh-CN"/>
        </w:rPr>
        <w:t xml:space="preserve"> 肆 </w:t>
      </w:r>
      <w:r>
        <w:rPr>
          <w:rFonts w:hint="eastAsia" w:ascii="仿宋_GB2312" w:hAnsi="仿宋_GB2312" w:eastAsia="仿宋_GB2312" w:cs="仿宋_GB2312"/>
          <w:sz w:val="32"/>
          <w:szCs w:val="32"/>
        </w:rPr>
        <w:t>] 份，甲方执 [</w:t>
      </w:r>
      <w:r>
        <w:rPr>
          <w:rFonts w:hint="eastAsia" w:ascii="仿宋_GB2312" w:hAnsi="仿宋_GB2312" w:eastAsia="仿宋_GB2312" w:cs="仿宋_GB2312"/>
          <w:sz w:val="32"/>
          <w:szCs w:val="32"/>
          <w:u w:val="single"/>
          <w:lang w:val="en-US" w:eastAsia="zh-CN"/>
        </w:rPr>
        <w:t xml:space="preserve"> 贰 </w:t>
      </w:r>
      <w:r>
        <w:rPr>
          <w:rFonts w:hint="eastAsia" w:ascii="仿宋_GB2312" w:hAnsi="仿宋_GB2312" w:eastAsia="仿宋_GB2312" w:cs="仿宋_GB2312"/>
          <w:sz w:val="32"/>
          <w:szCs w:val="32"/>
        </w:rPr>
        <w:t>] 份，乙方执 [</w:t>
      </w:r>
      <w:r>
        <w:rPr>
          <w:rFonts w:hint="eastAsia" w:ascii="仿宋_GB2312" w:hAnsi="仿宋_GB2312" w:eastAsia="仿宋_GB2312" w:cs="仿宋_GB2312"/>
          <w:sz w:val="32"/>
          <w:szCs w:val="32"/>
          <w:u w:val="single"/>
          <w:lang w:val="en-US" w:eastAsia="zh-CN"/>
        </w:rPr>
        <w:t xml:space="preserve"> 贰 </w:t>
      </w:r>
      <w:r>
        <w:rPr>
          <w:rFonts w:hint="eastAsia" w:ascii="仿宋_GB2312" w:hAnsi="仿宋_GB2312" w:eastAsia="仿宋_GB2312" w:cs="仿宋_GB2312"/>
          <w:sz w:val="32"/>
          <w:szCs w:val="32"/>
        </w:rPr>
        <w:t>] 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具有同等法律效力。</w:t>
      </w:r>
    </w:p>
    <w:p w14:paraId="6B232843">
      <w:pPr>
        <w:rPr>
          <w:rFonts w:hint="eastAsia" w:ascii="仿宋_GB2312" w:hAnsi="仿宋_GB2312" w:eastAsia="仿宋_GB2312" w:cs="仿宋_GB2312"/>
          <w:sz w:val="32"/>
          <w:szCs w:val="32"/>
        </w:rPr>
      </w:pPr>
    </w:p>
    <w:p w14:paraId="6B0B31B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w:t>
      </w:r>
    </w:p>
    <w:p w14:paraId="4105099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法定代表人/授权代表（签字）：         </w:t>
      </w:r>
    </w:p>
    <w:p w14:paraId="1726E2B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年  月  日</w:t>
      </w:r>
      <w:r>
        <w:rPr>
          <w:rFonts w:hint="eastAsia" w:ascii="仿宋_GB2312" w:hAnsi="仿宋_GB2312" w:eastAsia="仿宋_GB2312" w:cs="仿宋_GB2312"/>
          <w:sz w:val="32"/>
          <w:szCs w:val="32"/>
        </w:rPr>
        <w:t xml:space="preserve">                                     </w:t>
      </w:r>
    </w:p>
    <w:p w14:paraId="1FFE144B">
      <w:pPr>
        <w:rPr>
          <w:rFonts w:hint="eastAsia" w:ascii="仿宋_GB2312" w:hAnsi="仿宋_GB2312" w:eastAsia="仿宋_GB2312" w:cs="仿宋_GB2312"/>
          <w:sz w:val="32"/>
          <w:szCs w:val="32"/>
        </w:rPr>
      </w:pPr>
    </w:p>
    <w:p w14:paraId="0F620196">
      <w:pPr>
        <w:rPr>
          <w:rFonts w:hint="eastAsia" w:ascii="仿宋_GB2312" w:hAnsi="仿宋_GB2312" w:eastAsia="仿宋_GB2312" w:cs="仿宋_GB2312"/>
          <w:sz w:val="32"/>
          <w:szCs w:val="32"/>
        </w:rPr>
      </w:pPr>
    </w:p>
    <w:p w14:paraId="5BE7E445">
      <w:pPr>
        <w:rPr>
          <w:rFonts w:hint="eastAsia" w:ascii="仿宋_GB2312" w:hAnsi="仿宋_GB2312" w:eastAsia="仿宋_GB2312" w:cs="仿宋_GB2312"/>
          <w:sz w:val="32"/>
          <w:szCs w:val="32"/>
        </w:rPr>
      </w:pPr>
    </w:p>
    <w:p w14:paraId="25C73DF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乙方（盖章）：</w:t>
      </w:r>
    </w:p>
    <w:p w14:paraId="674CFA5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法定代表人/授权代表（签字）：         </w:t>
      </w:r>
    </w:p>
    <w:p w14:paraId="126BF0F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年  月  日</w:t>
      </w:r>
      <w:r>
        <w:rPr>
          <w:rFonts w:hint="eastAsia" w:ascii="仿宋_GB2312" w:hAnsi="仿宋_GB2312" w:eastAsia="仿宋_GB2312" w:cs="仿宋_GB2312"/>
          <w:sz w:val="32"/>
          <w:szCs w:val="32"/>
        </w:rPr>
        <w:t xml:space="preserve">     </w:t>
      </w:r>
      <w:bookmarkStart w:id="0" w:name="_GoBack"/>
      <w:bookmarkEnd w:id="0"/>
      <w:r>
        <w:rPr>
          <w:rFonts w:hint="eastAsia" w:ascii="仿宋_GB2312" w:hAnsi="仿宋_GB2312" w:eastAsia="仿宋_GB2312" w:cs="仿宋_GB2312"/>
          <w:sz w:val="32"/>
          <w:szCs w:val="32"/>
        </w:rPr>
        <w:t xml:space="preserve"> </w:t>
      </w:r>
    </w:p>
    <w:p w14:paraId="1ABD035D">
      <w:pPr>
        <w:rPr>
          <w:rFonts w:hint="eastAsia" w:ascii="仿宋_GB2312" w:hAnsi="仿宋_GB2312" w:eastAsia="仿宋_GB2312" w:cs="仿宋_GB2312"/>
          <w:sz w:val="32"/>
          <w:szCs w:val="32"/>
        </w:rPr>
      </w:pPr>
    </w:p>
    <w:p w14:paraId="6F3FC8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附件清单：</w:t>
      </w:r>
    </w:p>
    <w:p w14:paraId="624D7E9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附件一：废旧电力设备详细清单</w:t>
      </w:r>
    </w:p>
    <w:p w14:paraId="1FBA87A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附件二：设备交接确认单（模板）</w:t>
      </w:r>
    </w:p>
    <w:p w14:paraId="17880F6E">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34EF0"/>
    <w:rsid w:val="03E33071"/>
    <w:rsid w:val="05080FE1"/>
    <w:rsid w:val="059A3C03"/>
    <w:rsid w:val="072A7934"/>
    <w:rsid w:val="073360BD"/>
    <w:rsid w:val="07D461C0"/>
    <w:rsid w:val="0A9450C5"/>
    <w:rsid w:val="0AC41E4E"/>
    <w:rsid w:val="0AC6703C"/>
    <w:rsid w:val="0AE0030A"/>
    <w:rsid w:val="0C360B29"/>
    <w:rsid w:val="0C526FE5"/>
    <w:rsid w:val="0FE24077"/>
    <w:rsid w:val="114333A1"/>
    <w:rsid w:val="15AE34DE"/>
    <w:rsid w:val="17410382"/>
    <w:rsid w:val="191C4C03"/>
    <w:rsid w:val="196640D0"/>
    <w:rsid w:val="1D291FE4"/>
    <w:rsid w:val="22BB723B"/>
    <w:rsid w:val="266B541C"/>
    <w:rsid w:val="27934C2A"/>
    <w:rsid w:val="27CB7F20"/>
    <w:rsid w:val="282C4737"/>
    <w:rsid w:val="29EF3C6E"/>
    <w:rsid w:val="2D3E2F42"/>
    <w:rsid w:val="2F652DF7"/>
    <w:rsid w:val="2FD810D0"/>
    <w:rsid w:val="32FB37A7"/>
    <w:rsid w:val="34951FE2"/>
    <w:rsid w:val="35C80195"/>
    <w:rsid w:val="36B204FD"/>
    <w:rsid w:val="3E4B54BF"/>
    <w:rsid w:val="3EC82FB3"/>
    <w:rsid w:val="452D1DC2"/>
    <w:rsid w:val="47B16CDB"/>
    <w:rsid w:val="4A205A52"/>
    <w:rsid w:val="4AB12B4E"/>
    <w:rsid w:val="4B0E1D4E"/>
    <w:rsid w:val="4C0D7D31"/>
    <w:rsid w:val="4D5325E2"/>
    <w:rsid w:val="5B5C08B4"/>
    <w:rsid w:val="5E6C7060"/>
    <w:rsid w:val="5EB153BA"/>
    <w:rsid w:val="6372336A"/>
    <w:rsid w:val="67CA4DF7"/>
    <w:rsid w:val="68D221B5"/>
    <w:rsid w:val="6CD75FEC"/>
    <w:rsid w:val="6D434EF0"/>
    <w:rsid w:val="6E296D1B"/>
    <w:rsid w:val="72F35B4A"/>
    <w:rsid w:val="737057D1"/>
    <w:rsid w:val="7A08012D"/>
    <w:rsid w:val="7BC97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3069</Words>
  <Characters>3293</Characters>
  <Lines>0</Lines>
  <Paragraphs>0</Paragraphs>
  <TotalTime>1</TotalTime>
  <ScaleCrop>false</ScaleCrop>
  <LinksUpToDate>false</LinksUpToDate>
  <CharactersWithSpaces>3580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2025-07-22T07:46:00Z</dcterms:created>
  <dc:creator>yixiu~</dc:creator>
  <cp:lastModifiedBy>yixiu~</cp:lastModifiedBy>
  <dcterms:modified xsi:type="dcterms:W3CDTF">2025-08-06T09:07:36Z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773917E34B3D4A6A836AE61FFB5BD132_11</vt:lpwstr>
  </property>
  <property fmtid="{D5CDD505-2E9C-101B-9397-08002B2CF9AE}" pid="4" name="KSOTemplateDocerSaveRecord">
    <vt:lpwstr>eyJoZGlkIjoiYzc2NWY3YjQxM2YzYWIwYWE1YzkyMWZmM2NkYzdlYjYiLCJ1c2VySWQiOiI0NDQ3MzA1MDMifQ==</vt:lpwstr>
  </property>
</Properties>
</file>