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87" w:rsidRDefault="00E67E87" w:rsidP="00E67E87">
      <w:pPr>
        <w:rPr>
          <w:rFonts w:ascii="黑体" w:eastAsia="黑体" w:hAnsi="黑体" w:cs="黑体"/>
          <w:bCs/>
          <w:szCs w:val="32"/>
        </w:rPr>
      </w:pPr>
    </w:p>
    <w:p w:rsidR="00E67E87" w:rsidRDefault="00E67E87" w:rsidP="00E67E87">
      <w:pPr>
        <w:jc w:val="center"/>
        <w:rPr>
          <w:rFonts w:ascii="宋体" w:hAnsi="宋体" w:hint="eastAsia"/>
          <w:b/>
          <w:sz w:val="36"/>
          <w:szCs w:val="36"/>
        </w:rPr>
      </w:pPr>
      <w:bookmarkStart w:id="0" w:name="_GoBack"/>
      <w:r>
        <w:rPr>
          <w:rFonts w:ascii="宋体" w:hAnsi="宋体" w:cs="宋体" w:hint="eastAsia"/>
          <w:b/>
          <w:color w:val="000000"/>
          <w:sz w:val="36"/>
          <w:szCs w:val="36"/>
        </w:rPr>
        <w:t>寿县融媒体中心</w:t>
      </w:r>
      <w:r>
        <w:rPr>
          <w:rFonts w:ascii="宋体" w:hAnsi="宋体" w:hint="eastAsia"/>
          <w:b/>
          <w:sz w:val="36"/>
          <w:szCs w:val="36"/>
        </w:rPr>
        <w:t>2024</w:t>
      </w:r>
      <w:r>
        <w:rPr>
          <w:rFonts w:ascii="宋体" w:hAnsi="宋体"/>
          <w:b/>
          <w:sz w:val="36"/>
          <w:szCs w:val="36"/>
        </w:rPr>
        <w:t>年</w:t>
      </w:r>
      <w:r>
        <w:rPr>
          <w:rFonts w:ascii="宋体" w:hAnsi="宋体" w:hint="eastAsia"/>
          <w:b/>
          <w:sz w:val="36"/>
          <w:szCs w:val="36"/>
        </w:rPr>
        <w:t>度一般公共预算财政拨款</w:t>
      </w:r>
    </w:p>
    <w:p w:rsidR="00E67E87" w:rsidRDefault="00E67E87" w:rsidP="00E67E87">
      <w:pPr>
        <w:jc w:val="center"/>
        <w:rPr>
          <w:rFonts w:ascii="宋体" w:hAnsi="宋体" w:hint="eastAsia"/>
          <w:b/>
          <w:sz w:val="36"/>
          <w:szCs w:val="36"/>
        </w:rPr>
      </w:pP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w:t>
      </w:r>
    </w:p>
    <w:bookmarkEnd w:id="0"/>
    <w:p w:rsidR="00E67E87" w:rsidRDefault="00E67E87" w:rsidP="00E67E87">
      <w:pPr>
        <w:jc w:val="center"/>
        <w:rPr>
          <w:rFonts w:ascii="楷体_GB2312" w:eastAsia="楷体_GB2312" w:hint="eastAsia"/>
          <w:szCs w:val="32"/>
        </w:rPr>
      </w:pPr>
    </w:p>
    <w:p w:rsidR="00E67E87" w:rsidRDefault="00E67E87" w:rsidP="00E67E87">
      <w:pPr>
        <w:adjustRightInd w:val="0"/>
        <w:snapToGrid w:val="0"/>
        <w:spacing w:line="360" w:lineRule="auto"/>
        <w:jc w:val="center"/>
        <w:rPr>
          <w:rFonts w:ascii="宋体" w:hAnsi="宋体" w:hint="eastAsia"/>
          <w:sz w:val="6"/>
          <w:szCs w:val="32"/>
        </w:rPr>
      </w:pPr>
    </w:p>
    <w:p w:rsidR="00E67E87" w:rsidRDefault="00E67E87" w:rsidP="00E67E87">
      <w:pPr>
        <w:rPr>
          <w:rFonts w:ascii="黑体" w:eastAsia="黑体" w:hAnsi="黑体" w:hint="eastAsia"/>
          <w:szCs w:val="32"/>
        </w:rPr>
      </w:pPr>
      <w:r>
        <w:rPr>
          <w:rFonts w:ascii="黑体" w:eastAsia="黑体" w:hAnsi="黑体"/>
          <w:szCs w:val="32"/>
        </w:rPr>
        <w:t xml:space="preserve">    </w:t>
      </w:r>
      <w:r>
        <w:rPr>
          <w:rFonts w:ascii="黑体" w:eastAsia="黑体" w:hAnsi="黑体" w:hint="eastAsia"/>
          <w:szCs w:val="32"/>
        </w:rPr>
        <w:t>一、2024年度一般公共预算财政拨款“三公”经费支出决算表</w:t>
      </w:r>
    </w:p>
    <w:p w:rsidR="00E67E87" w:rsidRDefault="00E67E87" w:rsidP="00E67E87">
      <w:pPr>
        <w:ind w:firstLineChars="2298" w:firstLine="7212"/>
        <w:rPr>
          <w:rFonts w:ascii="黑体" w:eastAsia="黑体" w:hAnsi="黑体" w:hint="eastAsia"/>
          <w:szCs w:val="32"/>
        </w:rPr>
      </w:pPr>
      <w:r>
        <w:rPr>
          <w:rFonts w:ascii="仿宋_GB2312" w:hAnsi="仿宋_GB2312" w:cs="仿宋_GB2312" w:hint="eastAsia"/>
          <w:szCs w:val="32"/>
        </w:rPr>
        <w:t>单位：万元</w:t>
      </w:r>
    </w:p>
    <w:tbl>
      <w:tblPr>
        <w:tblpPr w:leftFromText="180" w:rightFromText="180" w:vertAnchor="text" w:horzAnchor="margin" w:tblpY="454"/>
        <w:tblOverlap w:val="never"/>
        <w:tblW w:w="0" w:type="auto"/>
        <w:tblLayout w:type="fixed"/>
        <w:tblLook w:val="0000" w:firstRow="0" w:lastRow="0" w:firstColumn="0" w:lastColumn="0" w:noHBand="0" w:noVBand="0"/>
      </w:tblPr>
      <w:tblGrid>
        <w:gridCol w:w="4379"/>
        <w:gridCol w:w="2157"/>
        <w:gridCol w:w="2220"/>
      </w:tblGrid>
      <w:tr w:rsidR="00E67E87" w:rsidTr="00E726CE">
        <w:trPr>
          <w:trHeight w:val="397"/>
        </w:trPr>
        <w:tc>
          <w:tcPr>
            <w:tcW w:w="4379" w:type="dxa"/>
            <w:tcBorders>
              <w:top w:val="single" w:sz="4" w:space="0" w:color="auto"/>
              <w:left w:val="single" w:sz="4" w:space="0" w:color="auto"/>
              <w:bottom w:val="single" w:sz="4" w:space="0" w:color="auto"/>
              <w:right w:val="single" w:sz="4" w:space="0" w:color="auto"/>
            </w:tcBorders>
            <w:vAlign w:val="center"/>
          </w:tcPr>
          <w:p w:rsidR="00E67E87" w:rsidRDefault="00E67E87" w:rsidP="00E726CE">
            <w:pPr>
              <w:widowControl/>
              <w:jc w:val="center"/>
              <w:rPr>
                <w:rFonts w:ascii="宋体" w:hAnsi="宋体" w:cs="宋体"/>
                <w:b/>
                <w:bCs/>
                <w:kern w:val="0"/>
                <w:szCs w:val="21"/>
              </w:rPr>
            </w:pPr>
            <w:r>
              <w:rPr>
                <w:rFonts w:ascii="宋体" w:hAnsi="宋体" w:cs="宋体" w:hint="eastAsia"/>
                <w:b/>
                <w:bCs/>
                <w:kern w:val="0"/>
                <w:szCs w:val="21"/>
              </w:rPr>
              <w:t>项</w:t>
            </w:r>
            <w:r>
              <w:rPr>
                <w:rFonts w:ascii="宋体" w:hAnsi="宋体" w:cs="宋体" w:hint="eastAsia"/>
                <w:b/>
                <w:bCs/>
                <w:kern w:val="0"/>
                <w:szCs w:val="21"/>
              </w:rPr>
              <w:t xml:space="preserve">  </w:t>
            </w:r>
            <w:r>
              <w:rPr>
                <w:rFonts w:ascii="宋体" w:hAnsi="宋体" w:cs="宋体" w:hint="eastAsia"/>
                <w:b/>
                <w:bCs/>
                <w:kern w:val="0"/>
                <w:szCs w:val="21"/>
              </w:rPr>
              <w:t>目</w:t>
            </w:r>
          </w:p>
        </w:tc>
        <w:tc>
          <w:tcPr>
            <w:tcW w:w="2157" w:type="dxa"/>
            <w:tcBorders>
              <w:top w:val="single" w:sz="4" w:space="0" w:color="auto"/>
              <w:left w:val="nil"/>
              <w:bottom w:val="single" w:sz="4" w:space="0" w:color="auto"/>
              <w:right w:val="single" w:sz="4" w:space="0" w:color="auto"/>
            </w:tcBorders>
            <w:vAlign w:val="center"/>
          </w:tcPr>
          <w:p w:rsidR="00E67E87" w:rsidRDefault="00E67E87" w:rsidP="00E726CE">
            <w:pPr>
              <w:widowControl/>
              <w:jc w:val="center"/>
              <w:rPr>
                <w:rFonts w:ascii="宋体" w:hAnsi="宋体" w:cs="宋体"/>
                <w:b/>
                <w:bCs/>
                <w:kern w:val="0"/>
                <w:szCs w:val="21"/>
              </w:rPr>
            </w:pPr>
            <w:r>
              <w:rPr>
                <w:rFonts w:ascii="宋体" w:hAnsi="宋体" w:cs="宋体" w:hint="eastAsia"/>
                <w:b/>
                <w:bCs/>
                <w:kern w:val="0"/>
                <w:szCs w:val="21"/>
              </w:rPr>
              <w:t>预</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c>
          <w:tcPr>
            <w:tcW w:w="2220" w:type="dxa"/>
            <w:tcBorders>
              <w:top w:val="single" w:sz="4" w:space="0" w:color="auto"/>
              <w:left w:val="nil"/>
              <w:bottom w:val="single" w:sz="4" w:space="0" w:color="auto"/>
              <w:right w:val="single" w:sz="4" w:space="0" w:color="auto"/>
            </w:tcBorders>
            <w:vAlign w:val="center"/>
          </w:tcPr>
          <w:p w:rsidR="00E67E87" w:rsidRDefault="00E67E87" w:rsidP="00E726CE">
            <w:pPr>
              <w:widowControl/>
              <w:jc w:val="center"/>
              <w:rPr>
                <w:rFonts w:ascii="宋体" w:hAnsi="宋体" w:cs="宋体"/>
                <w:b/>
                <w:bCs/>
                <w:kern w:val="0"/>
                <w:szCs w:val="21"/>
              </w:rPr>
            </w:pPr>
            <w:r>
              <w:rPr>
                <w:rFonts w:ascii="宋体" w:hAnsi="宋体" w:cs="宋体" w:hint="eastAsia"/>
                <w:b/>
                <w:bCs/>
                <w:kern w:val="0"/>
                <w:szCs w:val="21"/>
              </w:rPr>
              <w:t>决</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r>
      <w:tr w:rsidR="00E67E87" w:rsidTr="00E726CE">
        <w:trPr>
          <w:trHeight w:val="397"/>
        </w:trPr>
        <w:tc>
          <w:tcPr>
            <w:tcW w:w="4379" w:type="dxa"/>
            <w:tcBorders>
              <w:top w:val="nil"/>
              <w:left w:val="single" w:sz="4" w:space="0" w:color="auto"/>
              <w:bottom w:val="single" w:sz="4" w:space="0" w:color="auto"/>
              <w:right w:val="single" w:sz="4" w:space="0" w:color="auto"/>
            </w:tcBorders>
            <w:vAlign w:val="center"/>
          </w:tcPr>
          <w:p w:rsidR="00E67E87" w:rsidRDefault="00E67E87" w:rsidP="00E726CE">
            <w:pPr>
              <w:widowControl/>
              <w:jc w:val="center"/>
              <w:rPr>
                <w:rFonts w:ascii="宋体" w:hAnsi="宋体" w:cs="宋体"/>
                <w:b/>
                <w:bCs/>
                <w:kern w:val="0"/>
                <w:szCs w:val="21"/>
              </w:rPr>
            </w:pPr>
            <w:r>
              <w:rPr>
                <w:rFonts w:ascii="宋体" w:hAnsi="宋体" w:cs="宋体" w:hint="eastAsia"/>
                <w:b/>
                <w:bCs/>
                <w:kern w:val="0"/>
                <w:szCs w:val="21"/>
              </w:rPr>
              <w:t>合</w:t>
            </w:r>
            <w:r>
              <w:rPr>
                <w:rFonts w:ascii="宋体" w:hAnsi="宋体" w:cs="宋体" w:hint="eastAsia"/>
                <w:b/>
                <w:bCs/>
                <w:kern w:val="0"/>
                <w:szCs w:val="21"/>
              </w:rPr>
              <w:t xml:space="preserve">  </w:t>
            </w:r>
            <w:r>
              <w:rPr>
                <w:rFonts w:ascii="宋体" w:hAnsi="宋体" w:cs="宋体" w:hint="eastAsia"/>
                <w:b/>
                <w:bCs/>
                <w:kern w:val="0"/>
                <w:szCs w:val="21"/>
              </w:rPr>
              <w:t>计</w:t>
            </w:r>
          </w:p>
        </w:tc>
        <w:tc>
          <w:tcPr>
            <w:tcW w:w="2157" w:type="dxa"/>
            <w:tcBorders>
              <w:top w:val="nil"/>
              <w:left w:val="nil"/>
              <w:bottom w:val="single" w:sz="4" w:space="0" w:color="auto"/>
              <w:right w:val="single" w:sz="4" w:space="0" w:color="auto"/>
            </w:tcBorders>
            <w:vAlign w:val="center"/>
          </w:tcPr>
          <w:p w:rsidR="00E67E87" w:rsidRDefault="00E67E87" w:rsidP="00E726CE">
            <w:pPr>
              <w:widowControl/>
              <w:jc w:val="center"/>
              <w:rPr>
                <w:rFonts w:ascii="宋体" w:hAnsi="宋体" w:cs="宋体"/>
                <w:b/>
                <w:bCs/>
                <w:kern w:val="0"/>
                <w:szCs w:val="21"/>
              </w:rPr>
            </w:pPr>
            <w:r>
              <w:rPr>
                <w:rFonts w:ascii="宋体" w:hAnsi="宋体" w:cs="宋体" w:hint="eastAsia"/>
                <w:b/>
                <w:bCs/>
                <w:kern w:val="0"/>
                <w:szCs w:val="21"/>
              </w:rPr>
              <w:t>16.3</w:t>
            </w:r>
          </w:p>
        </w:tc>
        <w:tc>
          <w:tcPr>
            <w:tcW w:w="2220" w:type="dxa"/>
            <w:tcBorders>
              <w:top w:val="nil"/>
              <w:left w:val="nil"/>
              <w:bottom w:val="single" w:sz="4" w:space="0" w:color="auto"/>
              <w:right w:val="single" w:sz="4" w:space="0" w:color="auto"/>
            </w:tcBorders>
            <w:vAlign w:val="center"/>
          </w:tcPr>
          <w:p w:rsidR="00E67E87" w:rsidRDefault="00E67E87" w:rsidP="00E726CE">
            <w:pPr>
              <w:widowControl/>
              <w:jc w:val="center"/>
              <w:rPr>
                <w:rFonts w:ascii="宋体" w:hAnsi="宋体" w:cs="宋体"/>
                <w:b/>
                <w:bCs/>
                <w:kern w:val="0"/>
                <w:szCs w:val="21"/>
              </w:rPr>
            </w:pPr>
            <w:r>
              <w:rPr>
                <w:rFonts w:ascii="宋体" w:hAnsi="宋体" w:cs="宋体" w:hint="eastAsia"/>
                <w:b/>
                <w:bCs/>
                <w:kern w:val="0"/>
                <w:szCs w:val="21"/>
              </w:rPr>
              <w:t>12.08</w:t>
            </w:r>
          </w:p>
        </w:tc>
      </w:tr>
      <w:tr w:rsidR="00E67E87" w:rsidTr="00E726CE">
        <w:trPr>
          <w:trHeight w:val="397"/>
        </w:trPr>
        <w:tc>
          <w:tcPr>
            <w:tcW w:w="4379" w:type="dxa"/>
            <w:tcBorders>
              <w:top w:val="nil"/>
              <w:left w:val="single" w:sz="4" w:space="0" w:color="auto"/>
              <w:bottom w:val="single" w:sz="4" w:space="0" w:color="auto"/>
              <w:right w:val="single" w:sz="4" w:space="0" w:color="auto"/>
            </w:tcBorders>
            <w:vAlign w:val="center"/>
          </w:tcPr>
          <w:p w:rsidR="00E67E87" w:rsidRDefault="00E67E87" w:rsidP="00E726CE">
            <w:pPr>
              <w:widowControl/>
              <w:jc w:val="left"/>
              <w:rPr>
                <w:rFonts w:ascii="宋体" w:hAnsi="宋体" w:cs="宋体"/>
                <w:kern w:val="0"/>
                <w:szCs w:val="21"/>
              </w:rPr>
            </w:pPr>
            <w:r>
              <w:rPr>
                <w:rFonts w:ascii="宋体" w:hAnsi="宋体" w:cs="宋体" w:hint="eastAsia"/>
                <w:kern w:val="0"/>
                <w:szCs w:val="21"/>
              </w:rPr>
              <w:t>因公出国（境）费</w:t>
            </w:r>
          </w:p>
        </w:tc>
        <w:tc>
          <w:tcPr>
            <w:tcW w:w="2157" w:type="dxa"/>
            <w:tcBorders>
              <w:top w:val="nil"/>
              <w:left w:val="nil"/>
              <w:bottom w:val="single" w:sz="4" w:space="0" w:color="auto"/>
              <w:right w:val="single" w:sz="4" w:space="0" w:color="auto"/>
            </w:tcBorders>
            <w:vAlign w:val="bottom"/>
          </w:tcPr>
          <w:p w:rsidR="00E67E87" w:rsidRDefault="00E67E87" w:rsidP="00E726CE">
            <w:pPr>
              <w:widowControl/>
              <w:jc w:val="center"/>
              <w:rPr>
                <w:rFonts w:ascii="宋体" w:hAnsi="宋体" w:cs="宋体"/>
                <w:kern w:val="0"/>
                <w:szCs w:val="21"/>
              </w:rPr>
            </w:pPr>
          </w:p>
        </w:tc>
        <w:tc>
          <w:tcPr>
            <w:tcW w:w="2220" w:type="dxa"/>
            <w:tcBorders>
              <w:top w:val="nil"/>
              <w:left w:val="nil"/>
              <w:bottom w:val="single" w:sz="4" w:space="0" w:color="auto"/>
              <w:right w:val="single" w:sz="4" w:space="0" w:color="auto"/>
            </w:tcBorders>
            <w:vAlign w:val="bottom"/>
          </w:tcPr>
          <w:p w:rsidR="00E67E87" w:rsidRDefault="00E67E87" w:rsidP="00E726CE">
            <w:pPr>
              <w:widowControl/>
              <w:jc w:val="center"/>
              <w:rPr>
                <w:rFonts w:ascii="宋体" w:hAnsi="宋体" w:cs="宋体"/>
                <w:kern w:val="0"/>
                <w:szCs w:val="21"/>
              </w:rPr>
            </w:pPr>
          </w:p>
        </w:tc>
      </w:tr>
      <w:tr w:rsidR="00E67E87" w:rsidTr="00E726CE">
        <w:trPr>
          <w:trHeight w:val="397"/>
        </w:trPr>
        <w:tc>
          <w:tcPr>
            <w:tcW w:w="4379" w:type="dxa"/>
            <w:tcBorders>
              <w:top w:val="nil"/>
              <w:left w:val="single" w:sz="4" w:space="0" w:color="auto"/>
              <w:bottom w:val="single" w:sz="4" w:space="0" w:color="auto"/>
              <w:right w:val="single" w:sz="4" w:space="0" w:color="auto"/>
            </w:tcBorders>
            <w:vAlign w:val="center"/>
          </w:tcPr>
          <w:p w:rsidR="00E67E87" w:rsidRDefault="00E67E87" w:rsidP="00E726CE">
            <w:pPr>
              <w:widowControl/>
              <w:jc w:val="left"/>
              <w:rPr>
                <w:rFonts w:ascii="宋体" w:hAnsi="宋体" w:cs="宋体"/>
                <w:kern w:val="0"/>
                <w:szCs w:val="21"/>
              </w:rPr>
            </w:pPr>
            <w:r>
              <w:rPr>
                <w:rFonts w:ascii="宋体" w:hAnsi="宋体" w:cs="宋体" w:hint="eastAsia"/>
                <w:kern w:val="0"/>
                <w:szCs w:val="21"/>
              </w:rPr>
              <w:t>公务接待费</w:t>
            </w:r>
          </w:p>
        </w:tc>
        <w:tc>
          <w:tcPr>
            <w:tcW w:w="2157" w:type="dxa"/>
            <w:tcBorders>
              <w:top w:val="nil"/>
              <w:left w:val="nil"/>
              <w:bottom w:val="single" w:sz="4" w:space="0" w:color="auto"/>
              <w:right w:val="single" w:sz="4" w:space="0" w:color="auto"/>
            </w:tcBorders>
            <w:vAlign w:val="bottom"/>
          </w:tcPr>
          <w:p w:rsidR="00E67E87" w:rsidRDefault="00E67E87" w:rsidP="00E726CE">
            <w:pPr>
              <w:widowControl/>
              <w:jc w:val="center"/>
              <w:rPr>
                <w:rFonts w:ascii="宋体" w:hAnsi="宋体" w:cs="宋体"/>
                <w:kern w:val="0"/>
                <w:szCs w:val="21"/>
              </w:rPr>
            </w:pPr>
            <w:r>
              <w:rPr>
                <w:rFonts w:ascii="宋体" w:hAnsi="宋体" w:cs="宋体" w:hint="eastAsia"/>
                <w:kern w:val="0"/>
                <w:szCs w:val="21"/>
              </w:rPr>
              <w:t>8.4</w:t>
            </w:r>
          </w:p>
        </w:tc>
        <w:tc>
          <w:tcPr>
            <w:tcW w:w="2220" w:type="dxa"/>
            <w:tcBorders>
              <w:top w:val="nil"/>
              <w:left w:val="nil"/>
              <w:bottom w:val="single" w:sz="4" w:space="0" w:color="auto"/>
              <w:right w:val="single" w:sz="4" w:space="0" w:color="auto"/>
            </w:tcBorders>
            <w:vAlign w:val="bottom"/>
          </w:tcPr>
          <w:p w:rsidR="00E67E87" w:rsidRDefault="00E67E87" w:rsidP="00E726CE">
            <w:pPr>
              <w:widowControl/>
              <w:jc w:val="center"/>
              <w:rPr>
                <w:rFonts w:ascii="宋体" w:hAnsi="宋体" w:cs="宋体"/>
                <w:kern w:val="0"/>
                <w:szCs w:val="21"/>
              </w:rPr>
            </w:pPr>
            <w:r>
              <w:rPr>
                <w:rFonts w:ascii="宋体" w:hAnsi="宋体" w:cs="宋体" w:hint="eastAsia"/>
                <w:kern w:val="0"/>
                <w:szCs w:val="21"/>
              </w:rPr>
              <w:t>6.79</w:t>
            </w:r>
          </w:p>
        </w:tc>
      </w:tr>
      <w:tr w:rsidR="00E67E87" w:rsidTr="00E726CE">
        <w:trPr>
          <w:trHeight w:val="397"/>
        </w:trPr>
        <w:tc>
          <w:tcPr>
            <w:tcW w:w="4379" w:type="dxa"/>
            <w:tcBorders>
              <w:top w:val="nil"/>
              <w:left w:val="single" w:sz="4" w:space="0" w:color="auto"/>
              <w:bottom w:val="single" w:sz="4" w:space="0" w:color="auto"/>
              <w:right w:val="single" w:sz="4" w:space="0" w:color="auto"/>
            </w:tcBorders>
            <w:vAlign w:val="center"/>
          </w:tcPr>
          <w:p w:rsidR="00E67E87" w:rsidRDefault="00E67E87" w:rsidP="00E726CE">
            <w:pPr>
              <w:widowControl/>
              <w:jc w:val="left"/>
              <w:rPr>
                <w:rFonts w:ascii="宋体" w:hAnsi="宋体" w:cs="宋体"/>
                <w:kern w:val="0"/>
                <w:szCs w:val="21"/>
              </w:rPr>
            </w:pPr>
            <w:r>
              <w:rPr>
                <w:rFonts w:ascii="宋体" w:hAnsi="宋体" w:cs="宋体" w:hint="eastAsia"/>
                <w:kern w:val="0"/>
                <w:szCs w:val="21"/>
              </w:rPr>
              <w:t>公务用车购置及运行维护费</w:t>
            </w:r>
          </w:p>
        </w:tc>
        <w:tc>
          <w:tcPr>
            <w:tcW w:w="2157" w:type="dxa"/>
            <w:tcBorders>
              <w:top w:val="nil"/>
              <w:left w:val="nil"/>
              <w:bottom w:val="single" w:sz="4" w:space="0" w:color="auto"/>
              <w:right w:val="single" w:sz="4" w:space="0" w:color="auto"/>
            </w:tcBorders>
            <w:vAlign w:val="bottom"/>
          </w:tcPr>
          <w:p w:rsidR="00E67E87" w:rsidRDefault="00E67E87" w:rsidP="00E726CE">
            <w:pPr>
              <w:widowControl/>
              <w:jc w:val="center"/>
              <w:rPr>
                <w:rFonts w:ascii="宋体" w:hAnsi="宋体" w:cs="宋体"/>
                <w:kern w:val="0"/>
                <w:szCs w:val="21"/>
              </w:rPr>
            </w:pPr>
            <w:r>
              <w:rPr>
                <w:rFonts w:ascii="宋体" w:hAnsi="宋体" w:cs="宋体" w:hint="eastAsia"/>
                <w:kern w:val="0"/>
                <w:szCs w:val="21"/>
              </w:rPr>
              <w:t>7.9</w:t>
            </w:r>
          </w:p>
        </w:tc>
        <w:tc>
          <w:tcPr>
            <w:tcW w:w="2220" w:type="dxa"/>
            <w:tcBorders>
              <w:top w:val="nil"/>
              <w:left w:val="nil"/>
              <w:bottom w:val="single" w:sz="4" w:space="0" w:color="auto"/>
              <w:right w:val="single" w:sz="4" w:space="0" w:color="auto"/>
            </w:tcBorders>
            <w:vAlign w:val="bottom"/>
          </w:tcPr>
          <w:p w:rsidR="00E67E87" w:rsidRDefault="00E67E87" w:rsidP="00E726CE">
            <w:pPr>
              <w:widowControl/>
              <w:jc w:val="center"/>
              <w:rPr>
                <w:rFonts w:ascii="宋体" w:hAnsi="宋体" w:cs="宋体"/>
                <w:kern w:val="0"/>
                <w:szCs w:val="21"/>
              </w:rPr>
            </w:pPr>
            <w:r>
              <w:rPr>
                <w:rFonts w:ascii="宋体" w:hAnsi="宋体" w:cs="宋体" w:hint="eastAsia"/>
                <w:kern w:val="0"/>
                <w:szCs w:val="21"/>
              </w:rPr>
              <w:t>5.29</w:t>
            </w:r>
          </w:p>
        </w:tc>
      </w:tr>
      <w:tr w:rsidR="00E67E87" w:rsidTr="00E726CE">
        <w:trPr>
          <w:trHeight w:val="397"/>
        </w:trPr>
        <w:tc>
          <w:tcPr>
            <w:tcW w:w="4379" w:type="dxa"/>
            <w:tcBorders>
              <w:top w:val="nil"/>
              <w:left w:val="single" w:sz="4" w:space="0" w:color="auto"/>
              <w:bottom w:val="single" w:sz="4" w:space="0" w:color="auto"/>
              <w:right w:val="single" w:sz="4" w:space="0" w:color="auto"/>
            </w:tcBorders>
            <w:vAlign w:val="center"/>
          </w:tcPr>
          <w:p w:rsidR="00E67E87" w:rsidRDefault="00E67E87" w:rsidP="00E726CE">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其中：公务用车购置费</w:t>
            </w:r>
          </w:p>
        </w:tc>
        <w:tc>
          <w:tcPr>
            <w:tcW w:w="2157" w:type="dxa"/>
            <w:tcBorders>
              <w:top w:val="nil"/>
              <w:left w:val="nil"/>
              <w:bottom w:val="single" w:sz="4" w:space="0" w:color="auto"/>
              <w:right w:val="single" w:sz="4" w:space="0" w:color="auto"/>
            </w:tcBorders>
            <w:vAlign w:val="bottom"/>
          </w:tcPr>
          <w:p w:rsidR="00E67E87" w:rsidRDefault="00E67E87" w:rsidP="00E726CE">
            <w:pPr>
              <w:widowControl/>
              <w:jc w:val="center"/>
              <w:rPr>
                <w:rFonts w:ascii="宋体" w:hAnsi="宋体" w:cs="宋体"/>
                <w:kern w:val="0"/>
                <w:szCs w:val="21"/>
              </w:rPr>
            </w:pPr>
          </w:p>
        </w:tc>
        <w:tc>
          <w:tcPr>
            <w:tcW w:w="2220" w:type="dxa"/>
            <w:tcBorders>
              <w:top w:val="nil"/>
              <w:left w:val="nil"/>
              <w:bottom w:val="single" w:sz="4" w:space="0" w:color="auto"/>
              <w:right w:val="single" w:sz="4" w:space="0" w:color="auto"/>
            </w:tcBorders>
            <w:vAlign w:val="bottom"/>
          </w:tcPr>
          <w:p w:rsidR="00E67E87" w:rsidRDefault="00E67E87" w:rsidP="00E726CE">
            <w:pPr>
              <w:widowControl/>
              <w:jc w:val="left"/>
              <w:rPr>
                <w:rFonts w:ascii="宋体" w:hAnsi="宋体" w:cs="宋体"/>
                <w:kern w:val="0"/>
                <w:szCs w:val="21"/>
              </w:rPr>
            </w:pPr>
            <w:r>
              <w:rPr>
                <w:rFonts w:ascii="宋体" w:hAnsi="宋体" w:cs="宋体" w:hint="eastAsia"/>
                <w:kern w:val="0"/>
                <w:szCs w:val="21"/>
              </w:rPr>
              <w:t xml:space="preserve">　</w:t>
            </w:r>
          </w:p>
        </w:tc>
      </w:tr>
      <w:tr w:rsidR="00E67E87" w:rsidTr="00E726CE">
        <w:trPr>
          <w:trHeight w:val="397"/>
        </w:trPr>
        <w:tc>
          <w:tcPr>
            <w:tcW w:w="4379" w:type="dxa"/>
            <w:tcBorders>
              <w:top w:val="nil"/>
              <w:left w:val="single" w:sz="4" w:space="0" w:color="auto"/>
              <w:bottom w:val="single" w:sz="4" w:space="0" w:color="auto"/>
              <w:right w:val="single" w:sz="4" w:space="0" w:color="auto"/>
            </w:tcBorders>
            <w:vAlign w:val="center"/>
          </w:tcPr>
          <w:p w:rsidR="00E67E87" w:rsidRDefault="00E67E87" w:rsidP="00E726CE">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公务用车运行维护费</w:t>
            </w:r>
            <w:r>
              <w:rPr>
                <w:rFonts w:ascii="宋体" w:hAnsi="宋体" w:cs="宋体" w:hint="eastAsia"/>
                <w:kern w:val="0"/>
                <w:szCs w:val="21"/>
              </w:rPr>
              <w:t xml:space="preserve">  </w:t>
            </w:r>
          </w:p>
        </w:tc>
        <w:tc>
          <w:tcPr>
            <w:tcW w:w="2157" w:type="dxa"/>
            <w:tcBorders>
              <w:top w:val="nil"/>
              <w:left w:val="nil"/>
              <w:bottom w:val="single" w:sz="4" w:space="0" w:color="auto"/>
              <w:right w:val="single" w:sz="4" w:space="0" w:color="auto"/>
            </w:tcBorders>
            <w:vAlign w:val="bottom"/>
          </w:tcPr>
          <w:p w:rsidR="00E67E87" w:rsidRDefault="00E67E87" w:rsidP="00E726CE">
            <w:pPr>
              <w:widowControl/>
              <w:jc w:val="center"/>
              <w:rPr>
                <w:rFonts w:ascii="宋体" w:hAnsi="宋体" w:cs="宋体"/>
                <w:kern w:val="0"/>
                <w:szCs w:val="21"/>
              </w:rPr>
            </w:pPr>
            <w:r>
              <w:rPr>
                <w:rFonts w:ascii="宋体" w:hAnsi="宋体" w:cs="宋体" w:hint="eastAsia"/>
                <w:kern w:val="0"/>
                <w:szCs w:val="21"/>
              </w:rPr>
              <w:t>7.9</w:t>
            </w:r>
          </w:p>
        </w:tc>
        <w:tc>
          <w:tcPr>
            <w:tcW w:w="2220" w:type="dxa"/>
            <w:tcBorders>
              <w:top w:val="nil"/>
              <w:left w:val="nil"/>
              <w:bottom w:val="single" w:sz="4" w:space="0" w:color="auto"/>
              <w:right w:val="single" w:sz="4" w:space="0" w:color="auto"/>
            </w:tcBorders>
            <w:vAlign w:val="bottom"/>
          </w:tcPr>
          <w:p w:rsidR="00E67E87" w:rsidRDefault="00E67E87" w:rsidP="00E726CE">
            <w:pPr>
              <w:widowControl/>
              <w:jc w:val="center"/>
              <w:rPr>
                <w:rFonts w:ascii="宋体" w:hAnsi="宋体" w:cs="宋体"/>
                <w:kern w:val="0"/>
                <w:szCs w:val="21"/>
              </w:rPr>
            </w:pPr>
            <w:r>
              <w:rPr>
                <w:rFonts w:ascii="宋体" w:hAnsi="宋体" w:cs="宋体" w:hint="eastAsia"/>
                <w:kern w:val="0"/>
                <w:szCs w:val="21"/>
              </w:rPr>
              <w:t>5.29</w:t>
            </w:r>
          </w:p>
        </w:tc>
      </w:tr>
    </w:tbl>
    <w:p w:rsidR="00E67E87" w:rsidRDefault="00E67E87" w:rsidP="00E67E87">
      <w:pPr>
        <w:spacing w:line="300" w:lineRule="exact"/>
        <w:rPr>
          <w:rFonts w:ascii="仿宋_GB2312" w:hAnsi="仿宋" w:hint="eastAsia"/>
          <w:sz w:val="21"/>
          <w:szCs w:val="21"/>
        </w:rPr>
      </w:pPr>
    </w:p>
    <w:p w:rsidR="00E67E87" w:rsidRDefault="00E67E87" w:rsidP="00E67E87">
      <w:pPr>
        <w:spacing w:line="300" w:lineRule="exact"/>
        <w:rPr>
          <w:rFonts w:ascii="黑体" w:eastAsia="黑体" w:hAnsi="黑体" w:hint="eastAsia"/>
          <w:szCs w:val="32"/>
        </w:rPr>
      </w:pPr>
      <w:r>
        <w:rPr>
          <w:rFonts w:ascii="仿宋_GB2312" w:hAnsi="仿宋" w:hint="eastAsia"/>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ascii="仿宋_GB2312" w:hAnsi="仿宋" w:hint="eastAsia"/>
          <w:szCs w:val="32"/>
        </w:rPr>
        <w:t xml:space="preserve"> </w:t>
      </w:r>
      <w:r>
        <w:rPr>
          <w:rFonts w:ascii="黑体" w:eastAsia="黑体" w:hAnsi="黑体" w:hint="eastAsia"/>
          <w:szCs w:val="32"/>
        </w:rPr>
        <w:t xml:space="preserve">                                      </w:t>
      </w:r>
    </w:p>
    <w:p w:rsidR="00E67E87" w:rsidRDefault="00E67E87" w:rsidP="00E67E87">
      <w:pPr>
        <w:rPr>
          <w:rFonts w:ascii="黑体" w:eastAsia="黑体" w:hAnsi="黑体" w:hint="eastAsia"/>
          <w:szCs w:val="32"/>
        </w:rPr>
      </w:pPr>
      <w:r>
        <w:rPr>
          <w:rFonts w:ascii="黑体" w:eastAsia="黑体" w:hAnsi="黑体"/>
          <w:szCs w:val="32"/>
        </w:rPr>
        <w:t xml:space="preserve">    </w:t>
      </w: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2024</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E67E87" w:rsidRDefault="00E67E87" w:rsidP="00E67E87">
      <w:pPr>
        <w:ind w:firstLineChars="200" w:firstLine="630"/>
        <w:rPr>
          <w:rFonts w:ascii="仿宋_GB2312" w:hAnsi="仿宋" w:hint="eastAsia"/>
          <w:b/>
          <w:szCs w:val="32"/>
        </w:rPr>
      </w:pPr>
      <w:r>
        <w:rPr>
          <w:rFonts w:ascii="仿宋_GB2312" w:hAnsi="仿宋" w:hint="eastAsia"/>
          <w:b/>
          <w:szCs w:val="32"/>
        </w:rPr>
        <w:t>（一）一般公共预算财政拨款“三公”经费支出决算总体情况说明。</w:t>
      </w:r>
    </w:p>
    <w:p w:rsidR="00E67E87" w:rsidRDefault="00E67E87" w:rsidP="00E67E87">
      <w:pPr>
        <w:adjustRightInd w:val="0"/>
        <w:snapToGrid w:val="0"/>
        <w:spacing w:line="600" w:lineRule="exact"/>
        <w:ind w:firstLineChars="200" w:firstLine="628"/>
        <w:rPr>
          <w:rFonts w:ascii="仿宋_GB2312" w:hAnsi="仿宋_GB2312" w:cs="仿宋_GB2312" w:hint="eastAsia"/>
          <w:szCs w:val="32"/>
        </w:rPr>
      </w:pPr>
      <w:r>
        <w:rPr>
          <w:rFonts w:ascii="仿宋_GB2312" w:hAnsi="仿宋_GB2312" w:cs="仿宋_GB2312" w:hint="eastAsia"/>
          <w:szCs w:val="32"/>
        </w:rPr>
        <w:t>寿县</w:t>
      </w:r>
      <w:r>
        <w:rPr>
          <w:rFonts w:ascii="仿宋_GB2312" w:hAnsi="仿宋_GB2312" w:cs="仿宋_GB2312" w:hint="eastAsia"/>
          <w:color w:val="000000"/>
          <w:szCs w:val="32"/>
        </w:rPr>
        <w:t>融媒体中心</w:t>
      </w:r>
      <w:r>
        <w:rPr>
          <w:rFonts w:ascii="仿宋_GB2312" w:hAnsi="仿宋" w:hint="eastAsia"/>
          <w:szCs w:val="32"/>
        </w:rPr>
        <w:t>2024年度一般公共预算财政拨款“三公”经</w:t>
      </w:r>
      <w:r>
        <w:rPr>
          <w:rFonts w:ascii="仿宋_GB2312" w:hAnsi="仿宋" w:hint="eastAsia"/>
          <w:szCs w:val="32"/>
        </w:rPr>
        <w:lastRenderedPageBreak/>
        <w:t>费支出预算为16.3万元，支出决算为12.08万元，完成预算的74.11%；较上年减少0.12万元，下降1%。</w:t>
      </w:r>
      <w:r>
        <w:rPr>
          <w:rFonts w:ascii="仿宋_GB2312" w:cs="仿宋_GB2312"/>
          <w:color w:val="000000"/>
          <w:szCs w:val="32"/>
        </w:rPr>
        <w:t>决算数小于预算数的主要原因是</w:t>
      </w:r>
      <w:r>
        <w:rPr>
          <w:rFonts w:ascii="仿宋_GB2312" w:hAnsi="仿宋_GB2312" w:cs="仿宋_GB2312" w:hint="eastAsia"/>
          <w:szCs w:val="32"/>
        </w:rPr>
        <w:t>贯彻落实过紧日子，厉行节约压缩一般性开支。</w:t>
      </w:r>
    </w:p>
    <w:p w:rsidR="00E67E87" w:rsidRDefault="00E67E87" w:rsidP="00E67E87">
      <w:pPr>
        <w:ind w:firstLineChars="200" w:firstLine="630"/>
        <w:rPr>
          <w:rFonts w:ascii="仿宋_GB2312" w:hAnsi="仿宋" w:hint="eastAsia"/>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E67E87" w:rsidRDefault="00E67E87" w:rsidP="00E67E87">
      <w:pPr>
        <w:ind w:firstLineChars="200" w:firstLine="628"/>
        <w:rPr>
          <w:rFonts w:ascii="仿宋_GB2312" w:hAnsi="仿宋" w:hint="eastAsia"/>
          <w:szCs w:val="32"/>
        </w:rPr>
      </w:pPr>
      <w:r>
        <w:rPr>
          <w:rFonts w:ascii="仿宋_GB2312" w:hAnsi="仿宋_GB2312" w:cs="仿宋_GB2312" w:hint="eastAsia"/>
          <w:szCs w:val="32"/>
        </w:rPr>
        <w:t>寿县</w:t>
      </w:r>
      <w:r>
        <w:rPr>
          <w:rFonts w:ascii="仿宋_GB2312" w:hAnsi="仿宋_GB2312" w:cs="仿宋_GB2312" w:hint="eastAsia"/>
          <w:color w:val="000000"/>
          <w:szCs w:val="32"/>
        </w:rPr>
        <w:t>融媒体中心</w:t>
      </w:r>
      <w:r>
        <w:rPr>
          <w:rFonts w:ascii="仿宋_GB2312" w:hAnsi="仿宋" w:hint="eastAsia"/>
          <w:szCs w:val="32"/>
        </w:rPr>
        <w:t>2024年度一般公共预算财政拨款“三公”经费支出决算中，因公出国（境）费支出决算0万元，占0%;公务接待费支出决算6.79万元，占56.2%；公务用车购置及运行维护费支出决算5.29万元，占43.8%。具体情况如下：</w:t>
      </w:r>
    </w:p>
    <w:p w:rsidR="00E67E87" w:rsidRDefault="00E67E87" w:rsidP="00E67E87">
      <w:pPr>
        <w:ind w:firstLine="628"/>
        <w:rPr>
          <w:rFonts w:ascii="仿宋_GB2312" w:hAnsi="仿宋_GB2312" w:cs="仿宋_GB2312" w:hint="eastAsia"/>
          <w:szCs w:val="32"/>
        </w:rPr>
      </w:pPr>
      <w:r>
        <w:rPr>
          <w:rFonts w:ascii="仿宋_GB2312" w:hAnsi="仿宋" w:hint="eastAsia"/>
          <w:b/>
          <w:bCs/>
          <w:szCs w:val="32"/>
        </w:rPr>
        <w:t>1.因公出国（境）费</w:t>
      </w:r>
      <w:r>
        <w:rPr>
          <w:rFonts w:ascii="仿宋_GB2312" w:hAnsi="仿宋" w:hint="eastAsia"/>
          <w:szCs w:val="32"/>
        </w:rPr>
        <w:t>预算为0万元，支出决算为0万元，</w:t>
      </w:r>
      <w:r>
        <w:rPr>
          <w:rFonts w:ascii="仿宋_GB2312" w:hAnsi="仿宋_GB2312" w:cs="仿宋_GB2312" w:hint="eastAsia"/>
          <w:szCs w:val="32"/>
        </w:rPr>
        <w:t>2024年寿县</w:t>
      </w:r>
      <w:r>
        <w:rPr>
          <w:rFonts w:ascii="仿宋_GB2312" w:hAnsi="仿宋_GB2312" w:cs="仿宋_GB2312" w:hint="eastAsia"/>
          <w:color w:val="000000"/>
          <w:szCs w:val="32"/>
        </w:rPr>
        <w:t>融媒体中心无此项预决算支出情况。</w:t>
      </w:r>
    </w:p>
    <w:p w:rsidR="00E67E87" w:rsidRDefault="00E67E87" w:rsidP="00E67E87">
      <w:pPr>
        <w:pStyle w:val="p0"/>
        <w:widowControl/>
        <w:ind w:firstLineChars="200" w:firstLine="630"/>
        <w:rPr>
          <w:rFonts w:ascii="仿宋" w:eastAsia="仿宋" w:hAnsi="仿宋" w:cs="仿宋" w:hint="eastAsia"/>
          <w:sz w:val="32"/>
          <w:szCs w:val="32"/>
        </w:rPr>
      </w:pPr>
      <w:r>
        <w:rPr>
          <w:rFonts w:ascii="仿宋" w:eastAsia="仿宋" w:hAnsi="仿宋" w:cs="仿宋" w:hint="eastAsia"/>
          <w:b/>
          <w:bCs/>
          <w:sz w:val="32"/>
          <w:szCs w:val="32"/>
        </w:rPr>
        <w:t>2.公务接待费</w:t>
      </w:r>
      <w:r>
        <w:rPr>
          <w:rFonts w:ascii="仿宋" w:eastAsia="仿宋" w:hAnsi="仿宋" w:cs="仿宋" w:hint="eastAsia"/>
          <w:sz w:val="32"/>
          <w:szCs w:val="32"/>
        </w:rPr>
        <w:t>预算为8.4万元，支出决算为6.79万元，完成预算的80.83%；较上年减少0.1万元，下降1.45%。决算数小于预算数的主要原因</w:t>
      </w:r>
      <w:r>
        <w:rPr>
          <w:rFonts w:ascii="仿宋" w:eastAsia="仿宋" w:hAnsi="仿宋" w:cs="仿宋" w:hint="eastAsia"/>
          <w:color w:val="000000"/>
          <w:sz w:val="32"/>
          <w:szCs w:val="32"/>
        </w:rPr>
        <w:t>是</w:t>
      </w:r>
      <w:r>
        <w:rPr>
          <w:rFonts w:ascii="仿宋" w:eastAsia="仿宋" w:hAnsi="仿宋" w:cs="仿宋" w:hint="eastAsia"/>
          <w:sz w:val="32"/>
          <w:szCs w:val="32"/>
        </w:rPr>
        <w:t>贯彻落实厉行节约压缩一般性开支、</w:t>
      </w:r>
      <w:r>
        <w:rPr>
          <w:rFonts w:ascii="仿宋" w:eastAsia="仿宋" w:hAnsi="仿宋" w:cs="仿宋" w:hint="eastAsia"/>
          <w:kern w:val="2"/>
          <w:sz w:val="32"/>
          <w:szCs w:val="32"/>
        </w:rPr>
        <w:t>只减不增</w:t>
      </w:r>
      <w:r>
        <w:rPr>
          <w:rFonts w:ascii="仿宋" w:eastAsia="仿宋" w:hAnsi="仿宋" w:cs="仿宋" w:hint="eastAsia"/>
          <w:sz w:val="32"/>
          <w:szCs w:val="32"/>
        </w:rPr>
        <w:t>。</w:t>
      </w:r>
    </w:p>
    <w:p w:rsidR="00E67E87" w:rsidRDefault="00E67E87" w:rsidP="00E67E87">
      <w:pPr>
        <w:ind w:firstLineChars="200" w:firstLine="628"/>
        <w:rPr>
          <w:rFonts w:ascii="仿宋_GB2312" w:hAnsi="仿宋" w:hint="eastAsia"/>
          <w:szCs w:val="32"/>
        </w:rPr>
      </w:pPr>
      <w:r>
        <w:rPr>
          <w:rFonts w:ascii="仿宋_GB2312" w:hAnsi="仿宋" w:hint="eastAsia"/>
          <w:szCs w:val="32"/>
        </w:rPr>
        <w:t>2024年</w:t>
      </w:r>
      <w:r>
        <w:rPr>
          <w:rFonts w:ascii="仿宋_GB2312" w:hAnsi="仿宋_GB2312" w:cs="仿宋_GB2312" w:hint="eastAsia"/>
          <w:szCs w:val="32"/>
        </w:rPr>
        <w:t>寿县</w:t>
      </w:r>
      <w:r>
        <w:rPr>
          <w:rFonts w:ascii="仿宋_GB2312" w:hAnsi="仿宋_GB2312" w:cs="仿宋_GB2312" w:hint="eastAsia"/>
          <w:color w:val="000000"/>
          <w:szCs w:val="32"/>
        </w:rPr>
        <w:t>融媒体中心</w:t>
      </w:r>
      <w:r>
        <w:rPr>
          <w:rFonts w:ascii="仿宋_GB2312" w:hAnsi="仿宋" w:hint="eastAsia"/>
          <w:szCs w:val="32"/>
        </w:rPr>
        <w:t>国内公务接待共95批次，486人次。</w:t>
      </w:r>
      <w:r>
        <w:rPr>
          <w:rFonts w:ascii="仿宋_GB2312" w:cs="仿宋_GB2312"/>
          <w:color w:val="000000"/>
          <w:szCs w:val="32"/>
        </w:rPr>
        <w:t>主要是用于</w:t>
      </w:r>
      <w:r>
        <w:rPr>
          <w:rFonts w:ascii="仿宋" w:eastAsia="仿宋" w:hAnsi="仿宋" w:hint="eastAsia"/>
          <w:color w:val="000000"/>
          <w:szCs w:val="32"/>
        </w:rPr>
        <w:t>业务考查观摩交流和设备维护及技术指导来人接待</w:t>
      </w:r>
      <w:r>
        <w:rPr>
          <w:rFonts w:ascii="仿宋" w:eastAsia="仿宋" w:hAnsi="仿宋" w:hint="eastAsia"/>
          <w:szCs w:val="32"/>
        </w:rPr>
        <w:t>等支出</w:t>
      </w:r>
      <w:r>
        <w:rPr>
          <w:rFonts w:ascii="仿宋_GB2312" w:cs="仿宋_GB2312"/>
          <w:color w:val="000000"/>
          <w:szCs w:val="32"/>
        </w:rPr>
        <w:t>。</w:t>
      </w:r>
      <w:r>
        <w:rPr>
          <w:rFonts w:ascii="仿宋_GB2312" w:hAnsi="仿宋" w:hint="eastAsia"/>
          <w:szCs w:val="32"/>
        </w:rPr>
        <w:t>经费使用贯彻中央八项规定精神和省委实</w:t>
      </w:r>
      <w:r>
        <w:rPr>
          <w:rFonts w:ascii="仿宋_GB2312" w:hAnsi="宋体" w:cs="宋体" w:hint="eastAsia"/>
          <w:color w:val="282828"/>
          <w:kern w:val="0"/>
          <w:szCs w:val="32"/>
        </w:rPr>
        <w:t>施细则</w:t>
      </w:r>
      <w:r>
        <w:rPr>
          <w:rFonts w:ascii="仿宋_GB2312" w:hAnsi="仿宋" w:hint="eastAsia"/>
          <w:szCs w:val="32"/>
        </w:rPr>
        <w:t>，严格执行《党政机关厉行节约反对浪费条例》和</w:t>
      </w:r>
      <w:r>
        <w:rPr>
          <w:rFonts w:ascii="仿宋_GB2312" w:cs="仿宋_GB2312"/>
          <w:color w:val="000000"/>
          <w:szCs w:val="32"/>
        </w:rPr>
        <w:t>《</w:t>
      </w:r>
      <w:r>
        <w:rPr>
          <w:rFonts w:ascii="仿宋_GB2312" w:cs="宋体" w:hint="eastAsia"/>
          <w:szCs w:val="32"/>
        </w:rPr>
        <w:t>寿县党政机关国内公务接待管理办法</w:t>
      </w:r>
      <w:r>
        <w:rPr>
          <w:rFonts w:ascii="仿宋_GB2312" w:cs="仿宋_GB2312"/>
          <w:color w:val="000000"/>
          <w:szCs w:val="32"/>
        </w:rPr>
        <w:t>》（</w:t>
      </w:r>
      <w:r>
        <w:rPr>
          <w:rFonts w:ascii="仿宋_GB2312" w:cs="宋体" w:hint="eastAsia"/>
          <w:szCs w:val="32"/>
        </w:rPr>
        <w:t>寿办发〔2025〕9号</w:t>
      </w:r>
      <w:r>
        <w:rPr>
          <w:rFonts w:ascii="仿宋_GB2312" w:cs="仿宋_GB2312"/>
          <w:color w:val="000000"/>
          <w:szCs w:val="32"/>
        </w:rPr>
        <w:t>）</w:t>
      </w:r>
      <w:r>
        <w:rPr>
          <w:rFonts w:ascii="仿宋_GB2312" w:hAnsi="仿宋" w:hint="eastAsia"/>
          <w:szCs w:val="32"/>
        </w:rPr>
        <w:t>等相关规定。</w:t>
      </w:r>
    </w:p>
    <w:p w:rsidR="00E67E87" w:rsidRDefault="00E67E87" w:rsidP="00E67E87">
      <w:pPr>
        <w:adjustRightInd w:val="0"/>
        <w:snapToGrid w:val="0"/>
        <w:spacing w:line="600" w:lineRule="exact"/>
        <w:ind w:firstLineChars="200" w:firstLine="630"/>
        <w:rPr>
          <w:rFonts w:ascii="仿宋_GB2312" w:hAnsi="仿宋" w:hint="eastAsia"/>
          <w:szCs w:val="32"/>
        </w:rPr>
      </w:pPr>
      <w:r>
        <w:rPr>
          <w:rFonts w:ascii="仿宋_GB2312" w:hAnsi="仿宋" w:hint="eastAsia"/>
          <w:b/>
          <w:bCs/>
          <w:szCs w:val="32"/>
        </w:rPr>
        <w:t>3.公务用车购置及运行维护费</w:t>
      </w:r>
      <w:r>
        <w:rPr>
          <w:rFonts w:ascii="仿宋_GB2312" w:hAnsi="仿宋" w:hint="eastAsia"/>
          <w:szCs w:val="32"/>
        </w:rPr>
        <w:t>预算为7.9万元，支出决算为</w:t>
      </w:r>
      <w:r>
        <w:rPr>
          <w:rFonts w:ascii="宋体" w:hAnsi="宋体" w:cs="宋体" w:hint="eastAsia"/>
          <w:kern w:val="0"/>
          <w:szCs w:val="21"/>
        </w:rPr>
        <w:t>5.29</w:t>
      </w:r>
      <w:r>
        <w:rPr>
          <w:rFonts w:ascii="仿宋_GB2312" w:hAnsi="仿宋" w:hint="eastAsia"/>
          <w:szCs w:val="32"/>
        </w:rPr>
        <w:t>万元，完成预算的67%；较上年减少0.02万元，下降0.4%。</w:t>
      </w:r>
      <w:r>
        <w:rPr>
          <w:rFonts w:ascii="仿宋_GB2312" w:hAnsi="仿宋" w:hint="eastAsia"/>
          <w:szCs w:val="32"/>
        </w:rPr>
        <w:lastRenderedPageBreak/>
        <w:t>决算数小于预算数的主要</w:t>
      </w:r>
      <w:r>
        <w:rPr>
          <w:rFonts w:ascii="仿宋_GB2312" w:cs="仿宋_GB2312"/>
          <w:color w:val="000000"/>
          <w:szCs w:val="32"/>
        </w:rPr>
        <w:t>原因是</w:t>
      </w:r>
      <w:r>
        <w:rPr>
          <w:rFonts w:ascii="仿宋_GB2312" w:hAnsi="仿宋_GB2312" w:cs="仿宋_GB2312" w:hint="eastAsia"/>
          <w:szCs w:val="32"/>
        </w:rPr>
        <w:t>贯彻落实厉行节约压缩一般性开支、</w:t>
      </w:r>
      <w:r>
        <w:rPr>
          <w:rFonts w:ascii="仿宋" w:eastAsia="仿宋" w:hAnsi="仿宋" w:hint="eastAsia"/>
          <w:szCs w:val="32"/>
        </w:rPr>
        <w:t>只减不增</w:t>
      </w:r>
      <w:r>
        <w:rPr>
          <w:rFonts w:ascii="仿宋_GB2312" w:hAnsi="仿宋" w:hint="eastAsia"/>
          <w:szCs w:val="32"/>
        </w:rPr>
        <w:t>。</w:t>
      </w:r>
    </w:p>
    <w:p w:rsidR="00E67E87" w:rsidRDefault="00E67E87" w:rsidP="00E67E87">
      <w:pPr>
        <w:ind w:firstLineChars="200" w:firstLine="628"/>
        <w:rPr>
          <w:rFonts w:ascii="仿宋_GB2312" w:hAnsi="仿宋" w:hint="eastAsia"/>
          <w:szCs w:val="32"/>
        </w:rPr>
      </w:pPr>
      <w:r>
        <w:rPr>
          <w:rFonts w:ascii="仿宋_GB2312" w:hAnsi="仿宋" w:hint="eastAsia"/>
          <w:szCs w:val="32"/>
        </w:rPr>
        <w:t>其中，公务用车购置费预算为0万元，支出决算为0万元，</w:t>
      </w:r>
      <w:r>
        <w:rPr>
          <w:rFonts w:ascii="楷体_GB2312" w:eastAsia="楷体_GB2312" w:cs="楷体_GB2312" w:hint="eastAsia"/>
          <w:color w:val="000000"/>
          <w:szCs w:val="32"/>
        </w:rPr>
        <w:t>2024</w:t>
      </w:r>
      <w:r>
        <w:rPr>
          <w:rFonts w:ascii="楷体_GB2312" w:eastAsia="楷体_GB2312" w:cs="楷体_GB2312"/>
          <w:color w:val="000000"/>
          <w:szCs w:val="32"/>
        </w:rPr>
        <w:t>年没有安排公务用车购置费。</w:t>
      </w:r>
      <w:r>
        <w:rPr>
          <w:rFonts w:ascii="仿宋_GB2312" w:hAnsi="仿宋" w:hint="eastAsia"/>
          <w:szCs w:val="32"/>
        </w:rPr>
        <w:t>公务用车运行维护费预算为</w:t>
      </w:r>
      <w:r>
        <w:rPr>
          <w:rFonts w:ascii="宋体" w:hAnsi="宋体" w:cs="宋体" w:hint="eastAsia"/>
          <w:kern w:val="0"/>
          <w:szCs w:val="21"/>
        </w:rPr>
        <w:t>7.9</w:t>
      </w:r>
      <w:r>
        <w:rPr>
          <w:rFonts w:ascii="仿宋_GB2312" w:hAnsi="仿宋" w:hint="eastAsia"/>
          <w:szCs w:val="32"/>
        </w:rPr>
        <w:t>万元，支出决算为</w:t>
      </w:r>
      <w:r>
        <w:rPr>
          <w:rFonts w:ascii="宋体" w:hAnsi="宋体" w:cs="宋体" w:hint="eastAsia"/>
          <w:kern w:val="0"/>
          <w:szCs w:val="21"/>
        </w:rPr>
        <w:t>5.29</w:t>
      </w:r>
      <w:r>
        <w:rPr>
          <w:rFonts w:ascii="仿宋_GB2312" w:hAnsi="仿宋" w:hint="eastAsia"/>
          <w:szCs w:val="32"/>
        </w:rPr>
        <w:t>万元，完成预算的67%；较上年减少0.02万元，下降0.4%。决算数小于预算数的主要</w:t>
      </w:r>
      <w:r>
        <w:rPr>
          <w:rFonts w:ascii="仿宋_GB2312" w:cs="仿宋_GB2312"/>
          <w:color w:val="000000"/>
          <w:szCs w:val="32"/>
        </w:rPr>
        <w:t>原因是</w:t>
      </w:r>
      <w:r>
        <w:rPr>
          <w:rFonts w:ascii="仿宋_GB2312" w:hAnsi="仿宋_GB2312" w:cs="仿宋_GB2312" w:hint="eastAsia"/>
          <w:szCs w:val="32"/>
        </w:rPr>
        <w:t>贯彻落实厉行节约压缩一般性开支、</w:t>
      </w:r>
      <w:r>
        <w:rPr>
          <w:rFonts w:ascii="仿宋" w:eastAsia="仿宋" w:hAnsi="仿宋" w:hint="eastAsia"/>
          <w:szCs w:val="32"/>
        </w:rPr>
        <w:t>只减不增</w:t>
      </w:r>
      <w:r>
        <w:rPr>
          <w:rFonts w:ascii="仿宋_GB2312" w:hAnsi="仿宋" w:hint="eastAsia"/>
          <w:szCs w:val="32"/>
        </w:rPr>
        <w:t>。</w:t>
      </w:r>
    </w:p>
    <w:p w:rsidR="00E67E87" w:rsidRDefault="00E67E87" w:rsidP="00E67E87">
      <w:pPr>
        <w:pStyle w:val="p0"/>
        <w:widowControl/>
        <w:ind w:firstLineChars="200" w:firstLine="628"/>
        <w:rPr>
          <w:rFonts w:ascii="仿宋_GB2312" w:cs="仿宋_GB2312"/>
          <w:color w:val="000000"/>
          <w:sz w:val="32"/>
          <w:szCs w:val="32"/>
        </w:rPr>
      </w:pPr>
      <w:r>
        <w:rPr>
          <w:rFonts w:ascii="仿宋_GB2312" w:hAnsi="仿宋" w:hint="eastAsia"/>
          <w:sz w:val="32"/>
          <w:szCs w:val="32"/>
        </w:rPr>
        <w:t>公务用车运行维护费，包括车辆燃料费、维修费、过路过桥费、保险费等支出。</w:t>
      </w:r>
      <w:r>
        <w:rPr>
          <w:rFonts w:ascii="仿宋_GB2312" w:cs="仿宋_GB2312"/>
          <w:color w:val="000000"/>
          <w:sz w:val="32"/>
          <w:szCs w:val="32"/>
        </w:rPr>
        <w:t>主要用于</w:t>
      </w:r>
      <w:r>
        <w:rPr>
          <w:rFonts w:ascii="仿宋" w:eastAsia="仿宋" w:hAnsi="仿宋" w:cs="仿宋" w:hint="eastAsia"/>
          <w:color w:val="000000"/>
          <w:sz w:val="32"/>
          <w:szCs w:val="32"/>
        </w:rPr>
        <w:t>广播电视、新媒体采访宣传报道、节目直播等公务业务用车</w:t>
      </w:r>
      <w:r>
        <w:rPr>
          <w:rFonts w:ascii="仿宋_GB2312" w:cs="仿宋_GB2312"/>
          <w:color w:val="000000"/>
          <w:sz w:val="32"/>
          <w:szCs w:val="32"/>
        </w:rPr>
        <w:t>。截至202</w:t>
      </w:r>
      <w:r>
        <w:rPr>
          <w:rFonts w:ascii="仿宋_GB2312" w:cs="仿宋_GB2312" w:hint="eastAsia"/>
          <w:color w:val="000000"/>
          <w:sz w:val="32"/>
          <w:szCs w:val="32"/>
        </w:rPr>
        <w:t>4</w:t>
      </w:r>
      <w:r>
        <w:rPr>
          <w:rFonts w:ascii="仿宋_GB2312" w:cs="仿宋_GB2312"/>
          <w:color w:val="000000"/>
          <w:sz w:val="32"/>
          <w:szCs w:val="32"/>
        </w:rPr>
        <w:t>年12月31日，</w:t>
      </w:r>
      <w:r>
        <w:rPr>
          <w:rFonts w:ascii="仿宋_GB2312" w:hAnsi="仿宋_GB2312" w:cs="仿宋_GB2312" w:hint="eastAsia"/>
          <w:sz w:val="32"/>
          <w:szCs w:val="32"/>
        </w:rPr>
        <w:t>寿县</w:t>
      </w:r>
      <w:r>
        <w:rPr>
          <w:rFonts w:ascii="仿宋_GB2312" w:hAnsi="仿宋_GB2312" w:cs="仿宋_GB2312" w:hint="eastAsia"/>
          <w:color w:val="000000"/>
          <w:sz w:val="32"/>
          <w:szCs w:val="32"/>
        </w:rPr>
        <w:t>融媒体中心</w:t>
      </w:r>
      <w:r>
        <w:rPr>
          <w:rFonts w:ascii="仿宋_GB2312" w:cs="仿宋_GB2312"/>
          <w:color w:val="000000"/>
          <w:sz w:val="32"/>
          <w:szCs w:val="32"/>
        </w:rPr>
        <w:t>开支财政拨款的公务用车保有量为</w:t>
      </w:r>
      <w:r>
        <w:rPr>
          <w:rFonts w:ascii="仿宋_GB2312" w:cs="仿宋_GB2312" w:hint="eastAsia"/>
          <w:color w:val="000000"/>
          <w:sz w:val="32"/>
          <w:szCs w:val="32"/>
        </w:rPr>
        <w:t>2</w:t>
      </w:r>
      <w:r>
        <w:rPr>
          <w:rFonts w:ascii="仿宋_GB2312" w:cs="仿宋_GB2312"/>
          <w:color w:val="000000"/>
          <w:sz w:val="32"/>
          <w:szCs w:val="32"/>
        </w:rPr>
        <w:t>辆。</w:t>
      </w:r>
    </w:p>
    <w:p w:rsidR="00E67E87" w:rsidRDefault="00E67E87" w:rsidP="00E67E87">
      <w:pPr>
        <w:ind w:firstLineChars="200" w:firstLine="628"/>
        <w:rPr>
          <w:rFonts w:hint="eastAsia"/>
        </w:rPr>
      </w:pPr>
    </w:p>
    <w:p w:rsidR="00E67E87" w:rsidRDefault="00E67E87" w:rsidP="00E67E87">
      <w:pPr>
        <w:pStyle w:val="a3"/>
        <w:ind w:left="1258" w:hanging="1258"/>
        <w:jc w:val="both"/>
        <w:rPr>
          <w:rFonts w:ascii="仿宋_GB2312" w:eastAsia="仿宋_GB2312" w:hint="eastAsia"/>
          <w:sz w:val="32"/>
        </w:rPr>
      </w:pPr>
    </w:p>
    <w:p w:rsidR="00E67E87" w:rsidRDefault="00E67E87" w:rsidP="00E67E87">
      <w:pPr>
        <w:pStyle w:val="a3"/>
        <w:ind w:left="1258" w:hanging="1258"/>
        <w:jc w:val="both"/>
        <w:rPr>
          <w:rFonts w:ascii="仿宋_GB2312" w:eastAsia="仿宋_GB2312" w:hint="eastAsia"/>
          <w:sz w:val="32"/>
        </w:rPr>
      </w:pPr>
    </w:p>
    <w:p w:rsidR="00E67E87" w:rsidRDefault="00E67E87" w:rsidP="00E67E87">
      <w:pPr>
        <w:pStyle w:val="a3"/>
        <w:jc w:val="both"/>
        <w:rPr>
          <w:rFonts w:hint="eastAsia"/>
        </w:rPr>
      </w:pPr>
    </w:p>
    <w:p w:rsidR="003A085B" w:rsidRPr="00E67E87" w:rsidRDefault="003A085B"/>
    <w:sectPr w:rsidR="003A085B" w:rsidRPr="00E67E87">
      <w:footerReference w:type="even" r:id="rId4"/>
      <w:footerReference w:type="default" r:id="rId5"/>
      <w:pgSz w:w="11906" w:h="16838"/>
      <w:pgMar w:top="2155" w:right="1531" w:bottom="1588" w:left="1588" w:header="0" w:footer="1588" w:gutter="0"/>
      <w:cols w:space="720"/>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67E87">
    <w:pPr>
      <w:pStyle w:val="a4"/>
      <w:framePr w:wrap="around" w:vAnchor="text" w:hAnchor="margin" w:xAlign="right"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000000" w:rsidRDefault="00E67E8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67E87">
    <w:pPr>
      <w:pStyle w:val="a4"/>
      <w:framePr w:wrap="around" w:vAnchor="text" w:hAnchor="margin" w:xAlign="right" w:y="1"/>
      <w:rPr>
        <w:rStyle w:val="a5"/>
        <w:rFonts w:ascii="仿宋_GB2312"/>
        <w:sz w:val="28"/>
      </w:rPr>
    </w:pPr>
    <w:r>
      <w:rPr>
        <w:rStyle w:val="a5"/>
        <w:rFonts w:ascii="仿宋_GB2312" w:hint="eastAsia"/>
        <w:sz w:val="28"/>
      </w:rPr>
      <w:t>-</w:t>
    </w:r>
    <w:r>
      <w:rPr>
        <w:rFonts w:ascii="仿宋_GB2312" w:hint="eastAsia"/>
        <w:sz w:val="28"/>
        <w:szCs w:val="28"/>
      </w:rPr>
      <w:fldChar w:fldCharType="begin"/>
    </w:r>
    <w:r>
      <w:rPr>
        <w:rStyle w:val="a5"/>
        <w:rFonts w:ascii="仿宋_GB2312" w:hint="eastAsia"/>
        <w:sz w:val="28"/>
        <w:szCs w:val="28"/>
      </w:rPr>
      <w:instrText xml:space="preserve"> PAGE </w:instrText>
    </w:r>
    <w:r>
      <w:rPr>
        <w:rFonts w:ascii="仿宋_GB2312" w:hint="eastAsia"/>
        <w:sz w:val="28"/>
        <w:szCs w:val="28"/>
      </w:rPr>
      <w:fldChar w:fldCharType="separate"/>
    </w:r>
    <w:r>
      <w:rPr>
        <w:rStyle w:val="a5"/>
        <w:rFonts w:ascii="仿宋_GB2312"/>
        <w:noProof/>
        <w:sz w:val="28"/>
        <w:szCs w:val="28"/>
      </w:rPr>
      <w:t>2</w:t>
    </w:r>
    <w:r>
      <w:rPr>
        <w:rFonts w:ascii="仿宋_GB2312" w:hint="eastAsia"/>
        <w:sz w:val="28"/>
        <w:szCs w:val="28"/>
      </w:rPr>
      <w:fldChar w:fldCharType="end"/>
    </w:r>
    <w:r>
      <w:rPr>
        <w:rStyle w:val="a5"/>
        <w:rFonts w:ascii="仿宋_GB2312" w:hint="eastAsia"/>
        <w:sz w:val="28"/>
        <w:szCs w:val="28"/>
      </w:rPr>
      <w:t>-</w:t>
    </w:r>
  </w:p>
  <w:p w:rsidR="00000000" w:rsidRDefault="00E67E87">
    <w:pPr>
      <w:pStyle w:val="a4"/>
      <w:ind w:right="360"/>
      <w:jc w:val="right"/>
      <w:rPr>
        <w:rFonts w:ascii="仿宋_GB2312" w:hint="eastAsia"/>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87"/>
    <w:rsid w:val="003A085B"/>
    <w:rsid w:val="00E6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C40E2-5361-4531-98BB-5222CF84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E87"/>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67E87"/>
    <w:pPr>
      <w:jc w:val="center"/>
    </w:pPr>
    <w:rPr>
      <w:rFonts w:eastAsia="黑体"/>
      <w:sz w:val="36"/>
    </w:rPr>
  </w:style>
  <w:style w:type="character" w:customStyle="1" w:styleId="Char">
    <w:name w:val="正文文本 Char"/>
    <w:basedOn w:val="a0"/>
    <w:link w:val="a3"/>
    <w:rsid w:val="00E67E87"/>
    <w:rPr>
      <w:rFonts w:ascii="Times New Roman" w:eastAsia="黑体" w:hAnsi="Times New Roman" w:cs="Times New Roman"/>
      <w:sz w:val="36"/>
      <w:szCs w:val="20"/>
    </w:rPr>
  </w:style>
  <w:style w:type="paragraph" w:styleId="a4">
    <w:name w:val="footer"/>
    <w:basedOn w:val="a"/>
    <w:link w:val="Char0"/>
    <w:rsid w:val="00E67E87"/>
    <w:pPr>
      <w:tabs>
        <w:tab w:val="center" w:pos="4153"/>
        <w:tab w:val="right" w:pos="8306"/>
      </w:tabs>
      <w:snapToGrid w:val="0"/>
      <w:jc w:val="left"/>
    </w:pPr>
    <w:rPr>
      <w:sz w:val="18"/>
    </w:rPr>
  </w:style>
  <w:style w:type="character" w:customStyle="1" w:styleId="Char0">
    <w:name w:val="页脚 Char"/>
    <w:basedOn w:val="a0"/>
    <w:link w:val="a4"/>
    <w:rsid w:val="00E67E87"/>
    <w:rPr>
      <w:rFonts w:ascii="Times New Roman" w:eastAsia="仿宋_GB2312" w:hAnsi="Times New Roman" w:cs="Times New Roman"/>
      <w:sz w:val="18"/>
      <w:szCs w:val="20"/>
    </w:rPr>
  </w:style>
  <w:style w:type="character" w:styleId="a5">
    <w:name w:val="page number"/>
    <w:basedOn w:val="a0"/>
    <w:rsid w:val="00E67E87"/>
  </w:style>
  <w:style w:type="paragraph" w:customStyle="1" w:styleId="p0">
    <w:name w:val="p0"/>
    <w:basedOn w:val="a"/>
    <w:qFormat/>
    <w:rsid w:val="00E67E87"/>
    <w:rPr>
      <w:rFonts w:ascii="Calibri" w:hAnsi="Calibri"/>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1126</Characters>
  <Application>Microsoft Office Word</Application>
  <DocSecurity>0</DocSecurity>
  <Lines>9</Lines>
  <Paragraphs>2</Paragraphs>
  <ScaleCrop>false</ScaleCrop>
  <Company>微软中国</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2025-08-06T07:43:00Z</dcterms:created>
  <dcterms:modified xsi:type="dcterms:W3CDTF">2025-08-06T07:43:00Z</dcterms:modified>
</cp:coreProperties>
</file>