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44"/>
          <w:szCs w:val="44"/>
        </w:rPr>
      </w:pPr>
    </w:p>
    <w:p>
      <w:pPr>
        <w:jc w:val="center"/>
        <w:rPr>
          <w:rFonts w:hint="eastAsia" w:ascii="宋体" w:hAnsi="宋体"/>
          <w:b/>
          <w:sz w:val="44"/>
          <w:szCs w:val="44"/>
        </w:rPr>
      </w:pPr>
      <w:r>
        <w:rPr>
          <w:rFonts w:hint="eastAsia" w:ascii="宋体" w:hAnsi="宋体"/>
          <w:b/>
          <w:sz w:val="44"/>
          <w:szCs w:val="44"/>
        </w:rPr>
        <w:t xml:space="preserve">  关于开展2023年单位项目支出绩效</w:t>
      </w:r>
    </w:p>
    <w:p>
      <w:pPr>
        <w:jc w:val="center"/>
        <w:rPr>
          <w:rFonts w:ascii="宋体" w:hAnsi="宋体"/>
          <w:b/>
          <w:sz w:val="44"/>
          <w:szCs w:val="44"/>
        </w:rPr>
      </w:pPr>
      <w:r>
        <w:rPr>
          <w:rFonts w:hint="eastAsia" w:ascii="宋体" w:hAnsi="宋体"/>
          <w:b/>
          <w:sz w:val="44"/>
          <w:szCs w:val="44"/>
        </w:rPr>
        <w:t>自评报告</w:t>
      </w:r>
    </w:p>
    <w:p>
      <w:pPr>
        <w:jc w:val="left"/>
        <w:rPr>
          <w:rFonts w:ascii="仿宋_GB2312" w:eastAsia="仿宋_GB2312"/>
          <w:sz w:val="18"/>
          <w:szCs w:val="18"/>
        </w:rPr>
      </w:pPr>
    </w:p>
    <w:p>
      <w:pPr>
        <w:ind w:firstLine="640" w:firstLineChars="200"/>
        <w:jc w:val="left"/>
        <w:rPr>
          <w:rFonts w:ascii="黑体" w:eastAsia="黑体"/>
          <w:sz w:val="32"/>
          <w:szCs w:val="32"/>
        </w:rPr>
      </w:pPr>
      <w:r>
        <w:rPr>
          <w:rFonts w:hint="eastAsia" w:ascii="仿宋_GB2312" w:eastAsia="仿宋_GB2312"/>
          <w:sz w:val="32"/>
          <w:szCs w:val="32"/>
        </w:rPr>
        <w:t>根据《安徽省财政厅关于印发《安徽省省级部门预算绩效自评管理暂行办法)的通知》和《中共寿县县委 寿县人民政府关于全面实施预算绩效管理的落实意见》(寿发 〔2019〕 20号寿县财政局关于印发《寿县县级部门预算绩效自评管理暂行办法》 的通知》(寿财绩 〔2021〕41号)文件规定，现将2023年度单位整体支出和项目支出有关事项通知如下:</w:t>
      </w:r>
    </w:p>
    <w:p>
      <w:pPr>
        <w:numPr>
          <w:ilvl w:val="0"/>
          <w:numId w:val="1"/>
        </w:numPr>
        <w:ind w:firstLine="640" w:firstLineChars="200"/>
        <w:jc w:val="left"/>
        <w:rPr>
          <w:rFonts w:ascii="黑体" w:eastAsia="黑体"/>
          <w:sz w:val="32"/>
          <w:szCs w:val="32"/>
        </w:rPr>
      </w:pPr>
      <w:r>
        <w:rPr>
          <w:rFonts w:hint="eastAsia" w:ascii="黑体" w:eastAsia="黑体"/>
          <w:sz w:val="32"/>
          <w:szCs w:val="32"/>
        </w:rPr>
        <w:t>项目基本情况</w:t>
      </w:r>
    </w:p>
    <w:p>
      <w:pPr>
        <w:tabs>
          <w:tab w:val="left" w:pos="142"/>
        </w:tabs>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为强化未改制企业社保及生活补助项目预算绩效监控管理工作，我局成立项目预算绩效监控工作领导小组，单位主要负责人任组长，分管负责人为副组长，相关股室和下属事业单位负责人为成员。领导组下设工作组，负责部门预算绩效监控和绩效评价具体实施工作。</w:t>
      </w:r>
      <w:r>
        <w:rPr>
          <w:rFonts w:hint="eastAsia" w:ascii="仿宋_GB2312" w:hAnsi="仿宋" w:eastAsia="仿宋_GB2312"/>
          <w:sz w:val="32"/>
          <w:szCs w:val="32"/>
        </w:rPr>
        <w:t>未改制企业社保及生活补助年初预算6万元。</w:t>
      </w:r>
    </w:p>
    <w:p>
      <w:pPr>
        <w:numPr>
          <w:ilvl w:val="0"/>
          <w:numId w:val="1"/>
        </w:numPr>
        <w:ind w:firstLine="640" w:firstLineChars="200"/>
        <w:rPr>
          <w:rFonts w:ascii="黑体" w:hAnsi="Times New Roman" w:eastAsia="黑体"/>
          <w:sz w:val="32"/>
          <w:szCs w:val="32"/>
        </w:rPr>
      </w:pPr>
      <w:r>
        <w:rPr>
          <w:rFonts w:hint="eastAsia" w:ascii="黑体" w:hAnsi="Times New Roman" w:eastAsia="黑体"/>
          <w:sz w:val="32"/>
          <w:szCs w:val="32"/>
        </w:rPr>
        <w:t>绩效目标及完成情况</w:t>
      </w:r>
    </w:p>
    <w:p>
      <w:pPr>
        <w:spacing w:line="520" w:lineRule="atLeast"/>
        <w:ind w:firstLine="608" w:firstLineChars="190"/>
        <w:rPr>
          <w:rFonts w:ascii="黑体" w:hAnsi="Times New Roman" w:eastAsia="黑体"/>
          <w:sz w:val="32"/>
          <w:szCs w:val="32"/>
        </w:rPr>
      </w:pPr>
      <w:r>
        <w:rPr>
          <w:rFonts w:hint="eastAsia" w:ascii="仿宋_GB2312" w:hAnsi="仿宋" w:eastAsia="仿宋_GB2312"/>
          <w:sz w:val="32"/>
          <w:szCs w:val="32"/>
        </w:rPr>
        <w:t>2023未改制企业社保及生活补助经费年初预算6万元，截止到目前预算执行5.3万元，预算执行率88%（不包括指标调剂支出）。预计到12月底(不包括指标调剂资金支出)，预算执行率100%。设定的绩效目标已完成。绩效指标设置9个，其中产出指标4个，效益指标4个，满意度指标1个，全部完成设定的指标值。</w:t>
      </w:r>
    </w:p>
    <w:p>
      <w:pPr>
        <w:numPr>
          <w:ilvl w:val="0"/>
          <w:numId w:val="1"/>
        </w:numPr>
        <w:spacing w:line="520" w:lineRule="atLeast"/>
        <w:ind w:firstLine="640" w:firstLineChars="200"/>
        <w:rPr>
          <w:rFonts w:ascii="黑体" w:hAnsi="Times New Roman" w:eastAsia="黑体"/>
          <w:sz w:val="32"/>
          <w:szCs w:val="32"/>
        </w:rPr>
      </w:pPr>
      <w:r>
        <w:rPr>
          <w:rFonts w:hint="eastAsia" w:ascii="黑体" w:hAnsi="Times New Roman" w:eastAsia="黑体"/>
          <w:sz w:val="32"/>
          <w:szCs w:val="32"/>
        </w:rPr>
        <w:t>存在的问题及原因分析</w:t>
      </w:r>
    </w:p>
    <w:p>
      <w:pPr>
        <w:spacing w:line="520" w:lineRule="atLeast"/>
        <w:ind w:firstLine="627" w:firstLineChars="196"/>
        <w:rPr>
          <w:rFonts w:ascii="仿宋_GB2312" w:hAnsi="仿宋" w:eastAsia="仿宋_GB2312"/>
          <w:sz w:val="32"/>
          <w:szCs w:val="32"/>
        </w:rPr>
      </w:pPr>
      <w:r>
        <w:rPr>
          <w:rFonts w:hint="eastAsia" w:ascii="仿宋_GB2312" w:hAnsi="仿宋" w:eastAsia="仿宋_GB2312"/>
          <w:sz w:val="32"/>
          <w:szCs w:val="32"/>
        </w:rPr>
        <w:t>预算下达后，预算执行和绩效目标在实施中存在先慢后快的情况。</w:t>
      </w:r>
    </w:p>
    <w:p>
      <w:pPr>
        <w:spacing w:line="520" w:lineRule="atLeast"/>
        <w:ind w:firstLine="800" w:firstLineChars="250"/>
        <w:rPr>
          <w:rFonts w:ascii="黑体" w:hAnsi="Times New Roman" w:eastAsia="黑体"/>
          <w:sz w:val="32"/>
          <w:szCs w:val="32"/>
        </w:rPr>
      </w:pPr>
      <w:r>
        <w:rPr>
          <w:rFonts w:hint="eastAsia" w:ascii="黑体" w:hAnsi="Times New Roman" w:eastAsia="黑体"/>
          <w:sz w:val="32"/>
          <w:szCs w:val="32"/>
        </w:rPr>
        <w:t>四、下一步工作举措</w:t>
      </w:r>
    </w:p>
    <w:p>
      <w:pPr>
        <w:spacing w:line="520" w:lineRule="atLeast"/>
        <w:ind w:firstLine="627" w:firstLineChars="196"/>
        <w:rPr>
          <w:rFonts w:ascii="黑体" w:hAnsi="仿宋" w:eastAsia="黑体"/>
          <w:b/>
          <w:sz w:val="32"/>
          <w:szCs w:val="32"/>
        </w:rPr>
      </w:pPr>
      <w:r>
        <w:rPr>
          <w:rFonts w:hint="eastAsia" w:ascii="仿宋_GB2312" w:eastAsia="仿宋_GB2312"/>
          <w:sz w:val="32"/>
          <w:szCs w:val="32"/>
        </w:rPr>
        <w:t>一是</w:t>
      </w:r>
      <w:r>
        <w:rPr>
          <w:rFonts w:hint="eastAsia" w:ascii="仿宋_GB2312" w:hAnsi="仿宋" w:eastAsia="仿宋_GB2312"/>
          <w:sz w:val="32"/>
          <w:szCs w:val="32"/>
        </w:rPr>
        <w:t>加快预算执行进度，</w:t>
      </w:r>
      <w:r>
        <w:rPr>
          <w:rFonts w:hint="eastAsia" w:ascii="仿宋_GB2312" w:eastAsia="仿宋_GB2312"/>
          <w:sz w:val="32"/>
          <w:szCs w:val="32"/>
        </w:rPr>
        <w:t>做好支出计划，要经常性查看预算一体化平台，</w:t>
      </w:r>
      <w:r>
        <w:rPr>
          <w:rFonts w:hint="eastAsia" w:ascii="仿宋_GB2312" w:hAnsi="仿宋" w:eastAsia="仿宋_GB2312"/>
          <w:sz w:val="32"/>
          <w:szCs w:val="32"/>
        </w:rPr>
        <w:t>梳理情况，分析原因，制定措施，确保预算执行和绩效目标同频共振</w:t>
      </w:r>
      <w:bookmarkStart w:id="2" w:name="_GoBack"/>
      <w:bookmarkEnd w:id="2"/>
      <w:r>
        <w:rPr>
          <w:rFonts w:hint="eastAsia" w:ascii="仿宋_GB2312" w:hAnsi="仿宋" w:eastAsia="仿宋_GB2312"/>
          <w:sz w:val="32"/>
          <w:szCs w:val="32"/>
        </w:rPr>
        <w:t>，同时实现。</w:t>
      </w:r>
    </w:p>
    <w:p>
      <w:pPr>
        <w:spacing w:line="520" w:lineRule="atLeast"/>
        <w:ind w:firstLine="320" w:firstLineChars="100"/>
        <w:rPr>
          <w:rFonts w:ascii="仿宋_GB2312" w:hAnsi="仿宋" w:eastAsia="仿宋_GB2312"/>
          <w:sz w:val="32"/>
          <w:szCs w:val="32"/>
        </w:rPr>
      </w:pPr>
      <w:r>
        <w:rPr>
          <w:rFonts w:hint="eastAsia" w:ascii="仿宋_GB2312" w:hAnsi="仿宋" w:eastAsia="仿宋_GB2312"/>
          <w:sz w:val="32"/>
          <w:szCs w:val="32"/>
        </w:rPr>
        <w:t xml:space="preserve">  二是预算执行和绩效目标设定进行分析。进一步优化项目支出明细，加强预算支出与绩效目标相匹配。</w:t>
      </w:r>
    </w:p>
    <w:p>
      <w:pPr>
        <w:spacing w:line="520" w:lineRule="atLeast"/>
        <w:ind w:left="420" w:leftChars="200"/>
        <w:rPr>
          <w:rFonts w:ascii="黑体" w:hAnsi="Times New Roman" w:eastAsia="黑体"/>
          <w:sz w:val="32"/>
          <w:szCs w:val="32"/>
        </w:rPr>
      </w:pPr>
    </w:p>
    <w:p>
      <w:pPr>
        <w:ind w:firstLine="645"/>
        <w:rPr>
          <w:rFonts w:ascii="黑体" w:hAnsi="Times New Roman" w:eastAsia="黑体"/>
          <w:sz w:val="32"/>
          <w:szCs w:val="32"/>
        </w:rPr>
      </w:pPr>
      <w:r>
        <w:rPr>
          <w:rFonts w:hint="eastAsia" w:ascii="黑体" w:hAnsi="Times New Roman" w:eastAsia="黑体"/>
          <w:sz w:val="32"/>
          <w:szCs w:val="32"/>
        </w:rPr>
        <w:t>五、综合评价情况及评价结论</w:t>
      </w:r>
    </w:p>
    <w:p>
      <w:pPr>
        <w:tabs>
          <w:tab w:val="right" w:pos="7942"/>
        </w:tabs>
        <w:spacing w:line="54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（一）评价思路</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部门职责，以预算资金管理为主线，统筹考虑资产和业务活动，从运行成本、管理效率、履职效能、社会效应、可持续发展能力和服务对象满意度等方面，衡量部门整体及核心业务实施效果，强化部门整体支出绩效管理责任，推动提高部门整体绩效管理水平。</w:t>
      </w:r>
    </w:p>
    <w:p>
      <w:pPr>
        <w:tabs>
          <w:tab w:val="right" w:pos="7942"/>
        </w:tabs>
        <w:ind w:firstLine="640" w:firstLineChars="200"/>
        <w:rPr>
          <w:rFonts w:ascii="仿宋_GB2312" w:hAnsi="Times New Roman" w:eastAsia="仿宋_GB2312"/>
          <w:sz w:val="32"/>
          <w:szCs w:val="32"/>
        </w:rPr>
      </w:pPr>
      <w:bookmarkStart w:id="0" w:name="_Toc2953"/>
      <w:r>
        <w:rPr>
          <w:rFonts w:hint="eastAsia" w:ascii="仿宋_GB2312" w:hAnsi="Times New Roman" w:eastAsia="仿宋_GB2312"/>
          <w:sz w:val="32"/>
          <w:szCs w:val="32"/>
        </w:rPr>
        <w:t>（二）评价指标体系</w:t>
      </w:r>
      <w:bookmarkEnd w:id="0"/>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绩效评价指标体系，分为决策、过程、产出、效果四个一级指标。“决策”指标主要评价项目申报管理、资金落实情况；“过程”指标主要评价项目管理、财务管理情况；“产出”指标主要评价项目产出；“效果”指标主要评价项目效益。同时，按照绩效评价总体要求设计了三级指标。</w:t>
      </w:r>
    </w:p>
    <w:p>
      <w:pPr>
        <w:tabs>
          <w:tab w:val="right" w:pos="7942"/>
        </w:tabs>
        <w:ind w:firstLine="640" w:firstLineChars="200"/>
        <w:rPr>
          <w:rFonts w:ascii="仿宋_GB2312" w:hAnsi="Times New Roman" w:eastAsia="仿宋_GB2312"/>
          <w:sz w:val="32"/>
          <w:szCs w:val="32"/>
        </w:rPr>
      </w:pPr>
      <w:bookmarkStart w:id="1" w:name="_Toc24527"/>
      <w:r>
        <w:rPr>
          <w:rFonts w:hint="eastAsia" w:ascii="仿宋_GB2312" w:hAnsi="Times New Roman" w:eastAsia="仿宋_GB2312"/>
          <w:sz w:val="32"/>
          <w:szCs w:val="32"/>
        </w:rPr>
        <w:t>（三）评价方法</w:t>
      </w:r>
      <w:bookmarkEnd w:id="1"/>
    </w:p>
    <w:p>
      <w:pPr>
        <w:ind w:firstLine="645"/>
        <w:rPr>
          <w:rFonts w:ascii="仿宋_GB2312" w:hAnsi="Times New Roman" w:eastAsia="仿宋_GB2312"/>
          <w:sz w:val="32"/>
          <w:szCs w:val="32"/>
        </w:rPr>
      </w:pPr>
      <w:r>
        <w:rPr>
          <w:rFonts w:hint="eastAsia" w:ascii="仿宋_GB2312" w:hAnsi="宋体" w:eastAsia="仿宋_GB2312" w:cs="宋体"/>
          <w:sz w:val="32"/>
          <w:szCs w:val="32"/>
        </w:rPr>
        <w:t>在分析自评报告等资料的基础上，采用数据采集、现场数据复核分析等评价方法进行评价。</w:t>
      </w:r>
    </w:p>
    <w:p>
      <w:pPr>
        <w:tabs>
          <w:tab w:val="right" w:pos="7942"/>
        </w:tabs>
        <w:spacing w:line="54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（四）综合评价情况及评价结论</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w:t>
      </w:r>
      <w:r>
        <w:rPr>
          <w:rFonts w:hint="eastAsia" w:ascii="仿宋_GB2312" w:hAnsi="宋体" w:eastAsia="仿宋_GB2312" w:cs="宋体"/>
          <w:sz w:val="32"/>
          <w:szCs w:val="32"/>
        </w:rPr>
        <w:t>绩效考评</w:t>
      </w:r>
      <w:r>
        <w:rPr>
          <w:rFonts w:hint="eastAsia" w:ascii="仿宋_GB2312" w:hAnsi="宋体" w:eastAsia="仿宋_GB2312" w:cs="宋体"/>
          <w:color w:val="000000"/>
          <w:sz w:val="32"/>
          <w:szCs w:val="32"/>
        </w:rPr>
        <w:t>分析，</w:t>
      </w:r>
      <w:r>
        <w:rPr>
          <w:rFonts w:hint="eastAsia" w:ascii="仿宋_GB2312" w:hAnsi="宋体" w:eastAsia="仿宋_GB2312" w:cs="宋体"/>
          <w:sz w:val="32"/>
          <w:szCs w:val="32"/>
        </w:rPr>
        <w:t>寿县就业中心2</w:t>
      </w:r>
      <w:r>
        <w:rPr>
          <w:rFonts w:hint="eastAsia" w:ascii="仿宋_GB2312" w:hAnsi="宋体" w:eastAsia="仿宋_GB2312" w:cs="宋体"/>
          <w:color w:val="000000"/>
          <w:sz w:val="32"/>
          <w:szCs w:val="32"/>
        </w:rPr>
        <w:t>023年度项目支出绩效评价综合得分为99分，评价结果为“</w:t>
      </w:r>
      <w:r>
        <w:rPr>
          <w:rFonts w:hint="eastAsia" w:ascii="仿宋_GB2312" w:hAnsi="宋体" w:eastAsia="仿宋_GB2312" w:cs="宋体"/>
          <w:sz w:val="32"/>
          <w:szCs w:val="32"/>
        </w:rPr>
        <w:t>优</w:t>
      </w:r>
      <w:r>
        <w:rPr>
          <w:rFonts w:hint="eastAsia" w:ascii="仿宋_GB2312" w:hAnsi="宋体" w:eastAsia="仿宋_GB2312" w:cs="宋体"/>
          <w:color w:val="000000"/>
          <w:sz w:val="32"/>
          <w:szCs w:val="32"/>
        </w:rPr>
        <w:t>”。具体评分见下表：</w:t>
      </w:r>
    </w:p>
    <w:tbl>
      <w:tblPr>
        <w:tblStyle w:val="6"/>
        <w:tblW w:w="8796" w:type="dxa"/>
        <w:tblInd w:w="96" w:type="dxa"/>
        <w:tblLayout w:type="autofit"/>
        <w:tblCellMar>
          <w:top w:w="0" w:type="dxa"/>
          <w:left w:w="108" w:type="dxa"/>
          <w:bottom w:w="0" w:type="dxa"/>
          <w:right w:w="108" w:type="dxa"/>
        </w:tblCellMar>
      </w:tblPr>
      <w:tblGrid>
        <w:gridCol w:w="1442"/>
        <w:gridCol w:w="1572"/>
        <w:gridCol w:w="1859"/>
        <w:gridCol w:w="1287"/>
        <w:gridCol w:w="1429"/>
        <w:gridCol w:w="1207"/>
      </w:tblGrid>
      <w:tr>
        <w:tblPrEx>
          <w:tblCellMar>
            <w:top w:w="0" w:type="dxa"/>
            <w:left w:w="108" w:type="dxa"/>
            <w:bottom w:w="0" w:type="dxa"/>
            <w:right w:w="108" w:type="dxa"/>
          </w:tblCellMar>
        </w:tblPrEx>
        <w:trPr>
          <w:trHeight w:val="600" w:hRule="atLeast"/>
        </w:trPr>
        <w:tc>
          <w:tcPr>
            <w:tcW w:w="14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决策</w:t>
            </w:r>
          </w:p>
        </w:tc>
        <w:tc>
          <w:tcPr>
            <w:tcW w:w="185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产出</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效果</w:t>
            </w:r>
          </w:p>
        </w:tc>
        <w:tc>
          <w:tcPr>
            <w:tcW w:w="120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得分合计</w:t>
            </w:r>
          </w:p>
        </w:tc>
      </w:tr>
      <w:tr>
        <w:tblPrEx>
          <w:tblCellMar>
            <w:top w:w="0" w:type="dxa"/>
            <w:left w:w="108" w:type="dxa"/>
            <w:bottom w:w="0" w:type="dxa"/>
            <w:right w:w="108" w:type="dxa"/>
          </w:tblCellMar>
        </w:tblPrEx>
        <w:trPr>
          <w:trHeight w:val="56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标准分值</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25</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100</w:t>
            </w:r>
          </w:p>
        </w:tc>
      </w:tr>
      <w:tr>
        <w:tblPrEx>
          <w:tblCellMar>
            <w:top w:w="0" w:type="dxa"/>
            <w:left w:w="108" w:type="dxa"/>
            <w:bottom w:w="0" w:type="dxa"/>
            <w:right w:w="108" w:type="dxa"/>
          </w:tblCellMar>
        </w:tblPrEx>
        <w:trPr>
          <w:trHeight w:val="586" w:hRule="atLeast"/>
        </w:trPr>
        <w:tc>
          <w:tcPr>
            <w:tcW w:w="144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评价得分</w:t>
            </w:r>
          </w:p>
        </w:tc>
        <w:tc>
          <w:tcPr>
            <w:tcW w:w="1572"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15</w:t>
            </w:r>
          </w:p>
        </w:tc>
        <w:tc>
          <w:tcPr>
            <w:tcW w:w="1859"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20</w:t>
            </w:r>
          </w:p>
        </w:tc>
        <w:tc>
          <w:tcPr>
            <w:tcW w:w="1287"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40</w:t>
            </w:r>
          </w:p>
        </w:tc>
        <w:tc>
          <w:tcPr>
            <w:tcW w:w="1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24</w:t>
            </w:r>
          </w:p>
        </w:tc>
        <w:tc>
          <w:tcPr>
            <w:tcW w:w="120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99</w:t>
            </w:r>
          </w:p>
        </w:tc>
      </w:tr>
    </w:tbl>
    <w:p>
      <w:pPr>
        <w:ind w:firstLine="640" w:firstLineChars="200"/>
        <w:outlineLvl w:val="0"/>
        <w:rPr>
          <w:rFonts w:ascii="仿宋_GB2312" w:hAnsi="宋体" w:eastAsia="仿宋_GB2312" w:cs="宋体"/>
          <w:bCs/>
          <w:color w:val="000000"/>
          <w:sz w:val="32"/>
          <w:szCs w:val="32"/>
        </w:rPr>
      </w:pPr>
    </w:p>
    <w:p>
      <w:pPr>
        <w:ind w:firstLine="640" w:firstLineChars="200"/>
        <w:outlineLvl w:val="0"/>
        <w:rPr>
          <w:rFonts w:ascii="黑体" w:hAnsi="宋体" w:eastAsia="黑体" w:cs="宋体"/>
          <w:bCs/>
          <w:color w:val="000000"/>
          <w:sz w:val="32"/>
          <w:szCs w:val="32"/>
        </w:rPr>
      </w:pPr>
      <w:r>
        <w:rPr>
          <w:rFonts w:hint="eastAsia" w:ascii="黑体" w:hAnsi="宋体" w:eastAsia="黑体" w:cs="宋体"/>
          <w:bCs/>
          <w:color w:val="000000"/>
          <w:sz w:val="32"/>
          <w:szCs w:val="32"/>
        </w:rPr>
        <w:t>四、绩效评价指标分析</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color w:val="000000"/>
          <w:sz w:val="32"/>
          <w:szCs w:val="32"/>
        </w:rPr>
        <w:t>项目支出绩效评价指标体系共设置4</w:t>
      </w:r>
      <w:r>
        <w:rPr>
          <w:rFonts w:hint="eastAsia" w:ascii="仿宋_GB2312" w:hAnsi="宋体" w:eastAsia="仿宋_GB2312" w:cs="宋体"/>
          <w:bCs/>
          <w:color w:val="000000"/>
          <w:sz w:val="32"/>
          <w:szCs w:val="32"/>
        </w:rPr>
        <w:t>个一级指标、6</w:t>
      </w:r>
      <w:r>
        <w:rPr>
          <w:rFonts w:hint="eastAsia" w:ascii="仿宋_GB2312" w:hAnsi="宋体" w:eastAsia="仿宋_GB2312" w:cs="宋体"/>
          <w:color w:val="000000"/>
          <w:sz w:val="32"/>
          <w:szCs w:val="32"/>
        </w:rPr>
        <w:t>个二级指标和25个三级指标，</w:t>
      </w:r>
      <w:r>
        <w:rPr>
          <w:rFonts w:hint="eastAsia" w:ascii="仿宋_GB2312" w:hAnsi="宋体" w:eastAsia="仿宋_GB2312" w:cs="宋体"/>
          <w:bCs/>
          <w:color w:val="000000"/>
          <w:sz w:val="32"/>
          <w:szCs w:val="32"/>
        </w:rPr>
        <w:t>分别为：决策、过程、产出、效果，其中：决策包含2个二级指标和6个三级指标；过程包含2个二级指标和9个三级指标；产出包含1个二级指标和5个三级指标；效果包含1个二级指标和5个三级指标。</w:t>
      </w:r>
    </w:p>
    <w:p>
      <w:pPr>
        <w:ind w:firstLine="640" w:firstLineChars="200"/>
        <w:rPr>
          <w:rFonts w:ascii="黑体" w:hAnsi="宋体" w:eastAsia="黑体" w:cs="宋体"/>
          <w:color w:val="000000"/>
          <w:sz w:val="32"/>
          <w:szCs w:val="32"/>
        </w:rPr>
      </w:pPr>
      <w:r>
        <w:rPr>
          <w:rFonts w:hint="eastAsia" w:ascii="黑体" w:hAnsi="宋体" w:eastAsia="黑体" w:cs="宋体"/>
          <w:color w:val="000000"/>
          <w:sz w:val="32"/>
          <w:szCs w:val="32"/>
        </w:rPr>
        <w:t>（一）决策情况</w:t>
      </w:r>
      <w:r>
        <w:rPr>
          <w:rFonts w:hint="eastAsia" w:ascii="黑体" w:hAnsi="宋体" w:eastAsia="黑体" w:cs="宋体"/>
          <w:bCs/>
          <w:color w:val="000000"/>
          <w:sz w:val="32"/>
          <w:szCs w:val="32"/>
        </w:rPr>
        <w:t>（满分15分，得15分）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决策包含2个二级指标和6个三级指标，</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 xml:space="preserve"> 1、项目申报管理（满分10分，得分10分）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（1）项目申报相关性，得满分。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①申报项目符合国家政策和行业发展规划的要求；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②申报项目是项目库中的项目；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③申报项目是奖补资金支持方向的项目;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④申报项目是规定建设期内的项目;</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（2）项目申报符合性，得满分。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①项目提交的申请文件、材料符合申报要求；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②项目单位符合申报要求；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③项目符合专项资金支持的范围和方向；</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④项目申报建设内容（或产出目标）符合申报要求；</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（3）审批程序规范性，得满分。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①项目申报审核、审批程序规范；</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②项目审批手续完善；</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（4）绩效目标的明确、合理性，得满分。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①项目制定了实施方案或编制了项目申报标准文本、设置了绩效目标；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②将项目绩效目标细化分解为具体的绩效指标；</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③通过清晰、可衡量的指标值予以体现；</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④与预算确定的项目投资额或资金量相匹配。</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sz w:val="32"/>
          <w:szCs w:val="32"/>
        </w:rPr>
        <w:t>2、资金落实</w:t>
      </w:r>
      <w:r>
        <w:rPr>
          <w:rFonts w:hint="eastAsia" w:ascii="仿宋_GB2312" w:hAnsi="宋体" w:eastAsia="仿宋_GB2312" w:cs="宋体"/>
          <w:color w:val="000000"/>
          <w:sz w:val="32"/>
          <w:szCs w:val="32"/>
        </w:rPr>
        <w:t>（满分5分，得分5分）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（1）资金到位率，指标满分3分，得满分。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资金到位率=（实际到位资金/计划投入资金）×100%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实际到位资金6万元，计划投入资金6万元，资金到位率为100%，满分。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（2）“资金到位及时率”，指标满分2分，得满分。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“资金到位及时率”=（实际已及时到位资金/应到位资金）×100%</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=6/6*100%=100%，满分。</w:t>
      </w:r>
    </w:p>
    <w:p>
      <w:pPr>
        <w:ind w:firstLine="643" w:firstLineChars="200"/>
        <w:rPr>
          <w:rFonts w:ascii="黑体" w:hAnsi="宋体" w:eastAsia="黑体" w:cs="宋体"/>
          <w:bCs/>
          <w:color w:val="000000"/>
          <w:sz w:val="32"/>
          <w:szCs w:val="32"/>
        </w:rPr>
      </w:pPr>
      <w:r>
        <w:rPr>
          <w:rFonts w:hint="eastAsia" w:ascii="黑体" w:hAnsi="宋体" w:eastAsia="黑体" w:cs="宋体"/>
          <w:b/>
          <w:bCs/>
          <w:color w:val="000000"/>
          <w:sz w:val="32"/>
          <w:szCs w:val="32"/>
        </w:rPr>
        <w:t>（二）过程情况</w:t>
      </w:r>
      <w:r>
        <w:rPr>
          <w:rFonts w:hint="eastAsia" w:ascii="黑体" w:hAnsi="宋体" w:eastAsia="黑体" w:cs="宋体"/>
          <w:bCs/>
          <w:color w:val="000000"/>
          <w:sz w:val="32"/>
          <w:szCs w:val="32"/>
        </w:rPr>
        <w:t>（满分20分，得20分）</w:t>
      </w:r>
    </w:p>
    <w:p>
      <w:pPr>
        <w:ind w:firstLine="640" w:firstLineChars="200"/>
        <w:rPr>
          <w:rFonts w:ascii="仿宋_GB2312" w:hAnsi="宋体" w:eastAsia="仿宋_GB2312" w:cs="宋体"/>
          <w:bCs/>
          <w:color w:val="000000"/>
          <w:sz w:val="32"/>
          <w:szCs w:val="32"/>
        </w:rPr>
      </w:pPr>
      <w:r>
        <w:rPr>
          <w:rFonts w:hint="eastAsia" w:ascii="仿宋_GB2312" w:hAnsi="宋体" w:eastAsia="仿宋_GB2312" w:cs="宋体"/>
          <w:bCs/>
          <w:color w:val="000000"/>
          <w:sz w:val="32"/>
          <w:szCs w:val="32"/>
        </w:rPr>
        <w:t>过程包含2个二级指标和9个三级指标。</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1、项目管理（满分10分，得分10分）</w:t>
      </w:r>
    </w:p>
    <w:p>
      <w:p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（1）项目管理的规范性</w:t>
      </w:r>
      <w:r>
        <w:rPr>
          <w:rFonts w:hint="eastAsia" w:ascii="仿宋_GB2312" w:hAnsi="宋体" w:eastAsia="仿宋_GB2312" w:cs="宋体"/>
          <w:sz w:val="32"/>
          <w:szCs w:val="32"/>
        </w:rPr>
        <w:t>，指标2分，得满分。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具有相应的项目管理内控制度，项目内控管理制度得到有效执行，项目程序符合相关规范、项目过程管理资料齐全完整。</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（2）项目计划目标管理，指标1分，得满分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项目按计划申报的实施内容进行项目管理，单位无擅自改变项目主要计划目标。</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（3）政府采购制执行情况，</w:t>
      </w:r>
      <w:r>
        <w:rPr>
          <w:rFonts w:hint="eastAsia" w:ascii="仿宋_GB2312" w:hAnsi="宋体" w:eastAsia="仿宋_GB2312" w:cs="宋体"/>
          <w:sz w:val="32"/>
          <w:szCs w:val="32"/>
        </w:rPr>
        <w:t>满分2分，</w:t>
      </w:r>
      <w:r>
        <w:rPr>
          <w:rFonts w:hint="eastAsia" w:ascii="仿宋_GB2312" w:hAnsi="宋体" w:eastAsia="仿宋_GB2312" w:cs="宋体"/>
          <w:color w:val="000000"/>
          <w:sz w:val="32"/>
          <w:szCs w:val="32"/>
        </w:rPr>
        <w:t>得满分。</w:t>
      </w:r>
    </w:p>
    <w:p>
      <w:pPr>
        <w:ind w:right="420" w:rightChars="200"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有符合政府采购的设备物资及其他服务业务，严格执行了政府集中采购制。</w:t>
      </w:r>
    </w:p>
    <w:p>
      <w:pPr>
        <w:numPr>
          <w:ilvl w:val="0"/>
          <w:numId w:val="2"/>
        </w:num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完工验收程序的规范性，</w:t>
      </w:r>
      <w:r>
        <w:rPr>
          <w:rFonts w:hint="eastAsia" w:ascii="仿宋_GB2312" w:hAnsi="宋体" w:eastAsia="仿宋_GB2312" w:cs="宋体"/>
          <w:sz w:val="32"/>
          <w:szCs w:val="32"/>
        </w:rPr>
        <w:t>满分4分，得满分。</w:t>
      </w:r>
    </w:p>
    <w:p>
      <w:pPr>
        <w:ind w:right="420" w:rightChars="200"/>
        <w:rPr>
          <w:rFonts w:ascii="仿宋_GB2312" w:hAnsi="宋体" w:eastAsia="仿宋_GB2312" w:cs="宋体"/>
          <w:sz w:val="32"/>
          <w:szCs w:val="32"/>
        </w:rPr>
      </w:pPr>
      <w:r>
        <w:rPr>
          <w:rFonts w:hint="eastAsia" w:ascii="仿宋_GB2312" w:hAnsi="宋体" w:eastAsia="仿宋_GB2312" w:cs="宋体"/>
          <w:sz w:val="32"/>
          <w:szCs w:val="32"/>
        </w:rPr>
        <w:t xml:space="preserve">   该项目建设完成后及时组织初步验收，验收资料完整，验收过程由项目主管部门或其他组织成立的专家评审验收小组参与验收，项目委托第三方验收机构的，验收机构具备相应的资质。</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（5）项目档案管理合规性，</w:t>
      </w:r>
      <w:r>
        <w:rPr>
          <w:rFonts w:hint="eastAsia" w:ascii="仿宋_GB2312" w:hAnsi="宋体" w:eastAsia="仿宋_GB2312" w:cs="宋体"/>
          <w:sz w:val="32"/>
          <w:szCs w:val="32"/>
        </w:rPr>
        <w:t>满分1分，得满分。</w:t>
      </w:r>
    </w:p>
    <w:p>
      <w:pPr>
        <w:ind w:right="420" w:rightChars="200" w:firstLine="640" w:firstLineChars="200"/>
        <w:rPr>
          <w:rFonts w:ascii="仿宋_GB2312" w:hAnsi="宋体" w:eastAsia="仿宋_GB2312" w:cs="宋体"/>
          <w:sz w:val="32"/>
          <w:szCs w:val="32"/>
        </w:rPr>
      </w:pPr>
      <w:r>
        <w:rPr>
          <w:rFonts w:hint="eastAsia" w:ascii="仿宋_GB2312" w:hAnsi="宋体" w:eastAsia="仿宋_GB2312" w:cs="宋体"/>
          <w:sz w:val="32"/>
          <w:szCs w:val="32"/>
        </w:rPr>
        <w:t>建立健全档案管理制度，档案资料整理符合完整规范。</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2、财务管理（满分10分，</w:t>
      </w:r>
      <w:r>
        <w:rPr>
          <w:rFonts w:hint="eastAsia" w:ascii="仿宋_GB2312" w:hAnsi="宋体" w:eastAsia="仿宋_GB2312" w:cs="宋体"/>
          <w:sz w:val="32"/>
          <w:szCs w:val="32"/>
        </w:rPr>
        <w:t>得分10分）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（1）财务管理的规范性，符合指标，满分2分，得满分。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已制定或具有相应的资金或财务管理内控制度，财务核算符合财务会计制度要求。</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（2）资金使用的合规性，符合指标，满分5分，得满分。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资金设置了明细核算，做到专款专用，资金支付手续齐全，审批流程完善，支付凭证合规，不存在大额现金支付、不合规票据支出等违规现象，不存在截留、挤占、挪用、虚报套取等违反资金管理规定的现象。</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（3）国库集中支付情况，符合指标，满分1分，得满分。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严格执行了国库集中支付管理。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（4）监督检查有效性，符合指标，满分2分，得满分。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制定了保障资金安全及规范资金管理的措施或办法；各级政府或主管部门适时组织开展资金专项督查；财务决算规范。</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（三）产出情况</w:t>
      </w:r>
    </w:p>
    <w:p>
      <w:pPr>
        <w:ind w:firstLine="640" w:firstLineChars="200"/>
        <w:rPr>
          <w:rFonts w:ascii="仿宋_GB2312" w:hAnsi="宋体" w:eastAsia="仿宋_GB2312" w:cs="宋体"/>
          <w:color w:val="FF0000"/>
          <w:sz w:val="32"/>
          <w:szCs w:val="32"/>
        </w:rPr>
      </w:pPr>
      <w:r>
        <w:rPr>
          <w:rFonts w:hint="eastAsia" w:ascii="仿宋_GB2312" w:hAnsi="宋体" w:eastAsia="仿宋_GB2312" w:cs="宋体"/>
          <w:color w:val="000000"/>
          <w:sz w:val="32"/>
          <w:szCs w:val="32"/>
        </w:rPr>
        <w:t>项目产出（满分40分，得40分）</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申报实施内容完成程度，满分15分，得满分分。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“实际完成率”=（实际产出数/计划产出数）×100%</w:t>
      </w:r>
    </w:p>
    <w:p>
      <w:pPr>
        <w:ind w:firstLine="960" w:firstLineChars="300"/>
        <w:rPr>
          <w:rFonts w:ascii="仿宋_GB2312" w:hAnsi="宋体" w:eastAsia="仿宋_GB2312" w:cs="宋体"/>
          <w:color w:val="000000"/>
          <w:sz w:val="32"/>
          <w:szCs w:val="32"/>
        </w:rPr>
      </w:pPr>
      <w:r>
        <w:rPr>
          <w:rFonts w:hint="eastAsia" w:ascii="仿宋_GB2312" w:hAnsi="宋体" w:eastAsia="仿宋_GB2312" w:cs="宋体"/>
          <w:sz w:val="32"/>
          <w:szCs w:val="32"/>
        </w:rPr>
        <w:t>=（9/9）×100%=100%</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申报投资偏差率，符合指标，满分5分，得满分。</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“项目投资偏差率”=项目投资（或支出）完成率-100%</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  100</w:t>
      </w:r>
      <w:r>
        <w:rPr>
          <w:rFonts w:hint="eastAsia" w:ascii="仿宋_GB2312" w:hAnsi="宋体" w:eastAsia="仿宋_GB2312" w:cs="宋体"/>
          <w:sz w:val="32"/>
          <w:szCs w:val="32"/>
        </w:rPr>
        <w:t>%</w:t>
      </w:r>
      <w:r>
        <w:rPr>
          <w:rFonts w:hint="eastAsia" w:ascii="仿宋_GB2312" w:hAnsi="宋体" w:eastAsia="仿宋_GB2312" w:cs="宋体"/>
          <w:color w:val="000000"/>
          <w:sz w:val="32"/>
          <w:szCs w:val="32"/>
        </w:rPr>
        <w:t>-100%=0</w:t>
      </w:r>
    </w:p>
    <w:p>
      <w:pPr>
        <w:numPr>
          <w:ilvl w:val="0"/>
          <w:numId w:val="3"/>
        </w:num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质量达标率，符合指示，满分8分，得满分</w:t>
      </w:r>
    </w:p>
    <w:p>
      <w:pPr>
        <w:ind w:left="420" w:left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 xml:space="preserve">   质量达标率=质量达标产出数</w:t>
      </w:r>
      <w:r>
        <w:rPr>
          <w:rFonts w:hint="eastAsia" w:ascii="仿宋_GB2312" w:hAnsi="仿宋_GB2312" w:eastAsia="仿宋_GB2312" w:cs="仿宋_GB2312"/>
          <w:kern w:val="0"/>
          <w:sz w:val="32"/>
          <w:szCs w:val="32"/>
        </w:rPr>
        <w:t>/实际产出数）×100%</w:t>
      </w:r>
      <w:r>
        <w:rPr>
          <w:rFonts w:hint="eastAsia" w:ascii="仿宋_GB2312" w:hAnsi="宋体" w:eastAsia="仿宋_GB2312" w:cs="宋体"/>
          <w:color w:val="000000"/>
          <w:sz w:val="32"/>
          <w:szCs w:val="32"/>
        </w:rPr>
        <w:t>=100</w:t>
      </w:r>
      <w:r>
        <w:rPr>
          <w:rFonts w:hint="eastAsia" w:ascii="仿宋_GB2312" w:hAnsi="宋体" w:eastAsia="仿宋_GB2312" w:cs="宋体"/>
          <w:sz w:val="32"/>
          <w:szCs w:val="32"/>
        </w:rPr>
        <w:t>/100</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rPr>
        <w:t>100%=100%</w:t>
      </w:r>
    </w:p>
    <w:p>
      <w:pPr>
        <w:numPr>
          <w:ilvl w:val="0"/>
          <w:numId w:val="3"/>
        </w:numPr>
        <w:ind w:firstLine="640" w:firstLineChars="200"/>
        <w:rPr>
          <w:rFonts w:ascii="仿宋_GB2312" w:hAnsi="宋体" w:eastAsia="仿宋_GB2312" w:cs="宋体"/>
          <w:sz w:val="32"/>
          <w:szCs w:val="32"/>
        </w:rPr>
      </w:pPr>
      <w:r>
        <w:rPr>
          <w:rFonts w:hint="eastAsia" w:ascii="仿宋_GB2312" w:hAnsi="宋体" w:eastAsia="仿宋_GB2312" w:cs="宋体"/>
          <w:color w:val="000000"/>
          <w:sz w:val="32"/>
          <w:szCs w:val="32"/>
        </w:rPr>
        <w:t>完成时限符合率，</w:t>
      </w:r>
      <w:r>
        <w:rPr>
          <w:rFonts w:hint="eastAsia" w:ascii="仿宋_GB2312" w:hAnsi="宋体" w:eastAsia="仿宋_GB2312" w:cs="宋体"/>
          <w:sz w:val="32"/>
          <w:szCs w:val="32"/>
        </w:rPr>
        <w:t>指标满分8分，得满分。</w:t>
      </w:r>
    </w:p>
    <w:p>
      <w:pPr>
        <w:ind w:left="420" w:leftChars="200" w:firstLine="320" w:firstLineChars="100"/>
        <w:rPr>
          <w:rFonts w:ascii="仿宋_GB2312" w:hAnsi="宋体" w:eastAsia="仿宋_GB2312" w:cs="宋体"/>
          <w:sz w:val="32"/>
          <w:szCs w:val="32"/>
        </w:rPr>
      </w:pPr>
      <w:r>
        <w:rPr>
          <w:rFonts w:hint="eastAsia" w:ascii="仿宋_GB2312" w:hAnsi="仿宋_GB2312" w:eastAsia="仿宋_GB2312" w:cs="仿宋_GB2312"/>
          <w:kern w:val="0"/>
          <w:sz w:val="32"/>
          <w:szCs w:val="32"/>
        </w:rPr>
        <w:t>完成时限符合率=符合申报时限要求的完工项目数/计划（或申报）项目数×100%</w:t>
      </w:r>
      <w:r>
        <w:rPr>
          <w:rFonts w:hint="eastAsia" w:ascii="仿宋_GB2312" w:hAnsi="宋体" w:eastAsia="仿宋_GB2312" w:cs="宋体"/>
          <w:color w:val="000000"/>
          <w:sz w:val="32"/>
          <w:szCs w:val="32"/>
        </w:rPr>
        <w:t>=</w:t>
      </w:r>
      <w:r>
        <w:rPr>
          <w:rFonts w:hint="eastAsia" w:ascii="仿宋_GB2312" w:hAnsi="宋体" w:eastAsia="仿宋_GB2312" w:cs="宋体"/>
          <w:sz w:val="32"/>
          <w:szCs w:val="32"/>
        </w:rPr>
        <w:t>9/9</w:t>
      </w:r>
      <w:r>
        <w:rPr>
          <w:rFonts w:hint="eastAsia" w:ascii="仿宋_GB2312" w:hAnsi="仿宋_GB2312" w:eastAsia="仿宋_GB2312" w:cs="仿宋_GB2312"/>
          <w:kern w:val="0"/>
          <w:sz w:val="32"/>
          <w:szCs w:val="32"/>
        </w:rPr>
        <w:t>*</w:t>
      </w:r>
      <w:r>
        <w:rPr>
          <w:rFonts w:hint="eastAsia" w:ascii="仿宋_GB2312" w:hAnsi="宋体" w:eastAsia="仿宋_GB2312" w:cs="宋体"/>
          <w:color w:val="000000"/>
          <w:sz w:val="32"/>
          <w:szCs w:val="32"/>
        </w:rPr>
        <w:t>100%=100%</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宋体" w:eastAsia="仿宋_GB2312" w:cs="宋体"/>
          <w:sz w:val="32"/>
          <w:szCs w:val="32"/>
        </w:rPr>
        <w:t>（5）财政资金放大倍数，指标满分4分，得满分。</w:t>
      </w:r>
    </w:p>
    <w:p>
      <w:pPr>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（四）效果情况</w:t>
      </w:r>
    </w:p>
    <w:p>
      <w:pPr>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项目效益（满分25分，得分24分）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（1）经济效益，提供了更多的就业机会增加了居民收入。符合指标，得满分。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（2）社会效益，促进了项目单位和其他相关单位（群体）可持续发展，解决或缓解了行业、社会的矛盾及难题，促进了民生改善。符合指标，得满分。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（3）生态效益，没能达到优化环境的效果。扣1分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（4）可持续影响，通过项目的实施，解决或缓解了行业、社会的矛盾及难题，保障行业正常发展、社会正常运行。符合指标，得满分。</w:t>
      </w:r>
    </w:p>
    <w:p>
      <w:pPr>
        <w:tabs>
          <w:tab w:val="right" w:pos="7942"/>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（5）社会公众或服务对象满意度，大于95%的服务对象均满意。符合指标，得满分。</w:t>
      </w:r>
    </w:p>
    <w:p>
      <w:pPr>
        <w:tabs>
          <w:tab w:val="right" w:pos="7942"/>
        </w:tabs>
        <w:ind w:firstLine="643" w:firstLineChars="200"/>
        <w:rPr>
          <w:rFonts w:ascii="黑体" w:hAnsi="宋体" w:eastAsia="黑体" w:cs="宋体"/>
          <w:b/>
          <w:bCs/>
          <w:color w:val="000000"/>
          <w:sz w:val="32"/>
          <w:szCs w:val="32"/>
        </w:rPr>
      </w:pPr>
      <w:r>
        <w:rPr>
          <w:rFonts w:hint="eastAsia" w:ascii="黑体" w:hAnsi="宋体" w:eastAsia="黑体" w:cs="宋体"/>
          <w:b/>
          <w:bCs/>
          <w:color w:val="000000"/>
          <w:sz w:val="32"/>
          <w:szCs w:val="32"/>
        </w:rPr>
        <w:t>（七）其他需要说明的问题</w:t>
      </w:r>
    </w:p>
    <w:p>
      <w:pPr>
        <w:tabs>
          <w:tab w:val="right" w:pos="7942"/>
        </w:tabs>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无其他需要说明的问题。</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附件：</w:t>
      </w:r>
      <w:r>
        <w:rPr>
          <w:rFonts w:hint="eastAsia"/>
        </w:rPr>
        <w:t xml:space="preserve"> </w:t>
      </w:r>
      <w:r>
        <w:rPr>
          <w:rFonts w:hint="eastAsia" w:ascii="仿宋_GB2312" w:eastAsia="仿宋_GB2312"/>
          <w:sz w:val="32"/>
          <w:szCs w:val="32"/>
        </w:rPr>
        <w:t>《费用补贴类项目</w:t>
      </w:r>
      <w:r>
        <w:rPr>
          <w:rFonts w:hint="eastAsia" w:ascii="仿宋_GB2312" w:hAnsi="Times New Roman" w:eastAsia="仿宋_GB2312"/>
          <w:sz w:val="32"/>
          <w:szCs w:val="32"/>
        </w:rPr>
        <w:t>支出绩效评价表》</w:t>
      </w:r>
    </w:p>
    <w:p>
      <w:pPr>
        <w:ind w:firstLine="645"/>
        <w:rPr>
          <w:rFonts w:ascii="仿宋_GB2312" w:hAnsi="Times New Roman" w:eastAsia="仿宋_GB2312"/>
          <w:sz w:val="32"/>
          <w:szCs w:val="32"/>
        </w:rPr>
      </w:pPr>
    </w:p>
    <w:p>
      <w:pPr>
        <w:ind w:firstLine="645"/>
        <w:rPr>
          <w:rFonts w:ascii="黑体" w:hAnsi="Times New Roman" w:eastAsia="黑体"/>
          <w:sz w:val="32"/>
          <w:szCs w:val="32"/>
        </w:rPr>
      </w:pPr>
      <w:r>
        <w:rPr>
          <w:rFonts w:hint="eastAsia" w:ascii="仿宋_GB2312" w:hAnsi="Times New Roman" w:eastAsia="仿宋_GB2312"/>
          <w:sz w:val="32"/>
          <w:szCs w:val="32"/>
        </w:rPr>
        <w:t xml:space="preserve">                      2023年12月6日</w:t>
      </w:r>
    </w:p>
    <w:p>
      <w:pPr>
        <w:ind w:firstLine="645"/>
        <w:rPr>
          <w:rFonts w:ascii="仿宋_GB2312" w:hAnsi="Times New Roman" w:eastAsia="仿宋_GB2312"/>
          <w:sz w:val="32"/>
          <w:szCs w:val="32"/>
        </w:rPr>
      </w:pPr>
    </w:p>
    <w:p>
      <w:pPr>
        <w:ind w:firstLine="645"/>
        <w:rPr>
          <w:rFonts w:ascii="黑体" w:hAnsi="Times New Roman" w:eastAsia="仿宋_GB2312"/>
          <w:sz w:val="32"/>
          <w:szCs w:val="32"/>
        </w:rPr>
      </w:pPr>
      <w:r>
        <w:rPr>
          <w:rFonts w:hint="eastAsia" w:ascii="仿宋_GB2312" w:hAnsi="Times New Roman" w:eastAsia="仿宋_GB2312"/>
          <w:sz w:val="32"/>
          <w:szCs w:val="32"/>
        </w:rPr>
        <w:t xml:space="preserve">                     </w:t>
      </w:r>
    </w:p>
    <w:sectPr>
      <w:footerReference r:id="rId3" w:type="default"/>
      <w:pgSz w:w="11906" w:h="16838"/>
      <w:pgMar w:top="1440" w:right="1418"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7CC6"/>
    <w:multiLevelType w:val="singleLevel"/>
    <w:tmpl w:val="97267CC6"/>
    <w:lvl w:ilvl="0" w:tentative="0">
      <w:start w:val="1"/>
      <w:numFmt w:val="decimal"/>
      <w:suff w:val="nothing"/>
      <w:lvlText w:val="（%1）"/>
      <w:lvlJc w:val="left"/>
    </w:lvl>
  </w:abstractNum>
  <w:abstractNum w:abstractNumId="1">
    <w:nsid w:val="0E0884FA"/>
    <w:multiLevelType w:val="singleLevel"/>
    <w:tmpl w:val="0E0884FA"/>
    <w:lvl w:ilvl="0" w:tentative="0">
      <w:start w:val="4"/>
      <w:numFmt w:val="decimal"/>
      <w:suff w:val="nothing"/>
      <w:lvlText w:val="（%1）"/>
      <w:lvlJc w:val="left"/>
    </w:lvl>
  </w:abstractNum>
  <w:abstractNum w:abstractNumId="2">
    <w:nsid w:val="4A29A688"/>
    <w:multiLevelType w:val="singleLevel"/>
    <w:tmpl w:val="4A29A68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55"/>
    <w:rsid w:val="00002C05"/>
    <w:rsid w:val="0003503C"/>
    <w:rsid w:val="0005453D"/>
    <w:rsid w:val="00060C02"/>
    <w:rsid w:val="0006716A"/>
    <w:rsid w:val="00082120"/>
    <w:rsid w:val="000827B3"/>
    <w:rsid w:val="000B7EBA"/>
    <w:rsid w:val="000F61C9"/>
    <w:rsid w:val="0011003B"/>
    <w:rsid w:val="001450A5"/>
    <w:rsid w:val="00147B08"/>
    <w:rsid w:val="00173853"/>
    <w:rsid w:val="00173906"/>
    <w:rsid w:val="00180B35"/>
    <w:rsid w:val="0018643E"/>
    <w:rsid w:val="00187E09"/>
    <w:rsid w:val="00190B69"/>
    <w:rsid w:val="001950F2"/>
    <w:rsid w:val="00196D77"/>
    <w:rsid w:val="001B0A4C"/>
    <w:rsid w:val="001C3E98"/>
    <w:rsid w:val="001C7486"/>
    <w:rsid w:val="00212D5D"/>
    <w:rsid w:val="00231087"/>
    <w:rsid w:val="00242522"/>
    <w:rsid w:val="00261A18"/>
    <w:rsid w:val="002C55E1"/>
    <w:rsid w:val="002C67B3"/>
    <w:rsid w:val="002D22A3"/>
    <w:rsid w:val="002D3B4F"/>
    <w:rsid w:val="002F2C87"/>
    <w:rsid w:val="0030032F"/>
    <w:rsid w:val="00320263"/>
    <w:rsid w:val="003231AE"/>
    <w:rsid w:val="00331F07"/>
    <w:rsid w:val="003322BB"/>
    <w:rsid w:val="00352B04"/>
    <w:rsid w:val="00353E40"/>
    <w:rsid w:val="00367607"/>
    <w:rsid w:val="00377C14"/>
    <w:rsid w:val="003929D6"/>
    <w:rsid w:val="003A714B"/>
    <w:rsid w:val="003D4DCC"/>
    <w:rsid w:val="00403EA2"/>
    <w:rsid w:val="00407284"/>
    <w:rsid w:val="00407807"/>
    <w:rsid w:val="00446A74"/>
    <w:rsid w:val="004567E9"/>
    <w:rsid w:val="004B26A3"/>
    <w:rsid w:val="004E4E11"/>
    <w:rsid w:val="00527EA4"/>
    <w:rsid w:val="005550AC"/>
    <w:rsid w:val="00562F55"/>
    <w:rsid w:val="005775F3"/>
    <w:rsid w:val="00580D7C"/>
    <w:rsid w:val="005B1EC0"/>
    <w:rsid w:val="005E006C"/>
    <w:rsid w:val="005E2F20"/>
    <w:rsid w:val="00615069"/>
    <w:rsid w:val="006202F6"/>
    <w:rsid w:val="00622B96"/>
    <w:rsid w:val="006423E9"/>
    <w:rsid w:val="00654521"/>
    <w:rsid w:val="00665730"/>
    <w:rsid w:val="0067529A"/>
    <w:rsid w:val="0068227C"/>
    <w:rsid w:val="0069608F"/>
    <w:rsid w:val="006979A2"/>
    <w:rsid w:val="006B2955"/>
    <w:rsid w:val="006C2D32"/>
    <w:rsid w:val="006C625B"/>
    <w:rsid w:val="006C6D48"/>
    <w:rsid w:val="006D12EF"/>
    <w:rsid w:val="006D3D01"/>
    <w:rsid w:val="006D7F1A"/>
    <w:rsid w:val="006F20D5"/>
    <w:rsid w:val="006F5020"/>
    <w:rsid w:val="0070420B"/>
    <w:rsid w:val="00711739"/>
    <w:rsid w:val="00727B50"/>
    <w:rsid w:val="00764C05"/>
    <w:rsid w:val="00776A7E"/>
    <w:rsid w:val="007D06C4"/>
    <w:rsid w:val="00806DFC"/>
    <w:rsid w:val="008229C0"/>
    <w:rsid w:val="00834C98"/>
    <w:rsid w:val="008662FA"/>
    <w:rsid w:val="008716C6"/>
    <w:rsid w:val="00874D58"/>
    <w:rsid w:val="008C2B0D"/>
    <w:rsid w:val="008C50B4"/>
    <w:rsid w:val="008E4049"/>
    <w:rsid w:val="00927166"/>
    <w:rsid w:val="009373E7"/>
    <w:rsid w:val="0094313E"/>
    <w:rsid w:val="009511C6"/>
    <w:rsid w:val="009661F9"/>
    <w:rsid w:val="00973878"/>
    <w:rsid w:val="00981BAF"/>
    <w:rsid w:val="009B6DCB"/>
    <w:rsid w:val="009B7B62"/>
    <w:rsid w:val="009E16B5"/>
    <w:rsid w:val="009E4397"/>
    <w:rsid w:val="00A14BBF"/>
    <w:rsid w:val="00A15689"/>
    <w:rsid w:val="00A35FE6"/>
    <w:rsid w:val="00A41AAA"/>
    <w:rsid w:val="00A45B5E"/>
    <w:rsid w:val="00A503A9"/>
    <w:rsid w:val="00A90742"/>
    <w:rsid w:val="00AC4B6E"/>
    <w:rsid w:val="00AD16CA"/>
    <w:rsid w:val="00B13776"/>
    <w:rsid w:val="00B352C5"/>
    <w:rsid w:val="00B47DAD"/>
    <w:rsid w:val="00B57B4E"/>
    <w:rsid w:val="00B60502"/>
    <w:rsid w:val="00B767B9"/>
    <w:rsid w:val="00BA67FC"/>
    <w:rsid w:val="00BB0E5E"/>
    <w:rsid w:val="00BB520E"/>
    <w:rsid w:val="00BF4D36"/>
    <w:rsid w:val="00C0193E"/>
    <w:rsid w:val="00C143D4"/>
    <w:rsid w:val="00C151B2"/>
    <w:rsid w:val="00C43DC6"/>
    <w:rsid w:val="00C71780"/>
    <w:rsid w:val="00D17C7A"/>
    <w:rsid w:val="00D25F1D"/>
    <w:rsid w:val="00D56167"/>
    <w:rsid w:val="00D6099B"/>
    <w:rsid w:val="00D745CD"/>
    <w:rsid w:val="00D77B76"/>
    <w:rsid w:val="00D8283E"/>
    <w:rsid w:val="00DD0CBD"/>
    <w:rsid w:val="00DD7CCF"/>
    <w:rsid w:val="00DF29CE"/>
    <w:rsid w:val="00E03535"/>
    <w:rsid w:val="00E07FF2"/>
    <w:rsid w:val="00E30507"/>
    <w:rsid w:val="00E3338D"/>
    <w:rsid w:val="00E56E76"/>
    <w:rsid w:val="00E63EDA"/>
    <w:rsid w:val="00EC0641"/>
    <w:rsid w:val="00ED68AA"/>
    <w:rsid w:val="00EE4D18"/>
    <w:rsid w:val="00EF21E4"/>
    <w:rsid w:val="00F33E9E"/>
    <w:rsid w:val="00F436DD"/>
    <w:rsid w:val="00F44C2F"/>
    <w:rsid w:val="00F63AE4"/>
    <w:rsid w:val="00F853EE"/>
    <w:rsid w:val="00F9277B"/>
    <w:rsid w:val="00FD4143"/>
    <w:rsid w:val="00FE53D1"/>
    <w:rsid w:val="00FF7420"/>
    <w:rsid w:val="02CF073E"/>
    <w:rsid w:val="03570111"/>
    <w:rsid w:val="04BA3F69"/>
    <w:rsid w:val="04D91E7F"/>
    <w:rsid w:val="05370132"/>
    <w:rsid w:val="05AF3303"/>
    <w:rsid w:val="05D33028"/>
    <w:rsid w:val="05FB4F0B"/>
    <w:rsid w:val="075823C8"/>
    <w:rsid w:val="07951479"/>
    <w:rsid w:val="07F34927"/>
    <w:rsid w:val="08645B24"/>
    <w:rsid w:val="0AB17038"/>
    <w:rsid w:val="0AF60DD5"/>
    <w:rsid w:val="0C732DAF"/>
    <w:rsid w:val="0F6F2A86"/>
    <w:rsid w:val="11001B2F"/>
    <w:rsid w:val="11335F5C"/>
    <w:rsid w:val="119D2625"/>
    <w:rsid w:val="11AC084B"/>
    <w:rsid w:val="11CF3FAB"/>
    <w:rsid w:val="131634B5"/>
    <w:rsid w:val="14AB3C53"/>
    <w:rsid w:val="14F41B4E"/>
    <w:rsid w:val="156478D4"/>
    <w:rsid w:val="170A15B2"/>
    <w:rsid w:val="1A725205"/>
    <w:rsid w:val="1AF65468"/>
    <w:rsid w:val="1B4321C1"/>
    <w:rsid w:val="1B5717AC"/>
    <w:rsid w:val="1C4205CA"/>
    <w:rsid w:val="1D5D0944"/>
    <w:rsid w:val="1D921BAF"/>
    <w:rsid w:val="1EB74AB3"/>
    <w:rsid w:val="1ED80512"/>
    <w:rsid w:val="1F9622D8"/>
    <w:rsid w:val="1F96500A"/>
    <w:rsid w:val="20110D22"/>
    <w:rsid w:val="207330B7"/>
    <w:rsid w:val="22076BE2"/>
    <w:rsid w:val="22C33B87"/>
    <w:rsid w:val="23805FB1"/>
    <w:rsid w:val="23D16614"/>
    <w:rsid w:val="2753629D"/>
    <w:rsid w:val="27802F28"/>
    <w:rsid w:val="28196CF9"/>
    <w:rsid w:val="28857712"/>
    <w:rsid w:val="28FB50DD"/>
    <w:rsid w:val="29626A9F"/>
    <w:rsid w:val="2A531481"/>
    <w:rsid w:val="2AE63617"/>
    <w:rsid w:val="2D3E784C"/>
    <w:rsid w:val="2DAA101C"/>
    <w:rsid w:val="2DCE4C29"/>
    <w:rsid w:val="2EDD3AA0"/>
    <w:rsid w:val="2EDE2B55"/>
    <w:rsid w:val="2F1A63FD"/>
    <w:rsid w:val="2F313C23"/>
    <w:rsid w:val="2FC37443"/>
    <w:rsid w:val="31A76F49"/>
    <w:rsid w:val="32AF2922"/>
    <w:rsid w:val="32FA24A4"/>
    <w:rsid w:val="33184EFB"/>
    <w:rsid w:val="34A84DC4"/>
    <w:rsid w:val="35996E0F"/>
    <w:rsid w:val="3689539E"/>
    <w:rsid w:val="36921BA4"/>
    <w:rsid w:val="375E6F18"/>
    <w:rsid w:val="3A6341FE"/>
    <w:rsid w:val="3AEC7388"/>
    <w:rsid w:val="3C861E48"/>
    <w:rsid w:val="3D593ED6"/>
    <w:rsid w:val="3D867AD4"/>
    <w:rsid w:val="3DB26349"/>
    <w:rsid w:val="3EDB1895"/>
    <w:rsid w:val="3EED3E7B"/>
    <w:rsid w:val="3F5F63BD"/>
    <w:rsid w:val="3F864DE3"/>
    <w:rsid w:val="3FE20F15"/>
    <w:rsid w:val="40592B92"/>
    <w:rsid w:val="406E5924"/>
    <w:rsid w:val="40FF362D"/>
    <w:rsid w:val="412910BA"/>
    <w:rsid w:val="42063590"/>
    <w:rsid w:val="42E74CBB"/>
    <w:rsid w:val="43745DCC"/>
    <w:rsid w:val="439A18C5"/>
    <w:rsid w:val="44A27F5C"/>
    <w:rsid w:val="44F446CE"/>
    <w:rsid w:val="44FE4A3A"/>
    <w:rsid w:val="457718D8"/>
    <w:rsid w:val="45807266"/>
    <w:rsid w:val="46E02345"/>
    <w:rsid w:val="46ED25F7"/>
    <w:rsid w:val="46F87A0A"/>
    <w:rsid w:val="48580C1A"/>
    <w:rsid w:val="4A926EC9"/>
    <w:rsid w:val="4B5569C2"/>
    <w:rsid w:val="4BBA395C"/>
    <w:rsid w:val="4BCF254E"/>
    <w:rsid w:val="4D020BDE"/>
    <w:rsid w:val="4DAA4E48"/>
    <w:rsid w:val="4E680A2D"/>
    <w:rsid w:val="4E8C2F00"/>
    <w:rsid w:val="4F0950E0"/>
    <w:rsid w:val="4F295561"/>
    <w:rsid w:val="4F466E52"/>
    <w:rsid w:val="4FC71812"/>
    <w:rsid w:val="50476C8E"/>
    <w:rsid w:val="51670E75"/>
    <w:rsid w:val="52184857"/>
    <w:rsid w:val="52E96A5A"/>
    <w:rsid w:val="53985766"/>
    <w:rsid w:val="54225434"/>
    <w:rsid w:val="552D41B3"/>
    <w:rsid w:val="55FC7837"/>
    <w:rsid w:val="56013F66"/>
    <w:rsid w:val="5621458C"/>
    <w:rsid w:val="569144FC"/>
    <w:rsid w:val="56DA233C"/>
    <w:rsid w:val="57B170DF"/>
    <w:rsid w:val="57D93704"/>
    <w:rsid w:val="58F07AA4"/>
    <w:rsid w:val="59B4569B"/>
    <w:rsid w:val="5A375EF7"/>
    <w:rsid w:val="5AAD3802"/>
    <w:rsid w:val="5C880CD2"/>
    <w:rsid w:val="5C9D168C"/>
    <w:rsid w:val="5D7C2128"/>
    <w:rsid w:val="5DD73A39"/>
    <w:rsid w:val="5E5F2ABD"/>
    <w:rsid w:val="5EFA0AD2"/>
    <w:rsid w:val="5F5078FB"/>
    <w:rsid w:val="5F7938FF"/>
    <w:rsid w:val="60EA4BE8"/>
    <w:rsid w:val="60FA3A4C"/>
    <w:rsid w:val="624766C9"/>
    <w:rsid w:val="62DA2E9D"/>
    <w:rsid w:val="62DE7A07"/>
    <w:rsid w:val="647B40C5"/>
    <w:rsid w:val="65E6319A"/>
    <w:rsid w:val="66C36545"/>
    <w:rsid w:val="66DD03C3"/>
    <w:rsid w:val="687A31D1"/>
    <w:rsid w:val="6994257B"/>
    <w:rsid w:val="69ED2FF0"/>
    <w:rsid w:val="6AE33428"/>
    <w:rsid w:val="6B3866B1"/>
    <w:rsid w:val="6BE926F3"/>
    <w:rsid w:val="6DF673C6"/>
    <w:rsid w:val="6E8315FF"/>
    <w:rsid w:val="6FDA29C2"/>
    <w:rsid w:val="70921CF7"/>
    <w:rsid w:val="70EA4160"/>
    <w:rsid w:val="7235312F"/>
    <w:rsid w:val="724B420A"/>
    <w:rsid w:val="72975E3D"/>
    <w:rsid w:val="72AE0D2D"/>
    <w:rsid w:val="73185FDA"/>
    <w:rsid w:val="74AE193A"/>
    <w:rsid w:val="782A181F"/>
    <w:rsid w:val="790278CB"/>
    <w:rsid w:val="79864091"/>
    <w:rsid w:val="7A17206F"/>
    <w:rsid w:val="7B6B0D24"/>
    <w:rsid w:val="7BCD3FC5"/>
    <w:rsid w:val="7D6437CE"/>
    <w:rsid w:val="7EF556B2"/>
    <w:rsid w:val="7F955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semiHidden/>
    <w:qFormat/>
    <w:uiPriority w:val="99"/>
  </w:style>
  <w:style w:type="character" w:customStyle="1" w:styleId="9">
    <w:name w:val="批注框文本 Char"/>
    <w:basedOn w:val="7"/>
    <w:link w:val="3"/>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页眉 Char"/>
    <w:basedOn w:val="7"/>
    <w:link w:val="5"/>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488</Words>
  <Characters>2786</Characters>
  <Lines>23</Lines>
  <Paragraphs>6</Paragraphs>
  <TotalTime>5</TotalTime>
  <ScaleCrop>false</ScaleCrop>
  <LinksUpToDate>false</LinksUpToDate>
  <CharactersWithSpaces>3268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2021-12-14T14:44:00Z</dcterms:created>
  <dc:creator>微软中国</dc:creator>
  <cp:lastModifiedBy>LANT23</cp:lastModifiedBy>
  <cp:lastPrinted>2023-01-03T10:45:00Z</cp:lastPrinted>
  <dcterms:modified xsi:type="dcterms:W3CDTF">2025-07-08T12:40:55Z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2F96C379B9954D0782F965DF8D172858</vt:lpwstr>
  </property>
</Properties>
</file>