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2AA39D">
      <w:pPr>
        <w:pStyle w:val="4"/>
        <w:spacing w:line="360" w:lineRule="auto"/>
        <w:rPr>
          <w:rFonts w:hint="eastAsia" w:ascii="宋体" w:hAnsi="宋体" w:eastAsia="宋体"/>
          <w:bCs/>
          <w:sz w:val="32"/>
          <w:szCs w:val="32"/>
        </w:rPr>
      </w:pPr>
      <w:bookmarkStart w:id="0" w:name="_Hlk188143864"/>
      <w:bookmarkEnd w:id="0"/>
      <w:r>
        <w:rPr>
          <w:rFonts w:hint="eastAsia" w:cs="微软雅黑"/>
          <w:bCs/>
          <w:sz w:val="32"/>
          <w:szCs w:val="32"/>
        </w:rPr>
        <w:t>【面向公众】【征求意见】——《</w:t>
      </w:r>
      <w:r>
        <w:rPr>
          <w:rFonts w:ascii="宋体" w:hAnsi="宋体" w:eastAsia="宋体" w:cs="微软雅黑"/>
          <w:bCs/>
          <w:sz w:val="32"/>
          <w:szCs w:val="32"/>
        </w:rPr>
        <w:t>寿县</w:t>
      </w:r>
      <w:r>
        <w:rPr>
          <w:rFonts w:hint="eastAsia" w:ascii="宋体" w:hAnsi="宋体" w:eastAsia="宋体" w:cs="微软雅黑"/>
          <w:bCs/>
          <w:sz w:val="32"/>
          <w:szCs w:val="32"/>
        </w:rPr>
        <w:t>安丰塘</w:t>
      </w:r>
      <w:r>
        <w:rPr>
          <w:rFonts w:ascii="宋体" w:hAnsi="宋体" w:eastAsia="宋体" w:cs="微软雅黑"/>
          <w:bCs/>
          <w:sz w:val="32"/>
          <w:szCs w:val="32"/>
        </w:rPr>
        <w:t>镇国土空间总体规划（2021-2035）</w:t>
      </w:r>
      <w:r>
        <w:rPr>
          <w:rFonts w:hint="eastAsia" w:cs="微软雅黑"/>
          <w:bCs/>
          <w:sz w:val="32"/>
          <w:szCs w:val="32"/>
        </w:rPr>
        <w:t>》</w:t>
      </w:r>
      <w:r>
        <w:rPr>
          <w:rFonts w:hint="eastAsia" w:ascii="宋体" w:hAnsi="宋体" w:eastAsia="宋体"/>
          <w:bCs/>
          <w:sz w:val="32"/>
          <w:szCs w:val="32"/>
        </w:rPr>
        <w:t>（征求意见稿）</w:t>
      </w:r>
    </w:p>
    <w:p w14:paraId="7FD3BD09">
      <w:pPr>
        <w:pStyle w:val="4"/>
        <w:rPr>
          <w:rFonts w:hint="eastAsia"/>
        </w:rPr>
      </w:pPr>
      <w:r>
        <w:tab/>
      </w:r>
      <w:r>
        <w:rPr>
          <w:rFonts w:ascii="Times New Roman" w:hAnsi="Times New Roman" w:eastAsia="Times New Roman" w:cs="Times New Roman"/>
          <w:sz w:val="24"/>
          <w:szCs w:val="24"/>
        </w:rPr>
        <w:t> </w:t>
      </w:r>
    </w:p>
    <w:p w14:paraId="6261E604">
      <w:pPr>
        <w:pStyle w:val="4"/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bookmarkStart w:id="1" w:name="_Hlk143871250"/>
      <w:r>
        <w:rPr>
          <w:rFonts w:ascii="宋体" w:hAnsi="宋体" w:eastAsia="宋体" w:cs="宋体"/>
          <w:sz w:val="28"/>
          <w:szCs w:val="28"/>
        </w:rPr>
        <w:t>为贯彻党中央、国务院关于建立国土空间规划体系并监督实施的战略部署，根据有关法律法规和政策要求，编制《</w:t>
      </w:r>
      <w:r>
        <w:rPr>
          <w:rFonts w:hint="eastAsia" w:ascii="宋体" w:hAnsi="宋体" w:eastAsia="宋体" w:cs="宋体"/>
          <w:sz w:val="28"/>
          <w:szCs w:val="28"/>
        </w:rPr>
        <w:t>安丰塘镇</w:t>
      </w:r>
      <w:r>
        <w:rPr>
          <w:rFonts w:ascii="宋体" w:hAnsi="宋体" w:eastAsia="宋体" w:cs="宋体"/>
          <w:sz w:val="28"/>
          <w:szCs w:val="28"/>
        </w:rPr>
        <w:t>国土空间总体规划（2021-2035年）》。本规划是对《寿县国土空间总体规划（2021-2035年）》的细化落实，是对乡镇行政区内国土空间开发、保护、利用、修复作出的综合部署和具体安排，是编制乡镇国土空间详细规划（村庄规划）和开展各类开发保护活动、实施国土空间用途管制的基本依据。</w:t>
      </w:r>
    </w:p>
    <w:p w14:paraId="0A32DC55">
      <w:pPr>
        <w:pStyle w:val="4"/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寿县安丰塘镇人民政府组织编制了《寿县安丰塘镇国土空间总体规划（2021-2035）》（公众征求意见稿见附件）。为进一步提高规划科学性和实施性，现将该规划方案进行公示，广泛征求社会各界和民众意见建议。</w:t>
      </w:r>
    </w:p>
    <w:p w14:paraId="5C3B4E44">
      <w:pPr>
        <w:pStyle w:val="4"/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一、公示时间</w:t>
      </w:r>
    </w:p>
    <w:p w14:paraId="6AA83F75">
      <w:pPr>
        <w:pStyle w:val="4"/>
        <w:spacing w:line="360" w:lineRule="auto"/>
        <w:ind w:firstLine="560" w:firstLineChars="200"/>
        <w:rPr>
          <w:rFonts w:hint="default" w:ascii="宋体" w:hAnsi="宋体" w:eastAsia="宋体" w:cs="宋体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2025.6.18-2025.7</w:t>
      </w:r>
      <w:bookmarkStart w:id="14" w:name="_GoBack"/>
      <w:bookmarkEnd w:id="14"/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.19</w:t>
      </w:r>
    </w:p>
    <w:p w14:paraId="2754A5C8">
      <w:pPr>
        <w:pStyle w:val="4"/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二、联系方式：</w:t>
      </w:r>
    </w:p>
    <w:p w14:paraId="452928FE">
      <w:pPr>
        <w:pStyle w:val="4"/>
        <w:spacing w:line="360" w:lineRule="auto"/>
        <w:ind w:firstLine="560" w:firstLineChars="200"/>
        <w:rPr>
          <w:rFonts w:hint="default" w:ascii="宋体" w:hAnsi="宋体" w:eastAsia="宋体" w:cs="宋体"/>
          <w:sz w:val="28"/>
          <w:szCs w:val="28"/>
          <w:highlight w:val="none"/>
          <w:lang w:val="en-US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联系电话：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0554-4576000</w:t>
      </w:r>
    </w:p>
    <w:p w14:paraId="44966D3E">
      <w:pPr>
        <w:pStyle w:val="4"/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邮箱：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  <w:highlight w:val="none"/>
        </w:rPr>
        <w:instrText xml:space="preserve"> HYPERLINK "mailto:sxsjzgtkjgh@foxmail.com" </w:instrText>
      </w:r>
      <w:r>
        <w:rPr>
          <w:rFonts w:hint="eastAsia" w:ascii="宋体" w:hAnsi="宋体" w:eastAsia="宋体" w:cs="宋体"/>
          <w:sz w:val="28"/>
          <w:szCs w:val="28"/>
          <w:highlight w:val="none"/>
        </w:rPr>
        <w:fldChar w:fldCharType="separate"/>
      </w:r>
      <w:r>
        <w:rPr>
          <w:rStyle w:val="32"/>
          <w:rFonts w:hint="eastAsia" w:ascii="宋体" w:hAnsi="宋体" w:eastAsia="宋体" w:cs="宋体"/>
          <w:sz w:val="28"/>
          <w:szCs w:val="28"/>
          <w:highlight w:val="none"/>
        </w:rPr>
        <w:t>sxsjzgtkjgh@foxmail.com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fldChar w:fldCharType="end"/>
      </w:r>
    </w:p>
    <w:p w14:paraId="60A08A5C">
      <w:pPr>
        <w:pStyle w:val="4"/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  <w:highlight w:val="yellow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通讯</w:t>
      </w:r>
      <w:r>
        <w:rPr>
          <w:rFonts w:hint="eastAsia" w:ascii="宋体" w:hAnsi="宋体" w:eastAsia="宋体" w:cs="宋体"/>
          <w:sz w:val="28"/>
          <w:szCs w:val="28"/>
        </w:rPr>
        <w:t>地址：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寿县安丰塘镇镇政府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</w:p>
    <w:p w14:paraId="5DDB1719">
      <w:pPr>
        <w:pStyle w:val="4"/>
        <w:spacing w:line="360" w:lineRule="auto"/>
        <w:ind w:firstLine="560" w:firstLineChars="200"/>
        <w:rPr>
          <w:rFonts w:hint="default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邮政编码：232263（邮件标题或信封封面请注明“寿县安丰塘镇国土空间总体规划意见建议”字样，请注明联系人和联系方式，单位反馈意见应加盖公章）</w:t>
      </w:r>
    </w:p>
    <w:p w14:paraId="6B5F72E9">
      <w:pPr>
        <w:pStyle w:val="4"/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感谢您的积极参与！</w:t>
      </w:r>
    </w:p>
    <w:p w14:paraId="0601DD61">
      <w:pPr>
        <w:pStyle w:val="4"/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附件：</w:t>
      </w:r>
    </w:p>
    <w:p w14:paraId="101889DF">
      <w:pPr>
        <w:pStyle w:val="4"/>
        <w:spacing w:line="360" w:lineRule="auto"/>
        <w:ind w:firstLine="565" w:firstLineChars="202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一、规划范围与期限</w:t>
      </w:r>
    </w:p>
    <w:p w14:paraId="5D866220">
      <w:pPr>
        <w:pStyle w:val="4"/>
        <w:spacing w:line="360" w:lineRule="auto"/>
        <w:ind w:firstLine="565" w:firstLineChars="202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1、</w:t>
      </w:r>
      <w:r>
        <w:rPr>
          <w:rFonts w:ascii="微软雅黑" w:hAnsi="微软雅黑" w:eastAsia="微软雅黑" w:cs="微软雅黑"/>
          <w:b/>
          <w:sz w:val="28"/>
          <w:szCs w:val="28"/>
        </w:rPr>
        <w:t>规划期限</w:t>
      </w:r>
    </w:p>
    <w:p w14:paraId="076F4E01">
      <w:pPr>
        <w:rPr>
          <w:rFonts w:hint="eastAsia"/>
        </w:rPr>
      </w:pPr>
      <w:r>
        <w:t>本规划期限为2021年至2035年。基期为2020年，近期至2025年，远期至2035年，远景展望至2050年。</w:t>
      </w:r>
    </w:p>
    <w:p w14:paraId="541030D0">
      <w:pPr>
        <w:pStyle w:val="4"/>
        <w:spacing w:line="360" w:lineRule="auto"/>
        <w:ind w:firstLine="565" w:firstLineChars="202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2、</w:t>
      </w:r>
      <w:r>
        <w:rPr>
          <w:rFonts w:ascii="微软雅黑" w:hAnsi="微软雅黑" w:eastAsia="微软雅黑" w:cs="微软雅黑"/>
          <w:b/>
          <w:sz w:val="28"/>
          <w:szCs w:val="28"/>
        </w:rPr>
        <w:t>规划</w:t>
      </w:r>
      <w:r>
        <w:rPr>
          <w:rFonts w:hint="eastAsia" w:ascii="微软雅黑" w:hAnsi="微软雅黑" w:eastAsia="微软雅黑" w:cs="微软雅黑"/>
          <w:b/>
          <w:sz w:val="28"/>
          <w:szCs w:val="28"/>
        </w:rPr>
        <w:t>范围</w:t>
      </w:r>
    </w:p>
    <w:bookmarkEnd w:id="1"/>
    <w:p w14:paraId="3C7CD297">
      <w:pPr>
        <w:rPr>
          <w:rFonts w:ascii="微软雅黑" w:hAnsi="微软雅黑" w:eastAsia="微软雅黑" w:cs="微软雅黑"/>
          <w:b/>
          <w:sz w:val="28"/>
          <w:szCs w:val="28"/>
        </w:rPr>
      </w:pPr>
      <w:bookmarkStart w:id="2" w:name="_Hlk143871348"/>
      <w:bookmarkStart w:id="3" w:name="_Toc138580606"/>
      <w:bookmarkStart w:id="4" w:name="_Toc141735092"/>
      <w:r>
        <w:t>规划范围为</w:t>
      </w:r>
      <w:r>
        <w:rPr>
          <w:rFonts w:hint="eastAsia"/>
        </w:rPr>
        <w:t>安丰塘镇</w:t>
      </w:r>
      <w:r>
        <w:t>行政辖区范围，包括镇域、镇政府驻地两个层次。镇域：包括</w:t>
      </w:r>
      <w:r>
        <w:rPr>
          <w:rFonts w:hint="eastAsia"/>
        </w:rPr>
        <w:t>四店村、井亭村、柿园村、大树村、宋墙村、戈店村、苏王村、申桥村、安丰村、老街村</w:t>
      </w:r>
      <w:r>
        <w:t>，总面积9372.63公顷。镇政府驻地：以城镇开发边界为规划范围，总面积47.57</w:t>
      </w:r>
      <w:r>
        <w:rPr>
          <w:rFonts w:hint="eastAsia"/>
        </w:rPr>
        <w:t>公顷</w:t>
      </w:r>
      <w:r>
        <w:t>。</w:t>
      </w:r>
    </w:p>
    <w:p w14:paraId="27086768">
      <w:pPr>
        <w:pStyle w:val="4"/>
        <w:spacing w:line="360" w:lineRule="auto"/>
        <w:ind w:firstLine="565" w:firstLineChars="202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二、发展定位与目标</w:t>
      </w:r>
    </w:p>
    <w:bookmarkEnd w:id="2"/>
    <w:bookmarkEnd w:id="3"/>
    <w:bookmarkEnd w:id="4"/>
    <w:p w14:paraId="3F906D51">
      <w:pPr>
        <w:pStyle w:val="4"/>
        <w:spacing w:line="360" w:lineRule="auto"/>
        <w:ind w:firstLine="565" w:firstLineChars="202"/>
        <w:rPr>
          <w:rFonts w:hint="eastAsia" w:ascii="微软雅黑" w:hAnsi="微软雅黑" w:eastAsia="微软雅黑" w:cs="微软雅黑"/>
          <w:b/>
          <w:sz w:val="28"/>
          <w:szCs w:val="28"/>
        </w:rPr>
      </w:pPr>
      <w:bookmarkStart w:id="5" w:name="_Toc141735103"/>
      <w:bookmarkStart w:id="6" w:name="_Toc144227145"/>
      <w:bookmarkStart w:id="7" w:name="_Hlk143872231"/>
      <w:r>
        <w:rPr>
          <w:rFonts w:hint="eastAsia" w:ascii="微软雅黑" w:hAnsi="微软雅黑" w:eastAsia="微软雅黑" w:cs="微软雅黑"/>
          <w:b/>
          <w:sz w:val="28"/>
          <w:szCs w:val="28"/>
        </w:rPr>
        <w:t>1 、发展定位</w:t>
      </w:r>
      <w:bookmarkEnd w:id="5"/>
      <w:bookmarkEnd w:id="6"/>
    </w:p>
    <w:p w14:paraId="7DA14C23">
      <w:pPr>
        <w:rPr>
          <w:rFonts w:hint="eastAsia"/>
          <w:b/>
          <w:bCs/>
        </w:rPr>
      </w:pPr>
      <w:bookmarkStart w:id="8" w:name="_Toc141735105"/>
      <w:r>
        <w:rPr>
          <w:rFonts w:hint="eastAsia"/>
        </w:rPr>
        <w:t>安丰塘镇发展定位为</w:t>
      </w:r>
      <w:r>
        <w:rPr>
          <w:rFonts w:hint="eastAsia"/>
          <w:b/>
          <w:bCs/>
        </w:rPr>
        <w:t>以旅游休闲、文化创意、现代农业为主导，成为合肥都市圈和长三角城市群生态宜居的旅游精品镇。</w:t>
      </w:r>
    </w:p>
    <w:p w14:paraId="2FF2E329">
      <w:pPr>
        <w:pStyle w:val="4"/>
        <w:spacing w:line="360" w:lineRule="auto"/>
        <w:ind w:firstLine="565" w:firstLineChars="202"/>
        <w:rPr>
          <w:rFonts w:hint="eastAsia" w:ascii="微软雅黑" w:hAnsi="微软雅黑" w:eastAsia="微软雅黑" w:cs="微软雅黑"/>
          <w:b/>
          <w:sz w:val="28"/>
          <w:szCs w:val="28"/>
        </w:rPr>
      </w:pPr>
      <w:bookmarkStart w:id="9" w:name="_Toc144227147"/>
      <w:r>
        <w:rPr>
          <w:rFonts w:hint="eastAsia" w:ascii="微软雅黑" w:hAnsi="微软雅黑" w:eastAsia="微软雅黑" w:cs="微软雅黑"/>
          <w:b/>
          <w:sz w:val="28"/>
          <w:szCs w:val="28"/>
        </w:rPr>
        <w:t>2 、国土空间开发保护目标</w:t>
      </w:r>
      <w:bookmarkEnd w:id="8"/>
      <w:bookmarkEnd w:id="9"/>
    </w:p>
    <w:p w14:paraId="3E7DB9A7">
      <w:pPr>
        <w:ind w:firstLine="562"/>
        <w:jc w:val="left"/>
        <w:rPr>
          <w:rFonts w:hint="eastAsia"/>
        </w:rPr>
      </w:pPr>
      <w:bookmarkStart w:id="10" w:name="_Toc141735106"/>
      <w:r>
        <w:rPr>
          <w:b/>
          <w:bCs/>
        </w:rPr>
        <w:t>农产品主产区</w:t>
      </w:r>
      <w:r>
        <w:rPr>
          <w:rFonts w:hint="eastAsia"/>
          <w:b/>
          <w:bCs/>
        </w:rPr>
        <w:t>的主体功能</w:t>
      </w:r>
      <w:r>
        <w:rPr>
          <w:b/>
          <w:bCs/>
        </w:rPr>
        <w:t>不断巩固，生态环境显著改善。</w:t>
      </w:r>
      <w:r>
        <w:t>到2035 年，耕地和永久基本农田保护、生态保护红线得到严格落实</w:t>
      </w:r>
      <w:r>
        <w:rPr>
          <w:rFonts w:hint="eastAsia"/>
        </w:rPr>
        <w:t>。</w:t>
      </w:r>
      <w:r>
        <w:t>耕地</w:t>
      </w:r>
      <w:r>
        <w:rPr>
          <w:rFonts w:hint="eastAsia"/>
        </w:rPr>
        <w:t>保有量、</w:t>
      </w:r>
      <w:r>
        <w:t>永久基本农田</w:t>
      </w:r>
      <w:r>
        <w:rPr>
          <w:rFonts w:hint="eastAsia"/>
        </w:rPr>
        <w:t>规模确保安丰塘镇能够发挥作为寿县</w:t>
      </w:r>
      <w:r>
        <w:t>农产品主产区</w:t>
      </w:r>
      <w:r>
        <w:rPr>
          <w:rFonts w:hint="eastAsia"/>
        </w:rPr>
        <w:t>的主体功能。</w:t>
      </w:r>
      <w:r>
        <w:t>到 2035 年，耕地保有量保持在</w:t>
      </w:r>
      <w:r>
        <w:rPr>
          <w:rFonts w:cs="Times New Roman"/>
        </w:rPr>
        <w:t>7045.03</w:t>
      </w:r>
      <w:r>
        <w:rPr>
          <w:rFonts w:hint="eastAsia" w:cs="Times New Roman"/>
        </w:rPr>
        <w:t>公顷</w:t>
      </w:r>
      <w:r>
        <w:t>以上，永久基本农田保护面积不低于6671.03</w:t>
      </w:r>
      <w:r>
        <w:rPr>
          <w:rFonts w:hint="eastAsia" w:cs="Times New Roman"/>
        </w:rPr>
        <w:t>公顷</w:t>
      </w:r>
      <w:r>
        <w:t>。</w:t>
      </w:r>
    </w:p>
    <w:p w14:paraId="784801B9">
      <w:pPr>
        <w:ind w:firstLine="562"/>
        <w:rPr>
          <w:rFonts w:hint="eastAsia"/>
        </w:rPr>
      </w:pPr>
      <w:r>
        <w:rPr>
          <w:b/>
          <w:bCs/>
        </w:rPr>
        <w:t>区域</w:t>
      </w:r>
      <w:r>
        <w:rPr>
          <w:rFonts w:hint="eastAsia"/>
          <w:b/>
          <w:bCs/>
        </w:rPr>
        <w:t>一体化</w:t>
      </w:r>
      <w:r>
        <w:rPr>
          <w:b/>
          <w:bCs/>
        </w:rPr>
        <w:t>发展持续</w:t>
      </w:r>
      <w:r>
        <w:rPr>
          <w:rFonts w:hint="eastAsia"/>
          <w:b/>
          <w:bCs/>
        </w:rPr>
        <w:t>深入</w:t>
      </w:r>
      <w:r>
        <w:t>。</w:t>
      </w:r>
      <w:r>
        <w:rPr>
          <w:rFonts w:hint="eastAsia"/>
        </w:rPr>
        <w:t>在规划期内围绕科学发展、全面转型、加速崛起、兴镇富民要求，充分发挥安丰塘的自然及人文资源优势及产业资源优势，积极推进安丰塘城镇化提速提质，调整产业结构，大力发展</w:t>
      </w:r>
      <w:r>
        <w:rPr>
          <w:rFonts w:hint="eastAsia"/>
          <w:b/>
          <w:bCs/>
        </w:rPr>
        <w:t>农副产品加工业、旅游业和文化创意类第三产业为主。</w:t>
      </w:r>
      <w:r>
        <w:rPr>
          <w:rFonts w:hint="eastAsia"/>
        </w:rPr>
        <w:t>积极对接区域进行发展，做好区域范围内都市休闲、旅游的首要目的地。</w:t>
      </w:r>
    </w:p>
    <w:p w14:paraId="7D771009">
      <w:pPr>
        <w:ind w:firstLine="562"/>
        <w:rPr>
          <w:rFonts w:hint="eastAsia"/>
        </w:rPr>
      </w:pPr>
      <w:r>
        <w:rPr>
          <w:b/>
          <w:bCs/>
        </w:rPr>
        <w:t>城</w:t>
      </w:r>
      <w:r>
        <w:rPr>
          <w:rFonts w:hint="eastAsia"/>
          <w:b/>
          <w:bCs/>
        </w:rPr>
        <w:t>乡</w:t>
      </w:r>
      <w:r>
        <w:rPr>
          <w:b/>
          <w:bCs/>
        </w:rPr>
        <w:t>空间格局不断优化，空间效率显著提升。</w:t>
      </w:r>
      <w:r>
        <w:t>到 2035 年，</w:t>
      </w:r>
      <w:r>
        <w:rPr>
          <w:rFonts w:hint="eastAsia"/>
        </w:rPr>
        <w:t>统筹安丰塘镇城乡生态资源，加强生态环境建设，结合美好乡村建设，按照“乡风文明、村容整洁”标准整治村庄环境，基本形成城乡生态环境融合互补、经济社会与生态相协调的可持续发展格局顺应人口流动趋势，建设</w:t>
      </w:r>
      <w:r>
        <w:t>空间效率显著提升</w:t>
      </w:r>
      <w:r>
        <w:rPr>
          <w:rFonts w:hint="eastAsia"/>
        </w:rPr>
        <w:t>。</w:t>
      </w:r>
    </w:p>
    <w:p w14:paraId="5BAF36F5">
      <w:pPr>
        <w:ind w:firstLine="562"/>
        <w:rPr>
          <w:rFonts w:hint="eastAsia"/>
        </w:rPr>
      </w:pPr>
      <w:r>
        <w:rPr>
          <w:rFonts w:hint="eastAsia"/>
          <w:b/>
          <w:bCs/>
        </w:rPr>
        <w:t>历史文化资源得到有效转化。</w:t>
      </w:r>
      <w:r>
        <w:t>到 2035 年，</w:t>
      </w:r>
      <w:r>
        <w:rPr>
          <w:rFonts w:hint="eastAsia"/>
        </w:rPr>
        <w:t>历史文化资源在严格保护的基础上，</w:t>
      </w:r>
      <w:r>
        <w:t>活化利用水平全面提升</w:t>
      </w:r>
      <w:r>
        <w:rPr>
          <w:rFonts w:hint="eastAsia"/>
        </w:rPr>
        <w:t>。文农旅融合取得成效，文化旅游产业获得长足发展。人民群众文化自信显著增强。文化助推经济社会发展，赋能</w:t>
      </w:r>
      <w:r>
        <w:t>文化影响力</w:t>
      </w:r>
      <w:r>
        <w:rPr>
          <w:rFonts w:hint="eastAsia"/>
        </w:rPr>
        <w:t xml:space="preserve">、活力进一步提升。 </w:t>
      </w:r>
    </w:p>
    <w:p w14:paraId="6BDC416C">
      <w:pPr>
        <w:ind w:firstLine="562"/>
        <w:rPr>
          <w:rFonts w:hint="eastAsia"/>
          <w:b/>
          <w:bCs/>
        </w:rPr>
      </w:pPr>
      <w:r>
        <w:rPr>
          <w:rFonts w:hint="eastAsia"/>
          <w:b/>
          <w:bCs/>
        </w:rPr>
        <w:t>抵御自然灾害能力明显加强</w:t>
      </w:r>
    </w:p>
    <w:p w14:paraId="32CBF0DC">
      <w:pPr>
        <w:rPr>
          <w:rFonts w:hint="eastAsia"/>
        </w:rPr>
      </w:pPr>
      <w:r>
        <w:t>到 2035 年，</w:t>
      </w:r>
      <w:r>
        <w:rPr>
          <w:rFonts w:hint="eastAsia"/>
        </w:rPr>
        <w:t>以防洪涝灾害为重点的</w:t>
      </w:r>
      <w:r>
        <w:rPr>
          <w:rFonts w:ascii="Helvetica" w:hAnsi="Helvetica"/>
          <w:color w:val="000000"/>
          <w:sz w:val="27"/>
          <w:szCs w:val="27"/>
        </w:rPr>
        <w:t>多灾种防御体系</w:t>
      </w:r>
      <w:r>
        <w:rPr>
          <w:rFonts w:hint="eastAsia" w:ascii="Helvetica" w:hAnsi="Helvetica"/>
          <w:color w:val="000000"/>
          <w:sz w:val="27"/>
          <w:szCs w:val="27"/>
        </w:rPr>
        <w:t>健全，</w:t>
      </w:r>
      <w:r>
        <w:rPr>
          <w:rFonts w:hint="eastAsia"/>
        </w:rPr>
        <w:t>抵御</w:t>
      </w:r>
      <w:r>
        <w:t>自然灾害防御水平显著提升</w:t>
      </w:r>
      <w:r>
        <w:rPr>
          <w:rFonts w:hint="eastAsia"/>
        </w:rPr>
        <w:t>，应对</w:t>
      </w:r>
      <w:r>
        <w:t>公共安全事件、公共卫生事件应急能力显著增强。</w:t>
      </w:r>
    </w:p>
    <w:p w14:paraId="61BE4B54">
      <w:pPr>
        <w:pStyle w:val="4"/>
        <w:spacing w:line="360" w:lineRule="auto"/>
        <w:ind w:firstLine="565" w:firstLineChars="202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三、国土空间总体格局</w:t>
      </w:r>
    </w:p>
    <w:p w14:paraId="5C5CD292">
      <w:pPr>
        <w:pStyle w:val="4"/>
        <w:spacing w:line="360" w:lineRule="auto"/>
        <w:ind w:firstLine="565" w:firstLineChars="202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1、总体格局</w:t>
      </w:r>
    </w:p>
    <w:p w14:paraId="26D87BB6">
      <w:pPr>
        <w:rPr>
          <w:rFonts w:hint="eastAsia"/>
        </w:rPr>
      </w:pPr>
      <w:r>
        <w:rPr>
          <w:rFonts w:hint="eastAsia"/>
        </w:rPr>
        <w:t>根据安丰塘镇自然地理条件和自然禀赋，综合考虑经济社会发展和区域协调，规划形成“双核、三轴、多点”的国土空间总体格局。</w:t>
      </w:r>
    </w:p>
    <w:p w14:paraId="5A0EBC26">
      <w:pPr>
        <w:rPr>
          <w:rFonts w:hint="eastAsia"/>
        </w:rPr>
      </w:pPr>
      <w:r>
        <w:rPr>
          <w:rFonts w:hint="eastAsia"/>
        </w:rPr>
        <w:t>“双核”：即安丰村城镇发展主核，为镇区公共服务中心，也是县域中部旅游集散副中心，形成区域旅游集散地，是安丰塘镇政治、经济、文化、创意、旅游的集聚地。苏王村城镇发展次核，为镇区公共服务次中心，是县域公共配套服务、工业发展的次中心。</w:t>
      </w:r>
    </w:p>
    <w:p w14:paraId="0254DF24">
      <w:pPr>
        <w:rPr>
          <w:rFonts w:hint="eastAsia"/>
        </w:rPr>
      </w:pPr>
      <w:r>
        <w:rPr>
          <w:rFonts w:hint="eastAsia"/>
        </w:rPr>
        <w:t>“三轴”：规划南北县道2</w:t>
      </w:r>
      <w:r>
        <w:t>03</w:t>
      </w:r>
      <w:r>
        <w:rPr>
          <w:rFonts w:hint="eastAsia"/>
        </w:rPr>
        <w:t>是镇域内发展主轴，联系安丰村城镇发展主核和苏王村城镇发展次核；规划s323省道和s</w:t>
      </w:r>
      <w:r>
        <w:t>322</w:t>
      </w:r>
      <w:r>
        <w:rPr>
          <w:rFonts w:hint="eastAsia"/>
        </w:rPr>
        <w:t>省道是发展次轴，连接正阳关镇、板桥镇、堰口镇等，串联镇域内四点村、苏王村、宋墙村、大树村、戈店村等节点。</w:t>
      </w:r>
    </w:p>
    <w:p w14:paraId="0010DD88">
      <w:pPr>
        <w:rPr>
          <w:rFonts w:hint="eastAsia"/>
        </w:rPr>
      </w:pPr>
      <w:r>
        <w:rPr>
          <w:rFonts w:hint="eastAsia"/>
        </w:rPr>
        <w:t>“多点”：即镇域范围内的四店村巷东、井亭村新房组、柿园村杨庙、大树村河坝组和后套组、宋墙村门西、戈店村蔡庄组和西墙组、苏王村墙西和新街、申桥村门北、安丰村井沿组、老街村小庄等</w:t>
      </w:r>
      <w:r>
        <w:t>13个</w:t>
      </w:r>
      <w:r>
        <w:rPr>
          <w:rFonts w:hint="eastAsia"/>
        </w:rPr>
        <w:t>中心村</w:t>
      </w:r>
      <w:r>
        <w:t>。</w:t>
      </w:r>
    </w:p>
    <w:p w14:paraId="70070AF2">
      <w:pPr>
        <w:pStyle w:val="4"/>
        <w:spacing w:line="360" w:lineRule="auto"/>
        <w:ind w:firstLine="565" w:firstLineChars="202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2、重要控制线</w:t>
      </w:r>
    </w:p>
    <w:p w14:paraId="593BD2EF">
      <w:pPr>
        <w:rPr>
          <w:rFonts w:hint="eastAsia"/>
        </w:rPr>
      </w:pPr>
      <w:r>
        <w:rPr>
          <w:rFonts w:hint="eastAsia"/>
        </w:rPr>
        <w:t>按照面积不减少、质量有提高、布局总体稳定的要求，对接县级国土空间规划永久基本农田划定成果，科学划定永久基本农田保护红线，规划划定基本农田红线面积</w:t>
      </w:r>
      <w:r>
        <w:t>6671.03公顷，占区域总面积的85.92%</w:t>
      </w:r>
      <w:r>
        <w:rPr>
          <w:rFonts w:hint="eastAsia"/>
        </w:rPr>
        <w:t>。</w:t>
      </w:r>
    </w:p>
    <w:p w14:paraId="6717FFC0">
      <w:r>
        <w:rPr>
          <w:rFonts w:hint="eastAsia"/>
        </w:rPr>
        <w:t>对接县级国土空间规划城镇开发边界划定成果，镇域</w:t>
      </w:r>
      <w:r>
        <w:t>城镇开发边界47.57</w:t>
      </w:r>
      <w:r>
        <w:rPr>
          <w:rFonts w:hint="eastAsia"/>
        </w:rPr>
        <w:t>公顷</w:t>
      </w:r>
      <w:r>
        <w:t>。城镇开发边界内的建设，实施“详细规划+规划许可”的管制方式。城镇开发边界外的建设，按照主导用途分区，实行“详细规划+规划许可”和“约束指标+分区准入”的管制方式。重点建设项目安排表是城镇开发边界外建设的主要依据。城镇开发边界一经划定，原则上不得调整。因国家重大战略调整、国家重大项目建设、行政区划调整等确需调整的，依法依规按程序进行</w:t>
      </w:r>
      <w:r>
        <w:rPr>
          <w:rFonts w:hint="eastAsia"/>
        </w:rPr>
        <w:t>。</w:t>
      </w:r>
    </w:p>
    <w:p w14:paraId="5AE8EEA6">
      <w:pPr>
        <w:rPr>
          <w:rFonts w:hint="eastAsia"/>
        </w:rPr>
      </w:pPr>
      <w:r>
        <w:rPr>
          <w:rFonts w:hint="eastAsia"/>
        </w:rPr>
        <w:t>与寿县国土空间规划生态红线划定结果衔接，安丰塘镇</w:t>
      </w:r>
      <w:r>
        <w:t>范围内不涉及省级以上自然保护区、风景名胜区、森林公园、地质公园、湿地公园、自然文化遗产等生态敏感区，未划定生态保护红线。</w:t>
      </w:r>
    </w:p>
    <w:p w14:paraId="736C4E74">
      <w:pPr>
        <w:rPr>
          <w:rFonts w:hint="eastAsia"/>
        </w:rPr>
      </w:pPr>
      <w:r>
        <w:rPr>
          <w:rFonts w:hint="eastAsia"/>
        </w:rPr>
        <w:t>划定国土空间历史文化保护控制线，</w:t>
      </w:r>
      <w:r>
        <w:t>不可移动文物的保护范围和建设控制地带，纳入国土空间历史文化保护控制线。</w:t>
      </w:r>
      <w:r>
        <w:rPr>
          <w:rFonts w:hint="eastAsia"/>
        </w:rPr>
        <w:t>对目前尚未明确保护范围的不可移动文物，可将预定保护范围、预定建控范围或本体范围纳入历史文化控制线。安丰塘镇域内有</w:t>
      </w:r>
      <w:r>
        <w:t>1处</w:t>
      </w:r>
      <w:r>
        <w:rPr>
          <w:rFonts w:hint="eastAsia"/>
        </w:rPr>
        <w:t>市</w:t>
      </w:r>
      <w:r>
        <w:t>级文保单位，2处县级文保单位，2处文物点</w:t>
      </w:r>
      <w:r>
        <w:rPr>
          <w:rFonts w:hint="eastAsia"/>
        </w:rPr>
        <w:t>，同时涉及国家级文保单位安丰塘（芍陂）的建设控制范围。</w:t>
      </w:r>
      <w:r>
        <w:t>文物建筑均应按文物保护法要求进行严格保护，不允许随意改变原有风貌及环境</w:t>
      </w:r>
      <w:r>
        <w:rPr>
          <w:rFonts w:hint="eastAsia"/>
        </w:rPr>
        <w:t>。历史文化控制线面积</w:t>
      </w:r>
      <w:r>
        <w:t>479.58</w:t>
      </w:r>
      <w:r>
        <w:rPr>
          <w:rFonts w:hint="eastAsia"/>
        </w:rPr>
        <w:t>公顷</w:t>
      </w:r>
      <w:r>
        <w:t>，占区域总面积的5.12%</w:t>
      </w:r>
      <w:r>
        <w:rPr>
          <w:rFonts w:hint="eastAsia"/>
        </w:rPr>
        <w:t>。</w:t>
      </w:r>
    </w:p>
    <w:p w14:paraId="1EBB5C4B">
      <w:pPr>
        <w:pStyle w:val="4"/>
        <w:spacing w:line="360" w:lineRule="auto"/>
        <w:ind w:firstLine="565" w:firstLineChars="202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四、村庄布局优化</w:t>
      </w:r>
    </w:p>
    <w:p w14:paraId="14D0602C">
      <w:pPr>
        <w:pStyle w:val="4"/>
        <w:spacing w:line="360" w:lineRule="auto"/>
        <w:ind w:firstLine="565" w:firstLineChars="202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1、镇村体系</w:t>
      </w:r>
    </w:p>
    <w:p w14:paraId="0F133F62">
      <w:pPr>
        <w:rPr>
          <w:rFonts w:hint="eastAsia"/>
        </w:rPr>
      </w:pPr>
      <w:r>
        <w:rPr>
          <w:rFonts w:hint="eastAsia"/>
        </w:rPr>
        <w:t>为了完善村镇体系结构，突出发展重点，提高城镇化水平，协调区域发展，提升管理的高效性。至2035年，逐步形成以安丰塘镇区为核心，着力构建“乡镇政府驻地—中心村—自然村”三级村镇体系，组成“形散实聚、层次分明、规模适度、等级合理”的村镇体系等级结构。</w:t>
      </w:r>
    </w:p>
    <w:p w14:paraId="70735057">
      <w:pPr>
        <w:rPr>
          <w:rFonts w:hint="eastAsia"/>
        </w:rPr>
      </w:pPr>
      <w:r>
        <w:rPr>
          <w:rFonts w:hint="eastAsia"/>
        </w:rPr>
        <w:t>第一级：乡镇政府驻地——包括街道、后县组两个村组。</w:t>
      </w:r>
    </w:p>
    <w:p w14:paraId="12DE0D39">
      <w:pPr>
        <w:rPr>
          <w:rFonts w:hint="eastAsia"/>
        </w:rPr>
      </w:pPr>
      <w:r>
        <w:rPr>
          <w:rFonts w:hint="eastAsia"/>
        </w:rPr>
        <w:t>第二级：中心村——四店村巷东、井亭村新房组、柿园村杨庙、大树村河坝组和后套组、宋墙村门西、戈店村蔡庄组和西墙组、苏王村墙西和新街、申桥村门北、安丰村井沿组、老街村小庄等13个村组。</w:t>
      </w:r>
    </w:p>
    <w:p w14:paraId="2C14FA16">
      <w:pPr>
        <w:rPr>
          <w:rFonts w:hint="eastAsia"/>
        </w:rPr>
      </w:pPr>
      <w:r>
        <w:rPr>
          <w:rFonts w:hint="eastAsia"/>
        </w:rPr>
        <w:t>第三级：一般村——遍布全域，包括274个。</w:t>
      </w:r>
    </w:p>
    <w:p w14:paraId="47E638ED">
      <w:pPr>
        <w:pStyle w:val="4"/>
        <w:spacing w:line="360" w:lineRule="auto"/>
        <w:ind w:firstLine="565" w:firstLineChars="202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2、</w:t>
      </w:r>
      <w:r>
        <w:rPr>
          <w:rFonts w:ascii="微软雅黑" w:hAnsi="微软雅黑" w:eastAsia="微软雅黑" w:cs="微软雅黑"/>
          <w:b/>
          <w:sz w:val="28"/>
          <w:szCs w:val="28"/>
        </w:rPr>
        <w:t xml:space="preserve">村庄分类与布局 </w:t>
      </w:r>
    </w:p>
    <w:p w14:paraId="6622C419">
      <w:pPr>
        <w:rPr>
          <w:rFonts w:hint="eastAsia"/>
        </w:rPr>
      </w:pPr>
      <w:r>
        <w:rPr>
          <w:rFonts w:hint="eastAsia"/>
        </w:rPr>
        <w:t>中心村的村庄类型上划分为特色保护类、城郊融合类、搬迁撤并类、集聚提升类和其他类五大类。安丰塘镇下辖10个行政村中：1个行政村位于城镇建设区内，其余为8个集聚提升类、1个城郊融合类、1个特色保护类。依据村庄分类原则和自然村分类征求意见，划分80个提升型，179个稳定型，12个撤并型，17个收缩型</w:t>
      </w:r>
      <w:r>
        <w:t>。</w:t>
      </w:r>
    </w:p>
    <w:p w14:paraId="0727FE2B">
      <w:pPr>
        <w:pStyle w:val="4"/>
        <w:spacing w:line="360" w:lineRule="auto"/>
        <w:ind w:firstLine="565" w:firstLineChars="202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五、</w:t>
      </w:r>
      <w:r>
        <w:rPr>
          <w:rFonts w:ascii="微软雅黑" w:hAnsi="微软雅黑" w:eastAsia="微软雅黑" w:cs="微软雅黑"/>
          <w:b/>
          <w:sz w:val="28"/>
          <w:szCs w:val="28"/>
        </w:rPr>
        <w:t>产业布局</w:t>
      </w:r>
    </w:p>
    <w:p w14:paraId="19BDDA2E">
      <w:pPr>
        <w:pStyle w:val="4"/>
        <w:spacing w:line="360" w:lineRule="auto"/>
        <w:ind w:firstLine="565" w:firstLineChars="202"/>
        <w:rPr>
          <w:rFonts w:hint="eastAsia" w:ascii="微软雅黑" w:hAnsi="微软雅黑" w:eastAsia="微软雅黑" w:cs="微软雅黑"/>
          <w:b/>
          <w:sz w:val="28"/>
          <w:szCs w:val="28"/>
        </w:rPr>
      </w:pPr>
      <w:bookmarkStart w:id="11" w:name="_Toc141735117"/>
      <w:bookmarkStart w:id="12" w:name="_Toc142231885"/>
      <w:r>
        <w:rPr>
          <w:rFonts w:hint="eastAsia" w:ascii="微软雅黑" w:hAnsi="微软雅黑" w:eastAsia="微软雅黑" w:cs="微软雅黑"/>
          <w:b/>
          <w:sz w:val="28"/>
          <w:szCs w:val="28"/>
        </w:rPr>
        <w:t>1、产业发展目标</w:t>
      </w:r>
      <w:bookmarkEnd w:id="11"/>
      <w:bookmarkEnd w:id="12"/>
    </w:p>
    <w:p w14:paraId="03CDB3CB">
      <w:pPr>
        <w:ind w:firstLine="562"/>
        <w:rPr>
          <w:rFonts w:hint="eastAsia"/>
        </w:rPr>
      </w:pPr>
      <w:r>
        <w:rPr>
          <w:rFonts w:hint="eastAsia"/>
          <w:b/>
          <w:bCs/>
        </w:rPr>
        <w:t>农业提质增效，加快提升农业现代化水平。</w:t>
      </w:r>
      <w:r>
        <w:rPr>
          <w:rFonts w:hint="eastAsia"/>
        </w:rPr>
        <w:t>推动水稻、小麦、油菜、棉花、席草、荷仁豆提质增效，规模化发展。促进特种泰鳄养殖、娃娃鱼水产养殖、瓜蒌种植、药材种植、蔬菜水果种植等特色种养产业向规模化、品牌化转变。重点强化基地建设、着力推进生产基地规模化、产品加工集群化、发展模式绿色化和发展路径的融合化，全面提升农业现代化水平。积极发展农村电商，繁荣活跃农村市场。推动产业优化向专业化和价值链高端延伸、产业结构向高品质和多样化升级。</w:t>
      </w:r>
    </w:p>
    <w:p w14:paraId="49411083">
      <w:pPr>
        <w:ind w:firstLine="562"/>
        <w:rPr>
          <w:rFonts w:hint="eastAsia"/>
        </w:rPr>
      </w:pPr>
      <w:r>
        <w:rPr>
          <w:rFonts w:hint="eastAsia"/>
          <w:b/>
          <w:bCs/>
        </w:rPr>
        <w:t>工业转型提升，推进工业产业集中集聚。</w:t>
      </w:r>
      <w:r>
        <w:rPr>
          <w:rFonts w:hint="eastAsia"/>
        </w:rPr>
        <w:t>积极发展绿色能源、物流仓储、农产品精深加工等产业。支持企业重大设备更新改造、重大技术创新项目和创新能力建设，促进传统产业的转型升级。对分布零散、低效的工业企业进行有序腾退，整合低效闲置的建设用地，布局新产业。</w:t>
      </w:r>
    </w:p>
    <w:p w14:paraId="432E8BD1">
      <w:pPr>
        <w:ind w:firstLine="562"/>
        <w:rPr>
          <w:rFonts w:hint="eastAsia"/>
        </w:rPr>
      </w:pPr>
      <w:r>
        <w:rPr>
          <w:rFonts w:hint="eastAsia"/>
          <w:b/>
          <w:bCs/>
        </w:rPr>
        <w:t>文商农旅融合发展，打造近郊都市休闲走廊。</w:t>
      </w:r>
      <w:r>
        <w:rPr>
          <w:rFonts w:hint="eastAsia"/>
        </w:rPr>
        <w:t>积极发展旅游农业、观光休闲采摘农业，结合节日假期进行稻田画观光活动等旅游项目。发展乡村酒店、民宿等新业态，打造乡村旅游集聚地。面向寿县、淮南近郊旅游，以都市休闲为中心，配套观光、采摘、亲子、骑游、康体、运动等业态和项目，形成近郊休闲走廊。建设安丰塘镇的滨水绿廊，配套自驾服务体系，打造精品旅游路线，结合古水利文化、乡贤文化、水运文化资源，打造古镇旅游区、水利文化旅游区、滨水休闲旅游区、特色民宿等项目，营造旅游氛围，拓展文化旅游空间。</w:t>
      </w:r>
    </w:p>
    <w:p w14:paraId="6BB6B447">
      <w:pPr>
        <w:pStyle w:val="4"/>
        <w:spacing w:line="360" w:lineRule="auto"/>
        <w:ind w:firstLine="565" w:firstLineChars="202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2、产业布局</w:t>
      </w:r>
    </w:p>
    <w:p w14:paraId="44012732">
      <w:pPr>
        <w:rPr>
          <w:rFonts w:hint="eastAsia"/>
        </w:rPr>
      </w:pPr>
      <w:r>
        <w:rPr>
          <w:rFonts w:hint="eastAsia"/>
        </w:rPr>
        <w:t>规划形成“一带、两核，三区、多基地”集群化、规模化的产业发展布局。</w:t>
      </w:r>
    </w:p>
    <w:p w14:paraId="7B497EA7">
      <w:pPr>
        <w:rPr>
          <w:rFonts w:hint="eastAsia"/>
        </w:rPr>
      </w:pPr>
      <w:r>
        <w:rPr>
          <w:rFonts w:hint="eastAsia"/>
        </w:rPr>
        <w:t>一带：滨水休闲旅游带。依托安丰塘镇的滨水绿廊，配套自驾服务体系，打造精品旅游路线，串联孙公祠旅游景点、民宿区、双遗博物馆、观光农田、百里画廊等景点，连接城镇塘仁街旅游服务核心。</w:t>
      </w:r>
    </w:p>
    <w:p w14:paraId="4D8CD689">
      <w:pPr>
        <w:rPr>
          <w:rFonts w:hint="eastAsia"/>
        </w:rPr>
      </w:pPr>
      <w:r>
        <w:rPr>
          <w:rFonts w:hint="eastAsia"/>
        </w:rPr>
        <w:t>两核：城镇旅游服务核，以塘仁街为核心，成为中部旅游集散服务区域，提供住宿、餐饮、文化创意等服务。苏王村工业发展核，强化原有服饰、装饰等工业基础，引导工业集聚化、集约化发展，带动区域工业发展。</w:t>
      </w:r>
    </w:p>
    <w:p w14:paraId="2F0F2800">
      <w:pPr>
        <w:rPr>
          <w:rFonts w:hint="eastAsia"/>
        </w:rPr>
      </w:pPr>
      <w:r>
        <w:rPr>
          <w:rFonts w:hint="eastAsia"/>
        </w:rPr>
        <w:t>三区：南部观光农业发展区，依托农田画、江淮风情民居、农耕文化等，形成农旅结合的观光农业发展区。中部生态农业发展区，发展区域内水产养殖、禽畜养殖、果树种植等产业，注重农业生态化、绿色化发展，形成安丰塘镇品牌产品。北部现代农业发展区，发展集约化、现代化、智能化农业，加强农产品的精深加工，推动农产品的市场化、商业化。</w:t>
      </w:r>
    </w:p>
    <w:p w14:paraId="737E66DB">
      <w:pPr>
        <w:rPr>
          <w:rFonts w:hint="eastAsia"/>
        </w:rPr>
      </w:pPr>
      <w:r>
        <w:rPr>
          <w:rFonts w:hint="eastAsia"/>
        </w:rPr>
        <w:t>多基地：包括优质粮种植基地、精养池塘优质蟹养殖基地、甲鱼养殖基地等多个农业园区基地。</w:t>
      </w:r>
    </w:p>
    <w:p w14:paraId="34586BC7">
      <w:pPr>
        <w:rPr>
          <w:rFonts w:hint="eastAsia"/>
        </w:rPr>
      </w:pPr>
      <w:r>
        <w:rPr>
          <w:rFonts w:hint="eastAsia"/>
        </w:rPr>
        <w:t>结合农业基地配套和扩展农产品加工、产地初加工及冷链物流基地，完善现代农业产业化基地，智慧农业及数字农业基地，发展农旅融合新产业。</w:t>
      </w:r>
    </w:p>
    <w:p w14:paraId="1D8FF61A">
      <w:pPr>
        <w:pStyle w:val="4"/>
        <w:spacing w:line="360" w:lineRule="auto"/>
        <w:ind w:firstLine="565" w:firstLineChars="202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五、镇政府驻地规划</w:t>
      </w:r>
    </w:p>
    <w:bookmarkEnd w:id="7"/>
    <w:bookmarkEnd w:id="10"/>
    <w:p w14:paraId="6EA6B76E">
      <w:pPr>
        <w:pStyle w:val="4"/>
        <w:spacing w:line="360" w:lineRule="auto"/>
        <w:ind w:firstLine="565" w:firstLineChars="202"/>
        <w:rPr>
          <w:rFonts w:hint="eastAsia" w:ascii="微软雅黑" w:hAnsi="微软雅黑" w:eastAsia="微软雅黑" w:cs="微软雅黑"/>
          <w:b/>
          <w:sz w:val="28"/>
          <w:szCs w:val="28"/>
        </w:rPr>
      </w:pPr>
      <w:bookmarkStart w:id="13" w:name="_Hlk143872358"/>
      <w:r>
        <w:rPr>
          <w:rFonts w:hint="eastAsia" w:ascii="微软雅黑" w:hAnsi="微软雅黑" w:eastAsia="微软雅黑" w:cs="微软雅黑"/>
          <w:b/>
          <w:sz w:val="28"/>
          <w:szCs w:val="28"/>
        </w:rPr>
        <w:t>1、规划结构</w:t>
      </w:r>
    </w:p>
    <w:p w14:paraId="06745568">
      <w:pPr>
        <w:ind w:firstLineChars="0"/>
        <w:rPr>
          <w:rFonts w:hint="eastAsia"/>
        </w:rPr>
      </w:pPr>
      <w:r>
        <w:rPr>
          <w:rFonts w:hint="eastAsia"/>
        </w:rPr>
        <w:t>安丰塘镇驻地的规划空间结构概括为“一轴、一带、三片”。</w:t>
      </w:r>
    </w:p>
    <w:p w14:paraId="37FD26E3">
      <w:pPr>
        <w:ind w:firstLineChars="0"/>
        <w:rPr>
          <w:rFonts w:hint="eastAsia"/>
        </w:rPr>
      </w:pPr>
      <w:r>
        <w:rPr>
          <w:rFonts w:hint="eastAsia"/>
        </w:rPr>
        <w:t>一轴：即塘仁街城镇商业轴，包括综合商贸、旅游服务、文化创意等业态，打造城镇活力中心。</w:t>
      </w:r>
    </w:p>
    <w:p w14:paraId="05C99D79">
      <w:pPr>
        <w:ind w:firstLineChars="0"/>
        <w:rPr>
          <w:rFonts w:hint="eastAsia"/>
        </w:rPr>
      </w:pPr>
      <w:r>
        <w:rPr>
          <w:rFonts w:hint="eastAsia"/>
        </w:rPr>
        <w:t>一带：即福通大道两侧，围绕镇政府、卫生院、幼儿园等形成城镇生活服务核心。</w:t>
      </w:r>
    </w:p>
    <w:p w14:paraId="738ED70D">
      <w:pPr>
        <w:ind w:firstLineChars="0"/>
        <w:rPr>
          <w:rFonts w:hint="eastAsia"/>
        </w:rPr>
      </w:pPr>
      <w:r>
        <w:rPr>
          <w:rFonts w:hint="eastAsia"/>
        </w:rPr>
        <w:t>三片：老城生活服务区、塘仁街商住片区、南部居住片区。</w:t>
      </w:r>
      <w:bookmarkEnd w:id="13"/>
    </w:p>
    <w:p w14:paraId="49DD0DB3">
      <w:pPr>
        <w:pStyle w:val="4"/>
        <w:spacing w:line="360" w:lineRule="auto"/>
        <w:ind w:firstLine="565" w:firstLineChars="202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2、道路交通</w:t>
      </w:r>
    </w:p>
    <w:p w14:paraId="03BFA0A2">
      <w:pPr>
        <w:rPr>
          <w:rFonts w:hint="eastAsia"/>
        </w:rPr>
      </w:pPr>
      <w:r>
        <w:rPr>
          <w:rFonts w:hint="eastAsia"/>
        </w:rPr>
        <w:t>对老镇区路网进行梳理，对主要道路进行必要的拓宽，打通断头路，改善其道路交通条件。规划在新居住片区和东部工业片区形成“三横五纵”的骨干路网，满足人流和物流集散的需求。</w:t>
      </w:r>
    </w:p>
    <w:p w14:paraId="7F8996F8">
      <w:pPr>
        <w:rPr>
          <w:rFonts w:hint="eastAsia"/>
        </w:rPr>
      </w:pPr>
      <w:r>
        <w:rPr>
          <w:rFonts w:hint="eastAsia"/>
        </w:rPr>
        <w:t>主干道为福通大道，东西向连通镇政府驻地，兼具交通服务与生活服务的综合功能，红线宽度按</w:t>
      </w:r>
      <w:r>
        <w:t>21</w:t>
      </w:r>
      <w:r>
        <w:rPr>
          <w:rFonts w:hint="eastAsia"/>
        </w:rPr>
        <w:t>米控制；次干道为塘仁街和环塘路，兼具生活服务、旅游观光和交通的综合功能，红线宽度分别按照</w:t>
      </w:r>
      <w:r>
        <w:t>15</w:t>
      </w:r>
      <w:r>
        <w:rPr>
          <w:rFonts w:hint="eastAsia"/>
        </w:rPr>
        <w:t>米和1</w:t>
      </w:r>
      <w:r>
        <w:t>8</w:t>
      </w:r>
      <w:r>
        <w:rPr>
          <w:rFonts w:hint="eastAsia"/>
        </w:rPr>
        <w:t>米控制；支路包括其它生活性道路，与干道连接，断面按照</w:t>
      </w:r>
      <w:r>
        <w:t>9</w:t>
      </w:r>
      <w:r>
        <w:rPr>
          <w:rFonts w:hint="eastAsia"/>
        </w:rPr>
        <w:t>-</w:t>
      </w:r>
      <w:r>
        <w:t>12</w:t>
      </w:r>
      <w:r>
        <w:rPr>
          <w:rFonts w:hint="eastAsia"/>
        </w:rPr>
        <w:t>米控制。</w:t>
      </w:r>
    </w:p>
    <w:p w14:paraId="63AE73F8">
      <w:pPr>
        <w:pStyle w:val="4"/>
        <w:spacing w:line="360" w:lineRule="auto"/>
        <w:ind w:firstLine="565" w:firstLineChars="202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3、公共空间和绿地系统</w:t>
      </w:r>
    </w:p>
    <w:p w14:paraId="1BC1CCE4">
      <w:pPr>
        <w:rPr>
          <w:rFonts w:hint="eastAsia"/>
        </w:rPr>
      </w:pPr>
      <w:r>
        <w:rPr>
          <w:rFonts w:hint="eastAsia"/>
        </w:rPr>
        <w:t>结合自然地理条件，构建具有地域文化特色的广场、公园、滨水和街巷等公共空间体系。</w:t>
      </w:r>
    </w:p>
    <w:p w14:paraId="74DE09D0">
      <w:pPr>
        <w:rPr>
          <w:rFonts w:hint="eastAsia"/>
        </w:rPr>
      </w:pPr>
      <w:r>
        <w:rPr>
          <w:rFonts w:hint="eastAsia"/>
        </w:rPr>
        <w:t>实施淠东干渠河道治理及生态修复，改善水环境质量，结合河道清淤、岸线修复、驳岸处理、绿地和生态景观节点建设，打造生态绿色驳岸景观。</w:t>
      </w:r>
    </w:p>
    <w:p w14:paraId="739D3382">
      <w:pPr>
        <w:rPr>
          <w:rFonts w:hint="eastAsia"/>
        </w:rPr>
      </w:pPr>
      <w:r>
        <w:rPr>
          <w:rFonts w:hint="eastAsia"/>
        </w:rPr>
        <w:t>规划沿环塘路和塘仁街打造主要的公园绿地体系，串联起若干城镇公园、开放广场、街头绿地、口袋公园和林荫道，打通重要的公共服务节点，形成步行、骑行友好的公共空间体系。</w:t>
      </w:r>
    </w:p>
    <w:p w14:paraId="43305241">
      <w:pPr>
        <w:pStyle w:val="4"/>
        <w:spacing w:line="360" w:lineRule="auto"/>
        <w:ind w:firstLine="565" w:firstLineChars="202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4、公共服务体系</w:t>
      </w:r>
    </w:p>
    <w:p w14:paraId="43A896C1">
      <w:pPr>
        <w:jc w:val="left"/>
        <w:rPr>
          <w:rFonts w:hint="eastAsia"/>
        </w:rPr>
      </w:pPr>
      <w:r>
        <w:rPr>
          <w:rFonts w:hint="eastAsia"/>
        </w:rPr>
        <w:t>落实上位规划公共服务设施重点建设项目，优化公共服务设施布局，提升镇政府驻地服务能级，形成共建共享的公共服务体系。优先保障教育、医疗、养老等重大设施用地需求，新增</w:t>
      </w:r>
      <w:r>
        <w:t>1</w:t>
      </w:r>
      <w:r>
        <w:rPr>
          <w:rFonts w:hint="eastAsia"/>
        </w:rPr>
        <w:t>处文体活动中心，推进安丰塘镇卫生院扩建工程，新建安置社区设置老年人日间照料中心，并在老镇区增加若干社区幸福院、长者饭堂、老年人志愿服务站等为老服务设施。</w:t>
      </w:r>
    </w:p>
    <w:p w14:paraId="6C5E260E">
      <w:pPr>
        <w:ind w:firstLine="0" w:firstLineChars="0"/>
        <w:rPr>
          <w:rFonts w:hint="eastAsia"/>
        </w:rPr>
      </w:pPr>
      <w:r>
        <w:rPr>
          <w:rFonts w:hint="eastAsia"/>
        </w:rPr>
        <w:t>附图1 镇域国土空间控制线规划图</w:t>
      </w:r>
    </w:p>
    <w:p w14:paraId="6FB0DF94">
      <w:pPr>
        <w:ind w:firstLine="0" w:firstLineChars="0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73040" cy="3726180"/>
            <wp:effectExtent l="0" t="0" r="3810" b="7620"/>
            <wp:docPr id="16706945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694519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327E2">
      <w:pPr>
        <w:ind w:firstLine="0" w:firstLineChars="0"/>
        <w:rPr>
          <w:rFonts w:hint="eastAsia"/>
        </w:rPr>
      </w:pPr>
      <w:r>
        <w:rPr>
          <w:rFonts w:hint="eastAsia"/>
        </w:rPr>
        <w:t>附图2 镇域国土空间总体规划图</w:t>
      </w:r>
    </w:p>
    <w:p w14:paraId="6E66E15D">
      <w:pPr>
        <w:ind w:firstLine="0" w:firstLineChars="0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73040" cy="3726180"/>
            <wp:effectExtent l="0" t="0" r="3810" b="7620"/>
            <wp:docPr id="17081311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131130" name="图片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0" w:h="16840"/>
      <w:pgMar w:top="1440" w:right="1797" w:bottom="1440" w:left="1797" w:header="851" w:footer="992" w:gutter="0"/>
      <w:cols w:space="425" w:num="1"/>
      <w:docGrid w:type="linesAndChars"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7F" w:usb3="00000000" w:csb0="003F01FF" w:csb1="00000000"/>
  </w:font>
  <w:font w:name="MicrosoftYaHei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2B13BE">
    <w:pPr>
      <w:pStyle w:val="17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4748C3">
    <w:pPr>
      <w:pStyle w:val="17"/>
      <w:ind w:firstLine="360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B1A5C8">
    <w:pPr>
      <w:pStyle w:val="17"/>
      <w:ind w:firstLine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8DF744">
    <w:pPr>
      <w:pStyle w:val="18"/>
      <w:ind w:firstLine="360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42F90A">
    <w:pPr>
      <w:pStyle w:val="18"/>
      <w:ind w:firstLine="360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947BB3">
    <w:pPr>
      <w:pStyle w:val="18"/>
      <w:ind w:firstLine="360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VjZWU4ZTRmM2NkMzcxM2EwZjM3ZDBiMGUyMTgxYzkifQ=="/>
  </w:docVars>
  <w:rsids>
    <w:rsidRoot w:val="00A108C0"/>
    <w:rsid w:val="000004D2"/>
    <w:rsid w:val="000066C6"/>
    <w:rsid w:val="00016943"/>
    <w:rsid w:val="000177DD"/>
    <w:rsid w:val="0002524A"/>
    <w:rsid w:val="00025C40"/>
    <w:rsid w:val="000264A8"/>
    <w:rsid w:val="00027ACC"/>
    <w:rsid w:val="0003083D"/>
    <w:rsid w:val="00055281"/>
    <w:rsid w:val="00056435"/>
    <w:rsid w:val="000664EC"/>
    <w:rsid w:val="0007137C"/>
    <w:rsid w:val="00074328"/>
    <w:rsid w:val="00077D47"/>
    <w:rsid w:val="000870EA"/>
    <w:rsid w:val="000A5521"/>
    <w:rsid w:val="000A59C9"/>
    <w:rsid w:val="000A675A"/>
    <w:rsid w:val="000B6A94"/>
    <w:rsid w:val="000C06AE"/>
    <w:rsid w:val="000C17CE"/>
    <w:rsid w:val="000D148D"/>
    <w:rsid w:val="000D2C47"/>
    <w:rsid w:val="000E0686"/>
    <w:rsid w:val="000E5DB3"/>
    <w:rsid w:val="000E604E"/>
    <w:rsid w:val="000E71F2"/>
    <w:rsid w:val="000F6A35"/>
    <w:rsid w:val="001047A6"/>
    <w:rsid w:val="0011246B"/>
    <w:rsid w:val="00123736"/>
    <w:rsid w:val="001248AF"/>
    <w:rsid w:val="00130C75"/>
    <w:rsid w:val="00131CAC"/>
    <w:rsid w:val="00146EEA"/>
    <w:rsid w:val="001521BC"/>
    <w:rsid w:val="001555B0"/>
    <w:rsid w:val="001575CA"/>
    <w:rsid w:val="001649C9"/>
    <w:rsid w:val="00165CA4"/>
    <w:rsid w:val="001725D1"/>
    <w:rsid w:val="00186533"/>
    <w:rsid w:val="00192243"/>
    <w:rsid w:val="00194658"/>
    <w:rsid w:val="001A612B"/>
    <w:rsid w:val="001A7500"/>
    <w:rsid w:val="001B5502"/>
    <w:rsid w:val="001B5FF1"/>
    <w:rsid w:val="001D2EFE"/>
    <w:rsid w:val="001D3C42"/>
    <w:rsid w:val="001D525E"/>
    <w:rsid w:val="001F02EB"/>
    <w:rsid w:val="001F053D"/>
    <w:rsid w:val="001F2AC6"/>
    <w:rsid w:val="001F798E"/>
    <w:rsid w:val="00204F36"/>
    <w:rsid w:val="002167A8"/>
    <w:rsid w:val="00225FFE"/>
    <w:rsid w:val="00231698"/>
    <w:rsid w:val="00235FE4"/>
    <w:rsid w:val="0024023F"/>
    <w:rsid w:val="00240DD3"/>
    <w:rsid w:val="00254033"/>
    <w:rsid w:val="00257CB7"/>
    <w:rsid w:val="00260445"/>
    <w:rsid w:val="002629E4"/>
    <w:rsid w:val="00262ECA"/>
    <w:rsid w:val="002665DF"/>
    <w:rsid w:val="0027189D"/>
    <w:rsid w:val="00273207"/>
    <w:rsid w:val="002752F0"/>
    <w:rsid w:val="00275AE8"/>
    <w:rsid w:val="0027677C"/>
    <w:rsid w:val="0027726C"/>
    <w:rsid w:val="00284482"/>
    <w:rsid w:val="00294EC3"/>
    <w:rsid w:val="002A1176"/>
    <w:rsid w:val="002A79DA"/>
    <w:rsid w:val="002B23E0"/>
    <w:rsid w:val="002B3CAB"/>
    <w:rsid w:val="002B49C6"/>
    <w:rsid w:val="002C7707"/>
    <w:rsid w:val="002E1A44"/>
    <w:rsid w:val="002E2B64"/>
    <w:rsid w:val="002E4127"/>
    <w:rsid w:val="002E5DB2"/>
    <w:rsid w:val="002E6584"/>
    <w:rsid w:val="002F3226"/>
    <w:rsid w:val="00302CD6"/>
    <w:rsid w:val="00321E69"/>
    <w:rsid w:val="00326885"/>
    <w:rsid w:val="00337CD4"/>
    <w:rsid w:val="003428AF"/>
    <w:rsid w:val="003518C0"/>
    <w:rsid w:val="00356475"/>
    <w:rsid w:val="003653F6"/>
    <w:rsid w:val="00365F0B"/>
    <w:rsid w:val="003751DC"/>
    <w:rsid w:val="00382951"/>
    <w:rsid w:val="00387891"/>
    <w:rsid w:val="003908F3"/>
    <w:rsid w:val="00390CA4"/>
    <w:rsid w:val="00391161"/>
    <w:rsid w:val="003911A6"/>
    <w:rsid w:val="003D058E"/>
    <w:rsid w:val="003D1293"/>
    <w:rsid w:val="003D2F7B"/>
    <w:rsid w:val="003D4053"/>
    <w:rsid w:val="003D597D"/>
    <w:rsid w:val="003E13BA"/>
    <w:rsid w:val="003E508E"/>
    <w:rsid w:val="003F1FCD"/>
    <w:rsid w:val="003F4F68"/>
    <w:rsid w:val="003F7A66"/>
    <w:rsid w:val="00404AF6"/>
    <w:rsid w:val="00405454"/>
    <w:rsid w:val="0041121E"/>
    <w:rsid w:val="004135C0"/>
    <w:rsid w:val="0041759A"/>
    <w:rsid w:val="00420F2B"/>
    <w:rsid w:val="00423383"/>
    <w:rsid w:val="00424DB4"/>
    <w:rsid w:val="00427998"/>
    <w:rsid w:val="00430B84"/>
    <w:rsid w:val="00436CA3"/>
    <w:rsid w:val="00441E5B"/>
    <w:rsid w:val="004471A9"/>
    <w:rsid w:val="0045052A"/>
    <w:rsid w:val="00456786"/>
    <w:rsid w:val="004574E6"/>
    <w:rsid w:val="00463330"/>
    <w:rsid w:val="004720EC"/>
    <w:rsid w:val="004722DB"/>
    <w:rsid w:val="00473DFB"/>
    <w:rsid w:val="00477ACE"/>
    <w:rsid w:val="00480116"/>
    <w:rsid w:val="00487767"/>
    <w:rsid w:val="00487EAB"/>
    <w:rsid w:val="004908E2"/>
    <w:rsid w:val="00490F51"/>
    <w:rsid w:val="0049421A"/>
    <w:rsid w:val="0049438E"/>
    <w:rsid w:val="004A0A1A"/>
    <w:rsid w:val="004A5986"/>
    <w:rsid w:val="004B0CF5"/>
    <w:rsid w:val="004C3C0F"/>
    <w:rsid w:val="004C5D82"/>
    <w:rsid w:val="004D09AE"/>
    <w:rsid w:val="004D29BF"/>
    <w:rsid w:val="004D33FD"/>
    <w:rsid w:val="004E5222"/>
    <w:rsid w:val="004E698C"/>
    <w:rsid w:val="004F18F6"/>
    <w:rsid w:val="004F6773"/>
    <w:rsid w:val="004F67A6"/>
    <w:rsid w:val="004F7639"/>
    <w:rsid w:val="00503193"/>
    <w:rsid w:val="005064A3"/>
    <w:rsid w:val="00513650"/>
    <w:rsid w:val="00513A84"/>
    <w:rsid w:val="005244F2"/>
    <w:rsid w:val="00525467"/>
    <w:rsid w:val="00535C5D"/>
    <w:rsid w:val="00541EA5"/>
    <w:rsid w:val="00543BD5"/>
    <w:rsid w:val="00550173"/>
    <w:rsid w:val="0055228F"/>
    <w:rsid w:val="00552FD1"/>
    <w:rsid w:val="005636C2"/>
    <w:rsid w:val="005675F3"/>
    <w:rsid w:val="00571AD4"/>
    <w:rsid w:val="0057556F"/>
    <w:rsid w:val="005834D6"/>
    <w:rsid w:val="005842DA"/>
    <w:rsid w:val="0058523F"/>
    <w:rsid w:val="005941C9"/>
    <w:rsid w:val="005951D0"/>
    <w:rsid w:val="00596DB0"/>
    <w:rsid w:val="005B001F"/>
    <w:rsid w:val="005B1ACA"/>
    <w:rsid w:val="005B42A8"/>
    <w:rsid w:val="005B7622"/>
    <w:rsid w:val="005D15E3"/>
    <w:rsid w:val="005F05D8"/>
    <w:rsid w:val="005F5504"/>
    <w:rsid w:val="00601152"/>
    <w:rsid w:val="006027F6"/>
    <w:rsid w:val="00603E40"/>
    <w:rsid w:val="00611D60"/>
    <w:rsid w:val="00616733"/>
    <w:rsid w:val="006201D5"/>
    <w:rsid w:val="00620CD8"/>
    <w:rsid w:val="006244E3"/>
    <w:rsid w:val="00626C97"/>
    <w:rsid w:val="00631261"/>
    <w:rsid w:val="00635E02"/>
    <w:rsid w:val="0063616E"/>
    <w:rsid w:val="0064056B"/>
    <w:rsid w:val="0064757D"/>
    <w:rsid w:val="00655307"/>
    <w:rsid w:val="00657036"/>
    <w:rsid w:val="00660EF7"/>
    <w:rsid w:val="00667A52"/>
    <w:rsid w:val="00671E71"/>
    <w:rsid w:val="00676B0D"/>
    <w:rsid w:val="00686711"/>
    <w:rsid w:val="00687A0A"/>
    <w:rsid w:val="006A111C"/>
    <w:rsid w:val="006B03A5"/>
    <w:rsid w:val="006B088B"/>
    <w:rsid w:val="006C2266"/>
    <w:rsid w:val="006C3E24"/>
    <w:rsid w:val="006D26B8"/>
    <w:rsid w:val="006D2E02"/>
    <w:rsid w:val="006E3270"/>
    <w:rsid w:val="006F3533"/>
    <w:rsid w:val="00705456"/>
    <w:rsid w:val="007156AF"/>
    <w:rsid w:val="00731341"/>
    <w:rsid w:val="00732F39"/>
    <w:rsid w:val="0073314B"/>
    <w:rsid w:val="007435A5"/>
    <w:rsid w:val="00766463"/>
    <w:rsid w:val="007665D3"/>
    <w:rsid w:val="00775799"/>
    <w:rsid w:val="007807EF"/>
    <w:rsid w:val="007825F4"/>
    <w:rsid w:val="007949CE"/>
    <w:rsid w:val="00796F10"/>
    <w:rsid w:val="007A0D57"/>
    <w:rsid w:val="007A5195"/>
    <w:rsid w:val="007B071A"/>
    <w:rsid w:val="007B76CA"/>
    <w:rsid w:val="007C4110"/>
    <w:rsid w:val="007D7ED5"/>
    <w:rsid w:val="007F3107"/>
    <w:rsid w:val="007F7547"/>
    <w:rsid w:val="007F7C25"/>
    <w:rsid w:val="007F7FAC"/>
    <w:rsid w:val="00804E23"/>
    <w:rsid w:val="0082381B"/>
    <w:rsid w:val="00825FF7"/>
    <w:rsid w:val="00837B1E"/>
    <w:rsid w:val="00842A39"/>
    <w:rsid w:val="00847783"/>
    <w:rsid w:val="00850041"/>
    <w:rsid w:val="00854123"/>
    <w:rsid w:val="0086058F"/>
    <w:rsid w:val="0086355A"/>
    <w:rsid w:val="00863FC3"/>
    <w:rsid w:val="00864D88"/>
    <w:rsid w:val="008713FC"/>
    <w:rsid w:val="00872338"/>
    <w:rsid w:val="00875F29"/>
    <w:rsid w:val="00890218"/>
    <w:rsid w:val="00890761"/>
    <w:rsid w:val="00891B53"/>
    <w:rsid w:val="0089364E"/>
    <w:rsid w:val="00897C29"/>
    <w:rsid w:val="008A08D7"/>
    <w:rsid w:val="008B0306"/>
    <w:rsid w:val="008B189E"/>
    <w:rsid w:val="008B32D5"/>
    <w:rsid w:val="008B3FB7"/>
    <w:rsid w:val="008B40D6"/>
    <w:rsid w:val="008B4D50"/>
    <w:rsid w:val="008C043E"/>
    <w:rsid w:val="008C33FC"/>
    <w:rsid w:val="008D1A8A"/>
    <w:rsid w:val="008E20A0"/>
    <w:rsid w:val="008F0EFC"/>
    <w:rsid w:val="008F642B"/>
    <w:rsid w:val="008F7ED4"/>
    <w:rsid w:val="00902716"/>
    <w:rsid w:val="00903AD3"/>
    <w:rsid w:val="00907AF4"/>
    <w:rsid w:val="00914838"/>
    <w:rsid w:val="00920364"/>
    <w:rsid w:val="00921C6B"/>
    <w:rsid w:val="0092291E"/>
    <w:rsid w:val="00926774"/>
    <w:rsid w:val="00931AF8"/>
    <w:rsid w:val="0093384F"/>
    <w:rsid w:val="00935157"/>
    <w:rsid w:val="009502BF"/>
    <w:rsid w:val="00957E86"/>
    <w:rsid w:val="00963446"/>
    <w:rsid w:val="0096688F"/>
    <w:rsid w:val="0096791E"/>
    <w:rsid w:val="00970482"/>
    <w:rsid w:val="00973301"/>
    <w:rsid w:val="00977849"/>
    <w:rsid w:val="009808E2"/>
    <w:rsid w:val="00983CAF"/>
    <w:rsid w:val="00994944"/>
    <w:rsid w:val="00996AA5"/>
    <w:rsid w:val="009A2E9E"/>
    <w:rsid w:val="009C11B7"/>
    <w:rsid w:val="009C35D9"/>
    <w:rsid w:val="009C48E9"/>
    <w:rsid w:val="009D4F08"/>
    <w:rsid w:val="009E26CF"/>
    <w:rsid w:val="009F4215"/>
    <w:rsid w:val="009F587B"/>
    <w:rsid w:val="009F5C06"/>
    <w:rsid w:val="00A00C65"/>
    <w:rsid w:val="00A05C34"/>
    <w:rsid w:val="00A05F2C"/>
    <w:rsid w:val="00A07073"/>
    <w:rsid w:val="00A108C0"/>
    <w:rsid w:val="00A1601B"/>
    <w:rsid w:val="00A208CC"/>
    <w:rsid w:val="00A214FF"/>
    <w:rsid w:val="00A24ECA"/>
    <w:rsid w:val="00A30C11"/>
    <w:rsid w:val="00A354CF"/>
    <w:rsid w:val="00A45CD2"/>
    <w:rsid w:val="00A503ED"/>
    <w:rsid w:val="00A53687"/>
    <w:rsid w:val="00A5467D"/>
    <w:rsid w:val="00A55F17"/>
    <w:rsid w:val="00A60CA4"/>
    <w:rsid w:val="00A824E8"/>
    <w:rsid w:val="00A8298C"/>
    <w:rsid w:val="00A8415C"/>
    <w:rsid w:val="00A8531F"/>
    <w:rsid w:val="00A94624"/>
    <w:rsid w:val="00AA5BC0"/>
    <w:rsid w:val="00AB0FA8"/>
    <w:rsid w:val="00AB5D75"/>
    <w:rsid w:val="00AC04DB"/>
    <w:rsid w:val="00AC1FA0"/>
    <w:rsid w:val="00AC7921"/>
    <w:rsid w:val="00AD40F3"/>
    <w:rsid w:val="00AD47FC"/>
    <w:rsid w:val="00AD5FB2"/>
    <w:rsid w:val="00AF4EB8"/>
    <w:rsid w:val="00AF6EF5"/>
    <w:rsid w:val="00AF750A"/>
    <w:rsid w:val="00B116F8"/>
    <w:rsid w:val="00B133D0"/>
    <w:rsid w:val="00B24ECC"/>
    <w:rsid w:val="00B25B46"/>
    <w:rsid w:val="00B26888"/>
    <w:rsid w:val="00B30EE0"/>
    <w:rsid w:val="00B36B8A"/>
    <w:rsid w:val="00B36C44"/>
    <w:rsid w:val="00B457D0"/>
    <w:rsid w:val="00B53277"/>
    <w:rsid w:val="00B65EA0"/>
    <w:rsid w:val="00B82BE1"/>
    <w:rsid w:val="00B84F20"/>
    <w:rsid w:val="00B962AA"/>
    <w:rsid w:val="00BA24E5"/>
    <w:rsid w:val="00BA2F6E"/>
    <w:rsid w:val="00BA61DD"/>
    <w:rsid w:val="00BB60ED"/>
    <w:rsid w:val="00BD0A33"/>
    <w:rsid w:val="00BD2CFF"/>
    <w:rsid w:val="00BE0C2F"/>
    <w:rsid w:val="00BE2534"/>
    <w:rsid w:val="00BE62FB"/>
    <w:rsid w:val="00BF0970"/>
    <w:rsid w:val="00BF73BF"/>
    <w:rsid w:val="00C03C7B"/>
    <w:rsid w:val="00C06A40"/>
    <w:rsid w:val="00C108A2"/>
    <w:rsid w:val="00C10A4A"/>
    <w:rsid w:val="00C148F2"/>
    <w:rsid w:val="00C216E6"/>
    <w:rsid w:val="00C267E1"/>
    <w:rsid w:val="00C331D3"/>
    <w:rsid w:val="00C415D7"/>
    <w:rsid w:val="00C50ECB"/>
    <w:rsid w:val="00C528CC"/>
    <w:rsid w:val="00C534A4"/>
    <w:rsid w:val="00C53B5F"/>
    <w:rsid w:val="00C600D4"/>
    <w:rsid w:val="00C600F9"/>
    <w:rsid w:val="00C60A75"/>
    <w:rsid w:val="00C66DFE"/>
    <w:rsid w:val="00C71E02"/>
    <w:rsid w:val="00C76FAA"/>
    <w:rsid w:val="00C86507"/>
    <w:rsid w:val="00C943BF"/>
    <w:rsid w:val="00C9545B"/>
    <w:rsid w:val="00C9708D"/>
    <w:rsid w:val="00CA5A18"/>
    <w:rsid w:val="00CB0F40"/>
    <w:rsid w:val="00CB6AD9"/>
    <w:rsid w:val="00CB7CC9"/>
    <w:rsid w:val="00CC1682"/>
    <w:rsid w:val="00CC4FFB"/>
    <w:rsid w:val="00CC725E"/>
    <w:rsid w:val="00CD293C"/>
    <w:rsid w:val="00CD37C7"/>
    <w:rsid w:val="00D05786"/>
    <w:rsid w:val="00D10620"/>
    <w:rsid w:val="00D11E26"/>
    <w:rsid w:val="00D12405"/>
    <w:rsid w:val="00D21E1F"/>
    <w:rsid w:val="00D27105"/>
    <w:rsid w:val="00D31ECB"/>
    <w:rsid w:val="00D32221"/>
    <w:rsid w:val="00D331C0"/>
    <w:rsid w:val="00D40605"/>
    <w:rsid w:val="00D65492"/>
    <w:rsid w:val="00D679D1"/>
    <w:rsid w:val="00D72DC0"/>
    <w:rsid w:val="00D8714C"/>
    <w:rsid w:val="00D92CBB"/>
    <w:rsid w:val="00D93456"/>
    <w:rsid w:val="00D94F74"/>
    <w:rsid w:val="00DA2398"/>
    <w:rsid w:val="00DA6B84"/>
    <w:rsid w:val="00DD3F16"/>
    <w:rsid w:val="00DD6070"/>
    <w:rsid w:val="00DE1CD2"/>
    <w:rsid w:val="00DF684B"/>
    <w:rsid w:val="00DF6C07"/>
    <w:rsid w:val="00E05496"/>
    <w:rsid w:val="00E06EFA"/>
    <w:rsid w:val="00E205E5"/>
    <w:rsid w:val="00E33743"/>
    <w:rsid w:val="00E343E2"/>
    <w:rsid w:val="00E351A7"/>
    <w:rsid w:val="00E40E31"/>
    <w:rsid w:val="00E45594"/>
    <w:rsid w:val="00E4693B"/>
    <w:rsid w:val="00E46F94"/>
    <w:rsid w:val="00E52027"/>
    <w:rsid w:val="00E60A54"/>
    <w:rsid w:val="00E75EA8"/>
    <w:rsid w:val="00E9113D"/>
    <w:rsid w:val="00EA02BA"/>
    <w:rsid w:val="00EA330C"/>
    <w:rsid w:val="00EB09C3"/>
    <w:rsid w:val="00EB2780"/>
    <w:rsid w:val="00EC2115"/>
    <w:rsid w:val="00EC7338"/>
    <w:rsid w:val="00ED4766"/>
    <w:rsid w:val="00ED5629"/>
    <w:rsid w:val="00ED64A3"/>
    <w:rsid w:val="00EE23F6"/>
    <w:rsid w:val="00EE7119"/>
    <w:rsid w:val="00F00F48"/>
    <w:rsid w:val="00F02F06"/>
    <w:rsid w:val="00F055FA"/>
    <w:rsid w:val="00F05BA9"/>
    <w:rsid w:val="00F16B18"/>
    <w:rsid w:val="00F26C57"/>
    <w:rsid w:val="00F4211F"/>
    <w:rsid w:val="00F4532F"/>
    <w:rsid w:val="00F4585F"/>
    <w:rsid w:val="00F569B1"/>
    <w:rsid w:val="00F60EB1"/>
    <w:rsid w:val="00F615D9"/>
    <w:rsid w:val="00F67787"/>
    <w:rsid w:val="00F71630"/>
    <w:rsid w:val="00F73851"/>
    <w:rsid w:val="00F7477E"/>
    <w:rsid w:val="00F811E4"/>
    <w:rsid w:val="00F86B41"/>
    <w:rsid w:val="00F968A9"/>
    <w:rsid w:val="00F977FF"/>
    <w:rsid w:val="00FA0FF1"/>
    <w:rsid w:val="00FB6D21"/>
    <w:rsid w:val="00FB7872"/>
    <w:rsid w:val="00FC10C2"/>
    <w:rsid w:val="00FC2945"/>
    <w:rsid w:val="00FC7ECC"/>
    <w:rsid w:val="00FD0323"/>
    <w:rsid w:val="00FD0DBC"/>
    <w:rsid w:val="00FD2965"/>
    <w:rsid w:val="00FD7A34"/>
    <w:rsid w:val="015B1A43"/>
    <w:rsid w:val="01DA2F78"/>
    <w:rsid w:val="05137039"/>
    <w:rsid w:val="058D598A"/>
    <w:rsid w:val="08B3515D"/>
    <w:rsid w:val="08F00964"/>
    <w:rsid w:val="0BED5990"/>
    <w:rsid w:val="0E7A6998"/>
    <w:rsid w:val="13496133"/>
    <w:rsid w:val="13623FB2"/>
    <w:rsid w:val="147E306D"/>
    <w:rsid w:val="17F13B56"/>
    <w:rsid w:val="18E738BC"/>
    <w:rsid w:val="210112AE"/>
    <w:rsid w:val="26AF2326"/>
    <w:rsid w:val="29357917"/>
    <w:rsid w:val="2AE024A3"/>
    <w:rsid w:val="2C81141F"/>
    <w:rsid w:val="34414C44"/>
    <w:rsid w:val="37903153"/>
    <w:rsid w:val="388163D9"/>
    <w:rsid w:val="38CD5B52"/>
    <w:rsid w:val="39155E91"/>
    <w:rsid w:val="39627166"/>
    <w:rsid w:val="397916C4"/>
    <w:rsid w:val="3F5D4F8F"/>
    <w:rsid w:val="41AA4DE7"/>
    <w:rsid w:val="42C45840"/>
    <w:rsid w:val="44F27885"/>
    <w:rsid w:val="454964D0"/>
    <w:rsid w:val="46F37D97"/>
    <w:rsid w:val="47631730"/>
    <w:rsid w:val="4A465545"/>
    <w:rsid w:val="4C8E247C"/>
    <w:rsid w:val="50236817"/>
    <w:rsid w:val="53C27B7A"/>
    <w:rsid w:val="556E7FB9"/>
    <w:rsid w:val="5A314FBD"/>
    <w:rsid w:val="5AE73357"/>
    <w:rsid w:val="5CA524E1"/>
    <w:rsid w:val="5CF6130E"/>
    <w:rsid w:val="5FC472DD"/>
    <w:rsid w:val="6058628F"/>
    <w:rsid w:val="61954A62"/>
    <w:rsid w:val="64184376"/>
    <w:rsid w:val="66466D76"/>
    <w:rsid w:val="66C24E61"/>
    <w:rsid w:val="67AE693B"/>
    <w:rsid w:val="68C50416"/>
    <w:rsid w:val="6D57712D"/>
    <w:rsid w:val="6E034B80"/>
    <w:rsid w:val="71231D32"/>
    <w:rsid w:val="729C3F60"/>
    <w:rsid w:val="73467931"/>
    <w:rsid w:val="785B5D23"/>
    <w:rsid w:val="7AB84DAE"/>
    <w:rsid w:val="7D29419B"/>
    <w:rsid w:val="7D675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9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99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  <w:ind w:firstLine="560" w:firstLineChars="200"/>
      <w:jc w:val="both"/>
    </w:pPr>
    <w:rPr>
      <w:rFonts w:ascii="宋体" w:hAnsi="宋体" w:eastAsia="宋体" w:cs="宋体"/>
      <w:sz w:val="28"/>
      <w:szCs w:val="28"/>
      <w:lang w:val="en-US" w:eastAsia="zh-CN" w:bidi="ar-SA"/>
    </w:rPr>
  </w:style>
  <w:style w:type="paragraph" w:styleId="2">
    <w:name w:val="heading 1"/>
    <w:basedOn w:val="3"/>
    <w:next w:val="1"/>
    <w:link w:val="38"/>
    <w:qFormat/>
    <w:uiPriority w:val="0"/>
    <w:pPr>
      <w:jc w:val="both"/>
    </w:pPr>
    <w:rPr>
      <w:rFonts w:ascii="微软雅黑" w:hAnsi="微软雅黑" w:eastAsia="微软雅黑" w:cs="微软雅黑"/>
    </w:rPr>
  </w:style>
  <w:style w:type="paragraph" w:styleId="5">
    <w:name w:val="heading 2"/>
    <w:basedOn w:val="6"/>
    <w:next w:val="1"/>
    <w:link w:val="37"/>
    <w:unhideWhenUsed/>
    <w:qFormat/>
    <w:uiPriority w:val="0"/>
    <w:pPr>
      <w:spacing w:after="120"/>
      <w:jc w:val="center"/>
    </w:pPr>
    <w:rPr>
      <w:rFonts w:ascii="宋体" w:hAnsi="宋体" w:eastAsia="宋体" w:cs="宋体"/>
    </w:rPr>
  </w:style>
  <w:style w:type="paragraph" w:styleId="7">
    <w:name w:val="heading 3"/>
    <w:basedOn w:val="1"/>
    <w:next w:val="1"/>
    <w:link w:val="34"/>
    <w:unhideWhenUsed/>
    <w:qFormat/>
    <w:uiPriority w:val="9"/>
    <w:pPr>
      <w:outlineLvl w:val="2"/>
    </w:pPr>
    <w:rPr>
      <w:rFonts w:ascii="微软雅黑" w:hAnsi="微软雅黑" w:eastAsia="微软雅黑"/>
      <w:b/>
      <w:bCs/>
    </w:rPr>
  </w:style>
  <w:style w:type="paragraph" w:styleId="8">
    <w:name w:val="heading 4"/>
    <w:basedOn w:val="1"/>
    <w:next w:val="1"/>
    <w:link w:val="36"/>
    <w:unhideWhenUsed/>
    <w:qFormat/>
    <w:uiPriority w:val="9"/>
    <w:pPr>
      <w:ind w:firstLine="562"/>
      <w:outlineLvl w:val="3"/>
    </w:pPr>
    <w:rPr>
      <w:b/>
      <w:bCs/>
    </w:rPr>
  </w:style>
  <w:style w:type="paragraph" w:styleId="9">
    <w:name w:val="heading 5"/>
    <w:basedOn w:val="1"/>
    <w:next w:val="1"/>
    <w:link w:val="35"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</w:rPr>
  </w:style>
  <w:style w:type="paragraph" w:styleId="10">
    <w:name w:val="heading 6"/>
    <w:basedOn w:val="1"/>
    <w:next w:val="1"/>
    <w:link w:val="55"/>
    <w:unhideWhenUsed/>
    <w:qFormat/>
    <w:uiPriority w:val="0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石墨文档标题 1"/>
    <w:next w:val="4"/>
    <w:link w:val="39"/>
    <w:unhideWhenUsed/>
    <w:qFormat/>
    <w:uiPriority w:val="9"/>
    <w:pPr>
      <w:spacing w:before="260" w:after="260"/>
      <w:outlineLvl w:val="0"/>
    </w:pPr>
    <w:rPr>
      <w:rFonts w:ascii="Arial Unicode MS" w:hAnsi="Arial Unicode MS" w:eastAsia="MicrosoftYaHei" w:cs="Arial Unicode MS"/>
      <w:b/>
      <w:bCs/>
      <w:sz w:val="32"/>
      <w:szCs w:val="32"/>
      <w:lang w:val="en-US" w:eastAsia="zh-CN" w:bidi="ar-SA"/>
    </w:rPr>
  </w:style>
  <w:style w:type="paragraph" w:customStyle="1" w:styleId="4">
    <w:name w:val="石墨文档正文"/>
    <w:qFormat/>
    <w:uiPriority w:val="0"/>
    <w:rPr>
      <w:rFonts w:ascii="Arial Unicode MS" w:hAnsi="Arial Unicode MS" w:eastAsia="MicrosoftYaHei" w:cs="Arial Unicode MS"/>
      <w:sz w:val="22"/>
      <w:szCs w:val="22"/>
      <w:lang w:val="en-US" w:eastAsia="zh-CN" w:bidi="ar-SA"/>
    </w:rPr>
  </w:style>
  <w:style w:type="paragraph" w:customStyle="1" w:styleId="6">
    <w:name w:val="石墨文档标题 2"/>
    <w:next w:val="4"/>
    <w:unhideWhenUsed/>
    <w:qFormat/>
    <w:uiPriority w:val="9"/>
    <w:pPr>
      <w:spacing w:before="260" w:after="260"/>
      <w:outlineLvl w:val="1"/>
    </w:pPr>
    <w:rPr>
      <w:rFonts w:ascii="Arial Unicode MS" w:hAnsi="Arial Unicode MS" w:eastAsia="MicrosoftYaHei" w:cs="Arial Unicode MS"/>
      <w:b/>
      <w:bCs/>
      <w:sz w:val="28"/>
      <w:szCs w:val="28"/>
      <w:lang w:val="en-US" w:eastAsia="zh-CN" w:bidi="ar-SA"/>
    </w:rPr>
  </w:style>
  <w:style w:type="paragraph" w:styleId="11">
    <w:name w:val="toc 7"/>
    <w:basedOn w:val="1"/>
    <w:next w:val="1"/>
    <w:qFormat/>
    <w:uiPriority w:val="0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12">
    <w:name w:val="caption"/>
    <w:next w:val="1"/>
    <w:link w:val="52"/>
    <w:unhideWhenUsed/>
    <w:qFormat/>
    <w:uiPriority w:val="99"/>
    <w:pPr>
      <w:widowControl w:val="0"/>
      <w:adjustRightInd w:val="0"/>
      <w:snapToGrid w:val="0"/>
      <w:spacing w:before="50" w:beforeLines="50" w:after="50" w:afterLines="50"/>
      <w:jc w:val="center"/>
    </w:pPr>
    <w:rPr>
      <w:rFonts w:ascii="Times New Roman" w:hAnsi="Times New Roman" w:eastAsia="仿宋" w:cstheme="majorBidi"/>
      <w:kern w:val="2"/>
      <w:sz w:val="24"/>
      <w:szCs w:val="21"/>
      <w:lang w:val="en-US" w:eastAsia="zh-CN" w:bidi="ar-SA"/>
    </w:rPr>
  </w:style>
  <w:style w:type="paragraph" w:styleId="13">
    <w:name w:val="annotation text"/>
    <w:basedOn w:val="1"/>
    <w:link w:val="61"/>
    <w:qFormat/>
    <w:uiPriority w:val="0"/>
  </w:style>
  <w:style w:type="paragraph" w:styleId="14">
    <w:name w:val="toc 5"/>
    <w:basedOn w:val="1"/>
    <w:next w:val="1"/>
    <w:qFormat/>
    <w:uiPriority w:val="0"/>
    <w:pPr>
      <w:ind w:left="1120"/>
      <w:jc w:val="left"/>
    </w:pPr>
    <w:rPr>
      <w:rFonts w:asciiTheme="minorHAnsi" w:hAnsiTheme="minorHAnsi" w:cstheme="minorHAnsi"/>
      <w:sz w:val="18"/>
      <w:szCs w:val="18"/>
    </w:rPr>
  </w:style>
  <w:style w:type="paragraph" w:styleId="15">
    <w:name w:val="toc 3"/>
    <w:basedOn w:val="1"/>
    <w:next w:val="1"/>
    <w:qFormat/>
    <w:uiPriority w:val="39"/>
    <w:pPr>
      <w:ind w:left="56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16">
    <w:name w:val="toc 8"/>
    <w:basedOn w:val="1"/>
    <w:next w:val="1"/>
    <w:qFormat/>
    <w:uiPriority w:val="0"/>
    <w:pPr>
      <w:ind w:left="1960"/>
      <w:jc w:val="left"/>
    </w:pPr>
    <w:rPr>
      <w:rFonts w:asciiTheme="minorHAnsi" w:hAnsiTheme="minorHAnsi" w:cstheme="minorHAnsi"/>
      <w:sz w:val="18"/>
      <w:szCs w:val="18"/>
    </w:rPr>
  </w:style>
  <w:style w:type="paragraph" w:styleId="17">
    <w:name w:val="footer"/>
    <w:basedOn w:val="1"/>
    <w:link w:val="40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18">
    <w:name w:val="header"/>
    <w:basedOn w:val="1"/>
    <w:link w:val="47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19">
    <w:name w:val="toc 1"/>
    <w:basedOn w:val="1"/>
    <w:next w:val="1"/>
    <w:qFormat/>
    <w:uiPriority w:val="39"/>
    <w:pPr>
      <w:tabs>
        <w:tab w:val="right" w:leader="dot" w:pos="8290"/>
      </w:tabs>
      <w:spacing w:before="120" w:after="120"/>
      <w:ind w:firstLine="0" w:firstLineChars="0"/>
      <w:jc w:val="left"/>
    </w:pPr>
    <w:rPr>
      <w:rFonts w:ascii="微软雅黑" w:hAnsi="微软雅黑" w:eastAsia="微软雅黑" w:cstheme="minorHAnsi"/>
      <w:b/>
      <w:bCs/>
      <w:caps/>
    </w:rPr>
  </w:style>
  <w:style w:type="paragraph" w:styleId="20">
    <w:name w:val="toc 4"/>
    <w:basedOn w:val="1"/>
    <w:next w:val="1"/>
    <w:qFormat/>
    <w:uiPriority w:val="0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21">
    <w:name w:val="toc 6"/>
    <w:basedOn w:val="1"/>
    <w:next w:val="1"/>
    <w:qFormat/>
    <w:uiPriority w:val="0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22">
    <w:name w:val="toc 2"/>
    <w:basedOn w:val="1"/>
    <w:next w:val="1"/>
    <w:qFormat/>
    <w:uiPriority w:val="39"/>
    <w:pPr>
      <w:tabs>
        <w:tab w:val="left" w:pos="1680"/>
        <w:tab w:val="right" w:leader="dot" w:pos="8290"/>
      </w:tabs>
      <w:spacing w:line="240" w:lineRule="auto"/>
      <w:ind w:firstLine="440"/>
      <w:jc w:val="left"/>
    </w:pPr>
    <w:rPr>
      <w:rFonts w:ascii="微软雅黑" w:hAnsi="微软雅黑" w:eastAsia="微软雅黑" w:cstheme="minorHAnsi"/>
      <w:smallCaps/>
      <w:sz w:val="22"/>
      <w:szCs w:val="22"/>
    </w:rPr>
  </w:style>
  <w:style w:type="paragraph" w:styleId="23">
    <w:name w:val="toc 9"/>
    <w:basedOn w:val="1"/>
    <w:next w:val="1"/>
    <w:qFormat/>
    <w:uiPriority w:val="0"/>
    <w:pPr>
      <w:ind w:left="2240"/>
      <w:jc w:val="left"/>
    </w:pPr>
    <w:rPr>
      <w:rFonts w:asciiTheme="minorHAnsi" w:hAnsiTheme="minorHAnsi" w:cstheme="minorHAnsi"/>
      <w:sz w:val="18"/>
      <w:szCs w:val="18"/>
    </w:rPr>
  </w:style>
  <w:style w:type="paragraph" w:styleId="2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sz w:val="24"/>
    </w:rPr>
  </w:style>
  <w:style w:type="paragraph" w:styleId="25">
    <w:name w:val="Title"/>
    <w:basedOn w:val="1"/>
    <w:next w:val="1"/>
    <w:link w:val="60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6">
    <w:name w:val="annotation subject"/>
    <w:basedOn w:val="13"/>
    <w:next w:val="13"/>
    <w:link w:val="62"/>
    <w:qFormat/>
    <w:uiPriority w:val="0"/>
    <w:pPr>
      <w:jc w:val="left"/>
    </w:pPr>
    <w:rPr>
      <w:b/>
      <w:bCs/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qFormat/>
    <w:uiPriority w:val="22"/>
    <w:rPr>
      <w:rFonts w:eastAsia="微软雅黑"/>
      <w:b/>
      <w:bCs/>
      <w:sz w:val="28"/>
    </w:rPr>
  </w:style>
  <w:style w:type="character" w:styleId="31">
    <w:name w:val="Emphasis"/>
    <w:basedOn w:val="29"/>
    <w:qFormat/>
    <w:uiPriority w:val="20"/>
    <w:rPr>
      <w:i/>
      <w:iCs/>
    </w:rPr>
  </w:style>
  <w:style w:type="character" w:styleId="32">
    <w:name w:val="Hyperlink"/>
    <w:basedOn w:val="29"/>
    <w:unhideWhenUsed/>
    <w:qFormat/>
    <w:uiPriority w:val="99"/>
    <w:rPr>
      <w:color w:val="0000FF"/>
      <w:u w:val="single"/>
    </w:rPr>
  </w:style>
  <w:style w:type="character" w:styleId="33">
    <w:name w:val="annotation reference"/>
    <w:basedOn w:val="29"/>
    <w:qFormat/>
    <w:uiPriority w:val="0"/>
    <w:rPr>
      <w:sz w:val="21"/>
      <w:szCs w:val="21"/>
    </w:rPr>
  </w:style>
  <w:style w:type="character" w:customStyle="1" w:styleId="34">
    <w:name w:val="标题 3 字符"/>
    <w:basedOn w:val="29"/>
    <w:link w:val="7"/>
    <w:qFormat/>
    <w:uiPriority w:val="9"/>
    <w:rPr>
      <w:rFonts w:ascii="微软雅黑" w:hAnsi="微软雅黑" w:eastAsia="微软雅黑" w:cs="宋体"/>
      <w:b/>
      <w:bCs/>
      <w:sz w:val="28"/>
      <w:szCs w:val="28"/>
    </w:rPr>
  </w:style>
  <w:style w:type="character" w:customStyle="1" w:styleId="35">
    <w:name w:val="标题 5 字符"/>
    <w:basedOn w:val="29"/>
    <w:link w:val="9"/>
    <w:qFormat/>
    <w:uiPriority w:val="0"/>
    <w:rPr>
      <w:rFonts w:ascii="宋体" w:hAnsi="宋体" w:cs="宋体"/>
      <w:b/>
      <w:bCs/>
      <w:sz w:val="28"/>
      <w:szCs w:val="28"/>
    </w:rPr>
  </w:style>
  <w:style w:type="character" w:customStyle="1" w:styleId="36">
    <w:name w:val="标题 4 字符"/>
    <w:basedOn w:val="29"/>
    <w:link w:val="8"/>
    <w:qFormat/>
    <w:uiPriority w:val="9"/>
    <w:rPr>
      <w:rFonts w:ascii="宋体" w:hAnsi="宋体" w:cs="宋体"/>
      <w:b/>
      <w:bCs/>
      <w:sz w:val="28"/>
      <w:szCs w:val="28"/>
    </w:rPr>
  </w:style>
  <w:style w:type="character" w:customStyle="1" w:styleId="37">
    <w:name w:val="标题 2 字符"/>
    <w:basedOn w:val="29"/>
    <w:link w:val="5"/>
    <w:qFormat/>
    <w:uiPriority w:val="0"/>
    <w:rPr>
      <w:rFonts w:ascii="宋体" w:hAnsi="宋体" w:cs="宋体"/>
      <w:b/>
      <w:bCs/>
      <w:sz w:val="28"/>
      <w:szCs w:val="28"/>
    </w:rPr>
  </w:style>
  <w:style w:type="character" w:customStyle="1" w:styleId="38">
    <w:name w:val="标题 1 字符"/>
    <w:basedOn w:val="39"/>
    <w:link w:val="2"/>
    <w:qFormat/>
    <w:uiPriority w:val="0"/>
    <w:rPr>
      <w:rFonts w:ascii="微软雅黑" w:hAnsi="微软雅黑" w:eastAsia="微软雅黑" w:cs="微软雅黑"/>
      <w:sz w:val="32"/>
      <w:szCs w:val="32"/>
    </w:rPr>
  </w:style>
  <w:style w:type="character" w:customStyle="1" w:styleId="39">
    <w:name w:val="石墨文档标题 1 字符"/>
    <w:basedOn w:val="29"/>
    <w:link w:val="3"/>
    <w:qFormat/>
    <w:uiPriority w:val="9"/>
    <w:rPr>
      <w:rFonts w:ascii="Arial Unicode MS" w:hAnsi="Arial Unicode MS" w:eastAsia="MicrosoftYaHei" w:cs="Arial Unicode MS"/>
      <w:b/>
      <w:bCs/>
      <w:sz w:val="32"/>
      <w:szCs w:val="32"/>
    </w:rPr>
  </w:style>
  <w:style w:type="character" w:customStyle="1" w:styleId="40">
    <w:name w:val="页脚 字符"/>
    <w:basedOn w:val="29"/>
    <w:link w:val="17"/>
    <w:qFormat/>
    <w:uiPriority w:val="0"/>
    <w:rPr>
      <w:sz w:val="18"/>
      <w:szCs w:val="18"/>
    </w:rPr>
  </w:style>
  <w:style w:type="paragraph" w:customStyle="1" w:styleId="41">
    <w:name w:val="石墨文档标题"/>
    <w:next w:val="4"/>
    <w:unhideWhenUsed/>
    <w:qFormat/>
    <w:uiPriority w:val="9"/>
    <w:pPr>
      <w:spacing w:before="260" w:after="260"/>
      <w:outlineLvl w:val="0"/>
    </w:pPr>
    <w:rPr>
      <w:rFonts w:ascii="Arial Unicode MS" w:hAnsi="Arial Unicode MS" w:eastAsia="MicrosoftYaHei" w:cs="Arial Unicode MS"/>
      <w:b/>
      <w:bCs/>
      <w:sz w:val="40"/>
      <w:szCs w:val="40"/>
      <w:lang w:val="en-US" w:eastAsia="zh-CN" w:bidi="ar-SA"/>
    </w:rPr>
  </w:style>
  <w:style w:type="paragraph" w:customStyle="1" w:styleId="42">
    <w:name w:val="石墨文档副标题"/>
    <w:qFormat/>
    <w:uiPriority w:val="0"/>
    <w:pPr>
      <w:spacing w:before="260" w:after="260"/>
    </w:pPr>
    <w:rPr>
      <w:rFonts w:ascii="Arial Unicode MS" w:hAnsi="Arial Unicode MS" w:eastAsia="MicrosoftYaHei" w:cs="Arial Unicode MS"/>
      <w:color w:val="888888"/>
      <w:sz w:val="36"/>
      <w:szCs w:val="36"/>
      <w:lang w:val="en-US" w:eastAsia="zh-CN" w:bidi="ar-SA"/>
    </w:rPr>
  </w:style>
  <w:style w:type="paragraph" w:customStyle="1" w:styleId="43">
    <w:name w:val="石墨文档标题 3"/>
    <w:next w:val="4"/>
    <w:unhideWhenUsed/>
    <w:qFormat/>
    <w:uiPriority w:val="9"/>
    <w:pPr>
      <w:spacing w:before="260" w:after="260"/>
      <w:outlineLvl w:val="2"/>
    </w:pPr>
    <w:rPr>
      <w:rFonts w:ascii="Arial Unicode MS" w:hAnsi="Arial Unicode MS" w:eastAsia="MicrosoftYaHei" w:cs="Arial Unicode MS"/>
      <w:b/>
      <w:bCs/>
      <w:sz w:val="26"/>
      <w:szCs w:val="26"/>
      <w:lang w:val="en-US" w:eastAsia="zh-CN" w:bidi="ar-SA"/>
    </w:rPr>
  </w:style>
  <w:style w:type="paragraph" w:customStyle="1" w:styleId="44">
    <w:name w:val="石墨文档标题 4"/>
    <w:next w:val="4"/>
    <w:unhideWhenUsed/>
    <w:qFormat/>
    <w:uiPriority w:val="9"/>
    <w:pPr>
      <w:spacing w:before="260" w:after="260"/>
      <w:outlineLvl w:val="3"/>
    </w:pPr>
    <w:rPr>
      <w:rFonts w:ascii="Arial Unicode MS" w:hAnsi="Arial Unicode MS" w:eastAsia="MicrosoftYaHei" w:cs="Arial Unicode MS"/>
      <w:b/>
      <w:bCs/>
      <w:sz w:val="24"/>
      <w:szCs w:val="24"/>
      <w:lang w:val="en-US" w:eastAsia="zh-CN" w:bidi="ar-SA"/>
    </w:rPr>
  </w:style>
  <w:style w:type="paragraph" w:customStyle="1" w:styleId="45">
    <w:name w:val="石墨文档引用"/>
    <w:qFormat/>
    <w:uiPriority w:val="0"/>
    <w:pPr>
      <w:pBdr>
        <w:left w:val="single" w:color="F0F0F0" w:sz="30" w:space="10"/>
      </w:pBdr>
    </w:pPr>
    <w:rPr>
      <w:rFonts w:ascii="Arial Unicode MS" w:hAnsi="Arial Unicode MS" w:eastAsia="MicrosoftYaHei" w:cs="Arial Unicode MS"/>
      <w:color w:val="ADADAD"/>
      <w:sz w:val="22"/>
      <w:lang w:val="en-US" w:eastAsia="zh-CN" w:bidi="ar-SA"/>
    </w:rPr>
  </w:style>
  <w:style w:type="paragraph" w:customStyle="1" w:styleId="46">
    <w:name w:val="正文1"/>
    <w:qFormat/>
    <w:uiPriority w:val="0"/>
    <w:pPr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customStyle="1" w:styleId="47">
    <w:name w:val="页眉 字符"/>
    <w:basedOn w:val="29"/>
    <w:link w:val="18"/>
    <w:qFormat/>
    <w:uiPriority w:val="0"/>
    <w:rPr>
      <w:sz w:val="18"/>
      <w:szCs w:val="18"/>
    </w:rPr>
  </w:style>
  <w:style w:type="paragraph" w:customStyle="1" w:styleId="48">
    <w:name w:val="TOC 标题1"/>
    <w:basedOn w:val="2"/>
    <w:next w:val="1"/>
    <w:unhideWhenUsed/>
    <w:qFormat/>
    <w:uiPriority w:val="39"/>
    <w:pPr>
      <w:keepNext/>
      <w:keepLines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</w:rPr>
  </w:style>
  <w:style w:type="paragraph" w:styleId="49">
    <w:name w:val="List Paragraph"/>
    <w:basedOn w:val="1"/>
    <w:unhideWhenUsed/>
    <w:qFormat/>
    <w:uiPriority w:val="34"/>
    <w:pPr>
      <w:ind w:firstLine="420"/>
    </w:pPr>
  </w:style>
  <w:style w:type="paragraph" w:customStyle="1" w:styleId="50">
    <w:name w:val="表格文字"/>
    <w:next w:val="1"/>
    <w:link w:val="51"/>
    <w:qFormat/>
    <w:uiPriority w:val="0"/>
    <w:pPr>
      <w:widowControl w:val="0"/>
      <w:adjustRightInd w:val="0"/>
      <w:snapToGrid w:val="0"/>
      <w:jc w:val="center"/>
    </w:pPr>
    <w:rPr>
      <w:rFonts w:ascii="Times New Roman" w:hAnsi="Times New Roman" w:eastAsia="仿宋" w:cstheme="minorBidi"/>
      <w:kern w:val="2"/>
      <w:sz w:val="21"/>
      <w:szCs w:val="22"/>
      <w:lang w:val="en-US" w:eastAsia="zh-CN" w:bidi="ar-SA"/>
    </w:rPr>
  </w:style>
  <w:style w:type="character" w:customStyle="1" w:styleId="51">
    <w:name w:val="表格文字 字符"/>
    <w:basedOn w:val="29"/>
    <w:link w:val="50"/>
    <w:qFormat/>
    <w:uiPriority w:val="0"/>
    <w:rPr>
      <w:rFonts w:eastAsia="仿宋" w:cstheme="minorBidi"/>
      <w:kern w:val="2"/>
      <w:sz w:val="21"/>
      <w:szCs w:val="22"/>
    </w:rPr>
  </w:style>
  <w:style w:type="character" w:customStyle="1" w:styleId="52">
    <w:name w:val="题注 字符"/>
    <w:link w:val="12"/>
    <w:qFormat/>
    <w:locked/>
    <w:uiPriority w:val="99"/>
    <w:rPr>
      <w:rFonts w:eastAsia="仿宋" w:cstheme="majorBidi"/>
      <w:kern w:val="2"/>
      <w:sz w:val="24"/>
      <w:szCs w:val="21"/>
    </w:rPr>
  </w:style>
  <w:style w:type="paragraph" w:customStyle="1" w:styleId="53">
    <w:name w:val="文本"/>
    <w:basedOn w:val="1"/>
    <w:link w:val="54"/>
    <w:qFormat/>
    <w:uiPriority w:val="0"/>
    <w:pPr>
      <w:widowControl w:val="0"/>
      <w:spacing w:line="560" w:lineRule="exact"/>
    </w:pPr>
    <w:rPr>
      <w:rFonts w:ascii="Times New Roman" w:hAnsi="Times New Roman" w:eastAsia="仿宋" w:cstheme="minorBidi"/>
      <w:kern w:val="2"/>
      <w:szCs w:val="22"/>
    </w:rPr>
  </w:style>
  <w:style w:type="character" w:customStyle="1" w:styleId="54">
    <w:name w:val="文本 字符"/>
    <w:basedOn w:val="29"/>
    <w:link w:val="53"/>
    <w:qFormat/>
    <w:uiPriority w:val="0"/>
    <w:rPr>
      <w:rFonts w:eastAsia="仿宋" w:cstheme="minorBidi"/>
      <w:kern w:val="2"/>
      <w:sz w:val="28"/>
      <w:szCs w:val="22"/>
    </w:rPr>
  </w:style>
  <w:style w:type="character" w:customStyle="1" w:styleId="55">
    <w:name w:val="标题 6 字符"/>
    <w:basedOn w:val="29"/>
    <w:link w:val="10"/>
    <w:qFormat/>
    <w:uiPriority w:val="0"/>
    <w:rPr>
      <w:rFonts w:asciiTheme="majorHAnsi" w:hAnsiTheme="majorHAnsi" w:eastAsiaTheme="majorEastAsia" w:cstheme="majorBidi"/>
      <w:b/>
      <w:bCs/>
      <w:sz w:val="24"/>
      <w:szCs w:val="24"/>
    </w:rPr>
  </w:style>
  <w:style w:type="paragraph" w:customStyle="1" w:styleId="56">
    <w:name w:val="样式1"/>
    <w:basedOn w:val="9"/>
    <w:link w:val="57"/>
    <w:qFormat/>
    <w:uiPriority w:val="0"/>
  </w:style>
  <w:style w:type="character" w:customStyle="1" w:styleId="57">
    <w:name w:val="样式1 字符"/>
    <w:basedOn w:val="35"/>
    <w:link w:val="56"/>
    <w:qFormat/>
    <w:uiPriority w:val="0"/>
    <w:rPr>
      <w:rFonts w:ascii="宋体" w:hAnsi="宋体" w:cs="宋体"/>
      <w:sz w:val="28"/>
      <w:szCs w:val="28"/>
    </w:rPr>
  </w:style>
  <w:style w:type="paragraph" w:customStyle="1" w:styleId="58">
    <w:name w:val="样式2"/>
    <w:basedOn w:val="5"/>
    <w:link w:val="59"/>
    <w:qFormat/>
    <w:uiPriority w:val="0"/>
  </w:style>
  <w:style w:type="character" w:customStyle="1" w:styleId="59">
    <w:name w:val="样式2 字符"/>
    <w:basedOn w:val="35"/>
    <w:link w:val="58"/>
    <w:qFormat/>
    <w:uiPriority w:val="0"/>
    <w:rPr>
      <w:rFonts w:ascii="宋体" w:hAnsi="宋体" w:cs="宋体"/>
      <w:sz w:val="28"/>
      <w:szCs w:val="28"/>
    </w:rPr>
  </w:style>
  <w:style w:type="character" w:customStyle="1" w:styleId="60">
    <w:name w:val="标题 字符"/>
    <w:basedOn w:val="29"/>
    <w:link w:val="25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61">
    <w:name w:val="批注文字 字符"/>
    <w:basedOn w:val="29"/>
    <w:link w:val="13"/>
    <w:qFormat/>
    <w:uiPriority w:val="0"/>
    <w:rPr>
      <w:rFonts w:ascii="宋体" w:hAnsi="宋体" w:cs="宋体"/>
      <w:sz w:val="28"/>
      <w:szCs w:val="28"/>
    </w:rPr>
  </w:style>
  <w:style w:type="character" w:customStyle="1" w:styleId="62">
    <w:name w:val="批注主题 字符"/>
    <w:basedOn w:val="61"/>
    <w:link w:val="26"/>
    <w:qFormat/>
    <w:uiPriority w:val="0"/>
    <w:rPr>
      <w:rFonts w:ascii="宋体" w:hAnsi="宋体" w:cs="宋体"/>
      <w:b/>
      <w:bCs/>
      <w:sz w:val="28"/>
      <w:szCs w:val="28"/>
    </w:rPr>
  </w:style>
  <w:style w:type="paragraph" w:customStyle="1" w:styleId="63">
    <w:name w:val="标题1"/>
    <w:basedOn w:val="2"/>
    <w:link w:val="64"/>
    <w:qFormat/>
    <w:uiPriority w:val="0"/>
  </w:style>
  <w:style w:type="character" w:customStyle="1" w:styleId="64">
    <w:name w:val="标题1 字符"/>
    <w:basedOn w:val="38"/>
    <w:link w:val="63"/>
    <w:qFormat/>
    <w:uiPriority w:val="0"/>
    <w:rPr>
      <w:rFonts w:ascii="微软雅黑" w:hAnsi="微软雅黑" w:eastAsia="微软雅黑" w:cs="微软雅黑"/>
      <w:sz w:val="32"/>
      <w:szCs w:val="32"/>
    </w:rPr>
  </w:style>
  <w:style w:type="paragraph" w:customStyle="1" w:styleId="65">
    <w:name w:val="修订1"/>
    <w:hidden/>
    <w:unhideWhenUsed/>
    <w:qFormat/>
    <w:uiPriority w:val="99"/>
    <w:rPr>
      <w:rFonts w:ascii="宋体" w:hAnsi="宋体" w:eastAsia="宋体" w:cs="宋体"/>
      <w:sz w:val="28"/>
      <w:szCs w:val="28"/>
      <w:lang w:val="en-US" w:eastAsia="zh-CN" w:bidi="ar-SA"/>
    </w:rPr>
  </w:style>
  <w:style w:type="table" w:customStyle="1" w:styleId="66">
    <w:name w:val="无格式表格 11"/>
    <w:basedOn w:val="27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7">
    <w:name w:val="无格式表格 31"/>
    <w:basedOn w:val="27"/>
    <w:qFormat/>
    <w:uiPriority w:val="43"/>
    <w:rPr>
      <w:rFonts w:asciiTheme="minorHAnsi" w:hAnsiTheme="minorHAnsi" w:eastAsiaTheme="minorEastAsia" w:cstheme="minorBidi"/>
      <w:kern w:val="2"/>
      <w:sz w:val="21"/>
      <w:szCs w:val="22"/>
    </w:r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character" w:customStyle="1" w:styleId="68">
    <w:name w:val="font11"/>
    <w:basedOn w:val="29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69">
    <w:name w:val="font21"/>
    <w:basedOn w:val="29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70">
    <w:name w:val="Unresolved Mention"/>
    <w:basedOn w:val="29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A8F6F-8DEE-4FDE-B746-134292101F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4466</Words>
  <Characters>4660</Characters>
  <Lines>33</Lines>
  <Paragraphs>9</Paragraphs>
  <TotalTime>17</TotalTime>
  <ScaleCrop>false</ScaleCrop>
  <LinksUpToDate>false</LinksUpToDate>
  <CharactersWithSpaces>4678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2025-02-04T02:50:00Z</dcterms:created>
  <dc:creator>Therion</dc:creator>
  <cp:lastModifiedBy>Phthonus</cp:lastModifiedBy>
  <dcterms:modified xsi:type="dcterms:W3CDTF">2025-06-19T00:39:44Z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88FF0BBFF9494A8E99407BC7D41AC700_12</vt:lpwstr>
  </property>
  <property fmtid="{D5CDD505-2E9C-101B-9397-08002B2CF9AE}" pid="4" name="KSOTemplateDocerSaveRecord">
    <vt:lpwstr>eyJoZGlkIjoiNTBmNDNkYzZlOWY5ZDA5YmZlMmZkMjdlOWExZWM2MGQiLCJ1c2VySWQiOiIxMzM1MjQyNzcyIn0=</vt:lpwstr>
  </property>
</Properties>
</file>