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B3A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4D017952">
      <w:pPr>
        <w:spacing w:before="546" w:line="219" w:lineRule="auto"/>
        <w:jc w:val="center"/>
        <w:outlineLvl w:val="0"/>
        <w:rPr>
          <w:rFonts w:ascii="宋体" w:hAnsi="宋体" w:eastAsia="宋体" w:cs="宋体"/>
          <w:sz w:val="168"/>
          <w:szCs w:val="168"/>
        </w:rPr>
      </w:pPr>
      <w:r>
        <w:rPr>
          <w:rFonts w:ascii="宋体" w:hAnsi="宋体" w:eastAsia="宋体" w:cs="宋体"/>
          <w:b/>
          <w:bCs/>
          <w:color w:val="F02020"/>
          <w:spacing w:val="-83"/>
          <w:w w:val="56"/>
          <w:sz w:val="168"/>
          <w:szCs w:val="168"/>
        </w:rPr>
        <w:t>淮南市农业农村局文</w:t>
      </w:r>
      <w:r>
        <w:rPr>
          <w:rFonts w:ascii="宋体" w:hAnsi="宋体" w:eastAsia="宋体" w:cs="宋体"/>
          <w:b/>
          <w:bCs/>
          <w:color w:val="F02020"/>
          <w:spacing w:val="-73"/>
          <w:w w:val="56"/>
          <w:sz w:val="168"/>
          <w:szCs w:val="168"/>
        </w:rPr>
        <w:t>件</w:t>
      </w:r>
    </w:p>
    <w:p w14:paraId="3BDFF966">
      <w:pPr>
        <w:spacing w:line="398" w:lineRule="auto"/>
        <w:rPr>
          <w:rFonts w:ascii="Arial"/>
          <w:sz w:val="21"/>
        </w:rPr>
      </w:pPr>
    </w:p>
    <w:p w14:paraId="1787FE04">
      <w:pPr>
        <w:spacing w:before="101" w:line="225" w:lineRule="auto"/>
        <w:ind w:left="3309"/>
        <w:rPr>
          <w:rFonts w:ascii="楷体" w:hAnsi="楷体" w:eastAsia="楷体" w:cs="楷体"/>
          <w:sz w:val="31"/>
          <w:szCs w:val="31"/>
        </w:rPr>
      </w:pPr>
      <w:r>
        <w:rPr>
          <w:rFonts w:ascii="楷体" w:hAnsi="楷体" w:eastAsia="楷体" w:cs="楷体"/>
          <w:spacing w:val="35"/>
          <w:sz w:val="31"/>
          <w:szCs w:val="31"/>
        </w:rPr>
        <w:t>淮农〔2025〕53号</w:t>
      </w:r>
    </w:p>
    <w:p w14:paraId="7E71C2CD">
      <w:pPr>
        <w:spacing w:before="133" w:line="59" w:lineRule="exact"/>
      </w:pPr>
      <w:r>
        <w:rPr>
          <w:position w:val="-1"/>
        </w:rPr>
        <w:drawing>
          <wp:inline distT="0" distB="0" distL="0" distR="0">
            <wp:extent cx="5790565" cy="37465"/>
            <wp:effectExtent l="0" t="0" r="635" b="63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5791150" cy="38023"/>
                    </a:xfrm>
                    <a:prstGeom prst="rect">
                      <a:avLst/>
                    </a:prstGeom>
                  </pic:spPr>
                </pic:pic>
              </a:graphicData>
            </a:graphic>
          </wp:inline>
        </w:drawing>
      </w:r>
    </w:p>
    <w:p w14:paraId="2E7E4505">
      <w:pPr>
        <w:spacing w:line="321" w:lineRule="auto"/>
        <w:rPr>
          <w:rFonts w:ascii="Arial"/>
          <w:sz w:val="21"/>
        </w:rPr>
      </w:pPr>
    </w:p>
    <w:p w14:paraId="5A3930AE">
      <w:pPr>
        <w:spacing w:before="149" w:line="226" w:lineRule="auto"/>
        <w:ind w:left="646" w:right="369" w:hanging="22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7"/>
          <w:sz w:val="44"/>
          <w:szCs w:val="44"/>
        </w:rPr>
        <w:t>淮南市农业农村局关于印发《淮南市支持绿</w:t>
      </w:r>
      <w:r>
        <w:rPr>
          <w:rFonts w:hint="eastAsia" w:ascii="方正小标宋简体" w:hAnsi="方正小标宋简体" w:eastAsia="方正小标宋简体" w:cs="方正小标宋简体"/>
          <w:b w:val="0"/>
          <w:bCs w:val="0"/>
          <w:spacing w:val="-25"/>
          <w:sz w:val="44"/>
          <w:szCs w:val="44"/>
        </w:rPr>
        <w:t>色食品产业高质量发展若干政策》的通知</w:t>
      </w:r>
    </w:p>
    <w:p w14:paraId="08C04236">
      <w:pPr>
        <w:spacing w:line="277" w:lineRule="auto"/>
        <w:rPr>
          <w:rFonts w:ascii="Arial"/>
          <w:sz w:val="21"/>
        </w:rPr>
      </w:pPr>
    </w:p>
    <w:p w14:paraId="36032480">
      <w:pPr>
        <w:spacing w:line="278" w:lineRule="auto"/>
        <w:rPr>
          <w:rFonts w:ascii="Arial"/>
          <w:sz w:val="21"/>
        </w:rPr>
      </w:pPr>
    </w:p>
    <w:p w14:paraId="03295816">
      <w:pPr>
        <w:spacing w:before="101" w:line="222" w:lineRule="auto"/>
        <w:ind w:left="349"/>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各县区(园区)农业农村部门：</w:t>
      </w:r>
    </w:p>
    <w:p w14:paraId="65D1A5E0">
      <w:pPr>
        <w:spacing w:before="300" w:line="222" w:lineRule="auto"/>
        <w:ind w:left="964"/>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《淮南市支持绿色食品产业高质量发展若干政策》已经市</w:t>
      </w:r>
    </w:p>
    <w:p w14:paraId="2A6E7721">
      <w:pPr>
        <w:spacing w:before="173" w:line="220" w:lineRule="auto"/>
        <w:ind w:left="34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农业农村局党组同意，现印发给你们，请认真组织实施。</w:t>
      </w:r>
    </w:p>
    <w:p w14:paraId="0A8593A5">
      <w:pPr>
        <w:spacing w:line="342" w:lineRule="auto"/>
        <w:rPr>
          <w:rFonts w:hint="eastAsia" w:ascii="仿宋_GB2312" w:hAnsi="仿宋_GB2312" w:eastAsia="仿宋_GB2312" w:cs="仿宋_GB2312"/>
          <w:spacing w:val="0"/>
          <w:w w:val="100"/>
          <w:sz w:val="32"/>
          <w:szCs w:val="32"/>
        </w:rPr>
      </w:pPr>
    </w:p>
    <w:p w14:paraId="5F60154B">
      <w:pPr>
        <w:spacing w:line="343" w:lineRule="auto"/>
        <w:rPr>
          <w:rFonts w:hint="eastAsia" w:ascii="仿宋_GB2312" w:hAnsi="仿宋_GB2312" w:eastAsia="仿宋_GB2312" w:cs="仿宋_GB2312"/>
          <w:spacing w:val="0"/>
          <w:w w:val="100"/>
          <w:sz w:val="32"/>
          <w:szCs w:val="32"/>
        </w:rPr>
      </w:pPr>
    </w:p>
    <w:p w14:paraId="7A758D36">
      <w:pPr>
        <w:spacing w:before="95" w:line="222" w:lineRule="auto"/>
        <w:ind w:left="6359"/>
        <w:rPr>
          <w:rFonts w:ascii="仿宋" w:hAnsi="仿宋" w:eastAsia="仿宋" w:cs="仿宋"/>
          <w:spacing w:val="0"/>
          <w:w w:val="100"/>
          <w:sz w:val="32"/>
          <w:szCs w:val="32"/>
        </w:rPr>
      </w:pPr>
      <w:r>
        <w:rPr>
          <w:rFonts w:hint="eastAsia" w:ascii="仿宋_GB2312" w:hAnsi="仿宋_GB2312" w:eastAsia="仿宋_GB2312" w:cs="仿宋_GB2312"/>
          <w:spacing w:val="0"/>
          <w:w w:val="100"/>
          <w:sz w:val="32"/>
          <w:szCs w:val="32"/>
        </w:rPr>
        <w:t>2025年4月14日</w:t>
      </w:r>
    </w:p>
    <w:p w14:paraId="65E6094C">
      <w:pPr>
        <w:spacing w:line="222" w:lineRule="auto"/>
        <w:rPr>
          <w:rFonts w:ascii="仿宋" w:hAnsi="仿宋" w:eastAsia="仿宋" w:cs="仿宋"/>
          <w:spacing w:val="0"/>
          <w:w w:val="100"/>
          <w:sz w:val="32"/>
          <w:szCs w:val="32"/>
        </w:rPr>
        <w:sectPr>
          <w:pgSz w:w="11900" w:h="16820"/>
          <w:pgMar w:top="2098" w:right="1474" w:bottom="1984" w:left="1587" w:header="0" w:footer="0" w:gutter="0"/>
          <w:cols w:space="720" w:num="1"/>
        </w:sectPr>
      </w:pPr>
    </w:p>
    <w:p w14:paraId="3E7230C8">
      <w:pPr>
        <w:keepNext w:val="0"/>
        <w:keepLines w:val="0"/>
        <w:pageBreakBefore w:val="0"/>
        <w:widowControl w:val="0"/>
        <w:kinsoku/>
        <w:wordWrap/>
        <w:overflowPunct/>
        <w:topLinePunct w:val="0"/>
        <w:autoSpaceDE/>
        <w:autoSpaceDN/>
        <w:bidi w:val="0"/>
        <w:adjustRightInd/>
        <w:snapToGrid/>
        <w:spacing w:before="303" w:line="560" w:lineRule="exact"/>
        <w:ind w:right="757"/>
        <w:jc w:val="center"/>
        <w:textAlignment w:val="auto"/>
        <w:rPr>
          <w:rFonts w:hint="eastAsia" w:ascii="方正小标宋简体" w:hAnsi="方正小标宋简体" w:eastAsia="方正小标宋简体" w:cs="方正小标宋简体"/>
          <w:b w:val="0"/>
          <w:bCs w:val="0"/>
          <w:sz w:val="38"/>
          <w:szCs w:val="38"/>
        </w:rPr>
      </w:pPr>
      <w:r>
        <w:rPr>
          <w:rFonts w:hint="eastAsia" w:ascii="方正小标宋简体" w:hAnsi="方正小标宋简体" w:eastAsia="方正小标宋简体" w:cs="方正小标宋简体"/>
          <w:b w:val="0"/>
          <w:bCs w:val="0"/>
          <w:spacing w:val="2"/>
          <w:sz w:val="38"/>
          <w:szCs w:val="38"/>
          <w:lang w:val="en-US" w:eastAsia="zh-CN"/>
        </w:rPr>
        <w:t xml:space="preserve">  </w:t>
      </w:r>
      <w:r>
        <w:rPr>
          <w:rFonts w:hint="eastAsia" w:ascii="方正小标宋简体" w:hAnsi="方正小标宋简体" w:eastAsia="方正小标宋简体" w:cs="方正小标宋简体"/>
          <w:b w:val="0"/>
          <w:bCs w:val="0"/>
          <w:spacing w:val="2"/>
          <w:sz w:val="38"/>
          <w:szCs w:val="38"/>
        </w:rPr>
        <w:t>淮南市支持绿色食品产业高质量发展</w:t>
      </w:r>
      <w:r>
        <w:rPr>
          <w:rFonts w:hint="eastAsia" w:ascii="方正小标宋简体" w:hAnsi="方正小标宋简体" w:eastAsia="方正小标宋简体" w:cs="方正小标宋简体"/>
          <w:b w:val="0"/>
          <w:bCs w:val="0"/>
          <w:spacing w:val="4"/>
          <w:sz w:val="38"/>
          <w:szCs w:val="38"/>
        </w:rPr>
        <w:t>若干政策</w:t>
      </w:r>
    </w:p>
    <w:p w14:paraId="659F287E">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p w14:paraId="6A2CFC68">
      <w:pPr>
        <w:pStyle w:val="2"/>
        <w:keepNext w:val="0"/>
        <w:keepLines w:val="0"/>
        <w:pageBreakBefore w:val="0"/>
        <w:widowControl w:val="0"/>
        <w:kinsoku/>
        <w:wordWrap/>
        <w:overflowPunct/>
        <w:topLinePunct w:val="0"/>
        <w:autoSpaceDE/>
        <w:autoSpaceDN/>
        <w:bidi w:val="0"/>
        <w:adjustRightInd/>
        <w:snapToGrid/>
        <w:spacing w:before="101" w:line="560" w:lineRule="exact"/>
        <w:ind w:right="113"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为深入贯彻落实省委、省政府关于皖北重点产业集群建设决策部署，组建大兵团、构建阵地战、推进绿色食品产业集群化发展，打好皖北绿色食品产业集群建设攻坚战，结合我市实际，制定以下政策措施。</w:t>
      </w:r>
    </w:p>
    <w:p w14:paraId="43891B54">
      <w:pPr>
        <w:keepNext w:val="0"/>
        <w:keepLines w:val="0"/>
        <w:pageBreakBefore w:val="0"/>
        <w:widowControl w:val="0"/>
        <w:kinsoku/>
        <w:wordWrap/>
        <w:overflowPunct/>
        <w:topLinePunct w:val="0"/>
        <w:autoSpaceDE/>
        <w:autoSpaceDN/>
        <w:bidi w:val="0"/>
        <w:adjustRightInd/>
        <w:snapToGrid/>
        <w:spacing w:before="15" w:line="560" w:lineRule="exact"/>
        <w:ind w:firstLine="640" w:firstLineChars="200"/>
        <w:textAlignment w:val="auto"/>
        <w:outlineLvl w:val="2"/>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一 、政策内容</w:t>
      </w:r>
    </w:p>
    <w:p w14:paraId="4CD6C940">
      <w:pPr>
        <w:pStyle w:val="2"/>
        <w:keepNext w:val="0"/>
        <w:keepLines w:val="0"/>
        <w:pageBreakBefore w:val="0"/>
        <w:widowControl w:val="0"/>
        <w:kinsoku/>
        <w:wordWrap/>
        <w:overflowPunct/>
        <w:topLinePunct w:val="0"/>
        <w:autoSpaceDE/>
        <w:autoSpaceDN/>
        <w:bidi w:val="0"/>
        <w:adjustRightInd/>
        <w:snapToGrid/>
        <w:spacing w:before="137"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1.支持园区建设。鼓励县区加强农产品加工园区建设，对产业定位清晰、基础功能完善、配套体系健全、集聚水平高、带动就业明显的农产品加工园区，对产值首次达到10 亿、20亿、30亿以上的，分别给予10万、20万</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30万奖励。</w:t>
      </w:r>
    </w:p>
    <w:p w14:paraId="0C640A23">
      <w:pPr>
        <w:pStyle w:val="2"/>
        <w:keepNext w:val="0"/>
        <w:keepLines w:val="0"/>
        <w:pageBreakBefore w:val="0"/>
        <w:widowControl w:val="0"/>
        <w:kinsoku/>
        <w:wordWrap/>
        <w:overflowPunct/>
        <w:topLinePunct w:val="0"/>
        <w:autoSpaceDE/>
        <w:autoSpaceDN/>
        <w:bidi w:val="0"/>
        <w:adjustRightInd/>
        <w:snapToGrid/>
        <w:spacing w:before="196" w:line="560" w:lineRule="exact"/>
        <w:ind w:right="94"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2.支持提质增效。对规模以上农产品加工企业，当年年营业收入达5000万元、2亿元、5亿元以上，且增速分别达到 15%、10%、5%以上，分别给予5万、10万、15万元的奖励。</w:t>
      </w:r>
    </w:p>
    <w:p w14:paraId="3257638C">
      <w:pPr>
        <w:pStyle w:val="2"/>
        <w:keepNext w:val="0"/>
        <w:keepLines w:val="0"/>
        <w:pageBreakBefore w:val="0"/>
        <w:widowControl w:val="0"/>
        <w:kinsoku/>
        <w:wordWrap/>
        <w:overflowPunct/>
        <w:topLinePunct w:val="0"/>
        <w:autoSpaceDE/>
        <w:autoSpaceDN/>
        <w:bidi w:val="0"/>
        <w:adjustRightInd/>
        <w:snapToGrid/>
        <w:spacing w:before="199" w:line="560" w:lineRule="exact"/>
        <w:ind w:right="63"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支持改造升级。对规上农产品加工企业实施新风车间和洁净化生产车间改造的，或新建食品加工企业建设洁净化车间的，且洁净等级在10万级以上的，给予洁净化车间固定资产投资最高10%,单个企业最高100万元的补助。</w:t>
      </w:r>
    </w:p>
    <w:p w14:paraId="10F71465">
      <w:pPr>
        <w:pStyle w:val="2"/>
        <w:keepNext w:val="0"/>
        <w:keepLines w:val="0"/>
        <w:pageBreakBefore w:val="0"/>
        <w:widowControl w:val="0"/>
        <w:kinsoku/>
        <w:wordWrap/>
        <w:overflowPunct/>
        <w:topLinePunct w:val="0"/>
        <w:autoSpaceDE/>
        <w:autoSpaceDN/>
        <w:bidi w:val="0"/>
        <w:adjustRightInd/>
        <w:snapToGrid/>
        <w:spacing w:before="183" w:line="560" w:lineRule="exact"/>
        <w:ind w:right="108"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4.鼓励做大做强。对当年新认定的国家级、省级、市级 农业产业化龙头企业，分别给予20万元、10万元、2万元 的一次性奖励。对积极参加国家、省级乡村产业类比赛并获 得名次的，给予2万、1万元奖励。对获得年度市级绿色食品产业10强企业、年度绿色食品产业新兴企业10强称号的 分别给予10万元奖励。对当年产值增幅高于全市规上农产品加工平均增速的规模以上农产品加工企业当年发生的一年期或以内300万以上，给予贴息补贴，补贴标准按照不高于上年末一年期 LPR(贷款市场报价利率)的30%予以执行，每户企业当年贴息额不超过20万元。</w:t>
      </w:r>
    </w:p>
    <w:p w14:paraId="231B0425">
      <w:pPr>
        <w:pStyle w:val="2"/>
        <w:keepNext w:val="0"/>
        <w:keepLines w:val="0"/>
        <w:pageBreakBefore w:val="0"/>
        <w:widowControl w:val="0"/>
        <w:kinsoku/>
        <w:wordWrap/>
        <w:overflowPunct/>
        <w:topLinePunct w:val="0"/>
        <w:autoSpaceDE/>
        <w:autoSpaceDN/>
        <w:bidi w:val="0"/>
        <w:adjustRightInd/>
        <w:snapToGrid/>
        <w:spacing w:before="1" w:line="560" w:lineRule="exact"/>
        <w:ind w:right="44"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5.支持绿色优质农产品认证。对在农业部门备案且当年 通过认证的有机农产品、绿色农产品和名特优新农产品，给予企业不超过1万元的奖励。</w:t>
      </w:r>
    </w:p>
    <w:p w14:paraId="2ED0AEC9">
      <w:pPr>
        <w:pStyle w:val="2"/>
        <w:keepNext w:val="0"/>
        <w:keepLines w:val="0"/>
        <w:pageBreakBefore w:val="0"/>
        <w:widowControl w:val="0"/>
        <w:kinsoku/>
        <w:wordWrap/>
        <w:overflowPunct/>
        <w:topLinePunct w:val="0"/>
        <w:autoSpaceDE/>
        <w:autoSpaceDN/>
        <w:bidi w:val="0"/>
        <w:adjustRightInd/>
        <w:snapToGrid/>
        <w:spacing w:before="211" w:line="560" w:lineRule="exact"/>
        <w:ind w:right="14"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6.支持拓宽农产品营销渠道。多渠道多形式开展农产品 区域公共品牌宣传、推广活动。积极组织农业产业化生产、加工企业参加省内、国内、国际农业产业展会。对按要求参加农业产业类展示展销推介的，对国内参展的展位费和运输费等给予不超过1万元补助，国外推介的补助往返交通及运输费用。</w:t>
      </w:r>
    </w:p>
    <w:p w14:paraId="04BA962B">
      <w:pPr>
        <w:pStyle w:val="2"/>
        <w:keepNext w:val="0"/>
        <w:keepLines w:val="0"/>
        <w:pageBreakBefore w:val="0"/>
        <w:widowControl w:val="0"/>
        <w:kinsoku/>
        <w:wordWrap/>
        <w:overflowPunct/>
        <w:topLinePunct w:val="0"/>
        <w:autoSpaceDE/>
        <w:autoSpaceDN/>
        <w:bidi w:val="0"/>
        <w:adjustRightInd/>
        <w:snapToGrid/>
        <w:spacing w:before="240" w:line="560" w:lineRule="exact"/>
        <w:ind w:right="26"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支持发展休闲农业及乡村旅游业。对当年创建成为国家级、省级美丽休闲乡村分别给予20万元、10万元奖补。对当年创建为国家级、省级“一村一品”示范村镇的分别给予实施主体20万元、10万元奖补，用于支持产业发展。</w:t>
      </w:r>
    </w:p>
    <w:p w14:paraId="747424F4">
      <w:pPr>
        <w:pStyle w:val="2"/>
        <w:keepNext w:val="0"/>
        <w:keepLines w:val="0"/>
        <w:pageBreakBefore w:val="0"/>
        <w:widowControl w:val="0"/>
        <w:kinsoku/>
        <w:wordWrap/>
        <w:overflowPunct/>
        <w:topLinePunct w:val="0"/>
        <w:autoSpaceDE/>
        <w:autoSpaceDN/>
        <w:bidi w:val="0"/>
        <w:adjustRightInd/>
        <w:snapToGrid/>
        <w:spacing w:before="152" w:line="560" w:lineRule="exact"/>
        <w:ind w:right="13"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8.支持科研合作。与中国农科院农产品加工研究所围绕淮南市农产品加工技术研发、科技招商、申请产业化项目、共建研发平台、技术咨询、人才培训等方面提供技术与咨询服务，按照双方签订的《淮南市主要农产品加工技术研发与应用技术服务委托合同》履行相关协议。</w:t>
      </w:r>
    </w:p>
    <w:p w14:paraId="1CC59695">
      <w:pPr>
        <w:keepNext w:val="0"/>
        <w:keepLines w:val="0"/>
        <w:pageBreakBefore w:val="0"/>
        <w:widowControl w:val="0"/>
        <w:kinsoku/>
        <w:wordWrap/>
        <w:overflowPunct/>
        <w:topLinePunct w:val="0"/>
        <w:autoSpaceDE/>
        <w:autoSpaceDN/>
        <w:bidi w:val="0"/>
        <w:adjustRightInd/>
        <w:snapToGrid/>
        <w:spacing w:before="15" w:line="560" w:lineRule="exact"/>
        <w:ind w:firstLine="640" w:firstLineChars="200"/>
        <w:textAlignment w:val="auto"/>
        <w:outlineLvl w:val="2"/>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二 、附则</w:t>
      </w:r>
    </w:p>
    <w:p w14:paraId="2419ACAB">
      <w:pPr>
        <w:pStyle w:val="2"/>
        <w:keepNext w:val="0"/>
        <w:keepLines w:val="0"/>
        <w:pageBreakBefore w:val="0"/>
        <w:widowControl w:val="0"/>
        <w:kinsoku/>
        <w:wordWrap/>
        <w:overflowPunct/>
        <w:topLinePunct w:val="0"/>
        <w:autoSpaceDE/>
        <w:autoSpaceDN/>
        <w:bidi w:val="0"/>
        <w:adjustRightInd/>
        <w:snapToGrid/>
        <w:spacing w:before="109"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(一)市农业农村局各牵头科室制定具体实施细则。</w:t>
      </w:r>
    </w:p>
    <w:p w14:paraId="6073C41B">
      <w:pPr>
        <w:pStyle w:val="2"/>
        <w:keepNext w:val="0"/>
        <w:keepLines w:val="0"/>
        <w:pageBreakBefore w:val="0"/>
        <w:widowControl w:val="0"/>
        <w:kinsoku/>
        <w:wordWrap/>
        <w:overflowPunct/>
        <w:topLinePunct w:val="0"/>
        <w:autoSpaceDE/>
        <w:autoSpaceDN/>
        <w:bidi w:val="0"/>
        <w:adjustRightInd/>
        <w:snapToGrid/>
        <w:spacing w:before="204" w:line="560" w:lineRule="exact"/>
        <w:ind w:right="45"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(二)同一建设内容符合多项奖补政策的，按最高项奖补 金额兑现。同一企业不同项目符合本政策两项或两项以上扶 持条款的，可叠加执行。本政策与市级其他政策对同一个企 业(项目)的同类型奖励出现重合时，执行最高额，但不重复享受。已享受国家产业集群项目建设奖补或国家相关设备更新类奖补的不再享受的本政策第三条。对弄虚作假、骗取资金的，予以追回已拨付资金，并纳入淮南市信用信息公示平台黑名单；情节严重的，依法追究相关单位和人员责任。</w:t>
      </w:r>
    </w:p>
    <w:p w14:paraId="3BA05926">
      <w:pPr>
        <w:pStyle w:val="2"/>
        <w:keepNext w:val="0"/>
        <w:keepLines w:val="0"/>
        <w:pageBreakBefore w:val="0"/>
        <w:widowControl w:val="0"/>
        <w:kinsoku/>
        <w:wordWrap/>
        <w:overflowPunct/>
        <w:topLinePunct w:val="0"/>
        <w:autoSpaceDE/>
        <w:autoSpaceDN/>
        <w:bidi w:val="0"/>
        <w:adjustRightInd/>
        <w:snapToGrid/>
        <w:spacing w:before="208" w:line="560" w:lineRule="exact"/>
        <w:ind w:right="33"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(三)本政策与国家、省新出台的相关政策不一致的，以国家、省相关政策为准。我市原有相关文件规定与本政策不一致的，以本政策为准。</w:t>
      </w:r>
    </w:p>
    <w:p w14:paraId="771FFA55">
      <w:pPr>
        <w:pStyle w:val="2"/>
        <w:keepNext w:val="0"/>
        <w:keepLines w:val="0"/>
        <w:pageBreakBefore w:val="0"/>
        <w:widowControl w:val="0"/>
        <w:kinsoku/>
        <w:wordWrap/>
        <w:overflowPunct/>
        <w:topLinePunct w:val="0"/>
        <w:autoSpaceDE/>
        <w:autoSpaceDN/>
        <w:bidi w:val="0"/>
        <w:adjustRightInd/>
        <w:snapToGrid/>
        <w:spacing w:before="243"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(四)本政策自2024年1月1日起施行，至2025年12 月31日。本政策由市农业农村局会同相关部门负责解释。</w:t>
      </w:r>
    </w:p>
    <w:p w14:paraId="571D187D">
      <w:pPr>
        <w:pStyle w:val="5"/>
        <w:widowControl w:val="0"/>
        <w:spacing w:before="0" w:beforeAutospacing="0" w:after="0" w:afterAutospacing="0" w:line="578" w:lineRule="exact"/>
        <w:jc w:val="center"/>
        <w:rPr>
          <w:rFonts w:hint="eastAsia" w:ascii="楷体_GB2312" w:eastAsia="楷体_GB2312"/>
          <w:b/>
          <w:kern w:val="2"/>
          <w:sz w:val="36"/>
          <w:szCs w:val="36"/>
        </w:rPr>
      </w:pPr>
    </w:p>
    <w:p w14:paraId="2249C814">
      <w:pPr>
        <w:spacing w:line="352" w:lineRule="exact"/>
        <w:ind w:left="295"/>
        <w:rPr>
          <w:rFonts w:hint="eastAsia" w:ascii="仿宋_GB2312" w:hAnsi="仿宋_GB2312" w:eastAsia="仿宋_GB2312" w:cs="仿宋_GB2312"/>
          <w:spacing w:val="0"/>
          <w:sz w:val="32"/>
          <w:szCs w:val="32"/>
          <w:lang w:val="en-US" w:eastAsia="zh-CN"/>
        </w:rPr>
      </w:pP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5B22">
    <w:pPr>
      <w:spacing w:line="174" w:lineRule="auto"/>
      <w:ind w:left="4145"/>
      <w:rPr>
        <w:rFonts w:ascii="Times New Roman" w:hAnsi="Times New Roman" w:eastAsia="Times New Roman" w:cs="Times New Roman"/>
        <w:sz w:val="15"/>
        <w:szCs w:val="15"/>
      </w:rPr>
    </w:pPr>
    <w:r>
      <w:rPr>
        <w:rFonts w:ascii="Times New Roman" w:hAnsi="Times New Roman" w:eastAsia="Times New Roman" w:cs="Times New Roman"/>
        <w:sz w:val="15"/>
        <w:szCs w:val="15"/>
      </w:rPr>
      <w:t>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635BF"/>
    <w:rsid w:val="05670B40"/>
    <w:rsid w:val="10F938B6"/>
    <w:rsid w:val="2DA9490D"/>
    <w:rsid w:val="338813BB"/>
    <w:rsid w:val="360C22F6"/>
    <w:rsid w:val="3FF4617E"/>
    <w:rsid w:val="6896072F"/>
    <w:rsid w:val="69207A90"/>
    <w:rsid w:val="6B457289"/>
    <w:rsid w:val="6EBE7A27"/>
    <w:rsid w:val="7F163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Table Text"/>
    <w:basedOn w:val="1"/>
    <w:semiHidden/>
    <w:qFormat/>
    <w:uiPriority w:val="0"/>
    <w:rPr>
      <w:rFonts w:ascii="Arial" w:hAnsi="Arial" w:eastAsia="Arial" w:cs="Arial"/>
      <w:sz w:val="21"/>
      <w:szCs w:val="2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3164</Words>
  <Characters>3336</Characters>
  <Lines>0</Lines>
  <Paragraphs>0</Paragraphs>
  <TotalTime>7</TotalTime>
  <ScaleCrop>false</ScaleCrop>
  <LinksUpToDate>false</LinksUpToDate>
  <CharactersWithSpaces>3786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2025-06-08T01:35:00Z</dcterms:created>
  <dc:creator>赵长春</dc:creator>
  <cp:lastModifiedBy>雾里看花</cp:lastModifiedBy>
  <dcterms:modified xsi:type="dcterms:W3CDTF">2025-06-09T01:37:50Z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7FA3DB2A44DA44ACB79AF0D26867937B_11</vt:lpwstr>
  </property>
  <property fmtid="{D5CDD505-2E9C-101B-9397-08002B2CF9AE}" pid="4" name="KSOTemplateDocerSaveRecord">
    <vt:lpwstr>eyJoZGlkIjoiZmZjNGRiNGFmNTZlNTExNmQ5YzY4ZWNlZDdjZDNhNWUiLCJ1c2VySWQiOiIxMDg3MjUwOTk3In0=</vt:lpwstr>
  </property>
</Properties>
</file>