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FF14AC" w:rsidP="0026313E">
      <w:pPr>
        <w:ind w:firstLine="1311" w:firstLineChars="298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关于2025年寿县政府预算说明</w:t>
      </w:r>
    </w:p>
    <w:p w:rsidR="00FF14AC">
      <w:pPr>
        <w:spacing w:line="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FF14AC">
      <w:pPr>
        <w:spacing w:line="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FF14AC">
      <w:pPr>
        <w:spacing w:line="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FF14AC">
      <w:pPr>
        <w:spacing w:line="550" w:lineRule="exact"/>
        <w:ind w:firstLine="640" w:firstLineChars="200"/>
        <w:rPr>
          <w:rFonts w:ascii="仿宋_GB2312" w:eastAsia="仿宋_GB2312" w:hAnsi="黑体"/>
          <w:sz w:val="32"/>
          <w:szCs w:val="32"/>
        </w:rPr>
      </w:pPr>
    </w:p>
    <w:p w:rsidR="00FF14AC">
      <w:pPr>
        <w:widowControl/>
        <w:spacing w:line="6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贯彻落实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《中华人民共和国预算法》、《中华人民共和国预算法实施条例》等规定，根据安徽省财政厅关于 2025年预算公开工作要求，现将寿县 2025年政府预算情况说明如下： </w:t>
      </w:r>
    </w:p>
    <w:p w:rsidR="00FF14AC">
      <w:pPr>
        <w:widowControl/>
        <w:spacing w:line="640" w:lineRule="exact"/>
        <w:ind w:firstLine="640" w:firstLineChars="200"/>
      </w:pPr>
      <w:r>
        <w:rPr>
          <w:rFonts w:ascii="黑体" w:eastAsia="黑体" w:hAnsi="宋体" w:cs="黑体"/>
          <w:color w:val="000000"/>
          <w:kern w:val="0"/>
          <w:sz w:val="32"/>
          <w:szCs w:val="32"/>
        </w:rPr>
        <w:t>一、政府收支预算安排情况</w:t>
      </w:r>
    </w:p>
    <w:p w:rsidR="00FF14AC">
      <w:pPr>
        <w:widowControl/>
        <w:spacing w:line="64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（一）2025 年一般公共预算安排情况</w:t>
      </w:r>
    </w:p>
    <w:p w:rsidR="00FF14AC">
      <w:pPr>
        <w:topLinePunct/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全县一般公共预算收入安排情况：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2025年一般公共预算收入预计74亿元，其组成是：一般公共预算收入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21.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4亿元、上级补助收入45.27亿元、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调入资金7.33亿元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。全县一般公共预算支出预计74亿元，较上年预算增长0.1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。</w:t>
      </w:r>
    </w:p>
    <w:p w:rsidR="00FF14AC">
      <w:pPr>
        <w:spacing w:line="640" w:lineRule="exact"/>
        <w:ind w:firstLine="640" w:firstLineChars="200"/>
      </w:pPr>
      <w:r>
        <w:rPr>
          <w:rFonts w:ascii="仿宋_GB2312" w:eastAsia="仿宋_GB2312" w:hAnsi="仿宋_GB2312" w:cs="仿宋_GB2312" w:hint="eastAsia"/>
          <w:b/>
          <w:snapToGrid w:val="0"/>
          <w:color w:val="000000"/>
          <w:kern w:val="0"/>
          <w:sz w:val="32"/>
          <w:szCs w:val="32"/>
        </w:rPr>
        <w:t>全县主要财政支出项目预算安排情况：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般公共服务支出10.75亿元，国防支出0.1亿元，公共安全支出2.17亿元，教育支出15.61亿元，科学技术支出0.14亿元，文化旅游体育与传媒支出0.68亿元，社会保障和就业支出20.85亿元，卫生健康支出4.89亿元，节能环保支出0.06亿元，城乡社区支出0.86亿元，</w:t>
      </w:r>
      <w:r>
        <w:rPr>
          <w:rFonts w:ascii="仿宋_GB2312" w:eastAsia="仿宋_GB2312"/>
          <w:color w:val="000000"/>
          <w:sz w:val="32"/>
          <w:szCs w:val="32"/>
        </w:rPr>
        <w:t>农林水支出</w:t>
      </w:r>
      <w:r>
        <w:rPr>
          <w:rFonts w:ascii="仿宋_GB2312" w:eastAsia="仿宋_GB2312" w:hint="eastAsia"/>
          <w:color w:val="000000"/>
          <w:sz w:val="32"/>
          <w:szCs w:val="32"/>
        </w:rPr>
        <w:t>11.4</w:t>
      </w:r>
      <w:r>
        <w:rPr>
          <w:rFonts w:ascii="仿宋_GB2312" w:eastAsia="仿宋_GB2312"/>
          <w:color w:val="000000"/>
          <w:sz w:val="32"/>
          <w:szCs w:val="32"/>
        </w:rPr>
        <w:t>亿元，交通运输支出</w:t>
      </w:r>
      <w:r>
        <w:rPr>
          <w:rFonts w:ascii="仿宋_GB2312" w:eastAsia="仿宋_GB2312" w:hint="eastAsia"/>
          <w:color w:val="000000"/>
          <w:sz w:val="32"/>
          <w:szCs w:val="32"/>
        </w:rPr>
        <w:t>0.65</w:t>
      </w:r>
      <w:r>
        <w:rPr>
          <w:rFonts w:ascii="仿宋_GB2312" w:eastAsia="仿宋_GB2312"/>
          <w:color w:val="000000"/>
          <w:sz w:val="32"/>
          <w:szCs w:val="32"/>
        </w:rPr>
        <w:t>亿元，</w:t>
      </w:r>
      <w:r>
        <w:rPr>
          <w:rFonts w:ascii="仿宋_GB2312" w:eastAsia="仿宋_GB2312" w:hint="eastAsia"/>
          <w:color w:val="000000"/>
          <w:sz w:val="32"/>
          <w:szCs w:val="32"/>
        </w:rPr>
        <w:t>资源勘探工业信息等支出0.7亿元，商业服务业等支出0.02亿元，自然资源海洋气象等支出0.16亿元，</w:t>
      </w:r>
      <w:r>
        <w:rPr>
          <w:rFonts w:ascii="仿宋_GB2312" w:eastAsia="仿宋_GB2312"/>
          <w:color w:val="000000"/>
          <w:sz w:val="32"/>
          <w:szCs w:val="32"/>
        </w:rPr>
        <w:t>住房保障支出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亿元，</w:t>
      </w:r>
      <w:r>
        <w:rPr>
          <w:rFonts w:ascii="仿宋_GB2312" w:eastAsia="仿宋_GB2312" w:hint="eastAsia"/>
          <w:color w:val="000000"/>
          <w:sz w:val="32"/>
          <w:szCs w:val="32"/>
        </w:rPr>
        <w:t>粮油</w:t>
      </w:r>
      <w:r>
        <w:rPr>
          <w:rFonts w:ascii="仿宋_GB2312" w:eastAsia="仿宋_GB2312" w:hint="eastAsia"/>
          <w:color w:val="000000"/>
          <w:sz w:val="32"/>
          <w:szCs w:val="32"/>
        </w:rPr>
        <w:t>物资储备支出0.2亿元，灾害防治及应急管理支出0.19亿元，债务付息支出1.8亿元，</w:t>
      </w:r>
      <w:r>
        <w:rPr>
          <w:rFonts w:ascii="仿宋_GB2312" w:eastAsia="仿宋_GB2312"/>
          <w:color w:val="000000"/>
          <w:sz w:val="32"/>
          <w:szCs w:val="32"/>
        </w:rPr>
        <w:t>预备费</w:t>
      </w:r>
      <w:r>
        <w:rPr>
          <w:rFonts w:ascii="仿宋_GB2312" w:eastAsia="仿宋_GB2312" w:hint="eastAsia"/>
          <w:color w:val="000000"/>
          <w:sz w:val="32"/>
          <w:szCs w:val="32"/>
        </w:rPr>
        <w:t>0.75</w:t>
      </w:r>
      <w:r>
        <w:rPr>
          <w:rFonts w:ascii="仿宋_GB2312" w:eastAsia="仿宋_GB2312"/>
          <w:color w:val="000000"/>
          <w:sz w:val="32"/>
          <w:szCs w:val="32"/>
        </w:rPr>
        <w:t>亿元。</w:t>
      </w:r>
    </w:p>
    <w:p w:rsidR="00FF14AC">
      <w:pPr>
        <w:widowControl/>
        <w:spacing w:line="640" w:lineRule="exact"/>
        <w:ind w:firstLine="640" w:firstLineChars="200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 xml:space="preserve">（二）2025年政府性基金预算安排情况 </w:t>
      </w:r>
    </w:p>
    <w:p w:rsidR="00FF14AC">
      <w:pPr>
        <w:topLinePunct/>
        <w:spacing w:line="600" w:lineRule="exact"/>
        <w:ind w:firstLine="640" w:firstLineChars="20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2025年政府性基金预算收入安排23.25亿元，其中：县本级（新城区）土地出让收入（含增减挂指标交易收入）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15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亿元，新桥产业园土地出让收入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4.9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亿元，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寿县蜀山现代产业园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2亿元，乡镇土地出让收入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0.8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亿元，合淮合作区土地出让收入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0.27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亿元，城市基础设施配套费收入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0.2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亿元，污水处理费收入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0.08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亿元。政府性基金预算支出18.11亿元，其中：城乡建设支出14.8亿元（含实施PPP项目政府付费、老城区基础设施改造和保护、乡镇和园区土地出让金安排的支出等），债务付息支出3.18亿元，其他支出0.13亿元、调出资金5.14亿元。</w:t>
      </w:r>
    </w:p>
    <w:p w:rsidR="00FF14AC">
      <w:pPr>
        <w:widowControl/>
        <w:spacing w:line="640" w:lineRule="exact"/>
        <w:ind w:firstLine="640" w:firstLineChars="200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（三）2025年国有资本经营预算安排情况</w:t>
      </w:r>
    </w:p>
    <w:p w:rsidR="00FF14AC">
      <w:pPr>
        <w:widowControl/>
        <w:spacing w:line="640" w:lineRule="exact"/>
        <w:ind w:firstLine="640" w:firstLineChars="20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2025年国有资本经营预算收入3000万元，为国有企业产权转让收入和国有企业分得的利润收入等。国有资本经营预算支出600万元，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主要为解决国有企业历史遗留问题及改革成本支出。</w:t>
      </w:r>
    </w:p>
    <w:p w:rsidR="00FF14AC">
      <w:pPr>
        <w:widowControl/>
        <w:spacing w:line="640" w:lineRule="exact"/>
        <w:ind w:firstLine="640" w:firstLineChars="200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 xml:space="preserve">（四）2025年社会保险基金预算安排情况 </w:t>
      </w:r>
    </w:p>
    <w:p w:rsidR="00FF14AC">
      <w:pPr>
        <w:topLinePunct/>
        <w:spacing w:line="560" w:lineRule="exact"/>
        <w:ind w:firstLine="640" w:firstLineChars="20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根据现行政策规定，结合各项基金的统筹级次，我县的企业职工养老保险、机关事业单位养老保险、失业保险、工伤保险、职工医疗保险、城乡居民医疗保险基金实行省、市统筹，由省级、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市级统一编制，城乡居民基本养老保险基金由县级编制。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202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5年社会保险基金预算收入10.75亿元，预算支出6亿元，当年收支结余4.75亿元。</w:t>
      </w:r>
    </w:p>
    <w:p w:rsidR="00FF14AC">
      <w:pPr>
        <w:widowControl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/>
          <w:bCs/>
          <w:color w:val="000000"/>
          <w:sz w:val="32"/>
          <w:szCs w:val="32"/>
        </w:rPr>
        <w:br w:type="page"/>
      </w:r>
    </w:p>
    <w:p w:rsidR="00FF14A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关于2025年转移支付情况说明</w:t>
      </w:r>
    </w:p>
    <w:p w:rsidR="00FF14AC">
      <w:pPr>
        <w:rPr>
          <w:rFonts w:ascii="仿宋_GB2312" w:eastAsia="仿宋_GB2312"/>
          <w:b/>
          <w:sz w:val="32"/>
          <w:szCs w:val="32"/>
        </w:rPr>
      </w:pPr>
    </w:p>
    <w:p w:rsidR="00FF14AC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2025年寿县编入提前告知转移支付为452671万元，在编制2025年预算时，按照预算编制政策要求，严格按照预算收支科目全额编入年初预算，分项如下：</w:t>
      </w:r>
    </w:p>
    <w:p w:rsidR="00FF14AC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一是返还性收入15524万元。增值税和消费税两税返还收入14072万元、所得税基数返还收入1452万元。</w:t>
      </w:r>
    </w:p>
    <w:p w:rsidR="00FF14AC">
      <w:pPr>
        <w:spacing w:line="560" w:lineRule="exact"/>
        <w:ind w:firstLine="627" w:firstLineChars="196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是一般性转移支付收入424952.79万元。体制补助收入51846万元、均衡性转移支付收入98330万元、县级基本财力保障机制奖补资金收入51095万元、结算补助收入515.71万元、产粮（油）大县奖励资金收入15068万元、重点生态功能区转移支付收入4901万元、固定数额补助收入125万元、革命老区转移支付收入3696万元、巩固脱贫攻坚成果衔接乡村振兴转移支付收入24745万元、公共安全共同财政事权转移支付收入2560万元、教育共同财政事权转移支付收入27025.3万元、文化旅游体育与传媒共同财政事权转移支付收入450.8万元、社会保障和就业共同财政事权转移支付收入62930.9万元、医疗卫生共同财政事权转移支付收入13120.1万元、节能环保共同财政事权转移支付收入296.81万元、农林水共同财政事权转移支付收入52849万元、交通运输共同财政事权转移支付收入11976.44万元、住房保障共同财政事权转移支付收入769.6万元、其他一般性转移</w:t>
      </w:r>
      <w:r>
        <w:rPr>
          <w:rFonts w:ascii="仿宋_GB2312" w:eastAsia="仿宋_GB2312" w:hAnsi="仿宋" w:hint="eastAsia"/>
          <w:sz w:val="32"/>
          <w:szCs w:val="32"/>
        </w:rPr>
        <w:t>支付收入2652 万元。</w:t>
      </w:r>
    </w:p>
    <w:p w:rsidR="00FF14AC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三是专项转移支付收入12194.21万元。一般公共服务支出3.36万元、社会保障和就业支出1477.4万元、卫生健康支出157.2万元、节能环保支出2800 万元，农林水支出1028万元，交通运输支出6728.25万元。</w:t>
      </w:r>
    </w:p>
    <w:p w:rsidR="00FF14AC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是转移支付资金用途。转移支付资金分为一般性转移支付资金和专项转移支付资金，一般性转移支付资金按照转移支付资金性质，除有指定用途的项目，其他统筹用于全县各项经济社会事业的发展支出，优先用于“保工资、保运转、保基本民生”等人员工资、机构运转、民生项目、脱贫攻坚、社会保障等；专项转移支付资金按照专项转移支付资金有关要求安排使用。</w:t>
      </w:r>
    </w:p>
    <w:p w:rsidR="00FF14AC">
      <w:pPr>
        <w:ind w:firstLine="1562" w:firstLineChars="488"/>
        <w:rPr>
          <w:rFonts w:ascii="仿宋_GB2312" w:eastAsia="仿宋_GB2312"/>
          <w:b/>
          <w:sz w:val="32"/>
          <w:szCs w:val="32"/>
        </w:rPr>
      </w:pPr>
    </w:p>
    <w:p w:rsidR="00FF14AC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FF14AC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关于举借政府债务情况说明</w:t>
      </w:r>
    </w:p>
    <w:p w:rsidR="00FF14AC">
      <w:pPr>
        <w:topLinePunct/>
        <w:spacing w:line="560" w:lineRule="exact"/>
        <w:ind w:firstLine="640" w:firstLineChars="200"/>
        <w:rPr>
          <w:rFonts w:ascii="黑体" w:eastAsia="黑体" w:hAnsi="黑体"/>
          <w:bCs/>
          <w:kern w:val="0"/>
          <w:sz w:val="32"/>
          <w:szCs w:val="32"/>
          <w:lang w:bidi="en-US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lang w:bidi="en-US"/>
        </w:rPr>
        <w:t>一、政府债务余额情况</w:t>
      </w:r>
    </w:p>
    <w:p w:rsidR="00FF14AC">
      <w:pPr>
        <w:topLinePunct/>
        <w:spacing w:line="58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截至2024年12月底，我县政府债务余额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1476652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万元，按债务类型分：一般债务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437166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万元，专项债务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1039486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万元。</w:t>
      </w:r>
    </w:p>
    <w:p w:rsidR="00FF14AC">
      <w:pPr>
        <w:topLinePunct/>
        <w:spacing w:line="560" w:lineRule="exact"/>
        <w:ind w:firstLine="640" w:firstLineChars="200"/>
        <w:rPr>
          <w:rFonts w:ascii="黑体" w:eastAsia="黑体" w:hAnsi="黑体"/>
          <w:bCs/>
          <w:kern w:val="0"/>
          <w:sz w:val="32"/>
          <w:szCs w:val="32"/>
          <w:lang w:bidi="en-US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lang w:bidi="en-US"/>
        </w:rPr>
        <w:t>二、政府债务限额情况</w:t>
      </w:r>
    </w:p>
    <w:p w:rsidR="00FF14AC">
      <w:pPr>
        <w:topLinePunct/>
        <w:spacing w:line="56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2024年度寿县地方政府债务总限额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1487050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万元，其中一般债务限额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438494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万元（2024年寿县新增一般债券限额为8609万元），专项债务限额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1048556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万元（2024年寿县新增专项债务限额为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148040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万元)。</w:t>
      </w:r>
    </w:p>
    <w:p w:rsidR="00FF14AC">
      <w:pPr>
        <w:topLinePunct/>
        <w:spacing w:line="560" w:lineRule="exact"/>
        <w:ind w:firstLine="640" w:firstLineChars="200"/>
        <w:rPr>
          <w:rFonts w:ascii="黑体" w:eastAsia="黑体" w:hAnsi="黑体"/>
          <w:bCs/>
          <w:kern w:val="0"/>
          <w:sz w:val="32"/>
          <w:szCs w:val="32"/>
          <w:lang w:bidi="en-US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lang w:bidi="en-US"/>
        </w:rPr>
        <w:t>三、政府债券情况</w:t>
      </w:r>
    </w:p>
    <w:p w:rsidR="00FF14AC">
      <w:pPr>
        <w:topLinePunct/>
        <w:spacing w:line="58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2024年度寿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县通过省财政厅代发地方政府债券共205438万元，其中新增债券</w:t>
      </w:r>
      <w:r w:rsidR="0026313E">
        <w:rPr>
          <w:rFonts w:ascii="仿宋_GB2312" w:eastAsia="仿宋_GB2312" w:hAnsi="仿宋_GB2312" w:cs="仿宋_GB2312" w:hint="eastAsia"/>
          <w:bCs/>
          <w:sz w:val="32"/>
          <w:szCs w:val="32"/>
        </w:rPr>
        <w:t>159706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万元（其中一般债券86</w:t>
      </w:r>
      <w:r w:rsidR="0026313E">
        <w:rPr>
          <w:rFonts w:ascii="仿宋_GB2312" w:eastAsia="仿宋_GB2312" w:hAnsi="仿宋_GB2312" w:cs="仿宋_GB2312" w:hint="eastAsia"/>
          <w:bCs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万元，专项债券</w:t>
      </w:r>
      <w:r w:rsidR="0026313E">
        <w:rPr>
          <w:rFonts w:ascii="仿宋_GB2312" w:eastAsia="仿宋_GB2312" w:hAnsi="仿宋_GB2312" w:cs="仿宋_GB2312" w:hint="eastAsia"/>
          <w:sz w:val="32"/>
          <w:szCs w:val="32"/>
        </w:rPr>
        <w:t>151073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万元），再融资债券</w:t>
      </w:r>
      <w:r w:rsidR="0026313E">
        <w:rPr>
          <w:rFonts w:ascii="仿宋_GB2312" w:eastAsia="仿宋_GB2312" w:hAnsi="仿宋_GB2312" w:cs="仿宋_GB2312" w:hint="eastAsia"/>
          <w:bCs/>
          <w:sz w:val="32"/>
          <w:szCs w:val="32"/>
        </w:rPr>
        <w:t>45732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万元(其中一般债券116</w:t>
      </w:r>
      <w:r w:rsidR="0026313E">
        <w:rPr>
          <w:rFonts w:ascii="仿宋_GB2312" w:eastAsia="仿宋_GB2312" w:hAnsi="仿宋_GB2312" w:cs="仿宋_GB2312" w:hint="eastAsia"/>
          <w:bCs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万元，专项债券</w:t>
      </w:r>
      <w:r w:rsidR="0026313E">
        <w:rPr>
          <w:rFonts w:ascii="仿宋_GB2312" w:eastAsia="仿宋_GB2312" w:hAnsi="仿宋_GB2312" w:cs="仿宋_GB2312" w:hint="eastAsia"/>
          <w:bCs/>
          <w:sz w:val="32"/>
          <w:szCs w:val="32"/>
        </w:rPr>
        <w:t>34110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p w:rsidR="0026313E" w:rsidP="0026313E">
      <w:pPr>
        <w:topLinePunct/>
        <w:spacing w:line="58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新增一般债券8633万元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，用于寿县2024年农村户厕改造及粪污资源化利用项目750万元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寿县2024年和美乡村省级中心村建设项目880万元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寿县2024年和美乡村精品示范村建设项目3902万元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寿县2024年水利工程维修养护工程436万元，尹岔宾阳排涝泵站120万元，寿县第二净水厂配套泵站、管网工程项目2521万元、</w:t>
      </w:r>
      <w:r w:rsidRPr="004A687C">
        <w:rPr>
          <w:rFonts w:ascii="仿宋_GB2312" w:eastAsia="仿宋_GB2312" w:hAnsi="华文仿宋" w:hint="eastAsia"/>
          <w:bCs/>
          <w:color w:val="000000"/>
          <w:sz w:val="32"/>
          <w:szCs w:val="32"/>
        </w:rPr>
        <w:t>淠河综合治理项目</w:t>
      </w:r>
      <w:r>
        <w:rPr>
          <w:rFonts w:ascii="仿宋_GB2312" w:eastAsia="仿宋_GB2312" w:hAnsi="华文仿宋" w:hint="eastAsia"/>
          <w:bCs/>
          <w:color w:val="000000"/>
          <w:sz w:val="32"/>
          <w:szCs w:val="32"/>
        </w:rPr>
        <w:t>24万元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F14AC">
      <w:pPr>
        <w:topLinePunct/>
        <w:spacing w:line="58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新增专项债券</w:t>
      </w:r>
      <w:r w:rsidR="0026313E">
        <w:rPr>
          <w:rFonts w:ascii="仿宋_GB2312" w:eastAsia="仿宋_GB2312" w:hAnsi="仿宋_GB2312" w:cs="仿宋_GB2312" w:hint="eastAsia"/>
          <w:sz w:val="32"/>
          <w:szCs w:val="32"/>
        </w:rPr>
        <w:t>151073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万元</w:t>
      </w:r>
      <w:r w:rsidR="0026313E"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主要用于寿县新桥国际产业园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基础设施及服务配套工程二期项目5800万元，寿县县医院南区及配套设施建设项目17000万元，寿县县域区域规模化（城乡供水一体化）工程（北部片区、新桥片区）项目40000万元，G328寿县至霍邱一级公路改扩建工程24400万元，合肥新桥机场S1线工程（寿县建设段）15000万元，寿县历史城区城镇老旧小区连片改造项目10000万元，寿县公立卫生健康机构能力提升项目（一期）2000万元，寿县楚都棚户区改造安置小区（二期）</w:t>
      </w:r>
      <w:r w:rsidR="00CF46C1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宾阳（南扩）安置小区工程建设项目</w:t>
      </w:r>
      <w:r w:rsidR="00CF46C1">
        <w:rPr>
          <w:rFonts w:ascii="仿宋_GB2312" w:eastAsia="仿宋_GB2312" w:hAnsi="仿宋_GB2312" w:cs="仿宋_GB2312" w:hint="eastAsia"/>
          <w:bCs/>
          <w:sz w:val="32"/>
          <w:szCs w:val="32"/>
        </w:rPr>
        <w:t>等9个项目36873万元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F14AC">
      <w:pPr>
        <w:topLinePunct/>
        <w:spacing w:line="560" w:lineRule="exact"/>
        <w:ind w:firstLine="640" w:firstLineChars="2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bidi="en-US"/>
        </w:rPr>
        <w:t>再融资</w:t>
      </w:r>
      <w:r w:rsidRPr="0026313E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bidi="en-US"/>
        </w:rPr>
        <w:t>债券</w:t>
      </w:r>
      <w:r w:rsidRPr="0026313E" w:rsidR="0026313E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en-US"/>
        </w:rPr>
        <w:t>45732</w:t>
      </w:r>
      <w:r w:rsidRPr="0026313E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bidi="en-US"/>
        </w:rPr>
        <w:t>万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bidi="en-US"/>
        </w:rPr>
        <w:t>元，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en-US"/>
        </w:rPr>
        <w:t>全部用于偿还2024年度到期政府债券本金。</w:t>
      </w:r>
    </w:p>
    <w:p w:rsidR="00FF14AC">
      <w:pPr>
        <w:spacing w:line="640" w:lineRule="exact"/>
        <w:ind w:firstLine="640"/>
        <w:rPr>
          <w:rFonts w:ascii="黑体" w:eastAsia="黑体" w:hAnsi="黑体"/>
          <w:bCs/>
          <w:kern w:val="0"/>
          <w:sz w:val="32"/>
          <w:szCs w:val="32"/>
          <w:lang w:bidi="en-US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lang w:bidi="en-US"/>
        </w:rPr>
        <w:t>四、风险防控情况</w:t>
      </w:r>
    </w:p>
    <w:p w:rsidR="00FF14AC">
      <w:pPr>
        <w:topLinePunct/>
        <w:spacing w:line="58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2024年度寿县政府法定债务率136.9%，全口径债务率147.14%（政府债务147.67亿元，隐性债务余额11.04亿元，2024年度综合财力107.86亿元），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县债务规模总体处于黄色风险提示区域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F14AC" w:rsidRPr="00EC01F4">
      <w:pPr>
        <w:topLinePunct/>
        <w:spacing w:line="580" w:lineRule="exact"/>
        <w:ind w:firstLine="640" w:firstLineChars="20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  <w:r w:rsidRPr="00EC01F4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根据地方政府法定债务的债务率水平由高至低设置红（债务率≥300%）、橙（200%≤债务率＜300%）、黄（120%≤债务率＜200%）、绿（债务率＜120%）四个风险等级档次。法定债务率水平处于红色等级的地区，列入风险预警地区；法定债务率水平处于橙色或黄色等级的地区，列入风险提示地区；法定债务率水平处于绿色的地区为安全区间。全口径债务率风险等级档次比照政府法定债务率。</w:t>
      </w:r>
    </w:p>
    <w:p w:rsidR="00FF14AC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FF14AC">
      <w:pPr>
        <w:spacing w:line="52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关于2025年寿县“三公”经费预算支出</w:t>
      </w:r>
    </w:p>
    <w:p w:rsidR="00FF14AC">
      <w:pPr>
        <w:spacing w:line="52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情况说明</w:t>
      </w:r>
    </w:p>
    <w:p w:rsidR="00FF14AC">
      <w:pPr>
        <w:tabs>
          <w:tab w:val="left" w:pos="885"/>
        </w:tabs>
        <w:ind w:firstLine="640" w:firstLineChars="200"/>
        <w:rPr>
          <w:rFonts w:ascii="仿宋_GB2312" w:eastAsia="仿宋_GB2312" w:hAnsi="仿宋" w:cs="Courier New"/>
          <w:sz w:val="32"/>
          <w:szCs w:val="32"/>
        </w:rPr>
      </w:pPr>
    </w:p>
    <w:p w:rsidR="00FF14AC"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寿县2025年寿县“三公”经费财政拨款预算数为363</w:t>
      </w:r>
      <w:r w:rsidR="00762CA7">
        <w:rPr>
          <w:rFonts w:ascii="仿宋_GB2312" w:eastAsia="仿宋_GB2312" w:hAnsi="仿宋" w:cs="Courier New" w:hint="eastAsia"/>
          <w:sz w:val="32"/>
          <w:szCs w:val="32"/>
        </w:rPr>
        <w:t>2.9</w:t>
      </w:r>
      <w:r>
        <w:rPr>
          <w:rFonts w:ascii="仿宋_GB2312" w:eastAsia="仿宋_GB2312" w:hAnsi="仿宋" w:cs="Courier New" w:hint="eastAsia"/>
          <w:sz w:val="32"/>
          <w:szCs w:val="32"/>
        </w:rPr>
        <w:t>万元，2024年财政预算数为3635万元，“三公”经费较上年预算减少</w:t>
      </w:r>
      <w:r w:rsidR="00D90FC8">
        <w:rPr>
          <w:rFonts w:ascii="仿宋_GB2312" w:eastAsia="仿宋_GB2312" w:hAnsi="仿宋" w:cs="Courier New" w:hint="eastAsia"/>
          <w:sz w:val="32"/>
          <w:szCs w:val="32"/>
        </w:rPr>
        <w:t>2.1</w:t>
      </w:r>
      <w:r>
        <w:rPr>
          <w:rFonts w:ascii="仿宋_GB2312" w:eastAsia="仿宋_GB2312" w:hAnsi="仿宋" w:cs="Courier New" w:hint="eastAsia"/>
          <w:sz w:val="32"/>
          <w:szCs w:val="32"/>
        </w:rPr>
        <w:t xml:space="preserve">万元，同比下降0.06%，其中：因公出国（境）费20万元，公务接待费1342.1万元，公务用车购置及运行费2270.8万元。具体情况如下： </w:t>
      </w:r>
    </w:p>
    <w:p w:rsidR="00FF14AC"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（一）因公出国（境）费预算20万元，主要为非部门预算安排外出学习考察经费20万元，经费使用严格按照寿县《寿县党政机关因公临时出国经费管理办法的通知》（财行〔2016〕29号）等相关规定执行。</w:t>
      </w:r>
    </w:p>
    <w:p w:rsidR="00FF14AC"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（二）公务接待费预算1342.1万元，较上年预算减少2.9万元,同比下降0.2%，主要用于日常公务活动的接待和公务往来等支出，下降原因主要是强化公务接待管理，落实上级厉行节约政策要求。经费使用贯</w:t>
      </w:r>
      <w:r>
        <w:rPr>
          <w:rFonts w:ascii="仿宋_GB2312" w:eastAsia="仿宋_GB2312" w:hAnsi="仿宋" w:cs="Courier New" w:hint="eastAsia"/>
          <w:sz w:val="32"/>
          <w:szCs w:val="32"/>
        </w:rPr>
        <w:t>贯彻落实</w:t>
      </w:r>
      <w:r>
        <w:rPr>
          <w:rFonts w:ascii="仿宋_GB2312" w:eastAsia="仿宋_GB2312" w:hAnsi="仿宋" w:cs="Courier New" w:hint="eastAsia"/>
          <w:sz w:val="32"/>
          <w:szCs w:val="32"/>
        </w:rPr>
        <w:t>中央八项规定</w:t>
      </w:r>
      <w:r>
        <w:rPr>
          <w:rFonts w:ascii="仿宋_GB2312" w:eastAsia="仿宋_GB2312" w:hAnsi="仿宋" w:cs="Courier New" w:hint="eastAsia"/>
          <w:sz w:val="32"/>
          <w:szCs w:val="32"/>
        </w:rPr>
        <w:t>、省委省政府30条规定和市委40条规定，严格执行《党政机关厉行节约反对浪费条例》（中发〔2013〕13号）、《寿县党政机关公务接待管理规定（寿办发〔2015〕2号）、《寿县县直机关外宾接待经费管理办法的通知》（财公〔2016〕31号）规定。</w:t>
      </w:r>
    </w:p>
    <w:p w:rsidR="00FF14AC">
      <w:pPr>
        <w:tabs>
          <w:tab w:val="left" w:pos="885"/>
        </w:tabs>
        <w:ind w:firstLine="640" w:firstLineChars="200"/>
        <w:jc w:val="left"/>
        <w:rPr>
          <w:rFonts w:ascii="仿宋_GB2312" w:eastAsia="仿宋_GB2312" w:hAnsi="仿宋" w:cs="Courier New"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（三）公务用车购置及运行费预算2270.8万元，较上年预算减少14.2万元,同比下降0.62%，其中：公务用车运行费1634.3万元，公务用车购置费636.5万元。该项经费主要用于车辆燃料费、维修费、过路过桥费、保险费、车辆更新等支出，经费使用严格按照中央、省、市和县有关公务用车配备使用管理制度执行。</w:t>
      </w:r>
    </w:p>
    <w:p w:rsidR="00FF14AC"/>
    <w:sectPr w:rsidSect="00EC01F4">
      <w:pgSz w:w="11907" w:h="16840"/>
      <w:pgMar w:top="2098" w:right="1417" w:bottom="1985" w:left="1588" w:header="851" w:footer="992" w:gutter="0"/>
      <w:pgNumType w:fmt="decimalFullWidt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97671A8"/>
    <w:rsid w:val="00166680"/>
    <w:rsid w:val="001D3147"/>
    <w:rsid w:val="001E107B"/>
    <w:rsid w:val="0026313E"/>
    <w:rsid w:val="00357642"/>
    <w:rsid w:val="003832A2"/>
    <w:rsid w:val="004A687C"/>
    <w:rsid w:val="00502651"/>
    <w:rsid w:val="005561E5"/>
    <w:rsid w:val="005A14B8"/>
    <w:rsid w:val="006063BD"/>
    <w:rsid w:val="00762CA7"/>
    <w:rsid w:val="008A3114"/>
    <w:rsid w:val="00901DD9"/>
    <w:rsid w:val="00967573"/>
    <w:rsid w:val="00A46112"/>
    <w:rsid w:val="00A86954"/>
    <w:rsid w:val="00AF4B74"/>
    <w:rsid w:val="00B07AD6"/>
    <w:rsid w:val="00B916EE"/>
    <w:rsid w:val="00C35710"/>
    <w:rsid w:val="00CD52BD"/>
    <w:rsid w:val="00CF46C1"/>
    <w:rsid w:val="00D90FC8"/>
    <w:rsid w:val="00E76D20"/>
    <w:rsid w:val="00EC01F4"/>
    <w:rsid w:val="00F239CD"/>
    <w:rsid w:val="00FF14AC"/>
    <w:rsid w:val="247232CD"/>
    <w:rsid w:val="28885042"/>
    <w:rsid w:val="2E31596C"/>
    <w:rsid w:val="46A1238C"/>
    <w:rsid w:val="46CB3641"/>
    <w:rsid w:val="51DD4CC6"/>
    <w:rsid w:val="5A2971D5"/>
    <w:rsid w:val="5C03638F"/>
    <w:rsid w:val="6C7C3C95"/>
    <w:rsid w:val="797671A8"/>
  </w:rsids>
  <w:docVars>
    <w:docVar w:name="commondata" w:val="eyJoZGlkIjoiNzYxMzU0MGNiODRkZjMxOTk4NmUxY2Y0OWNmZjRjMm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AC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qFormat/>
    <w:rsid w:val="00FF14AC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FF14AC"/>
    <w:pPr>
      <w:shd w:val="clear" w:color="auto" w:fill="FFFFFF"/>
      <w:spacing w:before="120" w:line="533" w:lineRule="exact"/>
      <w:ind w:firstLine="480"/>
      <w:jc w:val="left"/>
    </w:pPr>
    <w:rPr>
      <w:rFonts w:ascii="MingLiU" w:eastAsia="MingLiU"/>
      <w:spacing w:val="30"/>
      <w:kern w:val="0"/>
      <w:sz w:val="26"/>
      <w:szCs w:val="26"/>
    </w:rPr>
  </w:style>
  <w:style w:type="paragraph" w:styleId="Footer">
    <w:name w:val="footer"/>
    <w:basedOn w:val="Normal"/>
    <w:link w:val="Char0"/>
    <w:qFormat/>
    <w:rsid w:val="00FF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FF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sid w:val="00FF14AC"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FF14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二蛋</dc:creator>
  <cp:lastModifiedBy>Windows User</cp:lastModifiedBy>
  <cp:revision>9</cp:revision>
  <dcterms:created xsi:type="dcterms:W3CDTF">2024-02-28T00:33:00Z</dcterms:created>
  <dcterms:modified xsi:type="dcterms:W3CDTF">2025-02-26T08:17:00Z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56703AF7AC224CA99B74966DE3401738_11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eyJoZGlkIjoiNzYxMzU0MGNiODRkZjMxOTk4NmUxY2Y0OWNmZjRjMmQiLCJ1c2VySWQiOiI0MDQxOTkwNzgifQ==</vt:lpwstr>
  </property>
</Properties>
</file>