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NewRoman"/>
          <w:sz w:val="32"/>
          <w:szCs w:val="32"/>
        </w:rPr>
      </w:pPr>
      <w:r>
        <w:rPr>
          <w:rFonts w:hint="eastAsia" w:ascii="黑体" w:hAnsi="黑体" w:eastAsia="黑体" w:cs="TimesNewRoman"/>
          <w:sz w:val="32"/>
          <w:szCs w:val="32"/>
          <w:lang w:val="en"/>
        </w:rPr>
        <w:t>附件</w:t>
      </w:r>
      <w:r>
        <w:rPr>
          <w:rFonts w:hint="eastAsia" w:ascii="黑体" w:hAnsi="黑体" w:eastAsia="黑体" w:cs="TimesNewRoman"/>
          <w:sz w:val="32"/>
          <w:szCs w:val="32"/>
        </w:rPr>
        <w:t>1</w:t>
      </w:r>
    </w:p>
    <w:p>
      <w:pPr>
        <w:spacing w:line="560" w:lineRule="exact"/>
        <w:rPr>
          <w:rFonts w:hint="eastAsia" w:ascii="TimesNewRoman" w:hAnsi="TimesNewRoman" w:eastAsia="黑体" w:cs="TimesNewRoman"/>
          <w:szCs w:val="32"/>
        </w:rPr>
      </w:pPr>
    </w:p>
    <w:p>
      <w:pPr>
        <w:spacing w:line="560" w:lineRule="exact"/>
        <w:jc w:val="center"/>
        <w:rPr>
          <w:rFonts w:hint="eastAsia" w:ascii="方正小标宋_GBK" w:hAnsi="TimesNewRoman" w:eastAsia="方正小标宋_GBK" w:cs="TimesNewRoman"/>
          <w:szCs w:val="32"/>
        </w:rPr>
      </w:pPr>
    </w:p>
    <w:p>
      <w:pPr>
        <w:spacing w:line="560" w:lineRule="exact"/>
        <w:jc w:val="center"/>
        <w:rPr>
          <w:rFonts w:hint="eastAsia" w:ascii="方正小标宋_GBK" w:hAnsi="TimesNewRoman" w:eastAsia="方正小标宋_GBK" w:cs="TimesNewRoman"/>
          <w:sz w:val="44"/>
          <w:szCs w:val="44"/>
        </w:rPr>
      </w:pPr>
      <w:r>
        <w:rPr>
          <w:rFonts w:hint="eastAsia" w:ascii="方正小标宋_GBK" w:hAnsi="TimesNewRoman" w:eastAsia="方正小标宋_GBK" w:cs="TimesNewRoman"/>
          <w:sz w:val="44"/>
          <w:szCs w:val="44"/>
        </w:rPr>
        <w:t>寿县</w:t>
      </w:r>
      <w:r>
        <w:rPr>
          <w:rFonts w:hint="eastAsia" w:ascii="方正小标宋_GBK" w:hAnsi="TimesNewRoman" w:eastAsia="方正小标宋_GBK" w:cs="TimesNewRoman"/>
          <w:sz w:val="44"/>
          <w:szCs w:val="44"/>
          <w:lang w:eastAsia="zh-CN"/>
        </w:rPr>
        <w:t>政府办</w:t>
      </w:r>
      <w:r>
        <w:rPr>
          <w:rFonts w:hint="eastAsia" w:ascii="方正小标宋_GBK" w:hAnsi="TimesNewRoman" w:eastAsia="方正小标宋_GBK" w:cs="TimesNewRoman"/>
          <w:sz w:val="44"/>
          <w:szCs w:val="44"/>
        </w:rPr>
        <w:t>202</w:t>
      </w:r>
      <w:r>
        <w:rPr>
          <w:rFonts w:hint="eastAsia" w:ascii="方正小标宋_GBK" w:hAnsi="TimesNewRoman" w:eastAsia="方正小标宋_GBK" w:cs="TimesNewRoman"/>
          <w:sz w:val="44"/>
          <w:szCs w:val="44"/>
          <w:lang w:val="en-US" w:eastAsia="zh-CN"/>
        </w:rPr>
        <w:t>5</w:t>
      </w:r>
      <w:r>
        <w:rPr>
          <w:rFonts w:hint="eastAsia" w:ascii="方正小标宋_GBK" w:hAnsi="TimesNewRoman" w:eastAsia="方正小标宋_GBK" w:cs="TimesNewRoman"/>
          <w:sz w:val="44"/>
          <w:szCs w:val="44"/>
        </w:rPr>
        <w:t>年</w:t>
      </w:r>
    </w:p>
    <w:p>
      <w:pPr>
        <w:spacing w:line="560" w:lineRule="exact"/>
        <w:jc w:val="center"/>
        <w:rPr>
          <w:rFonts w:hint="eastAsia" w:ascii="方正小标宋_GBK" w:hAnsi="TimesNewRoman" w:eastAsia="方正小标宋_GBK" w:cs="TimesNewRoman"/>
          <w:sz w:val="44"/>
          <w:szCs w:val="44"/>
        </w:rPr>
      </w:pPr>
      <w:r>
        <w:rPr>
          <w:rFonts w:hint="eastAsia" w:ascii="方正小标宋_GBK" w:hAnsi="TimesNewRoman" w:eastAsia="方正小标宋_GBK" w:cs="TimesNewRoman"/>
          <w:sz w:val="44"/>
          <w:szCs w:val="44"/>
        </w:rPr>
        <w:t>部门预算</w:t>
      </w: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r>
        <w:rPr>
          <w:rFonts w:hint="eastAsia" w:ascii="仿宋_GB2312" w:hAnsi="TimesNewRoman" w:eastAsia="仿宋_GB2312" w:cs="TimesNewRoman"/>
          <w:bCs/>
          <w:sz w:val="36"/>
          <w:szCs w:val="32"/>
        </w:rPr>
        <w:t>202</w:t>
      </w:r>
      <w:r>
        <w:rPr>
          <w:rFonts w:hint="eastAsia" w:ascii="仿宋_GB2312" w:hAnsi="TimesNewRoman" w:eastAsia="仿宋_GB2312" w:cs="TimesNewRoman"/>
          <w:bCs/>
          <w:sz w:val="36"/>
          <w:szCs w:val="32"/>
          <w:lang w:val="en-US" w:eastAsia="zh-CN"/>
        </w:rPr>
        <w:t>5</w:t>
      </w:r>
      <w:r>
        <w:rPr>
          <w:rFonts w:hint="eastAsia" w:ascii="仿宋_GB2312" w:hAnsi="TimesNewRoman" w:eastAsia="仿宋_GB2312" w:cs="TimesNewRoman"/>
          <w:bCs/>
          <w:sz w:val="36"/>
          <w:szCs w:val="32"/>
        </w:rPr>
        <w:t>年</w:t>
      </w:r>
      <w:r>
        <w:rPr>
          <w:rFonts w:hint="eastAsia" w:ascii="仿宋_GB2312" w:hAnsi="TimesNewRoman" w:eastAsia="仿宋_GB2312" w:cs="TimesNewRoman"/>
          <w:bCs/>
          <w:sz w:val="36"/>
          <w:szCs w:val="32"/>
          <w:lang w:val="en-US" w:eastAsia="zh-CN"/>
        </w:rPr>
        <w:t>1</w:t>
      </w:r>
      <w:r>
        <w:rPr>
          <w:rFonts w:hint="eastAsia" w:ascii="仿宋_GB2312" w:hAnsi="TimesNewRoman" w:eastAsia="仿宋_GB2312" w:cs="TimesNewRoman"/>
          <w:bCs/>
          <w:sz w:val="36"/>
          <w:szCs w:val="32"/>
        </w:rPr>
        <w:t>月</w:t>
      </w:r>
    </w:p>
    <w:p>
      <w:pPr>
        <w:pStyle w:val="3"/>
        <w:adjustRightInd w:val="0"/>
        <w:snapToGrid w:val="0"/>
        <w:spacing w:line="560" w:lineRule="exact"/>
        <w:jc w:val="center"/>
        <w:rPr>
          <w:rFonts w:hint="eastAsia" w:ascii="仿宋_GB2312" w:hAnsi="TimesNewRoman" w:eastAsia="仿宋_GB2312" w:cs="TimesNewRoman"/>
          <w:bCs/>
          <w:sz w:val="36"/>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p>
    <w:p>
      <w:pPr>
        <w:pStyle w:val="3"/>
        <w:adjustRightInd w:val="0"/>
        <w:snapToGrid w:val="0"/>
        <w:spacing w:line="560" w:lineRule="exact"/>
        <w:jc w:val="center"/>
        <w:rPr>
          <w:rFonts w:hint="eastAsia"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第一部分 部门</w:t>
      </w:r>
      <w:r>
        <w:rPr>
          <w:rFonts w:ascii="黑体" w:hAnsi="黑体" w:eastAsia="黑体" w:cs="TimesNewRoman"/>
          <w:sz w:val="32"/>
          <w:szCs w:val="32"/>
          <w:u w:val="single"/>
        </w:rPr>
        <w:t>（单位）</w:t>
      </w:r>
      <w:r>
        <w:rPr>
          <w:rFonts w:ascii="黑体" w:hAnsi="黑体" w:eastAsia="黑体" w:cs="TimesNewRoman"/>
          <w:sz w:val="32"/>
          <w:szCs w:val="32"/>
        </w:rPr>
        <w:t>概况</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2.部门</w:t>
      </w:r>
      <w:r>
        <w:rPr>
          <w:rFonts w:hint="eastAsia" w:ascii="仿宋_GB2312" w:hAnsi="TimesNewRoman" w:eastAsia="仿宋_GB2312" w:cs="TimesNewRoman"/>
          <w:bCs/>
          <w:sz w:val="32"/>
          <w:szCs w:val="32"/>
          <w:u w:val="single"/>
        </w:rPr>
        <w:t>（单位）</w:t>
      </w:r>
      <w:r>
        <w:rPr>
          <w:rFonts w:hint="eastAsia" w:ascii="仿宋_GB2312" w:hAnsi="TimesNewRoman" w:eastAsia="仿宋_GB2312" w:cs="TimesNewRoman"/>
          <w:bCs/>
          <w:sz w:val="32"/>
          <w:szCs w:val="32"/>
        </w:rPr>
        <w:t>预算构成</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3.202</w:t>
      </w:r>
      <w:r>
        <w:rPr>
          <w:rFonts w:hint="eastAsia" w:ascii="仿宋_GB2312" w:hAnsi="TimesNewRoman" w:eastAsia="仿宋_GB2312" w:cs="TimesNewRoman"/>
          <w:bCs/>
          <w:sz w:val="32"/>
          <w:szCs w:val="32"/>
          <w:lang w:val="en-US" w:eastAsia="zh-CN"/>
        </w:rPr>
        <w:t>5</w:t>
      </w:r>
      <w:r>
        <w:rPr>
          <w:rFonts w:hint="eastAsia" w:ascii="仿宋_GB2312" w:hAnsi="TimesNewRoman" w:eastAsia="仿宋_GB2312" w:cs="TimesNewRoman"/>
          <w:bCs/>
          <w:sz w:val="32"/>
          <w:szCs w:val="32"/>
        </w:rPr>
        <w:t>年度主要工作任务</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第二部分 </w:t>
      </w:r>
      <w:r>
        <w:rPr>
          <w:rFonts w:hint="eastAsia" w:ascii="黑体" w:hAnsi="黑体" w:eastAsia="黑体" w:cs="TimesNewRoman"/>
          <w:sz w:val="32"/>
          <w:szCs w:val="32"/>
        </w:rPr>
        <w:t>202</w:t>
      </w:r>
      <w:r>
        <w:rPr>
          <w:rFonts w:hint="eastAsia" w:ascii="黑体" w:hAnsi="黑体" w:eastAsia="黑体" w:cs="TimesNewRoman"/>
          <w:sz w:val="32"/>
          <w:szCs w:val="32"/>
          <w:lang w:val="en-US" w:eastAsia="zh-CN"/>
        </w:rPr>
        <w:t>5</w:t>
      </w:r>
      <w:r>
        <w:rPr>
          <w:rFonts w:ascii="黑体" w:hAnsi="黑体" w:eastAsia="黑体" w:cs="TimesNewRoman"/>
          <w:sz w:val="32"/>
          <w:szCs w:val="32"/>
        </w:rPr>
        <w:t>年部门（单位）预算表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年收入总表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年支出总表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年财政拨款收支总表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年一般公共预算支出表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年一般公共预算基本支出表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年政府性基金预算支出表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年国有资本经营预算支出表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年项目支出表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年政府采购支出表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年政府购买服务支出表</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第三部分 </w:t>
      </w:r>
      <w:r>
        <w:rPr>
          <w:rFonts w:hint="eastAsia" w:ascii="黑体" w:hAnsi="黑体" w:eastAsia="黑体" w:cs="TimesNewRoman"/>
          <w:sz w:val="32"/>
          <w:szCs w:val="32"/>
        </w:rPr>
        <w:t>202</w:t>
      </w:r>
      <w:r>
        <w:rPr>
          <w:rFonts w:hint="eastAsia" w:ascii="黑体" w:hAnsi="黑体" w:eastAsia="黑体" w:cs="TimesNewRoman"/>
          <w:sz w:val="32"/>
          <w:szCs w:val="32"/>
          <w:lang w:val="en-US" w:eastAsia="zh-CN"/>
        </w:rPr>
        <w:t>5</w:t>
      </w:r>
      <w:r>
        <w:rPr>
          <w:rFonts w:ascii="黑体" w:hAnsi="黑体" w:eastAsia="黑体" w:cs="TimesNewRoman"/>
          <w:sz w:val="32"/>
          <w:szCs w:val="32"/>
        </w:rPr>
        <w:t>年部门（单位）预算情况说明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年收入总表的说明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年支出总表的说明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年财政拨款收支总表的说明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年一般公共预算支出表的说明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年一般公共预算基本支出表的说明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年政府性基金预算支出表的说明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年国有资本经营预算支出表的说明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年项目支出表的说明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年政府采购支出表的说明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w:t>
      </w:r>
      <w:r>
        <w:rPr>
          <w:rFonts w:hint="eastAsia" w:ascii="仿宋_GB2312" w:hAnsi="TimesNewRoman" w:eastAsia="仿宋_GB2312" w:cs="TimesNewRoman"/>
          <w:bCs/>
          <w:sz w:val="32"/>
          <w:szCs w:val="32"/>
          <w:lang w:val="en-US" w:eastAsia="zh-CN"/>
        </w:rPr>
        <w:t>5</w:t>
      </w:r>
      <w:r>
        <w:rPr>
          <w:rFonts w:ascii="仿宋_GB2312" w:hAnsi="TimesNewRoman" w:eastAsia="仿宋_GB2312" w:cs="TimesNewRoman"/>
          <w:bCs/>
          <w:sz w:val="32"/>
          <w:szCs w:val="32"/>
        </w:rPr>
        <w:t>年政府购买服务支出表的说明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第四部分 名词解释</w:t>
      </w: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第一部分 部门</w:t>
      </w:r>
      <w:r>
        <w:rPr>
          <w:rFonts w:ascii="TimesNewRoman" w:hAnsi="TimesNewRoman" w:eastAsia="黑体" w:cs="TimesNewRoman"/>
          <w:bCs/>
          <w:sz w:val="36"/>
          <w:szCs w:val="36"/>
          <w:u w:val="single"/>
        </w:rPr>
        <w:t>（单位）</w:t>
      </w:r>
      <w:r>
        <w:rPr>
          <w:rFonts w:ascii="TimesNewRoman" w:hAnsi="TimesNewRoman" w:eastAsia="黑体" w:cs="TimesNewRoman"/>
          <w:bCs/>
          <w:sz w:val="36"/>
          <w:szCs w:val="36"/>
        </w:rPr>
        <w:t>概况</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bCs/>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（一）负责县政府会议的准备工作和重要活动的组织安排，协助县政府领导组织实施会议决定事项。</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负责县政府领导重要文稿、县政府综合性文稿的起草工作；协助县政府领导组织起草或审核以县政府、县政府办公室名义发布的公文；办理上级党政机关和县委发送县政府的公文；指导全县行政机关公文处理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（三）研究县政府各部门和各乡镇人民政府请示县政府的事项，提出审核意见，报县政府领导审批。</w:t>
      </w:r>
    </w:p>
    <w:p>
      <w:pPr>
        <w:spacing w:line="60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（四）</w:t>
      </w:r>
      <w:r>
        <w:rPr>
          <w:rFonts w:hint="eastAsia" w:ascii="仿宋_GB2312" w:eastAsia="仿宋_GB2312"/>
          <w:sz w:val="32"/>
          <w:szCs w:val="32"/>
        </w:rPr>
        <w:t>负责市人大、市政协和县人大、县政协交县政府的有关议案、建议和提案的办理工作。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（五）负责县政府值班工作，及时向上级机关和县政府报告重要情况，传达和督促落实县政府领导指示。</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（六）根据县政府工作计划，</w:t>
      </w:r>
      <w:r>
        <w:rPr>
          <w:rFonts w:hint="eastAsia" w:ascii="仿宋_GB2312" w:eastAsia="仿宋_GB2312"/>
          <w:sz w:val="32"/>
          <w:szCs w:val="32"/>
        </w:rPr>
        <w:t>搜集整理信息，</w:t>
      </w:r>
      <w:r>
        <w:rPr>
          <w:rFonts w:hint="eastAsia" w:ascii="仿宋_GB2312" w:eastAsia="仿宋_GB2312"/>
          <w:color w:val="000000"/>
          <w:sz w:val="32"/>
          <w:szCs w:val="32"/>
        </w:rPr>
        <w:t>组织专题调查研究，及时准确地向县政府领导反映情况，提出建议。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（七）负责县推进政府职能转变和“放管服”改革协调小组办公室以及县“四送一服”双千工程领导小组办公室的日常工作。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（八）负责贯彻执行国家外事、港澳工作的方针政策和法律法规，管理本县因公出国（境）工作，组织、指导、服务相关涉外事务。</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（九）督促检查县政府各部门和各乡镇人民政府以及园区管委会对县政府及县政府领导指示的贯彻落实情况，及时向县政府领导报告。</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（十）贯彻执行国家外事、港澳工作法律法规规章，组织拟订相关工作制度并监督执行，调查研究全县外事、港澳工作情况，向县委、县政府提供相关信息并提出建议。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（十一）协调指导全县外事活动、对外友好交往和港澳事务，承办县级领导对外交往和港澳往来事宜。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（十二）归口管理本县因公出国（境）和邀请外国人来访工作，指导和管理我县与香港、澳门因公往来的有关事务。</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（十三）负责组织接待来访的重要外宾和港澳同胞中的重要对象，指导涉外礼宾工作，承办外国政府、友人、港澳同胞捐赠的有关工作。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（十四）协调处理我县公民和机构境外安全保护工作，按照职责分工对境外非政府组织及其代表机构在寿县活动依法实施监督管理，指导和协调有关部门处理涉外突发事件，参与处理涉外案件。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（十五）统筹协调有关部门和社会团体涉港澳事务工作，依法保护港澳同胞在我县的合法权益，推动与港澳的经济、科技、文化、教育等交流与合作。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（十六）办理县委、县政府交办的其他事项。</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w:t>
      </w:r>
      <w:r>
        <w:rPr>
          <w:rFonts w:ascii="楷体_GB2312" w:hAnsi="TimesNewRoman" w:eastAsia="楷体_GB2312" w:cs="TimesNewRoman"/>
          <w:b/>
          <w:bCs/>
          <w:sz w:val="32"/>
          <w:szCs w:val="32"/>
        </w:rPr>
        <w:t>部门（单位）预算构成</w:t>
      </w:r>
    </w:p>
    <w:p>
      <w:pPr>
        <w:pStyle w:val="3"/>
        <w:adjustRightInd w:val="0"/>
        <w:snapToGrid w:val="0"/>
        <w:spacing w:before="0" w:beforeAutospacing="0" w:after="0" w:afterAutospacing="0" w:line="360" w:lineRule="auto"/>
        <w:ind w:firstLine="627" w:firstLineChars="196"/>
        <w:jc w:val="both"/>
        <w:rPr>
          <w:rFonts w:hint="eastAsia" w:ascii="仿宋" w:hAnsi="仿宋" w:eastAsia="仿宋"/>
          <w:sz w:val="32"/>
          <w:szCs w:val="32"/>
        </w:rPr>
      </w:pPr>
      <w:r>
        <w:rPr>
          <w:rFonts w:hint="eastAsia" w:ascii="仿宋" w:hAnsi="仿宋" w:eastAsia="仿宋"/>
          <w:sz w:val="32"/>
          <w:szCs w:val="32"/>
        </w:rPr>
        <w:t>从预算单位构成看，</w:t>
      </w:r>
      <w:r>
        <w:rPr>
          <w:rFonts w:hint="eastAsia" w:ascii="仿宋" w:hAnsi="仿宋" w:eastAsia="仿宋" w:cs="仿宋"/>
          <w:bCs/>
          <w:sz w:val="32"/>
          <w:szCs w:val="32"/>
        </w:rPr>
        <w:t>寿县人民政府办公室</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年度部门预算仅包括本级预算，</w:t>
      </w:r>
      <w:r>
        <w:rPr>
          <w:rFonts w:hint="eastAsia" w:ascii="仿宋_GB2312" w:hAnsi="仿宋" w:eastAsia="仿宋_GB2312"/>
          <w:sz w:val="32"/>
          <w:szCs w:val="32"/>
        </w:rPr>
        <w:t>无其他下属单位预算</w:t>
      </w:r>
      <w:r>
        <w:rPr>
          <w:rFonts w:hint="eastAsia" w:ascii="仿宋" w:hAnsi="仿宋" w:eastAsia="仿宋"/>
          <w:sz w:val="32"/>
          <w:szCs w:val="32"/>
        </w:rPr>
        <w:t>，具体情况见下表。</w:t>
      </w:r>
    </w:p>
    <w:tbl>
      <w:tblPr>
        <w:tblStyle w:val="4"/>
        <w:tblW w:w="8467" w:type="dxa"/>
        <w:tblInd w:w="288" w:type="dxa"/>
        <w:shd w:val="clear" w:color="auto" w:fill="FFFFFF"/>
        <w:tblLayout w:type="fixed"/>
        <w:tblCellMar>
          <w:top w:w="0" w:type="dxa"/>
          <w:left w:w="0" w:type="dxa"/>
          <w:bottom w:w="0" w:type="dxa"/>
          <w:right w:w="0" w:type="dxa"/>
        </w:tblCellMar>
      </w:tblPr>
      <w:tblGrid>
        <w:gridCol w:w="900"/>
        <w:gridCol w:w="3600"/>
        <w:gridCol w:w="3967"/>
      </w:tblGrid>
      <w:tr>
        <w:tblPrEx>
          <w:shd w:val="clear" w:color="auto" w:fill="FFFFFF"/>
          <w:tblLayout w:type="fixed"/>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单位名称</w:t>
            </w:r>
          </w:p>
        </w:tc>
        <w:tc>
          <w:tcPr>
            <w:tcW w:w="3967" w:type="dxa"/>
            <w:tcBorders>
              <w:top w:val="single" w:color="auto" w:sz="8" w:space="0"/>
              <w:left w:val="nil"/>
              <w:bottom w:val="single" w:color="auto" w:sz="8" w:space="0"/>
              <w:right w:val="single" w:color="auto" w:sz="8" w:space="0"/>
            </w:tcBorders>
            <w:shd w:val="clear" w:color="auto" w:fill="FFFFFF"/>
            <w:noWrap w:val="0"/>
            <w:vAlign w:val="top"/>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单位性质</w:t>
            </w:r>
          </w:p>
        </w:tc>
      </w:tr>
      <w:tr>
        <w:tblPrEx>
          <w:tblLayout w:type="fixed"/>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寿县人民政府办公室本级</w:t>
            </w:r>
          </w:p>
        </w:tc>
        <w:tc>
          <w:tcPr>
            <w:tcW w:w="3967"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行政单位</w:t>
            </w:r>
          </w:p>
        </w:tc>
      </w:tr>
      <w:tr>
        <w:tblPrEx>
          <w:tblLayout w:type="fixed"/>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rPr>
                <w:rFonts w:hint="eastAsia" w:ascii="仿宋_GB2312" w:hAnsi="宋体" w:eastAsia="仿宋_GB2312"/>
                <w:sz w:val="24"/>
                <w:u w:val="single"/>
              </w:rPr>
            </w:pPr>
          </w:p>
        </w:tc>
        <w:tc>
          <w:tcPr>
            <w:tcW w:w="3967"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p>
        </w:tc>
      </w:tr>
    </w:tbl>
    <w:p>
      <w:pPr>
        <w:pStyle w:val="3"/>
        <w:topLinePunct/>
        <w:adjustRightInd w:val="0"/>
        <w:snapToGrid w:val="0"/>
        <w:spacing w:beforeAutospacing="0" w:afterAutospacing="0" w:line="580" w:lineRule="exact"/>
        <w:jc w:val="both"/>
        <w:rPr>
          <w:rFonts w:ascii="楷体_GB2312" w:hAnsi="TimesNewRoman" w:eastAsia="楷体_GB2312" w:cs="TimesNewRoman"/>
          <w:b/>
          <w:bCs/>
          <w:sz w:val="32"/>
          <w:szCs w:val="32"/>
        </w:rPr>
      </w:pP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bCs/>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三、202</w:t>
      </w:r>
      <w:r>
        <w:rPr>
          <w:rFonts w:hint="eastAsia" w:ascii="楷体_GB2312" w:hAnsi="TimesNewRoman" w:eastAsia="楷体_GB2312" w:cs="TimesNewRoman"/>
          <w:b/>
          <w:bCs/>
          <w:sz w:val="32"/>
          <w:szCs w:val="32"/>
          <w:lang w:val="en-US" w:eastAsia="zh-CN"/>
        </w:rPr>
        <w:t>5</w:t>
      </w:r>
      <w:r>
        <w:rPr>
          <w:rFonts w:hint="eastAsia" w:ascii="楷体_GB2312" w:hAnsi="TimesNewRoman" w:eastAsia="楷体_GB2312" w:cs="TimesNewRoman"/>
          <w:b/>
          <w:bCs/>
          <w:sz w:val="32"/>
          <w:szCs w:val="32"/>
        </w:rPr>
        <w:t>年度主要工作任务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主要任务是：</w:t>
      </w:r>
    </w:p>
    <w:p>
      <w:pPr>
        <w:pStyle w:val="3"/>
        <w:adjustRightInd w:val="0"/>
        <w:snapToGrid w:val="0"/>
        <w:spacing w:before="0" w:beforeAutospacing="0" w:after="0" w:afterAutospacing="0" w:line="600" w:lineRule="exact"/>
        <w:ind w:firstLine="600" w:firstLineChars="200"/>
        <w:jc w:val="both"/>
        <w:rPr>
          <w:rFonts w:hint="eastAsia" w:ascii="仿宋_GB2312" w:hAnsi="Arial" w:eastAsia="仿宋_GB2312" w:cs="Arial"/>
          <w:color w:val="000000"/>
          <w:sz w:val="32"/>
          <w:szCs w:val="32"/>
        </w:rPr>
      </w:pPr>
      <w:r>
        <w:rPr>
          <w:rFonts w:hint="eastAsia" w:ascii="仿宋_GB2312" w:eastAsia="仿宋_GB2312" w:cs="仿宋_GB2312"/>
          <w:color w:val="000000"/>
          <w:sz w:val="30"/>
          <w:szCs w:val="30"/>
        </w:rPr>
        <w:t>（一）</w:t>
      </w:r>
      <w:r>
        <w:rPr>
          <w:rFonts w:hint="eastAsia" w:ascii="仿宋_GB2312" w:hAnsi="Arial" w:eastAsia="仿宋_GB2312" w:cs="Arial"/>
          <w:color w:val="000000"/>
          <w:sz w:val="32"/>
          <w:szCs w:val="32"/>
          <w:shd w:val="clear" w:color="auto" w:fill="FFFFFF"/>
        </w:rPr>
        <w:t>负责县政府日常文书的处理、县政府领导同志公务活动的组织安排、县政府各类会议的</w:t>
      </w:r>
      <w:r>
        <w:rPr>
          <w:rFonts w:hint="eastAsia" w:ascii="仿宋_GB2312" w:eastAsia="仿宋_GB2312"/>
          <w:color w:val="000000"/>
          <w:sz w:val="32"/>
          <w:szCs w:val="32"/>
        </w:rPr>
        <w:t>组织工作</w:t>
      </w:r>
      <w:r>
        <w:rPr>
          <w:rFonts w:hint="eastAsia" w:ascii="仿宋_GB2312" w:hAnsi="Arial" w:eastAsia="仿宋_GB2312" w:cs="Arial"/>
          <w:color w:val="000000"/>
          <w:sz w:val="32"/>
          <w:szCs w:val="32"/>
          <w:shd w:val="clear" w:color="auto" w:fill="FFFFFF"/>
        </w:rPr>
        <w:t>；</w:t>
      </w:r>
      <w:r>
        <w:rPr>
          <w:rStyle w:val="8"/>
          <w:rFonts w:hint="eastAsia" w:ascii="Arial" w:hAnsi="Arial" w:eastAsia="仿宋_GB2312" w:cs="Arial"/>
          <w:color w:val="000000"/>
          <w:sz w:val="32"/>
          <w:szCs w:val="32"/>
          <w:shd w:val="clear" w:color="auto" w:fill="FFFFFF"/>
        </w:rPr>
        <w:t> </w:t>
      </w:r>
    </w:p>
    <w:p>
      <w:pPr>
        <w:pStyle w:val="3"/>
        <w:adjustRightInd w:val="0"/>
        <w:snapToGrid w:val="0"/>
        <w:spacing w:before="0" w:beforeAutospacing="0" w:after="0" w:afterAutospacing="0" w:line="600" w:lineRule="exact"/>
        <w:ind w:firstLine="600" w:firstLineChars="200"/>
        <w:jc w:val="both"/>
        <w:rPr>
          <w:rFonts w:hint="eastAsia" w:ascii="仿宋_GB2312" w:hAnsi="Arial" w:eastAsia="仿宋_GB2312" w:cs="Arial"/>
          <w:color w:val="000000"/>
          <w:sz w:val="32"/>
          <w:szCs w:val="32"/>
        </w:rPr>
      </w:pPr>
      <w:r>
        <w:rPr>
          <w:rFonts w:hint="eastAsia" w:ascii="仿宋_GB2312" w:eastAsia="仿宋_GB2312" w:cs="仿宋_GB2312"/>
          <w:color w:val="000000"/>
          <w:sz w:val="30"/>
          <w:szCs w:val="30"/>
        </w:rPr>
        <w:t>（二）</w:t>
      </w:r>
      <w:r>
        <w:rPr>
          <w:rFonts w:hint="eastAsia" w:ascii="仿宋_GB2312" w:hAnsi="Arial" w:eastAsia="仿宋_GB2312" w:cs="Arial"/>
          <w:color w:val="000000"/>
          <w:sz w:val="32"/>
          <w:szCs w:val="32"/>
          <w:shd w:val="clear" w:color="auto" w:fill="FFFFFF"/>
        </w:rPr>
        <w:t>负责县政府文件、文稿的起草、批办、审核和印发工作；</w:t>
      </w:r>
      <w:r>
        <w:rPr>
          <w:rStyle w:val="8"/>
          <w:rFonts w:hint="eastAsia" w:ascii="Arial" w:hAnsi="Arial" w:eastAsia="仿宋_GB2312" w:cs="Arial"/>
          <w:color w:val="000000"/>
          <w:sz w:val="32"/>
          <w:szCs w:val="32"/>
          <w:shd w:val="clear" w:color="auto" w:fill="FFFFFF"/>
        </w:rPr>
        <w:t> </w:t>
      </w:r>
    </w:p>
    <w:p>
      <w:pPr>
        <w:pStyle w:val="3"/>
        <w:adjustRightInd w:val="0"/>
        <w:snapToGrid w:val="0"/>
        <w:spacing w:before="0" w:beforeAutospacing="0" w:after="0" w:afterAutospacing="0" w:line="600" w:lineRule="exact"/>
        <w:ind w:firstLine="600" w:firstLineChars="200"/>
        <w:jc w:val="both"/>
        <w:rPr>
          <w:rFonts w:hint="eastAsia" w:ascii="仿宋_GB2312" w:hAnsi="Arial" w:eastAsia="仿宋_GB2312" w:cs="Arial"/>
          <w:color w:val="000000"/>
          <w:sz w:val="32"/>
          <w:szCs w:val="32"/>
        </w:rPr>
      </w:pPr>
      <w:r>
        <w:rPr>
          <w:rFonts w:hint="eastAsia" w:ascii="仿宋_GB2312" w:eastAsia="仿宋_GB2312" w:cs="仿宋_GB2312"/>
          <w:color w:val="000000"/>
          <w:sz w:val="30"/>
          <w:szCs w:val="30"/>
        </w:rPr>
        <w:t>（三）</w:t>
      </w:r>
      <w:r>
        <w:rPr>
          <w:rFonts w:hint="eastAsia" w:ascii="仿宋_GB2312" w:hAnsi="Arial" w:eastAsia="仿宋_GB2312" w:cs="Arial"/>
          <w:color w:val="000000"/>
          <w:sz w:val="32"/>
          <w:szCs w:val="32"/>
          <w:shd w:val="clear" w:color="auto" w:fill="FFFFFF"/>
        </w:rPr>
        <w:t>围绕县政府中心工作开展</w:t>
      </w:r>
      <w:r>
        <w:rPr>
          <w:rFonts w:hint="eastAsia" w:ascii="仿宋_GB2312" w:eastAsia="仿宋_GB2312"/>
          <w:color w:val="000000"/>
          <w:sz w:val="32"/>
          <w:szCs w:val="32"/>
        </w:rPr>
        <w:t>调查研究</w:t>
      </w:r>
      <w:r>
        <w:rPr>
          <w:rFonts w:hint="eastAsia" w:ascii="仿宋_GB2312" w:hAnsi="Arial" w:eastAsia="仿宋_GB2312" w:cs="Arial"/>
          <w:color w:val="000000"/>
          <w:sz w:val="32"/>
          <w:szCs w:val="32"/>
          <w:shd w:val="clear" w:color="auto" w:fill="FFFFFF"/>
        </w:rPr>
        <w:t>，及时准确地向县政府领导和上级政府反映各方面的实际情况，并提供切实可行的建议；</w:t>
      </w:r>
      <w:r>
        <w:rPr>
          <w:rStyle w:val="8"/>
          <w:rFonts w:hint="eastAsia" w:ascii="Arial" w:hAnsi="Arial" w:eastAsia="仿宋_GB2312" w:cs="Arial"/>
          <w:color w:val="000000"/>
          <w:sz w:val="32"/>
          <w:szCs w:val="32"/>
          <w:shd w:val="clear" w:color="auto" w:fill="FFFFFF"/>
        </w:rPr>
        <w:t> </w:t>
      </w:r>
    </w:p>
    <w:p>
      <w:pPr>
        <w:pStyle w:val="3"/>
        <w:adjustRightInd w:val="0"/>
        <w:snapToGrid w:val="0"/>
        <w:spacing w:before="0" w:beforeAutospacing="0" w:after="0" w:afterAutospacing="0" w:line="600" w:lineRule="exact"/>
        <w:ind w:firstLine="600" w:firstLineChars="200"/>
        <w:jc w:val="both"/>
        <w:rPr>
          <w:rFonts w:hint="eastAsia" w:ascii="仿宋_GB2312" w:hAnsi="Arial" w:eastAsia="仿宋_GB2312" w:cs="Arial"/>
          <w:color w:val="000000"/>
          <w:sz w:val="32"/>
          <w:szCs w:val="32"/>
        </w:rPr>
      </w:pPr>
      <w:r>
        <w:rPr>
          <w:rFonts w:hint="eastAsia" w:ascii="仿宋_GB2312" w:eastAsia="仿宋_GB2312" w:cs="仿宋_GB2312"/>
          <w:color w:val="000000"/>
          <w:sz w:val="30"/>
          <w:szCs w:val="30"/>
        </w:rPr>
        <w:t>（四）</w:t>
      </w:r>
      <w:r>
        <w:rPr>
          <w:rFonts w:hint="eastAsia" w:ascii="仿宋_GB2312" w:hAnsi="Arial" w:eastAsia="仿宋_GB2312" w:cs="Arial"/>
          <w:color w:val="000000"/>
          <w:sz w:val="32"/>
          <w:szCs w:val="32"/>
          <w:shd w:val="clear" w:color="auto" w:fill="FFFFFF"/>
        </w:rPr>
        <w:t>及时收集、筛选、综合整理各类情况，全面准确地为县政府领导、上级政府报送信息；</w:t>
      </w:r>
      <w:r>
        <w:rPr>
          <w:rStyle w:val="8"/>
          <w:rFonts w:hint="eastAsia" w:ascii="Arial" w:hAnsi="Arial" w:eastAsia="仿宋_GB2312" w:cs="Arial"/>
          <w:color w:val="000000"/>
          <w:sz w:val="32"/>
          <w:szCs w:val="32"/>
          <w:shd w:val="clear" w:color="auto" w:fill="FFFFFF"/>
        </w:rPr>
        <w:t> </w:t>
      </w:r>
    </w:p>
    <w:p>
      <w:pPr>
        <w:pStyle w:val="3"/>
        <w:adjustRightInd w:val="0"/>
        <w:snapToGrid w:val="0"/>
        <w:spacing w:before="0" w:beforeAutospacing="0" w:after="0" w:afterAutospacing="0" w:line="600" w:lineRule="exact"/>
        <w:ind w:firstLine="600" w:firstLineChars="200"/>
        <w:jc w:val="both"/>
        <w:rPr>
          <w:rFonts w:hint="eastAsia" w:ascii="仿宋_GB2312" w:hAnsi="Arial" w:eastAsia="仿宋_GB2312" w:cs="Arial"/>
          <w:color w:val="000000"/>
          <w:sz w:val="32"/>
          <w:szCs w:val="32"/>
        </w:rPr>
      </w:pPr>
      <w:r>
        <w:rPr>
          <w:rFonts w:hint="eastAsia" w:ascii="仿宋_GB2312" w:eastAsia="仿宋_GB2312" w:cs="仿宋_GB2312"/>
          <w:color w:val="000000"/>
          <w:sz w:val="30"/>
          <w:szCs w:val="30"/>
        </w:rPr>
        <w:t>（五）</w:t>
      </w:r>
      <w:r>
        <w:rPr>
          <w:rFonts w:hint="eastAsia" w:ascii="仿宋_GB2312" w:hAnsi="Arial" w:eastAsia="仿宋_GB2312" w:cs="Arial"/>
          <w:color w:val="000000"/>
          <w:sz w:val="32"/>
          <w:szCs w:val="32"/>
          <w:shd w:val="clear" w:color="auto" w:fill="FFFFFF"/>
        </w:rPr>
        <w:t>围绕县政府重大决策和工作部署，进行督促检查，做好领导重要批示件、新闻舆论批评和群众反映的突出问题的查办工作；</w:t>
      </w:r>
      <w:r>
        <w:rPr>
          <w:rStyle w:val="8"/>
          <w:rFonts w:hint="eastAsia" w:ascii="Arial" w:hAnsi="Arial" w:eastAsia="仿宋_GB2312" w:cs="Arial"/>
          <w:color w:val="000000"/>
          <w:sz w:val="32"/>
          <w:szCs w:val="32"/>
          <w:shd w:val="clear" w:color="auto" w:fill="FFFFFF"/>
        </w:rPr>
        <w:t> </w:t>
      </w:r>
    </w:p>
    <w:p>
      <w:pPr>
        <w:pStyle w:val="3"/>
        <w:adjustRightInd w:val="0"/>
        <w:snapToGrid w:val="0"/>
        <w:spacing w:before="0" w:beforeAutospacing="0" w:after="0" w:afterAutospacing="0" w:line="600" w:lineRule="exact"/>
        <w:ind w:firstLine="640" w:firstLineChars="200"/>
        <w:jc w:val="both"/>
        <w:rPr>
          <w:rFonts w:hint="eastAsia" w:ascii="仿宋_GB2312"/>
        </w:rPr>
      </w:pPr>
      <w:r>
        <w:rPr>
          <w:rFonts w:hint="eastAsia" w:ascii="仿宋_GB2312" w:hAnsi="Arial" w:eastAsia="仿宋_GB2312" w:cs="Arial"/>
          <w:color w:val="000000"/>
          <w:sz w:val="32"/>
          <w:szCs w:val="32"/>
          <w:shd w:val="clear" w:color="auto" w:fill="FFFFFF"/>
        </w:rPr>
        <w:t>（六）负责中、省、市领导的接待工作，负责各省（市、区、县）政府及办公室来客的接待工作；</w:t>
      </w:r>
    </w:p>
    <w:p>
      <w:pPr>
        <w:pStyle w:val="3"/>
        <w:adjustRightInd w:val="0"/>
        <w:snapToGrid w:val="0"/>
        <w:spacing w:before="0" w:beforeAutospacing="0" w:after="0" w:afterAutospacing="0" w:line="600" w:lineRule="exact"/>
        <w:ind w:firstLine="640" w:firstLineChars="200"/>
        <w:jc w:val="both"/>
        <w:rPr>
          <w:rFonts w:ascii="TimesNewRoman" w:hAnsi="TimesNewRoman" w:eastAsia="黑体" w:cs="TimesNewRoman"/>
          <w:bCs/>
          <w:sz w:val="36"/>
          <w:szCs w:val="36"/>
        </w:rPr>
      </w:pPr>
      <w:r>
        <w:rPr>
          <w:rFonts w:hint="eastAsia" w:ascii="仿宋_GB2312" w:hAnsi="Arial" w:eastAsia="仿宋_GB2312" w:cs="Arial"/>
          <w:color w:val="000000"/>
          <w:sz w:val="32"/>
          <w:szCs w:val="32"/>
          <w:shd w:val="clear" w:color="auto" w:fill="FFFFFF"/>
        </w:rPr>
        <w:t>（七）承办县委、县政府领导和上级业务部门交办的其他工作</w:t>
      </w:r>
    </w:p>
    <w:p>
      <w:pPr>
        <w:pStyle w:val="3"/>
        <w:adjustRightInd w:val="0"/>
        <w:snapToGrid w:val="0"/>
        <w:spacing w:line="560" w:lineRule="exact"/>
        <w:rPr>
          <w:rFonts w:ascii="TimesNewRoman" w:hAnsi="TimesNewRoman" w:eastAsia="黑体" w:cs="TimesNewRoman"/>
          <w:bCs/>
          <w:sz w:val="36"/>
          <w:szCs w:val="36"/>
        </w:rPr>
      </w:pPr>
    </w:p>
    <w:p>
      <w:pPr>
        <w:pStyle w:val="3"/>
        <w:numPr>
          <w:ilvl w:val="0"/>
          <w:numId w:val="1"/>
        </w:numPr>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202</w:t>
      </w:r>
      <w:r>
        <w:rPr>
          <w:rFonts w:hint="eastAsia" w:ascii="TimesNewRoman" w:hAnsi="TimesNewRoman" w:eastAsia="黑体" w:cs="TimesNewRoman"/>
          <w:bCs/>
          <w:sz w:val="36"/>
          <w:szCs w:val="36"/>
          <w:lang w:val="en-US" w:eastAsia="zh-CN"/>
        </w:rPr>
        <w:t>5</w:t>
      </w:r>
      <w:r>
        <w:rPr>
          <w:rFonts w:ascii="TimesNewRoman" w:hAnsi="TimesNewRoman" w:eastAsia="黑体" w:cs="TimesNewRoman"/>
          <w:bCs/>
          <w:sz w:val="36"/>
          <w:szCs w:val="36"/>
        </w:rPr>
        <w:t>年部门（单位）预算表</w:t>
      </w:r>
    </w:p>
    <w:p>
      <w:pPr>
        <w:pStyle w:val="3"/>
        <w:numPr>
          <w:ilvl w:val="0"/>
          <w:numId w:val="0"/>
        </w:numPr>
        <w:topLinePunct/>
        <w:adjustRightInd w:val="0"/>
        <w:snapToGrid w:val="0"/>
        <w:spacing w:beforeAutospacing="0" w:afterAutospacing="0" w:line="560" w:lineRule="exact"/>
        <w:jc w:val="both"/>
        <w:rPr>
          <w:rFonts w:ascii="TimesNewRoman" w:hAnsi="TimesNewRoman" w:eastAsia="黑体" w:cs="TimesNewRoman"/>
          <w:bCs/>
          <w:sz w:val="36"/>
          <w:szCs w:val="36"/>
        </w:rPr>
      </w:pPr>
    </w:p>
    <w:p>
      <w:pPr>
        <w:pStyle w:val="3"/>
        <w:adjustRightInd w:val="0"/>
        <w:snapToGrid w:val="0"/>
        <w:spacing w:before="0" w:beforeAutospacing="0" w:after="0" w:afterAutospacing="0" w:line="360" w:lineRule="auto"/>
        <w:ind w:firstLine="640" w:firstLineChars="200"/>
        <w:rPr>
          <w:rFonts w:hint="eastAsia" w:ascii="仿宋" w:hAnsi="仿宋" w:eastAsia="仿宋"/>
          <w:bCs/>
          <w:sz w:val="32"/>
          <w:szCs w:val="32"/>
        </w:rPr>
      </w:pPr>
      <w:r>
        <w:rPr>
          <w:rFonts w:hint="eastAsia" w:ascii="仿宋_GB2312" w:hAnsi="仿宋" w:eastAsia="仿宋_GB2312"/>
          <w:bCs/>
          <w:sz w:val="32"/>
          <w:szCs w:val="32"/>
        </w:rPr>
        <w:t>202</w:t>
      </w:r>
      <w:r>
        <w:rPr>
          <w:rFonts w:hint="eastAsia" w:ascii="仿宋_GB2312" w:hAnsi="仿宋" w:eastAsia="仿宋_GB2312"/>
          <w:bCs/>
          <w:sz w:val="32"/>
          <w:szCs w:val="32"/>
          <w:lang w:val="en-US" w:eastAsia="zh-CN"/>
        </w:rPr>
        <w:t>5</w:t>
      </w:r>
      <w:r>
        <w:rPr>
          <w:rFonts w:hint="eastAsia" w:ascii="仿宋_GB2312" w:hAnsi="仿宋" w:eastAsia="仿宋_GB2312"/>
          <w:bCs/>
          <w:sz w:val="32"/>
          <w:szCs w:val="32"/>
        </w:rPr>
        <w:t>年部门预算表由1</w:t>
      </w:r>
      <w:r>
        <w:rPr>
          <w:rFonts w:hint="eastAsia" w:ascii="仿宋_GB2312" w:hAnsi="仿宋" w:eastAsia="仿宋_GB2312"/>
          <w:bCs/>
          <w:sz w:val="32"/>
          <w:szCs w:val="32"/>
          <w:lang w:val="en-US" w:eastAsia="zh-CN"/>
        </w:rPr>
        <w:t>1</w:t>
      </w:r>
      <w:r>
        <w:rPr>
          <w:rFonts w:hint="eastAsia" w:ascii="仿宋_GB2312" w:hAnsi="仿宋" w:eastAsia="仿宋_GB2312"/>
          <w:bCs/>
          <w:sz w:val="32"/>
          <w:szCs w:val="32"/>
        </w:rPr>
        <w:t>张表格构成，具体表格内容见</w:t>
      </w:r>
      <w:r>
        <w:rPr>
          <w:rFonts w:hint="eastAsia" w:ascii="仿宋_GB2312" w:hAnsi="仿宋" w:eastAsia="仿宋_GB2312"/>
          <w:bCs/>
          <w:sz w:val="32"/>
          <w:szCs w:val="32"/>
          <w:lang w:eastAsia="zh-CN"/>
        </w:rPr>
        <w:t>附件</w:t>
      </w:r>
      <w:r>
        <w:rPr>
          <w:rFonts w:hint="eastAsia" w:ascii="仿宋_GB2312" w:hAnsi="仿宋" w:eastAsia="仿宋_GB2312"/>
          <w:bCs/>
          <w:sz w:val="32"/>
          <w:szCs w:val="32"/>
          <w:lang w:val="en-US" w:eastAsia="zh-CN"/>
        </w:rPr>
        <w:t>3</w:t>
      </w:r>
      <w:r>
        <w:rPr>
          <w:rFonts w:hint="eastAsia" w:ascii="仿宋_GB2312" w:hAnsi="仿宋" w:eastAsia="仿宋_GB2312"/>
          <w:bCs/>
          <w:sz w:val="32"/>
          <w:szCs w:val="32"/>
        </w:rPr>
        <w:t>。</w:t>
      </w:r>
    </w:p>
    <w:p>
      <w:pPr>
        <w:pStyle w:val="3"/>
        <w:topLinePunct/>
        <w:adjustRightInd w:val="0"/>
        <w:snapToGrid w:val="0"/>
        <w:spacing w:beforeAutospacing="0" w:afterAutospacing="0" w:line="560" w:lineRule="exact"/>
        <w:jc w:val="center"/>
        <w:rPr>
          <w:rFonts w:hint="eastAsia"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第三部分 </w:t>
      </w:r>
      <w:r>
        <w:rPr>
          <w:rFonts w:hint="eastAsia" w:ascii="TimesNewRoman" w:hAnsi="TimesNewRoman" w:eastAsia="黑体" w:cs="TimesNewRoman"/>
          <w:bCs/>
          <w:sz w:val="36"/>
          <w:szCs w:val="36"/>
        </w:rPr>
        <w:t>202</w:t>
      </w:r>
      <w:r>
        <w:rPr>
          <w:rFonts w:hint="eastAsia" w:ascii="TimesNewRoman" w:hAnsi="TimesNewRoman" w:eastAsia="黑体" w:cs="TimesNewRoman"/>
          <w:bCs/>
          <w:sz w:val="36"/>
          <w:szCs w:val="36"/>
          <w:lang w:val="en-US" w:eastAsia="zh-CN"/>
        </w:rPr>
        <w:t>5</w:t>
      </w:r>
      <w:r>
        <w:rPr>
          <w:rFonts w:ascii="TimesNewRoman" w:hAnsi="TimesNewRoman" w:eastAsia="黑体" w:cs="TimesNewRoman"/>
          <w:bCs/>
          <w:sz w:val="36"/>
          <w:szCs w:val="36"/>
        </w:rPr>
        <w:t>年部门（单位）预算情况说明</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一、关于202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年收支总表的说明</w:t>
      </w:r>
    </w:p>
    <w:p>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所有收入和支出均纳入部门</w:t>
      </w:r>
      <w:r>
        <w:rPr>
          <w:rFonts w:hint="eastAsia" w:ascii="仿宋_GB2312" w:hAnsi="TimesNewRoman" w:eastAsia="仿宋_GB2312" w:cs="TimesNewRoman"/>
          <w:sz w:val="32"/>
          <w:szCs w:val="32"/>
          <w:u w:val="single"/>
        </w:rPr>
        <w:t>（单位）</w:t>
      </w:r>
      <w:r>
        <w:rPr>
          <w:rFonts w:hint="eastAsia" w:ascii="仿宋_GB2312" w:hAnsi="TimesNewRoman" w:eastAsia="仿宋_GB2312" w:cs="TimesNewRoman"/>
          <w:sz w:val="32"/>
          <w:szCs w:val="32"/>
        </w:rPr>
        <w:t>预算管理。寿县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年收支总预算</w:t>
      </w:r>
      <w:r>
        <w:rPr>
          <w:rFonts w:hint="eastAsia" w:ascii="仿宋_GB2312" w:hAnsi="TimesNewRoman" w:eastAsia="仿宋_GB2312" w:cs="TimesNewRoman"/>
          <w:sz w:val="32"/>
          <w:szCs w:val="32"/>
          <w:lang w:val="en-US" w:eastAsia="zh-CN"/>
        </w:rPr>
        <w:t>970.05</w:t>
      </w:r>
      <w:r>
        <w:rPr>
          <w:rFonts w:hint="eastAsia" w:ascii="仿宋_GB2312" w:hAnsi="TimesNewRoman" w:eastAsia="仿宋_GB2312" w:cs="TimesNewRoman"/>
          <w:sz w:val="32"/>
          <w:szCs w:val="32"/>
        </w:rPr>
        <w:t>万元，收入包括一般公共预算拨款收入</w:t>
      </w:r>
      <w:r>
        <w:rPr>
          <w:rFonts w:hint="eastAsia" w:ascii="仿宋_GB2312" w:hAnsi="TimesNewRoman" w:eastAsia="仿宋_GB2312" w:cs="TimesNewRoman"/>
          <w:sz w:val="32"/>
          <w:szCs w:val="32"/>
          <w:lang w:val="en-US" w:eastAsia="zh-CN"/>
        </w:rPr>
        <w:t>970.05</w:t>
      </w:r>
      <w:r>
        <w:rPr>
          <w:rFonts w:hint="eastAsia" w:ascii="仿宋_GB2312" w:hAnsi="TimesNewRoman" w:eastAsia="仿宋_GB2312" w:cs="TimesNewRoman"/>
          <w:sz w:val="32"/>
          <w:szCs w:val="32"/>
        </w:rPr>
        <w:t>万元、政府性基金预算拨款0万元、国有资本经营预算拨款0万元。支出包括：一般公共服务支出</w:t>
      </w:r>
      <w:r>
        <w:rPr>
          <w:rFonts w:hint="eastAsia" w:ascii="仿宋_GB2312" w:hAnsi="TimesNewRoman" w:eastAsia="仿宋_GB2312" w:cs="TimesNewRoman"/>
          <w:sz w:val="32"/>
          <w:szCs w:val="32"/>
          <w:lang w:val="en-US" w:eastAsia="zh-CN"/>
        </w:rPr>
        <w:t>666.41万元</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216.38万元</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36.34</w:t>
      </w:r>
      <w:r>
        <w:rPr>
          <w:rFonts w:hint="eastAsia" w:ascii="仿宋_GB2312" w:hAnsi="TimesNewRoman" w:eastAsia="仿宋_GB2312" w:cs="TimesNewRoman"/>
          <w:sz w:val="32"/>
          <w:szCs w:val="32"/>
          <w:lang w:eastAsia="zh-CN"/>
        </w:rPr>
        <w:t>万元</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50.91万元</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二、关于202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年收入总表的说明</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年收入预算</w:t>
      </w:r>
      <w:r>
        <w:rPr>
          <w:rFonts w:hint="eastAsia" w:ascii="仿宋_GB2312" w:hAnsi="TimesNewRoman" w:eastAsia="仿宋_GB2312" w:cs="TimesNewRoman"/>
          <w:sz w:val="32"/>
          <w:szCs w:val="32"/>
          <w:lang w:val="en-US" w:eastAsia="zh-CN"/>
        </w:rPr>
        <w:t>970.05</w:t>
      </w:r>
      <w:r>
        <w:rPr>
          <w:rFonts w:hint="eastAsia" w:ascii="仿宋_GB2312" w:hAnsi="TimesNewRoman" w:eastAsia="仿宋_GB2312" w:cs="TimesNewRoman"/>
          <w:sz w:val="32"/>
          <w:szCs w:val="32"/>
        </w:rPr>
        <w:t>万元，其中，本年收入</w:t>
      </w:r>
      <w:r>
        <w:rPr>
          <w:rFonts w:hint="eastAsia" w:ascii="仿宋_GB2312" w:hAnsi="TimesNewRoman" w:eastAsia="仿宋_GB2312" w:cs="TimesNewRoman"/>
          <w:sz w:val="32"/>
          <w:szCs w:val="32"/>
          <w:lang w:val="en-US" w:eastAsia="zh-CN"/>
        </w:rPr>
        <w:t>970.05</w:t>
      </w:r>
      <w:r>
        <w:rPr>
          <w:rFonts w:hint="eastAsia" w:ascii="仿宋_GB2312" w:hAnsi="TimesNewRoman" w:eastAsia="仿宋_GB2312" w:cs="TimesNewRoman"/>
          <w:sz w:val="32"/>
          <w:szCs w:val="32"/>
        </w:rPr>
        <w:t>万元，上年结转收入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（一）本年收入</w:t>
      </w:r>
      <w:r>
        <w:rPr>
          <w:rFonts w:hint="eastAsia" w:ascii="仿宋_GB2312" w:hAnsi="TimesNewRoman" w:eastAsia="仿宋_GB2312" w:cs="TimesNewRoman"/>
          <w:sz w:val="32"/>
          <w:szCs w:val="32"/>
          <w:lang w:val="en-US" w:eastAsia="zh-CN"/>
        </w:rPr>
        <w:t>970.05</w:t>
      </w:r>
      <w:r>
        <w:rPr>
          <w:rFonts w:hint="eastAsia" w:ascii="仿宋_GB2312" w:hAnsi="TimesNewRoman" w:eastAsia="仿宋_GB2312" w:cs="TimesNewRoman"/>
          <w:sz w:val="32"/>
          <w:szCs w:val="32"/>
        </w:rPr>
        <w:t>万元，主要包括：一般公共预算拨款收入</w:t>
      </w:r>
      <w:r>
        <w:rPr>
          <w:rFonts w:hint="eastAsia" w:ascii="仿宋_GB2312" w:hAnsi="TimesNewRoman" w:eastAsia="仿宋_GB2312" w:cs="TimesNewRoman"/>
          <w:sz w:val="32"/>
          <w:szCs w:val="32"/>
          <w:lang w:val="en-US" w:eastAsia="zh-CN"/>
        </w:rPr>
        <w:t>970.05</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%，比2023年预算</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53.93</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5.2</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rPr>
        <w:t>原因主要是</w:t>
      </w:r>
      <w:r>
        <w:rPr>
          <w:rFonts w:hint="eastAsia" w:ascii="仿宋_GB2312" w:hAnsi="TimesNewRoman" w:eastAsia="仿宋_GB2312" w:cs="TimesNewRoman"/>
          <w:sz w:val="32"/>
          <w:szCs w:val="32"/>
          <w:lang w:val="en-US" w:eastAsia="zh-CN"/>
        </w:rPr>
        <w:t>贯彻厉行节约过紧日子要求，本年度预算经费进一步压减</w:t>
      </w:r>
      <w:r>
        <w:rPr>
          <w:rFonts w:hint="eastAsia" w:ascii="仿宋_GB2312" w:hAnsi="TimesNewRoman" w:eastAsia="仿宋_GB2312" w:cs="TimesNewRoman"/>
          <w:sz w:val="32"/>
          <w:szCs w:val="32"/>
        </w:rPr>
        <w:t>；政府性基金预算拨款收入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%，；国有资本经营预算拨款收入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%；财政专户管理资金收入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%；单位资金收入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w:t>
      </w:r>
    </w:p>
    <w:p>
      <w:pPr>
        <w:topLinePunct/>
        <w:adjustRightInd w:val="0"/>
        <w:snapToGrid w:val="0"/>
        <w:spacing w:line="580" w:lineRule="exact"/>
        <w:ind w:firstLine="640" w:firstLineChars="200"/>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rPr>
        <w:t>（二）上年结转收入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三、关于202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年支出总表的说明</w:t>
      </w:r>
    </w:p>
    <w:p>
      <w:pPr>
        <w:topLinePunct/>
        <w:adjustRightInd w:val="0"/>
        <w:snapToGrid w:val="0"/>
        <w:spacing w:line="580" w:lineRule="exact"/>
        <w:ind w:firstLine="640" w:firstLineChars="200"/>
        <w:rPr>
          <w:rFonts w:hint="default" w:ascii="仿宋_GB2312" w:hAnsi="TimesNewRoman" w:eastAsia="仿宋_GB2312" w:cs="TimesNewRoman"/>
          <w:sz w:val="32"/>
          <w:szCs w:val="32"/>
          <w:lang w:val="en-US"/>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年支出预算</w:t>
      </w:r>
      <w:r>
        <w:rPr>
          <w:rFonts w:hint="eastAsia" w:ascii="仿宋_GB2312" w:hAnsi="TimesNewRoman" w:eastAsia="仿宋_GB2312" w:cs="TimesNewRoman"/>
          <w:sz w:val="32"/>
          <w:szCs w:val="32"/>
          <w:lang w:val="en-US" w:eastAsia="zh-CN"/>
        </w:rPr>
        <w:t>970.05</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53.93</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5.2</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rPr>
        <w:t>原因主要是</w:t>
      </w:r>
      <w:r>
        <w:rPr>
          <w:rFonts w:hint="eastAsia" w:ascii="仿宋_GB2312" w:hAnsi="TimesNewRoman" w:eastAsia="仿宋_GB2312" w:cs="TimesNewRoman"/>
          <w:sz w:val="32"/>
          <w:szCs w:val="32"/>
          <w:lang w:val="en-US" w:eastAsia="zh-CN"/>
        </w:rPr>
        <w:t>贯彻厉行节约过紧日子要求，本年度预算经费进一步压减</w:t>
      </w:r>
      <w:r>
        <w:rPr>
          <w:rFonts w:hint="eastAsia" w:ascii="仿宋_GB2312" w:hAnsi="TimesNewRoman" w:eastAsia="仿宋_GB2312" w:cs="TimesNewRoman"/>
          <w:sz w:val="32"/>
          <w:szCs w:val="32"/>
        </w:rPr>
        <w:t>。其中，基本支出</w:t>
      </w:r>
      <w:r>
        <w:rPr>
          <w:rFonts w:hint="eastAsia" w:ascii="仿宋_GB2312" w:hAnsi="TimesNewRoman" w:eastAsia="仿宋_GB2312" w:cs="TimesNewRoman"/>
          <w:sz w:val="32"/>
          <w:szCs w:val="32"/>
          <w:lang w:val="en-US" w:eastAsia="zh-CN"/>
        </w:rPr>
        <w:t>828.06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85.3</w:t>
      </w:r>
      <w:r>
        <w:rPr>
          <w:rFonts w:hint="eastAsia" w:ascii="仿宋_GB2312" w:hAnsi="TimesNewRoman" w:eastAsia="仿宋_GB2312" w:cs="TimesNewRoman"/>
          <w:sz w:val="32"/>
          <w:szCs w:val="32"/>
        </w:rPr>
        <w:t>%，主要用于保障机构日常运转、完成日常工作任务；项目支出</w:t>
      </w:r>
      <w:r>
        <w:rPr>
          <w:rFonts w:hint="eastAsia" w:ascii="仿宋_GB2312" w:hAnsi="TimesNewRoman" w:eastAsia="仿宋_GB2312" w:cs="TimesNewRoman"/>
          <w:sz w:val="32"/>
          <w:szCs w:val="32"/>
          <w:lang w:val="en-US" w:eastAsia="zh-CN"/>
        </w:rPr>
        <w:t>141.99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14.7</w:t>
      </w:r>
      <w:r>
        <w:rPr>
          <w:rFonts w:hint="eastAsia" w:ascii="仿宋_GB2312" w:hAnsi="TimesNewRoman" w:eastAsia="仿宋_GB2312" w:cs="TimesNewRoman"/>
          <w:sz w:val="32"/>
          <w:szCs w:val="32"/>
        </w:rPr>
        <w:t>%，主要用于</w:t>
      </w:r>
      <w:r>
        <w:rPr>
          <w:rFonts w:hint="eastAsia" w:ascii="仿宋_GB2312" w:hAnsi="仿宋" w:eastAsia="仿宋_GB2312"/>
          <w:sz w:val="32"/>
          <w:szCs w:val="32"/>
          <w:lang w:eastAsia="zh-CN"/>
        </w:rPr>
        <w:t>完成县委县政府交办各项工作</w:t>
      </w:r>
      <w:r>
        <w:rPr>
          <w:rFonts w:hint="eastAsia" w:ascii="仿宋_GB2312" w:hAnsi="仿宋" w:eastAsia="仿宋_GB2312"/>
          <w:sz w:val="32"/>
          <w:szCs w:val="32"/>
          <w:lang w:val="en-US" w:eastAsia="zh-CN"/>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四、关于202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年财政拨款收支总表的说明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年财政拨款收支预算</w:t>
      </w:r>
      <w:r>
        <w:rPr>
          <w:rFonts w:hint="eastAsia" w:ascii="仿宋_GB2312" w:hAnsi="TimesNewRoman" w:eastAsia="仿宋_GB2312" w:cs="TimesNewRoman"/>
          <w:sz w:val="32"/>
          <w:szCs w:val="32"/>
          <w:lang w:val="en-US" w:eastAsia="zh-CN"/>
        </w:rPr>
        <w:t>970.05</w:t>
      </w:r>
      <w:r>
        <w:rPr>
          <w:rFonts w:hint="eastAsia" w:ascii="仿宋_GB2312" w:hAnsi="TimesNewRoman" w:eastAsia="仿宋_GB2312" w:cs="TimesNewRoman"/>
          <w:sz w:val="32"/>
          <w:szCs w:val="32"/>
        </w:rPr>
        <w:t>万元。收入按资金来源分为：一般公共预算拨款</w:t>
      </w:r>
      <w:r>
        <w:rPr>
          <w:rFonts w:hint="eastAsia" w:ascii="仿宋_GB2312" w:hAnsi="TimesNewRoman" w:eastAsia="仿宋_GB2312" w:cs="TimesNewRoman"/>
          <w:sz w:val="32"/>
          <w:szCs w:val="32"/>
          <w:lang w:val="en-US" w:eastAsia="zh-CN"/>
        </w:rPr>
        <w:t>970.05</w:t>
      </w:r>
      <w:r>
        <w:rPr>
          <w:rFonts w:hint="eastAsia" w:ascii="仿宋_GB2312" w:hAnsi="TimesNewRoman" w:eastAsia="仿宋_GB2312" w:cs="TimesNewRoman"/>
          <w:sz w:val="32"/>
          <w:szCs w:val="32"/>
        </w:rPr>
        <w:t>万元、政府性基金预算拨款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万元、国有资本经营预算拨款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万元；按资金年度分为：本年财政拨款收入</w:t>
      </w:r>
      <w:r>
        <w:rPr>
          <w:rFonts w:hint="eastAsia" w:ascii="仿宋_GB2312" w:hAnsi="TimesNewRoman" w:eastAsia="仿宋_GB2312" w:cs="TimesNewRoman"/>
          <w:sz w:val="32"/>
          <w:szCs w:val="32"/>
          <w:lang w:val="en-US" w:eastAsia="zh-CN"/>
        </w:rPr>
        <w:t>970.05</w:t>
      </w:r>
      <w:r>
        <w:rPr>
          <w:rFonts w:hint="eastAsia" w:ascii="仿宋_GB2312" w:hAnsi="TimesNewRoman" w:eastAsia="仿宋_GB2312" w:cs="TimesNewRoman"/>
          <w:sz w:val="32"/>
          <w:szCs w:val="32"/>
        </w:rPr>
        <w:t>万元，上年结转收入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万元。支出按功能分类分为：一般公共服务支出</w:t>
      </w:r>
      <w:r>
        <w:rPr>
          <w:rFonts w:hint="eastAsia" w:ascii="仿宋_GB2312" w:hAnsi="TimesNewRoman" w:eastAsia="仿宋_GB2312" w:cs="TimesNewRoman"/>
          <w:sz w:val="32"/>
          <w:szCs w:val="32"/>
          <w:lang w:val="en-US" w:eastAsia="zh-CN"/>
        </w:rPr>
        <w:t>666.41</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68.7</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216.38</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22.3</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36.34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3.7</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50.91</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5.3</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五、关于202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年一般公共预算支出表的说明</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年支出预算</w:t>
      </w:r>
      <w:r>
        <w:rPr>
          <w:rFonts w:hint="eastAsia" w:ascii="仿宋_GB2312" w:hAnsi="TimesNewRoman" w:eastAsia="仿宋_GB2312" w:cs="TimesNewRoman"/>
          <w:sz w:val="32"/>
          <w:szCs w:val="32"/>
          <w:lang w:val="en-US" w:eastAsia="zh-CN"/>
        </w:rPr>
        <w:t>970.05</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53.93</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5.2</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rPr>
        <w:t>原因主要是</w:t>
      </w:r>
      <w:r>
        <w:rPr>
          <w:rFonts w:hint="eastAsia" w:ascii="仿宋_GB2312" w:hAnsi="TimesNewRoman" w:eastAsia="仿宋_GB2312" w:cs="TimesNewRoman"/>
          <w:sz w:val="32"/>
          <w:szCs w:val="32"/>
          <w:lang w:val="en-US" w:eastAsia="zh-CN"/>
        </w:rPr>
        <w:t>贯彻厉行节约过紧日子要求，本年度预算经费进一步压减</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一般公共服务支出</w:t>
      </w:r>
      <w:r>
        <w:rPr>
          <w:rFonts w:hint="eastAsia" w:ascii="仿宋_GB2312" w:hAnsi="TimesNewRoman" w:eastAsia="仿宋_GB2312" w:cs="TimesNewRoman"/>
          <w:sz w:val="32"/>
          <w:szCs w:val="32"/>
          <w:lang w:val="en-US" w:eastAsia="zh-CN"/>
        </w:rPr>
        <w:t>666.41</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68.7</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216.38</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22.3</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36.34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3.7</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50.91</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5.3</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1.一般公共服务支出（类）财政事务（款）行政运行（项）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666.41</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75.13</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10.1</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rPr>
        <w:t>原因主要是</w:t>
      </w:r>
      <w:r>
        <w:rPr>
          <w:rFonts w:hint="eastAsia" w:ascii="仿宋_GB2312" w:hAnsi="仿宋" w:eastAsia="仿宋_GB2312"/>
          <w:sz w:val="32"/>
          <w:szCs w:val="32"/>
          <w:lang w:val="en-US" w:eastAsia="zh-CN"/>
        </w:rPr>
        <w:t>退休人员经费科目改为</w:t>
      </w:r>
      <w:r>
        <w:rPr>
          <w:rFonts w:hint="eastAsia" w:ascii="仿宋" w:hAnsi="仿宋" w:eastAsia="仿宋"/>
          <w:b/>
          <w:sz w:val="32"/>
          <w:szCs w:val="32"/>
        </w:rPr>
        <w:t xml:space="preserve">社会保障和就业支出（类） 行政事业单位养老支出（款）  </w:t>
      </w:r>
      <w:r>
        <w:rPr>
          <w:rFonts w:hint="eastAsia" w:ascii="仿宋" w:hAnsi="仿宋" w:eastAsia="仿宋"/>
          <w:b/>
          <w:sz w:val="32"/>
          <w:szCs w:val="32"/>
          <w:lang w:val="en-US" w:eastAsia="zh-CN"/>
        </w:rPr>
        <w:t>行政单位离退休</w:t>
      </w:r>
      <w:r>
        <w:rPr>
          <w:rFonts w:hint="eastAsia" w:ascii="仿宋" w:hAnsi="仿宋" w:eastAsia="仿宋"/>
          <w:b/>
          <w:sz w:val="32"/>
          <w:szCs w:val="32"/>
        </w:rPr>
        <w:t>（项）</w:t>
      </w:r>
      <w:r>
        <w:rPr>
          <w:rFonts w:hint="eastAsia" w:ascii="仿宋_GB2312" w:hAnsi="仿宋" w:eastAsia="仿宋_GB2312"/>
          <w:sz w:val="32"/>
          <w:szCs w:val="32"/>
          <w:lang w:val="en-US" w:eastAsia="zh-CN"/>
        </w:rPr>
        <w:t>科目</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2.一般公共服务支出（类）财政事务（款）一般行政管理事务（项）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666.41</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75.13</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10.1</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rPr>
        <w:t>原因主要是</w:t>
      </w:r>
      <w:r>
        <w:rPr>
          <w:rFonts w:hint="eastAsia" w:ascii="仿宋_GB2312" w:hAnsi="仿宋" w:eastAsia="仿宋_GB2312"/>
          <w:sz w:val="32"/>
          <w:szCs w:val="32"/>
          <w:lang w:val="en-US" w:eastAsia="zh-CN"/>
        </w:rPr>
        <w:t>退休人员经费科目改为</w:t>
      </w:r>
      <w:r>
        <w:rPr>
          <w:rFonts w:hint="eastAsia" w:ascii="仿宋" w:hAnsi="仿宋" w:eastAsia="仿宋"/>
          <w:b/>
          <w:sz w:val="32"/>
          <w:szCs w:val="32"/>
        </w:rPr>
        <w:t xml:space="preserve">社会保障和就业支出（类） 行政事业单位养老支出（款）  </w:t>
      </w:r>
      <w:r>
        <w:rPr>
          <w:rFonts w:hint="eastAsia" w:ascii="仿宋" w:hAnsi="仿宋" w:eastAsia="仿宋"/>
          <w:b/>
          <w:sz w:val="32"/>
          <w:szCs w:val="32"/>
          <w:lang w:val="en-US" w:eastAsia="zh-CN"/>
        </w:rPr>
        <w:t>行政单位离退休</w:t>
      </w:r>
      <w:r>
        <w:rPr>
          <w:rFonts w:hint="eastAsia" w:ascii="仿宋" w:hAnsi="仿宋" w:eastAsia="仿宋"/>
          <w:b/>
          <w:sz w:val="32"/>
          <w:szCs w:val="32"/>
        </w:rPr>
        <w:t>（项）</w:t>
      </w:r>
      <w:r>
        <w:rPr>
          <w:rFonts w:hint="eastAsia" w:ascii="仿宋_GB2312" w:hAnsi="仿宋" w:eastAsia="仿宋_GB2312"/>
          <w:sz w:val="32"/>
          <w:szCs w:val="32"/>
          <w:lang w:val="en-US" w:eastAsia="zh-CN"/>
        </w:rPr>
        <w:t>科目</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3.社会保障和就业支出（类）行政事业单位离退休（款）归口管理的行政事业单位离退休（项）</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年预算</w:t>
      </w:r>
      <w:r>
        <w:rPr>
          <w:rFonts w:hint="eastAsia" w:ascii="仿宋_GB2312" w:hAnsi="TimesNewRoman" w:eastAsia="仿宋_GB2312" w:cs="TimesNewRoman"/>
          <w:sz w:val="32"/>
          <w:szCs w:val="32"/>
          <w:lang w:val="en-US" w:eastAsia="zh-CN"/>
        </w:rPr>
        <w:t>101.04</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w:t>
      </w:r>
      <w:r>
        <w:rPr>
          <w:rFonts w:hint="eastAsia" w:ascii="仿宋_GB2312" w:hAnsi="TimesNewRoman" w:eastAsia="仿宋_GB2312" w:cs="TimesNewRoman"/>
          <w:sz w:val="32"/>
          <w:szCs w:val="32"/>
          <w:lang w:eastAsia="zh-CN"/>
        </w:rPr>
        <w:t>增加</w:t>
      </w:r>
      <w:r>
        <w:rPr>
          <w:rFonts w:hint="eastAsia" w:ascii="仿宋_GB2312" w:hAnsi="TimesNewRoman" w:eastAsia="仿宋_GB2312" w:cs="TimesNewRoman"/>
          <w:sz w:val="32"/>
          <w:szCs w:val="32"/>
          <w:lang w:val="en-US" w:eastAsia="zh-CN"/>
        </w:rPr>
        <w:t>72.13</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增加</w:t>
      </w:r>
      <w:r>
        <w:rPr>
          <w:rFonts w:hint="eastAsia" w:ascii="仿宋_GB2312" w:hAnsi="TimesNewRoman" w:eastAsia="仿宋_GB2312" w:cs="TimesNewRoman"/>
          <w:sz w:val="32"/>
          <w:szCs w:val="32"/>
          <w:lang w:val="en-US" w:eastAsia="zh-CN"/>
        </w:rPr>
        <w:t>249</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增加</w:t>
      </w:r>
      <w:r>
        <w:rPr>
          <w:rFonts w:hint="eastAsia" w:ascii="仿宋_GB2312" w:hAnsi="TimesNewRoman" w:eastAsia="仿宋_GB2312" w:cs="TimesNewRoman"/>
          <w:sz w:val="32"/>
          <w:szCs w:val="32"/>
        </w:rPr>
        <w:t>原因主要是</w:t>
      </w:r>
      <w:r>
        <w:rPr>
          <w:rFonts w:hint="eastAsia" w:ascii="仿宋_GB2312" w:hAnsi="仿宋" w:eastAsia="仿宋_GB2312"/>
          <w:sz w:val="32"/>
          <w:szCs w:val="32"/>
          <w:lang w:val="en-US" w:eastAsia="zh-CN"/>
        </w:rPr>
        <w:t>退休人员经费科目改为</w:t>
      </w:r>
      <w:r>
        <w:rPr>
          <w:rFonts w:hint="eastAsia" w:ascii="仿宋" w:hAnsi="仿宋" w:eastAsia="仿宋"/>
          <w:b/>
          <w:sz w:val="32"/>
          <w:szCs w:val="32"/>
        </w:rPr>
        <w:t xml:space="preserve">社会保障和就业支出（类） 行政事业单位养老支出（款）  </w:t>
      </w:r>
      <w:r>
        <w:rPr>
          <w:rFonts w:hint="eastAsia" w:ascii="仿宋" w:hAnsi="仿宋" w:eastAsia="仿宋"/>
          <w:b/>
          <w:sz w:val="32"/>
          <w:szCs w:val="32"/>
          <w:lang w:val="en-US" w:eastAsia="zh-CN"/>
        </w:rPr>
        <w:t>行政单位离退休</w:t>
      </w:r>
      <w:r>
        <w:rPr>
          <w:rFonts w:hint="eastAsia" w:ascii="仿宋" w:hAnsi="仿宋" w:eastAsia="仿宋"/>
          <w:b/>
          <w:sz w:val="32"/>
          <w:szCs w:val="32"/>
        </w:rPr>
        <w:t>（项）</w:t>
      </w:r>
      <w:r>
        <w:rPr>
          <w:rFonts w:hint="eastAsia" w:ascii="仿宋_GB2312" w:hAnsi="仿宋" w:eastAsia="仿宋_GB2312"/>
          <w:sz w:val="32"/>
          <w:szCs w:val="32"/>
          <w:lang w:val="en-US" w:eastAsia="zh-CN"/>
        </w:rPr>
        <w:t>科目</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4.住房保障支出（类）住房改革支出（款）住房公积金（项）</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年预算</w:t>
      </w:r>
      <w:r>
        <w:rPr>
          <w:rFonts w:hint="eastAsia" w:ascii="仿宋_GB2312" w:hAnsi="TimesNewRoman" w:eastAsia="仿宋_GB2312" w:cs="TimesNewRoman"/>
          <w:sz w:val="32"/>
          <w:szCs w:val="32"/>
          <w:lang w:val="en-US" w:eastAsia="zh-CN"/>
        </w:rPr>
        <w:t>50.91</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3.46</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6.3</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人员减少</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六、关于202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年一般公共预算基本支出表的说明</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年一般公共预算基本支出</w:t>
      </w:r>
      <w:r>
        <w:rPr>
          <w:rFonts w:hint="eastAsia" w:ascii="仿宋_GB2312" w:hAnsi="TimesNewRoman" w:eastAsia="仿宋_GB2312" w:cs="TimesNewRoman"/>
          <w:sz w:val="32"/>
          <w:szCs w:val="32"/>
          <w:lang w:val="en-US" w:eastAsia="zh-CN"/>
        </w:rPr>
        <w:t>828.06</w:t>
      </w:r>
      <w:r>
        <w:rPr>
          <w:rFonts w:hint="eastAsia" w:ascii="仿宋_GB2312" w:hAnsi="TimesNewRoman" w:eastAsia="仿宋_GB2312" w:cs="TimesNewRoman"/>
          <w:sz w:val="32"/>
          <w:szCs w:val="32"/>
        </w:rPr>
        <w:t>万元，其中，人员经费</w:t>
      </w:r>
      <w:r>
        <w:rPr>
          <w:rFonts w:hint="eastAsia" w:ascii="仿宋_GB2312" w:hAnsi="TimesNewRoman" w:eastAsia="仿宋_GB2312" w:cs="TimesNewRoman"/>
          <w:sz w:val="32"/>
          <w:szCs w:val="32"/>
          <w:lang w:val="en-US" w:eastAsia="zh-CN"/>
        </w:rPr>
        <w:t>727.89</w:t>
      </w:r>
      <w:r>
        <w:rPr>
          <w:rFonts w:hint="eastAsia" w:ascii="仿宋_GB2312" w:hAnsi="TimesNewRoman" w:eastAsia="仿宋_GB2312" w:cs="TimesNewRoman"/>
          <w:sz w:val="32"/>
          <w:szCs w:val="32"/>
        </w:rPr>
        <w:t>万元，公用经费</w:t>
      </w:r>
      <w:r>
        <w:rPr>
          <w:rFonts w:hint="eastAsia" w:ascii="仿宋_GB2312" w:hAnsi="TimesNewRoman" w:eastAsia="仿宋_GB2312" w:cs="TimesNewRoman"/>
          <w:sz w:val="32"/>
          <w:szCs w:val="32"/>
          <w:lang w:val="en-US" w:eastAsia="zh-CN"/>
        </w:rPr>
        <w:t>100.16</w:t>
      </w:r>
      <w:r>
        <w:rPr>
          <w:rFonts w:hint="eastAsia" w:ascii="仿宋_GB2312" w:hAnsi="TimesNewRoman" w:eastAsia="仿宋_GB2312" w:cs="TimesNewRoman"/>
          <w:sz w:val="32"/>
          <w:szCs w:val="32"/>
        </w:rPr>
        <w:t>万元。</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（一）人员经费</w:t>
      </w:r>
      <w:r>
        <w:rPr>
          <w:rFonts w:hint="eastAsia" w:ascii="仿宋_GB2312" w:hAnsi="TimesNewRoman" w:eastAsia="仿宋_GB2312" w:cs="TimesNewRoman"/>
          <w:sz w:val="32"/>
          <w:szCs w:val="32"/>
          <w:lang w:val="en-US" w:eastAsia="zh-CN"/>
        </w:rPr>
        <w:t>727.89</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single"/>
        </w:rPr>
        <w:t>基本工资、津贴补贴、奖金、绩效工资、机关事业单位基本养老保险费、职业年金缴费、职工基本医疗保险缴费、公务员医疗补助缴费、其他社会保障缴费、住房公积金。</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（二）公用经费</w:t>
      </w:r>
      <w:r>
        <w:rPr>
          <w:rFonts w:hint="eastAsia" w:ascii="仿宋_GB2312" w:hAnsi="TimesNewRoman" w:eastAsia="仿宋_GB2312" w:cs="TimesNewRoman"/>
          <w:sz w:val="32"/>
          <w:szCs w:val="32"/>
          <w:lang w:val="en-US" w:eastAsia="zh-CN"/>
        </w:rPr>
        <w:t>100.16</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single"/>
        </w:rPr>
        <w:t>办公费、印刷费、邮电费、差旅费、维修（护）费、会议费、培训费、公务接待费、工会经费、其他交通费用、其他支出等。</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七、关于202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年政府性基金预算支出表的说明</w:t>
      </w:r>
    </w:p>
    <w:p>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年没有政府性基金预算拨款收入，也没有使用政府性基金预算拨款安排的支出。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八、关于202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年国有资本经营预算支出表的说明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年没有国有资本经营预算拨款收入，也没有使用国有资本经营预算拨款安排的支出。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九、关于202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年项目支出表的说明</w:t>
      </w:r>
    </w:p>
    <w:p>
      <w:pPr>
        <w:spacing w:line="60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年预算共安排项目支出</w:t>
      </w:r>
      <w:r>
        <w:rPr>
          <w:rFonts w:hint="eastAsia" w:ascii="仿宋_GB2312" w:hAnsi="TimesNewRoman" w:eastAsia="仿宋_GB2312" w:cs="TimesNewRoman"/>
          <w:sz w:val="32"/>
          <w:szCs w:val="32"/>
          <w:lang w:val="en-US" w:eastAsia="zh-CN"/>
        </w:rPr>
        <w:t>141.99</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20.65</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12.7</w:t>
      </w:r>
      <w:r>
        <w:rPr>
          <w:rFonts w:hint="eastAsia" w:ascii="仿宋_GB2312" w:hAnsi="TimesNewRoman" w:eastAsia="仿宋_GB2312" w:cs="TimesNewRoman"/>
          <w:sz w:val="32"/>
          <w:szCs w:val="32"/>
        </w:rPr>
        <w:t>%，下降原因主要是</w:t>
      </w:r>
      <w:r>
        <w:rPr>
          <w:rFonts w:hint="eastAsia" w:ascii="仿宋_GB2312" w:hAnsi="仿宋" w:eastAsia="仿宋_GB2312"/>
          <w:sz w:val="32"/>
          <w:szCs w:val="32"/>
        </w:rPr>
        <w:t>按照中央、省市县各级政府要求压缩行政开支</w:t>
      </w:r>
      <w:r>
        <w:rPr>
          <w:rFonts w:hint="eastAsia" w:ascii="仿宋_GB2312" w:hAnsi="TimesNewRoman" w:eastAsia="仿宋_GB2312" w:cs="TimesNewRoman"/>
          <w:sz w:val="32"/>
          <w:szCs w:val="32"/>
        </w:rPr>
        <w:t>。主要包括：本年财政拨款安排</w:t>
      </w:r>
      <w:r>
        <w:rPr>
          <w:rFonts w:hint="eastAsia" w:ascii="仿宋_GB2312" w:hAnsi="TimesNewRoman" w:eastAsia="仿宋_GB2312" w:cs="TimesNewRoman"/>
          <w:sz w:val="32"/>
          <w:szCs w:val="32"/>
          <w:lang w:val="en-US" w:eastAsia="zh-CN"/>
        </w:rPr>
        <w:t>141.99</w:t>
      </w:r>
      <w:r>
        <w:rPr>
          <w:rFonts w:hint="eastAsia" w:ascii="仿宋_GB2312" w:hAnsi="TimesNewRoman" w:eastAsia="仿宋_GB2312" w:cs="TimesNewRoman"/>
          <w:sz w:val="32"/>
          <w:szCs w:val="32"/>
        </w:rPr>
        <w:t>万元（其中，一般公共预算拨款安排</w:t>
      </w:r>
      <w:r>
        <w:rPr>
          <w:rFonts w:hint="eastAsia" w:ascii="仿宋_GB2312" w:hAnsi="TimesNewRoman" w:eastAsia="仿宋_GB2312" w:cs="TimesNewRoman"/>
          <w:sz w:val="32"/>
          <w:szCs w:val="32"/>
          <w:lang w:val="en-US" w:eastAsia="zh-CN"/>
        </w:rPr>
        <w:t>141.99</w:t>
      </w:r>
      <w:r>
        <w:rPr>
          <w:rFonts w:hint="eastAsia" w:ascii="仿宋_GB2312" w:hAnsi="TimesNewRoman" w:eastAsia="仿宋_GB2312" w:cs="TimesNewRoman"/>
          <w:sz w:val="32"/>
          <w:szCs w:val="32"/>
        </w:rPr>
        <w:t>万元，政府性基金预算拨款安排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万元，国有资本经营预算拨款安排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 xml:space="preserve">万元），财政拨款上年结转安排 </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万元、财政专户管理资金安排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年政府采购支出表的说明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年没有使用一般公共预算拨款、政府性基金预算拨款、国有资本经营预算拨款、财政专户管理资金和单位资金安排的政府采购支出。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十一、关于202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年政府购买服务支出表的说明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年没有安排政府购买服务支出。</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十二、其他重要事项情况说明</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1.“政府办专项工作经费”项目。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挂职领导工作经费、县政府发展研究中心工作经费、侨联工作经费、外事工作经费等均属于县政府全面工作，工作量大、任务重，需要资金、人力支持，经县财经领导小组研究决定：纳入县财政预算，全年</w:t>
      </w:r>
      <w:r>
        <w:rPr>
          <w:rFonts w:hint="eastAsia" w:ascii="仿宋_GB2312" w:hAnsi="楷体" w:eastAsia="仿宋_GB2312"/>
          <w:sz w:val="32"/>
          <w:szCs w:val="32"/>
          <w:lang w:val="en-US" w:eastAsia="zh-CN"/>
        </w:rPr>
        <w:t>141.99</w:t>
      </w:r>
      <w:r>
        <w:rPr>
          <w:rFonts w:hint="eastAsia" w:ascii="仿宋_GB2312" w:hAnsi="楷体" w:eastAsia="仿宋_GB2312"/>
          <w:sz w:val="32"/>
          <w:szCs w:val="32"/>
        </w:rPr>
        <w:t>万元。</w:t>
      </w:r>
    </w:p>
    <w:p>
      <w:pPr>
        <w:spacing w:line="600" w:lineRule="exact"/>
        <w:ind w:firstLine="585" w:firstLineChars="183"/>
        <w:rPr>
          <w:rFonts w:ascii="仿宋_GB2312" w:hAnsi="楷体" w:eastAsia="仿宋_GB2312"/>
          <w:sz w:val="32"/>
          <w:szCs w:val="32"/>
        </w:rPr>
      </w:pPr>
      <w:r>
        <w:rPr>
          <w:rFonts w:hint="eastAsia" w:ascii="仿宋_GB2312" w:hAnsi="楷体" w:eastAsia="仿宋_GB2312"/>
          <w:sz w:val="32"/>
          <w:szCs w:val="32"/>
        </w:rPr>
        <w:t>（2）立项依据。县财经领导小组研究决定：纳入县财政预算，全年</w:t>
      </w:r>
      <w:r>
        <w:rPr>
          <w:rFonts w:hint="eastAsia" w:ascii="仿宋_GB2312" w:hAnsi="楷体" w:eastAsia="仿宋_GB2312"/>
          <w:sz w:val="32"/>
          <w:szCs w:val="32"/>
          <w:lang w:val="en-US" w:eastAsia="zh-CN"/>
        </w:rPr>
        <w:t>141.99</w:t>
      </w:r>
      <w:r>
        <w:rPr>
          <w:rFonts w:hint="eastAsia" w:ascii="仿宋_GB2312" w:hAnsi="楷体" w:eastAsia="仿宋_GB2312"/>
          <w:sz w:val="32"/>
          <w:szCs w:val="32"/>
        </w:rPr>
        <w:t>万元。</w:t>
      </w:r>
    </w:p>
    <w:p>
      <w:pPr>
        <w:topLinePunct/>
        <w:adjustRightInd w:val="0"/>
        <w:snapToGrid w:val="0"/>
        <w:spacing w:line="580" w:lineRule="exact"/>
        <w:ind w:firstLine="640" w:firstLineChars="200"/>
        <w:rPr>
          <w:rFonts w:hint="eastAsia" w:ascii="仿宋" w:hAnsi="仿宋" w:eastAsia="仿宋"/>
          <w:sz w:val="32"/>
          <w:szCs w:val="32"/>
        </w:rPr>
      </w:pPr>
      <w:r>
        <w:rPr>
          <w:rFonts w:hint="eastAsia" w:ascii="仿宋_GB2312" w:hAnsi="TimesNewRoman" w:eastAsia="仿宋_GB2312" w:cs="TimesNewRoman"/>
          <w:sz w:val="32"/>
          <w:szCs w:val="32"/>
        </w:rPr>
        <w:t>（3）实施主体</w:t>
      </w:r>
      <w:r>
        <w:rPr>
          <w:rFonts w:hint="eastAsia" w:ascii="仿宋_GB2312" w:hAnsi="TimesNewRoman" w:eastAsia="仿宋_GB2312" w:cs="TimesNewRoman"/>
          <w:sz w:val="32"/>
          <w:szCs w:val="32"/>
          <w:lang w:val="en-US" w:eastAsia="zh-CN"/>
        </w:rPr>
        <w:t xml:space="preserve"> </w:t>
      </w:r>
      <w:r>
        <w:rPr>
          <w:rFonts w:hint="eastAsia" w:ascii="仿宋" w:hAnsi="仿宋" w:eastAsia="仿宋"/>
          <w:sz w:val="32"/>
          <w:szCs w:val="32"/>
        </w:rPr>
        <w:t>寿县人民政府办公室</w:t>
      </w:r>
    </w:p>
    <w:p>
      <w:pPr>
        <w:adjustRightInd w:val="0"/>
        <w:snapToGrid w:val="0"/>
        <w:spacing w:line="60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（4）起止时间</w:t>
      </w:r>
      <w:r>
        <w:rPr>
          <w:rFonts w:hint="eastAsia" w:ascii="仿宋_GB2312" w:hAnsi="TimesNewRoman" w:eastAsia="仿宋_GB2312" w:cs="TimesNewRoman"/>
          <w:sz w:val="32"/>
          <w:szCs w:val="32"/>
          <w:lang w:val="en-US" w:eastAsia="zh-CN"/>
        </w:rPr>
        <w:t xml:space="preserve"> </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年1月1日-202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年12月31日</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（5）项目内容</w:t>
      </w:r>
      <w:r>
        <w:rPr>
          <w:rFonts w:hint="eastAsia" w:ascii="仿宋_GB2312" w:hAnsi="TimesNewRoman" w:eastAsia="仿宋_GB2312" w:cs="TimesNewRoman"/>
          <w:sz w:val="32"/>
          <w:szCs w:val="32"/>
          <w:lang w:val="en-US" w:eastAsia="zh-CN"/>
        </w:rPr>
        <w:t xml:space="preserve">  </w:t>
      </w:r>
      <w:r>
        <w:rPr>
          <w:rFonts w:hint="eastAsia" w:ascii="仿宋_GB2312" w:hAnsi="TimesNewRoman" w:eastAsia="仿宋_GB2312" w:cs="TimesNewRoman"/>
          <w:sz w:val="32"/>
          <w:szCs w:val="32"/>
        </w:rPr>
        <w:t>承办县委、县政府领导和上级业务部门交办的其他工作。</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TimesNewRoman" w:eastAsia="仿宋_GB2312" w:cs="TimesNewRoman"/>
          <w:sz w:val="32"/>
          <w:szCs w:val="32"/>
        </w:rPr>
        <w:t>（6）年度预算安排。</w:t>
      </w:r>
      <w:r>
        <w:rPr>
          <w:rFonts w:hint="eastAsia" w:ascii="仿宋_GB2312" w:hAnsi="仿宋" w:eastAsia="仿宋_GB2312"/>
          <w:sz w:val="32"/>
          <w:szCs w:val="32"/>
        </w:rPr>
        <w:t>全年共需资金</w:t>
      </w:r>
      <w:r>
        <w:rPr>
          <w:rFonts w:hint="eastAsia" w:ascii="仿宋_GB2312" w:hAnsi="仿宋" w:eastAsia="仿宋_GB2312"/>
          <w:sz w:val="32"/>
          <w:szCs w:val="32"/>
          <w:lang w:val="en-US" w:eastAsia="zh-CN"/>
        </w:rPr>
        <w:t>141.99</w:t>
      </w:r>
      <w:r>
        <w:rPr>
          <w:rFonts w:hint="eastAsia" w:ascii="仿宋_GB2312" w:hAnsi="仿宋" w:eastAsia="仿宋_GB2312"/>
          <w:sz w:val="32"/>
          <w:szCs w:val="32"/>
        </w:rPr>
        <w:t>万元，纳入年初预算。</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（7）绩效目标。</w:t>
      </w:r>
    </w:p>
    <w:tbl>
      <w:tblPr>
        <w:tblStyle w:val="4"/>
        <w:tblW w:w="9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0"/>
        <w:gridCol w:w="1020"/>
        <w:gridCol w:w="1020"/>
        <w:gridCol w:w="1240"/>
        <w:gridCol w:w="1240"/>
        <w:gridCol w:w="1960"/>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946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9460" w:type="dxa"/>
            <w:gridSpan w:val="7"/>
            <w:tcBorders>
              <w:top w:val="nil"/>
              <w:left w:val="nil"/>
              <w:bottom w:val="single" w:color="auto"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 xml:space="preserve"> （202</w:t>
            </w:r>
            <w:r>
              <w:rPr>
                <w:rStyle w:val="9"/>
                <w:rFonts w:hint="eastAsia"/>
                <w:lang w:val="en-US" w:eastAsia="zh-CN" w:bidi="ar"/>
              </w:rPr>
              <w:t>5</w:t>
            </w:r>
            <w:r>
              <w:rPr>
                <w:rStyle w:val="9"/>
                <w:lang w:val="en-US" w:eastAsia="zh-CN" w:bidi="ar"/>
              </w:rPr>
              <w:t xml:space="preserve">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060" w:type="dxa"/>
            <w:gridSpan w:val="3"/>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项目名称</w:t>
            </w:r>
          </w:p>
        </w:tc>
        <w:tc>
          <w:tcPr>
            <w:tcW w:w="6400" w:type="dxa"/>
            <w:gridSpan w:val="4"/>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060" w:type="dxa"/>
            <w:gridSpan w:val="3"/>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主管部门   及代码</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103001-寿县人民政府办公室</w:t>
            </w:r>
          </w:p>
        </w:tc>
        <w:tc>
          <w:tcPr>
            <w:tcW w:w="19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实施单位</w:t>
            </w:r>
          </w:p>
        </w:tc>
        <w:tc>
          <w:tcPr>
            <w:tcW w:w="19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060" w:type="dxa"/>
            <w:gridSpan w:val="3"/>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项目来源</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财政资金</w:t>
            </w:r>
          </w:p>
        </w:tc>
        <w:tc>
          <w:tcPr>
            <w:tcW w:w="19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项目期</w:t>
            </w:r>
          </w:p>
        </w:tc>
        <w:tc>
          <w:tcPr>
            <w:tcW w:w="19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w:t>
            </w:r>
            <w:r>
              <w:rPr>
                <w:rFonts w:hint="eastAsia" w:cs="Times New Roman"/>
                <w:i w:val="0"/>
                <w:color w:val="000000"/>
                <w:kern w:val="0"/>
                <w:sz w:val="20"/>
                <w:szCs w:val="20"/>
                <w:u w:val="none"/>
                <w:lang w:val="en-US" w:eastAsia="zh-CN" w:bidi="ar"/>
              </w:rPr>
              <w:t>5</w:t>
            </w:r>
            <w:r>
              <w:rPr>
                <w:rStyle w:val="10"/>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060" w:type="dxa"/>
            <w:gridSpan w:val="3"/>
            <w:tcBorders>
              <w:top w:val="nil"/>
              <w:left w:val="single" w:color="auto"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项目资金</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 xml:space="preserve"> 年度资金总额：</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141.99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060" w:type="dxa"/>
            <w:gridSpan w:val="3"/>
            <w:tcBorders>
              <w:top w:val="nil"/>
              <w:left w:val="single" w:color="auto"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（万元）</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 xml:space="preserve">   其中：财政拨款</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141.99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060" w:type="dxa"/>
            <w:gridSpan w:val="3"/>
            <w:tcBorders>
              <w:top w:val="nil"/>
              <w:left w:val="single" w:color="auto"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 xml:space="preserve">         上年结转</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060" w:type="dxa"/>
            <w:gridSpan w:val="3"/>
            <w:tcBorders>
              <w:top w:val="nil"/>
              <w:left w:val="single" w:color="auto" w:sz="8" w:space="0"/>
              <w:bottom w:val="single" w:color="auto"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 xml:space="preserve">         其他资金</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20" w:type="dxa"/>
            <w:tcBorders>
              <w:top w:val="nil"/>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年度</w:t>
            </w:r>
          </w:p>
        </w:tc>
        <w:tc>
          <w:tcPr>
            <w:tcW w:w="8440" w:type="dxa"/>
            <w:gridSpan w:val="6"/>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（一）负责县政府日常文书的处理、县政府领导同志公务活动的组织安排、县政府各类会议的组织工作；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（二）负责县政府文件、文稿的起草、批办、审核和印发工作；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（三）围绕县政府中心工作开展调查研究，及时准确地向县政府领导和上级政府反映各方面的实际情况，并提供切实可行的建议；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（四）及时收集、筛选、综合整理各类情况，全面准确地为县政府领导、上级政府报送信息；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（五）围绕县政府重大决策和工作部署，进行督促检查，做好领导重要批示件、新闻舆论批评和群众反映的突出问题的查办工作；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（六）负责中、省、市领导的接待工作，负责各省（市、区、县）政府及办公室来客的接待工作；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（七）承办县委、县政府领导和上级业务部门交办的其他工作。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65" w:hRule="atLeast"/>
        </w:trPr>
        <w:tc>
          <w:tcPr>
            <w:tcW w:w="102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目标</w:t>
            </w:r>
          </w:p>
        </w:tc>
        <w:tc>
          <w:tcPr>
            <w:tcW w:w="8440" w:type="dxa"/>
            <w:gridSpan w:val="6"/>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20" w:type="dxa"/>
            <w:tcBorders>
              <w:top w:val="nil"/>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绩</w:t>
            </w:r>
          </w:p>
        </w:tc>
        <w:tc>
          <w:tcPr>
            <w:tcW w:w="1020" w:type="dxa"/>
            <w:tcBorders>
              <w:top w:val="nil"/>
              <w:left w:val="nil"/>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一级</w:t>
            </w:r>
          </w:p>
        </w:tc>
        <w:tc>
          <w:tcPr>
            <w:tcW w:w="2260" w:type="dxa"/>
            <w:gridSpan w:val="2"/>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二级指标</w:t>
            </w:r>
          </w:p>
        </w:tc>
        <w:tc>
          <w:tcPr>
            <w:tcW w:w="1240"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三级指标</w:t>
            </w:r>
          </w:p>
        </w:tc>
        <w:tc>
          <w:tcPr>
            <w:tcW w:w="3920" w:type="dxa"/>
            <w:gridSpan w:val="2"/>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20" w:type="dxa"/>
            <w:tcBorders>
              <w:top w:val="nil"/>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效</w:t>
            </w:r>
          </w:p>
        </w:tc>
        <w:tc>
          <w:tcPr>
            <w:tcW w:w="10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指标</w:t>
            </w:r>
          </w:p>
        </w:tc>
        <w:tc>
          <w:tcPr>
            <w:tcW w:w="2260"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0"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指</w:t>
            </w:r>
          </w:p>
        </w:tc>
        <w:tc>
          <w:tcPr>
            <w:tcW w:w="1020"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产出指标</w:t>
            </w: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数量指标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应急事件</w:t>
            </w:r>
          </w:p>
        </w:tc>
        <w:tc>
          <w:tcPr>
            <w:tcW w:w="3920" w:type="dxa"/>
            <w:gridSpan w:val="2"/>
            <w:tcBorders>
              <w:top w:val="single" w:color="auto"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标</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汉仪中秀体简" w:hAnsi="汉仪中秀体简" w:eastAsia="汉仪中秀体简" w:cs="汉仪中秀体简"/>
                <w:i w:val="0"/>
                <w:color w:val="000000"/>
                <w:sz w:val="20"/>
                <w:szCs w:val="20"/>
                <w:u w:val="none"/>
              </w:rPr>
            </w:pPr>
            <w:r>
              <w:rPr>
                <w:rFonts w:hint="default" w:ascii="汉仪中秀体简" w:hAnsi="汉仪中秀体简" w:eastAsia="汉仪中秀体简" w:cs="汉仪中秀体简"/>
                <w:i w:val="0"/>
                <w:color w:val="000000"/>
                <w:kern w:val="0"/>
                <w:sz w:val="20"/>
                <w:szCs w:val="20"/>
                <w:u w:val="none"/>
                <w:lang w:val="en-US" w:eastAsia="zh-CN" w:bidi="ar"/>
              </w:rPr>
              <w:t>视频会议</w:t>
            </w:r>
          </w:p>
        </w:tc>
        <w:tc>
          <w:tcPr>
            <w:tcW w:w="3920" w:type="dxa"/>
            <w:gridSpan w:val="2"/>
            <w:tcBorders>
              <w:top w:val="single" w:color="auto"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质量指标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财政资金使用效率</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Style w:val="11"/>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成本指标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督办督查</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Style w:val="11"/>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效益指标</w:t>
            </w: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经济效益指标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乡镇调研</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Style w:val="11"/>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社会效益指标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信息上报</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Style w:val="11"/>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生态效益指标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指标1：</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Style w:val="11"/>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Fonts w:hint="default" w:ascii="汉仪中秀体简" w:hAnsi="汉仪中秀体简" w:eastAsia="汉仪中秀体简" w:cs="汉仪中秀体简"/>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0"/>
                <w:lang w:val="en-US" w:eastAsia="zh-CN" w:bidi="ar"/>
              </w:rPr>
              <w:t>可持续影响指标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指标1：</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0"/>
                <w:lang w:val="en-US" w:eastAsia="zh-CN" w:bidi="ar"/>
              </w:rPr>
              <w:t>满意度指标</w:t>
            </w: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0"/>
                <w:lang w:val="en-US" w:eastAsia="zh-CN" w:bidi="ar"/>
              </w:rPr>
              <w:t>满意度指标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w:t>
            </w:r>
          </w:p>
        </w:tc>
        <w:tc>
          <w:tcPr>
            <w:tcW w:w="3920" w:type="dxa"/>
            <w:gridSpan w:val="2"/>
            <w:tcBorders>
              <w:top w:val="nil"/>
              <w:left w:val="nil"/>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bl>
    <w:p>
      <w:pPr>
        <w:topLinePunct/>
        <w:adjustRightInd w:val="0"/>
        <w:snapToGrid w:val="0"/>
        <w:spacing w:line="580" w:lineRule="exact"/>
        <w:ind w:firstLine="640" w:firstLineChars="200"/>
        <w:rPr>
          <w:rFonts w:hint="eastAsia" w:ascii="仿宋_GB2312" w:hAnsi="TimesNewRoman" w:eastAsia="仿宋_GB2312" w:cs="TimesNewRoman"/>
          <w:sz w:val="32"/>
          <w:szCs w:val="32"/>
        </w:rPr>
      </w:pP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pPr>
        <w:topLinePunct/>
        <w:adjustRightInd w:val="0"/>
        <w:snapToGrid w:val="0"/>
        <w:spacing w:line="560" w:lineRule="exact"/>
        <w:ind w:firstLine="640" w:firstLineChars="200"/>
        <w:rPr>
          <w:rFonts w:hint="eastAsia" w:ascii="仿宋_GB2312" w:hAnsi="TimesNewRoman" w:eastAsia="仿宋_GB2312" w:cs="TimesNewRoman"/>
          <w:b/>
          <w:sz w:val="32"/>
          <w:szCs w:val="32"/>
        </w:rPr>
      </w:pPr>
      <w:r>
        <w:rPr>
          <w:rFonts w:hint="eastAsia" w:ascii="仿宋_GB2312" w:hAnsi="TimesNewRoman" w:eastAsia="仿宋_GB2312" w:cs="TimesNewRoman"/>
          <w:sz w:val="32"/>
          <w:szCs w:val="32"/>
        </w:rPr>
        <w:t>【如本部门（单位）为行政单位或参照公务员法管理的事业单位说明如下】</w:t>
      </w:r>
    </w:p>
    <w:p>
      <w:pPr>
        <w:spacing w:line="60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政府办</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年机关运行经费财政拨款预算</w:t>
      </w:r>
      <w:r>
        <w:rPr>
          <w:rFonts w:hint="eastAsia" w:ascii="仿宋_GB2312" w:hAnsi="TimesNewRoman" w:eastAsia="仿宋_GB2312" w:cs="TimesNewRoman"/>
          <w:sz w:val="32"/>
          <w:szCs w:val="32"/>
          <w:lang w:val="en-US" w:eastAsia="zh-CN"/>
        </w:rPr>
        <w:t>242.15</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28.52</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10.05</w:t>
      </w:r>
      <w:r>
        <w:rPr>
          <w:rFonts w:hint="eastAsia" w:ascii="仿宋_GB2312" w:hAnsi="TimesNewRoman" w:eastAsia="仿宋_GB2312" w:cs="TimesNewRoman"/>
          <w:sz w:val="32"/>
          <w:szCs w:val="32"/>
        </w:rPr>
        <w:t>%，下降主要原因是</w:t>
      </w:r>
      <w:r>
        <w:rPr>
          <w:rFonts w:hint="eastAsia" w:ascii="仿宋_GB2312" w:hAnsi="仿宋" w:eastAsia="仿宋_GB2312"/>
          <w:sz w:val="32"/>
          <w:szCs w:val="32"/>
        </w:rPr>
        <w:t>按照中央、省市县各级政府要求压缩行政开支。</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pPr>
        <w:topLinePunct/>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寿县</w:t>
      </w:r>
      <w:r>
        <w:rPr>
          <w:rFonts w:hint="eastAsia" w:ascii="仿宋_GB2312" w:hAnsi="仿宋" w:eastAsia="仿宋_GB2312"/>
          <w:sz w:val="32"/>
          <w:szCs w:val="32"/>
          <w:lang w:eastAsia="zh-CN"/>
        </w:rPr>
        <w:t>政府办</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年政府采购预算总额</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万元。其中：政府采购货物预算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万元，政府采购服务预算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截至202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年12月31日，</w:t>
      </w: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政府办</w:t>
      </w:r>
      <w:r>
        <w:rPr>
          <w:rFonts w:hint="eastAsia" w:ascii="仿宋_GB2312" w:hAnsi="TimesNewRoman" w:eastAsia="仿宋_GB2312" w:cs="TimesNewRoman"/>
          <w:sz w:val="32"/>
          <w:szCs w:val="32"/>
        </w:rPr>
        <w:t>共有车辆</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辆，其中：副处（县）级及以上领导用车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辆、主要领导干部用车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辆、机要通信用车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辆、应急保障用车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辆、执法执勤用车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辆、特种专业技术用车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辆、离退休干部用车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辆、其他用车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辆（只列报车辆不为0的车型）。单价50万元以上的通用设备台（套），单价100万元以上的专用设备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年部门</w:t>
      </w:r>
      <w:r>
        <w:rPr>
          <w:rFonts w:hint="eastAsia" w:ascii="仿宋_GB2312" w:hAnsi="TimesNewRoman" w:eastAsia="仿宋_GB2312" w:cs="TimesNewRoman"/>
          <w:sz w:val="32"/>
          <w:szCs w:val="32"/>
          <w:u w:val="single"/>
        </w:rPr>
        <w:t>（单位）</w:t>
      </w:r>
      <w:r>
        <w:rPr>
          <w:rFonts w:hint="eastAsia" w:ascii="仿宋_GB2312" w:hAnsi="TimesNewRoman" w:eastAsia="仿宋_GB2312" w:cs="TimesNewRoman"/>
          <w:sz w:val="32"/>
          <w:szCs w:val="32"/>
        </w:rPr>
        <w:t>预算安排购置公务用车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万元，其中：副处（县）级及以上领导用车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辆、主要领导干部用车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辆、机要通信用车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辆、应急保障用车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辆、执法执勤用车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辆、特种专业技术用车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辆、离退休干部用车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辆、其他用车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辆（只列报车辆不为0的车型）；安排购置单价50万元以上的通用设备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万元；安排购置单价100万元以上专用设备*台（套），购置费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pPr>
        <w:adjustRightInd w:val="0"/>
        <w:snapToGrid w:val="0"/>
        <w:spacing w:line="600" w:lineRule="exact"/>
        <w:ind w:firstLine="640" w:firstLineChars="200"/>
        <w:rPr>
          <w:rFonts w:hint="eastAsia" w:ascii="仿宋" w:hAnsi="仿宋" w:eastAsia="仿宋"/>
          <w:sz w:val="32"/>
          <w:szCs w:val="32"/>
        </w:rPr>
      </w:pPr>
      <w:r>
        <w:rPr>
          <w:rFonts w:hint="eastAsia" w:ascii="仿宋_GB2312" w:hAnsi="楷体" w:eastAsia="仿宋_GB2312"/>
          <w:sz w:val="32"/>
          <w:szCs w:val="32"/>
        </w:rPr>
        <w:t xml:space="preserve"> </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 w:hAnsi="仿宋" w:eastAsia="仿宋"/>
          <w:sz w:val="32"/>
          <w:szCs w:val="32"/>
        </w:rPr>
        <w:t>寿县人民政府办公室</w:t>
      </w:r>
      <w:r>
        <w:rPr>
          <w:rFonts w:hint="eastAsia" w:ascii="仿宋_GB2312" w:hAnsi="仿宋" w:eastAsia="仿宋_GB2312"/>
          <w:sz w:val="32"/>
          <w:szCs w:val="32"/>
        </w:rPr>
        <w:t>1个项目实行了绩效目标管理，涉及一般公共预算当年财政拨款</w:t>
      </w:r>
      <w:r>
        <w:rPr>
          <w:rFonts w:hint="eastAsia" w:ascii="仿宋_GB2312" w:hAnsi="仿宋" w:eastAsia="仿宋_GB2312"/>
          <w:sz w:val="32"/>
          <w:szCs w:val="32"/>
          <w:lang w:val="en-US" w:eastAsia="zh-CN"/>
        </w:rPr>
        <w:t>141.99</w:t>
      </w:r>
      <w:r>
        <w:rPr>
          <w:rFonts w:hint="eastAsia" w:ascii="仿宋_GB2312" w:hAnsi="仿宋" w:eastAsia="仿宋_GB2312"/>
          <w:sz w:val="32"/>
          <w:szCs w:val="32"/>
        </w:rPr>
        <w:t>万元。</w:t>
      </w:r>
      <w:r>
        <w:rPr>
          <w:rFonts w:hint="eastAsia" w:ascii="仿宋" w:hAnsi="仿宋" w:eastAsia="仿宋"/>
          <w:sz w:val="32"/>
          <w:szCs w:val="32"/>
        </w:rPr>
        <w:t>绩效目标实行部门自评。</w:t>
      </w:r>
    </w:p>
    <w:p>
      <w:pPr>
        <w:keepNext w:val="0"/>
        <w:keepLines w:val="0"/>
        <w:pageBreakBefore w:val="0"/>
        <w:kinsoku/>
        <w:overflowPunct/>
        <w:topLinePunct w:val="0"/>
        <w:autoSpaceDE/>
        <w:autoSpaceDN/>
        <w:bidi w:val="0"/>
        <w:spacing w:line="560" w:lineRule="exact"/>
        <w:rPr>
          <w:rFonts w:hint="eastAsia" w:ascii="TimesNewRoman" w:hAnsi="TimesNewRoman" w:eastAsia="黑体" w:cs="TimesNewRoman"/>
          <w:szCs w:val="32"/>
          <w:lang w:eastAsia="zh-CN"/>
        </w:rPr>
      </w:pPr>
      <w:r>
        <w:rPr>
          <w:rFonts w:hint="eastAsia" w:ascii="TimesNewRoman" w:hAnsi="TimesNewRoman" w:eastAsia="黑体" w:cs="TimesNewRoman"/>
          <w:szCs w:val="32"/>
          <w:lang w:eastAsia="zh-CN" w:bidi="ar"/>
        </w:rPr>
        <w:t>附件</w:t>
      </w:r>
      <w:r>
        <w:rPr>
          <w:rFonts w:hint="eastAsia" w:ascii="TimesNewRoman" w:hAnsi="TimesNewRoman" w:eastAsia="黑体" w:cs="TimesNewRoman"/>
          <w:szCs w:val="32"/>
          <w:lang w:val="en-US" w:eastAsia="zh-CN" w:bidi="ar"/>
        </w:rPr>
        <w:t>2</w:t>
      </w:r>
    </w:p>
    <w:p>
      <w:pPr>
        <w:keepNext w:val="0"/>
        <w:keepLines w:val="0"/>
        <w:pageBreakBefore w:val="0"/>
        <w:kinsoku/>
        <w:overflowPunct/>
        <w:topLinePunct w:val="0"/>
        <w:autoSpaceDE/>
        <w:autoSpaceDN/>
        <w:bidi w:val="0"/>
        <w:spacing w:line="560" w:lineRule="exact"/>
        <w:rPr>
          <w:rFonts w:hint="default" w:ascii="TimesNewRoman" w:hAnsi="TimesNewRoman" w:eastAsia="华文中宋" w:cs="TimesNewRoman"/>
          <w:b/>
          <w:szCs w:val="32"/>
        </w:rPr>
      </w:pPr>
    </w:p>
    <w:p>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sz w:val="36"/>
          <w:szCs w:val="36"/>
        </w:rPr>
      </w:pPr>
      <w:r>
        <w:rPr>
          <w:rFonts w:hint="eastAsia" w:ascii="TimesNewRoman" w:hAnsi="TimesNewRoman" w:eastAsia="华文中宋" w:cs="TimesNewRoman"/>
          <w:b/>
          <w:sz w:val="36"/>
          <w:szCs w:val="36"/>
          <w:lang w:eastAsia="zh-CN"/>
        </w:rPr>
        <w:t>寿县政府办202</w:t>
      </w:r>
      <w:r>
        <w:rPr>
          <w:rFonts w:hint="eastAsia" w:ascii="TimesNewRoman" w:hAnsi="TimesNewRoman" w:eastAsia="华文中宋" w:cs="TimesNewRoman"/>
          <w:b/>
          <w:sz w:val="36"/>
          <w:szCs w:val="36"/>
          <w:lang w:val="en-US" w:eastAsia="zh-CN"/>
        </w:rPr>
        <w:t>5</w:t>
      </w:r>
      <w:r>
        <w:rPr>
          <w:rFonts w:hint="default" w:ascii="TimesNewRoman" w:hAnsi="TimesNewRoman" w:eastAsia="华文中宋" w:cs="TimesNewRoman"/>
          <w:b/>
          <w:sz w:val="36"/>
          <w:szCs w:val="36"/>
        </w:rPr>
        <w:t>年一般公共</w:t>
      </w:r>
    </w:p>
    <w:p>
      <w:pPr>
        <w:keepNext w:val="0"/>
        <w:keepLines w:val="0"/>
        <w:pageBreakBefore w:val="0"/>
        <w:kinsoku/>
        <w:overflowPunct/>
        <w:topLinePunct w:val="0"/>
        <w:autoSpaceDE/>
        <w:autoSpaceDN/>
        <w:bidi w:val="0"/>
        <w:spacing w:line="560" w:lineRule="exact"/>
        <w:jc w:val="center"/>
        <w:outlineLvl w:val="0"/>
        <w:rPr>
          <w:rFonts w:hint="default" w:ascii="TimesNewRoman" w:hAnsi="TimesNewRoman" w:eastAsia="楷体_GB2312" w:cs="TimesNewRoman"/>
          <w:szCs w:val="32"/>
        </w:rPr>
      </w:pPr>
      <w:r>
        <w:rPr>
          <w:rFonts w:hint="default" w:ascii="TimesNewRoman" w:hAnsi="TimesNewRoman" w:eastAsia="华文中宋" w:cs="TimesNewRoman"/>
          <w:b/>
          <w:sz w:val="36"/>
          <w:szCs w:val="36"/>
        </w:rPr>
        <w:t>预算“三公”经费预算（</w:t>
      </w:r>
    </w:p>
    <w:p>
      <w:pPr>
        <w:keepNext w:val="0"/>
        <w:keepLines w:val="0"/>
        <w:pageBreakBefore w:val="0"/>
        <w:kinsoku/>
        <w:overflowPunct/>
        <w:topLinePunct w:val="0"/>
        <w:autoSpaceDE/>
        <w:autoSpaceDN/>
        <w:bidi w:val="0"/>
        <w:spacing w:line="560" w:lineRule="exact"/>
        <w:jc w:val="center"/>
        <w:outlineLvl w:val="0"/>
        <w:rPr>
          <w:rFonts w:hint="default" w:ascii="TimesNewRoman" w:hAnsi="TimesNewRoman" w:eastAsia="楷体_GB2312" w:cs="TimesNewRoman"/>
          <w:szCs w:val="32"/>
        </w:rPr>
      </w:pPr>
    </w:p>
    <w:p>
      <w:pPr>
        <w:keepNext w:val="0"/>
        <w:keepLines w:val="0"/>
        <w:pageBreakBefore w:val="0"/>
        <w:kinsoku/>
        <w:overflowPunct/>
        <w:topLinePunct w:val="0"/>
        <w:autoSpaceDE/>
        <w:autoSpaceDN/>
        <w:bidi w:val="0"/>
        <w:spacing w:line="560" w:lineRule="exact"/>
        <w:rPr>
          <w:rFonts w:hint="default" w:ascii="TimesNewRoman" w:hAnsi="TimesNewRoman" w:cs="TimesNewRoman"/>
          <w:sz w:val="6"/>
          <w:szCs w:val="32"/>
        </w:rPr>
      </w:pPr>
    </w:p>
    <w:p>
      <w:pPr>
        <w:keepNext w:val="0"/>
        <w:keepLines w:val="0"/>
        <w:pageBreakBefore w:val="0"/>
        <w:kinsoku/>
        <w:overflowPunct/>
        <w:topLinePunct w:val="0"/>
        <w:autoSpaceDE/>
        <w:autoSpaceDN/>
        <w:bidi w:val="0"/>
        <w:spacing w:line="560" w:lineRule="exact"/>
        <w:ind w:firstLine="420" w:firstLineChars="200"/>
        <w:outlineLvl w:val="0"/>
        <w:rPr>
          <w:rFonts w:hint="default" w:ascii="TimesNewRoman" w:hAnsi="TimesNewRoman" w:eastAsia="黑体" w:cs="TimesNewRoman"/>
          <w:szCs w:val="32"/>
        </w:rPr>
      </w:pPr>
      <w:r>
        <w:rPr>
          <w:rFonts w:hint="default" w:ascii="TimesNewRoman" w:hAnsi="TimesNewRoman" w:eastAsia="黑体" w:cs="TimesNewRoman"/>
          <w:szCs w:val="32"/>
        </w:rPr>
        <w:t>一、</w:t>
      </w:r>
      <w:r>
        <w:rPr>
          <w:rFonts w:hint="eastAsia" w:ascii="TimesNewRoman" w:hAnsi="TimesNewRoman" w:eastAsia="黑体" w:cs="TimesNewRoman"/>
          <w:szCs w:val="32"/>
          <w:lang w:eastAsia="zh-CN"/>
        </w:rPr>
        <w:t>202</w:t>
      </w:r>
      <w:r>
        <w:rPr>
          <w:rFonts w:hint="eastAsia" w:ascii="TimesNewRoman" w:hAnsi="TimesNewRoman" w:eastAsia="黑体" w:cs="TimesNewRoman"/>
          <w:szCs w:val="32"/>
          <w:lang w:val="en-US" w:eastAsia="zh-CN"/>
        </w:rPr>
        <w:t>5</w:t>
      </w:r>
      <w:r>
        <w:rPr>
          <w:rFonts w:hint="default" w:ascii="TimesNewRoman" w:hAnsi="TimesNewRoman" w:eastAsia="黑体" w:cs="TimesNewRoman"/>
          <w:szCs w:val="32"/>
        </w:rPr>
        <w:t>年一般公共预算“三公”经费支出预算表</w:t>
      </w:r>
    </w:p>
    <w:p>
      <w:pPr>
        <w:keepNext w:val="0"/>
        <w:keepLines w:val="0"/>
        <w:pageBreakBefore w:val="0"/>
        <w:kinsoku/>
        <w:overflowPunct/>
        <w:topLinePunct w:val="0"/>
        <w:autoSpaceDE/>
        <w:autoSpaceDN/>
        <w:bidi w:val="0"/>
        <w:adjustRightInd w:val="0"/>
        <w:snapToGrid w:val="0"/>
        <w:spacing w:line="560" w:lineRule="exact"/>
        <w:jc w:val="both"/>
        <w:rPr>
          <w:rStyle w:val="6"/>
          <w:rFonts w:hint="default" w:ascii="TimesNewRoman" w:hAnsi="TimesNewRoman" w:cs="TimesNewRoman"/>
          <w:b w:val="0"/>
          <w:bCs w:val="0"/>
          <w:szCs w:val="21"/>
        </w:rPr>
      </w:pPr>
      <w:r>
        <w:rPr>
          <w:rStyle w:val="6"/>
          <w:rFonts w:hint="default" w:ascii="TimesNewRoman" w:hAnsi="TimesNewRoman" w:cs="TimesNewRoman"/>
          <w:b w:val="0"/>
          <w:bCs w:val="0"/>
          <w:szCs w:val="21"/>
        </w:rPr>
        <w:t xml:space="preserve">   </w:t>
      </w:r>
    </w:p>
    <w:tbl>
      <w:tblPr>
        <w:tblStyle w:val="4"/>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80"/>
        <w:gridCol w:w="152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3780"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部门公开表12</w:t>
            </w:r>
          </w:p>
        </w:tc>
        <w:tc>
          <w:tcPr>
            <w:tcW w:w="1520" w:type="dxa"/>
            <w:tcBorders>
              <w:top w:val="nil"/>
              <w:left w:val="nil"/>
              <w:bottom w:val="nil"/>
              <w:right w:val="nil"/>
            </w:tcBorders>
            <w:noWrap/>
            <w:vAlign w:val="center"/>
          </w:tcPr>
          <w:p>
            <w:pPr>
              <w:rPr>
                <w:rFonts w:hint="eastAsia" w:ascii="宋体" w:hAnsi="宋体" w:eastAsia="宋体" w:cs="宋体"/>
                <w:i w:val="0"/>
                <w:color w:val="000000"/>
                <w:sz w:val="20"/>
                <w:szCs w:val="20"/>
                <w:u w:val="none"/>
              </w:rPr>
            </w:pPr>
          </w:p>
        </w:tc>
        <w:tc>
          <w:tcPr>
            <w:tcW w:w="2260" w:type="dxa"/>
            <w:tcBorders>
              <w:top w:val="nil"/>
              <w:left w:val="nil"/>
              <w:bottom w:val="nil"/>
              <w:right w:val="nil"/>
            </w:tcBorders>
            <w:noWrap/>
            <w:vAlign w:val="bottom"/>
          </w:tcPr>
          <w:p>
            <w:pPr>
              <w:rPr>
                <w:rFonts w:hint="eastAsia" w:ascii="Calibri" w:hAnsi="Calibri" w:cs="Calibri"/>
                <w:i w:val="0"/>
                <w:color w:val="000000"/>
                <w:sz w:val="22"/>
                <w:szCs w:val="22"/>
                <w:u w:val="none"/>
              </w:rPr>
            </w:pPr>
          </w:p>
        </w:tc>
        <w:tc>
          <w:tcPr>
            <w:tcW w:w="2260" w:type="dxa"/>
            <w:tcBorders>
              <w:top w:val="nil"/>
              <w:left w:val="nil"/>
              <w:bottom w:val="nil"/>
              <w:right w:val="nil"/>
            </w:tcBorders>
            <w:noWrap/>
            <w:vAlign w:val="bottom"/>
          </w:tcPr>
          <w:p>
            <w:pPr>
              <w:rPr>
                <w:rFonts w:hint="default" w:ascii="Calibri" w:hAnsi="Calibri"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9820"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2025年部门财政拨款安排三公经费预算支出表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300" w:type="dxa"/>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部门名称：103-寿县人民政府办公室</w:t>
            </w:r>
          </w:p>
        </w:tc>
        <w:tc>
          <w:tcPr>
            <w:tcW w:w="2260" w:type="dxa"/>
            <w:tcBorders>
              <w:top w:val="nil"/>
              <w:left w:val="nil"/>
              <w:bottom w:val="nil"/>
              <w:right w:val="nil"/>
            </w:tcBorders>
            <w:noWrap/>
            <w:vAlign w:val="center"/>
          </w:tcPr>
          <w:p>
            <w:pPr>
              <w:rPr>
                <w:rFonts w:hint="eastAsia" w:ascii="宋体" w:hAnsi="宋体" w:eastAsia="宋体" w:cs="宋体"/>
                <w:i w:val="0"/>
                <w:color w:val="000000"/>
                <w:sz w:val="20"/>
                <w:szCs w:val="20"/>
                <w:u w:val="none"/>
              </w:rPr>
            </w:pPr>
          </w:p>
        </w:tc>
        <w:tc>
          <w:tcPr>
            <w:tcW w:w="2260"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3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520" w:type="dxa"/>
            <w:tcBorders>
              <w:top w:val="single" w:color="000000" w:sz="4" w:space="0"/>
              <w:left w:val="nil"/>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本年预算数</w:t>
            </w:r>
          </w:p>
        </w:tc>
        <w:tc>
          <w:tcPr>
            <w:tcW w:w="2260" w:type="dxa"/>
            <w:tcBorders>
              <w:top w:val="single" w:color="000000" w:sz="4" w:space="0"/>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上年预算数</w:t>
            </w:r>
          </w:p>
        </w:tc>
        <w:tc>
          <w:tcPr>
            <w:tcW w:w="2260" w:type="dxa"/>
            <w:tcBorders>
              <w:top w:val="single" w:color="000000" w:sz="4" w:space="0"/>
              <w:left w:val="nil"/>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378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20"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w:t>
            </w:r>
          </w:p>
        </w:tc>
        <w:tc>
          <w:tcPr>
            <w:tcW w:w="2260"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60"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378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1、因公出国(境)费</w:t>
            </w:r>
          </w:p>
        </w:tc>
        <w:tc>
          <w:tcPr>
            <w:tcW w:w="152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378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2、公务接待费</w:t>
            </w:r>
          </w:p>
        </w:tc>
        <w:tc>
          <w:tcPr>
            <w:tcW w:w="152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32.00</w:t>
            </w:r>
          </w:p>
        </w:tc>
        <w:tc>
          <w:tcPr>
            <w:tcW w:w="22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378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3、公务用车费</w:t>
            </w:r>
          </w:p>
        </w:tc>
        <w:tc>
          <w:tcPr>
            <w:tcW w:w="152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378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其中：（1）公务用车运行维护费</w:t>
            </w:r>
          </w:p>
        </w:tc>
        <w:tc>
          <w:tcPr>
            <w:tcW w:w="152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378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（2）公务用车购置费</w:t>
            </w:r>
          </w:p>
        </w:tc>
        <w:tc>
          <w:tcPr>
            <w:tcW w:w="152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22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bl>
    <w:p>
      <w:pPr>
        <w:keepNext w:val="0"/>
        <w:keepLines w:val="0"/>
        <w:pageBreakBefore w:val="0"/>
        <w:kinsoku/>
        <w:wordWrap w:val="0"/>
        <w:overflowPunct/>
        <w:topLinePunct w:val="0"/>
        <w:autoSpaceDE/>
        <w:autoSpaceDN/>
        <w:bidi w:val="0"/>
        <w:adjustRightInd w:val="0"/>
        <w:snapToGrid w:val="0"/>
        <w:spacing w:line="560" w:lineRule="exact"/>
        <w:ind w:firstLine="411" w:firstLineChars="196"/>
        <w:jc w:val="right"/>
        <w:rPr>
          <w:rStyle w:val="6"/>
          <w:rFonts w:hint="default" w:ascii="TimesNewRoman" w:hAnsi="TimesNewRoman" w:cs="TimesNewRoman"/>
          <w:b w:val="0"/>
          <w:bCs w:val="0"/>
          <w:sz w:val="28"/>
          <w:szCs w:val="28"/>
        </w:rPr>
      </w:pPr>
      <w:r>
        <w:rPr>
          <w:rStyle w:val="6"/>
          <w:rFonts w:hint="default" w:ascii="TimesNewRoman" w:hAnsi="TimesNewRoman" w:cs="TimesNewRoman"/>
          <w:b w:val="0"/>
          <w:bCs w:val="0"/>
          <w:szCs w:val="21"/>
        </w:rPr>
        <w:t xml:space="preserve">      </w:t>
      </w:r>
      <w:r>
        <w:rPr>
          <w:rStyle w:val="6"/>
          <w:rFonts w:hint="default" w:ascii="TimesNewRoman" w:hAnsi="TimesNewRoman" w:cs="TimesNewRoman"/>
          <w:b w:val="0"/>
          <w:bCs w:val="0"/>
          <w:sz w:val="28"/>
          <w:szCs w:val="28"/>
        </w:rPr>
        <w:t>单位：万元</w:t>
      </w:r>
    </w:p>
    <w:p>
      <w:pPr>
        <w:keepNext w:val="0"/>
        <w:keepLines w:val="0"/>
        <w:pageBreakBefore w:val="0"/>
        <w:kinsoku/>
        <w:overflowPunct/>
        <w:topLinePunct w:val="0"/>
        <w:autoSpaceDE/>
        <w:autoSpaceDN/>
        <w:bidi w:val="0"/>
        <w:spacing w:line="560" w:lineRule="exact"/>
        <w:outlineLvl w:val="0"/>
        <w:rPr>
          <w:rFonts w:hint="default" w:ascii="TimesNewRoman" w:hAnsi="TimesNewRoman" w:eastAsia="黑体" w:cs="TimesNewRoman"/>
          <w:szCs w:val="32"/>
        </w:rPr>
      </w:pPr>
    </w:p>
    <w:p>
      <w:pPr>
        <w:keepNext w:val="0"/>
        <w:keepLines w:val="0"/>
        <w:pageBreakBefore w:val="0"/>
        <w:kinsoku/>
        <w:overflowPunct/>
        <w:topLinePunct w:val="0"/>
        <w:autoSpaceDE/>
        <w:autoSpaceDN/>
        <w:bidi w:val="0"/>
        <w:spacing w:line="560" w:lineRule="exact"/>
        <w:ind w:firstLine="420" w:firstLineChars="200"/>
        <w:outlineLvl w:val="0"/>
        <w:rPr>
          <w:rFonts w:hint="default" w:ascii="TimesNewRoman" w:hAnsi="TimesNewRoman" w:eastAsia="黑体" w:cs="TimesNewRoman"/>
          <w:spacing w:val="-6"/>
          <w:szCs w:val="32"/>
        </w:rPr>
      </w:pPr>
      <w:r>
        <w:rPr>
          <w:rFonts w:hint="default" w:ascii="TimesNewRoman" w:hAnsi="TimesNewRoman" w:eastAsia="黑体" w:cs="TimesNewRoman"/>
          <w:szCs w:val="32"/>
        </w:rPr>
        <w:t>二、</w:t>
      </w:r>
      <w:r>
        <w:rPr>
          <w:rFonts w:hint="eastAsia" w:ascii="TimesNewRoman" w:hAnsi="TimesNewRoman" w:eastAsia="黑体" w:cs="TimesNewRoman"/>
          <w:spacing w:val="-6"/>
          <w:szCs w:val="32"/>
          <w:lang w:eastAsia="zh-CN"/>
        </w:rPr>
        <w:t>202</w:t>
      </w:r>
      <w:r>
        <w:rPr>
          <w:rFonts w:hint="eastAsia" w:ascii="TimesNewRoman" w:hAnsi="TimesNewRoman" w:eastAsia="黑体" w:cs="TimesNewRoman"/>
          <w:spacing w:val="-6"/>
          <w:szCs w:val="32"/>
          <w:lang w:val="en-US" w:eastAsia="zh-CN"/>
        </w:rPr>
        <w:t>5</w:t>
      </w:r>
      <w:r>
        <w:rPr>
          <w:rFonts w:hint="default" w:ascii="TimesNewRoman" w:hAnsi="TimesNewRoman" w:eastAsia="黑体" w:cs="TimesNewRoman"/>
          <w:spacing w:val="-6"/>
          <w:szCs w:val="32"/>
        </w:rPr>
        <w:t>年一般公共预算“三公”经费支出预算情况说明</w:t>
      </w:r>
    </w:p>
    <w:p>
      <w:pPr>
        <w:pStyle w:val="3"/>
        <w:numPr>
          <w:ilvl w:val="0"/>
          <w:numId w:val="2"/>
        </w:numPr>
        <w:spacing w:before="0" w:beforeAutospacing="0" w:after="0" w:afterAutospacing="0" w:line="520" w:lineRule="exact"/>
        <w:ind w:firstLine="360" w:firstLineChars="150"/>
        <w:jc w:val="both"/>
        <w:rPr>
          <w:rFonts w:hint="eastAsia" w:ascii="仿宋" w:hAnsi="仿宋" w:eastAsia="仿宋"/>
          <w:color w:val="000000"/>
          <w:sz w:val="32"/>
          <w:szCs w:val="32"/>
        </w:rPr>
      </w:pPr>
      <w:r>
        <w:rPr>
          <w:rFonts w:hint="eastAsia" w:ascii="TimesNewRoman" w:hAnsi="TimesNewRoman" w:cs="TimesNewRoman"/>
          <w:szCs w:val="32"/>
          <w:lang w:eastAsia="zh-CN"/>
        </w:rPr>
        <w:t>寿县政府办202</w:t>
      </w:r>
      <w:r>
        <w:rPr>
          <w:rFonts w:hint="eastAsia" w:ascii="TimesNewRoman" w:hAnsi="TimesNewRoman" w:cs="TimesNewRoman"/>
          <w:szCs w:val="32"/>
          <w:lang w:val="en-US" w:eastAsia="zh-CN"/>
        </w:rPr>
        <w:t>5</w:t>
      </w:r>
      <w:r>
        <w:rPr>
          <w:rFonts w:hint="default" w:ascii="TimesNewRoman" w:hAnsi="TimesNewRoman" w:cs="TimesNewRoman"/>
          <w:szCs w:val="32"/>
        </w:rPr>
        <w:t>年一般公共预算“三公”经费支出预算为</w:t>
      </w:r>
      <w:r>
        <w:rPr>
          <w:rFonts w:hint="eastAsia" w:ascii="TimesNewRoman" w:hAnsi="TimesNewRoman" w:cs="TimesNewRoman"/>
          <w:szCs w:val="32"/>
          <w:lang w:val="en-US" w:eastAsia="zh-CN"/>
        </w:rPr>
        <w:t>32</w:t>
      </w:r>
      <w:r>
        <w:rPr>
          <w:rFonts w:hint="default" w:ascii="TimesNewRoman" w:hAnsi="TimesNewRoman" w:cs="TimesNewRoman"/>
          <w:szCs w:val="32"/>
        </w:rPr>
        <w:t>万元，比</w:t>
      </w:r>
      <w:r>
        <w:rPr>
          <w:rFonts w:hint="eastAsia" w:ascii="TimesNewRoman" w:hAnsi="TimesNewRoman" w:cs="TimesNewRoman"/>
          <w:szCs w:val="32"/>
          <w:lang w:eastAsia="zh-CN"/>
        </w:rPr>
        <w:t>202</w:t>
      </w:r>
      <w:r>
        <w:rPr>
          <w:rFonts w:hint="eastAsia" w:ascii="TimesNewRoman" w:hAnsi="TimesNewRoman" w:cs="TimesNewRoman"/>
          <w:szCs w:val="32"/>
          <w:lang w:val="en-US" w:eastAsia="zh-CN"/>
        </w:rPr>
        <w:t>4</w:t>
      </w:r>
      <w:r>
        <w:rPr>
          <w:rFonts w:hint="default" w:ascii="TimesNewRoman" w:hAnsi="TimesNewRoman" w:cs="TimesNewRoman"/>
          <w:szCs w:val="32"/>
        </w:rPr>
        <w:t>年预算减少</w:t>
      </w:r>
      <w:r>
        <w:rPr>
          <w:rFonts w:hint="eastAsia" w:ascii="TimesNewRoman" w:hAnsi="TimesNewRoman" w:cs="TimesNewRoman"/>
          <w:szCs w:val="32"/>
          <w:lang w:val="en-US" w:eastAsia="zh-CN"/>
        </w:rPr>
        <w:t>3</w:t>
      </w:r>
      <w:r>
        <w:rPr>
          <w:rFonts w:hint="default" w:ascii="TimesNewRoman" w:hAnsi="TimesNewRoman" w:cs="TimesNewRoman"/>
          <w:szCs w:val="32"/>
        </w:rPr>
        <w:t>万元，下降</w:t>
      </w:r>
      <w:r>
        <w:rPr>
          <w:rFonts w:hint="eastAsia" w:ascii="TimesNewRoman" w:hAnsi="TimesNewRoman" w:cs="TimesNewRoman"/>
          <w:szCs w:val="32"/>
          <w:lang w:val="en-US" w:eastAsia="zh-CN"/>
        </w:rPr>
        <w:t>0.8</w:t>
      </w:r>
      <w:r>
        <w:rPr>
          <w:rFonts w:hint="default" w:ascii="TimesNewRoman" w:hAnsi="TimesNewRoman" w:cs="TimesNewRoman"/>
          <w:szCs w:val="32"/>
        </w:rPr>
        <w:t>%。其中：因公出国（境）费支出预算为</w:t>
      </w:r>
      <w:r>
        <w:rPr>
          <w:rFonts w:hint="eastAsia" w:ascii="TimesNewRoman" w:hAnsi="TimesNewRoman" w:cs="TimesNewRoman"/>
          <w:szCs w:val="32"/>
          <w:lang w:val="en-US" w:eastAsia="zh-CN"/>
        </w:rPr>
        <w:t>0</w:t>
      </w:r>
      <w:r>
        <w:rPr>
          <w:rFonts w:hint="default" w:ascii="TimesNewRoman" w:hAnsi="TimesNewRoman" w:cs="TimesNewRoman"/>
          <w:szCs w:val="32"/>
        </w:rPr>
        <w:t>万元，公务接待费支出预算为</w:t>
      </w:r>
      <w:r>
        <w:rPr>
          <w:rFonts w:hint="eastAsia" w:ascii="TimesNewRoman" w:hAnsi="TimesNewRoman" w:cs="TimesNewRoman"/>
          <w:szCs w:val="32"/>
          <w:lang w:val="en-US" w:eastAsia="zh-CN"/>
        </w:rPr>
        <w:t>32</w:t>
      </w:r>
      <w:r>
        <w:rPr>
          <w:rFonts w:hint="default" w:ascii="TimesNewRoman" w:hAnsi="TimesNewRoman" w:cs="TimesNewRoman"/>
          <w:szCs w:val="32"/>
        </w:rPr>
        <w:t>万元，公务用车购置及运行费支出预算为</w:t>
      </w:r>
      <w:r>
        <w:rPr>
          <w:rFonts w:hint="eastAsia" w:ascii="TimesNewRoman" w:hAnsi="TimesNewRoman" w:cs="TimesNewRoman"/>
          <w:szCs w:val="32"/>
          <w:lang w:val="en-US" w:eastAsia="zh-CN"/>
        </w:rPr>
        <w:t>0</w:t>
      </w:r>
      <w:r>
        <w:rPr>
          <w:rFonts w:hint="default" w:ascii="TimesNewRoman" w:hAnsi="TimesNewRoman" w:cs="TimesNewRoman"/>
          <w:szCs w:val="32"/>
        </w:rPr>
        <w:t>万元。具体情况如下：</w:t>
      </w:r>
      <w:r>
        <w:rPr>
          <w:rFonts w:hint="eastAsia" w:ascii="仿宋_GB2312" w:hAnsi="仿宋" w:eastAsia="仿宋_GB2312"/>
          <w:b/>
          <w:color w:val="000000"/>
          <w:sz w:val="32"/>
          <w:szCs w:val="32"/>
        </w:rPr>
        <w:t>因公出国（境）费</w:t>
      </w:r>
      <w:r>
        <w:rPr>
          <w:rFonts w:hint="eastAsia" w:ascii="仿宋" w:hAnsi="仿宋" w:eastAsia="仿宋"/>
          <w:color w:val="000000"/>
          <w:sz w:val="32"/>
          <w:szCs w:val="32"/>
        </w:rPr>
        <w:t>支出预算0万元，</w:t>
      </w:r>
      <w:r>
        <w:rPr>
          <w:rFonts w:hint="eastAsia" w:ascii="仿宋" w:hAnsi="仿宋" w:eastAsia="仿宋"/>
          <w:sz w:val="32"/>
          <w:szCs w:val="32"/>
        </w:rPr>
        <w:t>与202</w:t>
      </w:r>
      <w:r>
        <w:rPr>
          <w:rFonts w:hint="eastAsia" w:ascii="仿宋" w:hAnsi="仿宋" w:eastAsia="仿宋"/>
          <w:sz w:val="32"/>
          <w:szCs w:val="32"/>
          <w:lang w:val="en-US" w:eastAsia="zh-CN"/>
        </w:rPr>
        <w:t>4</w:t>
      </w:r>
      <w:r>
        <w:rPr>
          <w:rFonts w:hint="eastAsia" w:ascii="仿宋" w:hAnsi="仿宋" w:eastAsia="仿宋"/>
          <w:sz w:val="32"/>
          <w:szCs w:val="32"/>
        </w:rPr>
        <w:t>年预算持平。该项经</w:t>
      </w:r>
      <w:r>
        <w:rPr>
          <w:rFonts w:hint="eastAsia" w:ascii="仿宋" w:hAnsi="仿宋" w:eastAsia="仿宋"/>
          <w:color w:val="000000"/>
          <w:sz w:val="32"/>
          <w:szCs w:val="32"/>
        </w:rPr>
        <w:t>费主要是用于因公出国（境）等外事活动。经费使用严格按照《寿县党政机关因公临时出国经费管理办法的通知（财行〔2016〕29号)相关规定执行。</w:t>
      </w:r>
    </w:p>
    <w:p>
      <w:pPr>
        <w:pStyle w:val="3"/>
        <w:numPr>
          <w:ilvl w:val="0"/>
          <w:numId w:val="0"/>
        </w:numPr>
        <w:spacing w:before="0" w:beforeAutospacing="0" w:after="0" w:afterAutospacing="0" w:line="520" w:lineRule="exact"/>
        <w:ind w:firstLine="320" w:firstLineChars="1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（二）</w:t>
      </w:r>
      <w:r>
        <w:rPr>
          <w:rFonts w:hint="eastAsia" w:ascii="仿宋_GB2312" w:hAnsi="仿宋" w:eastAsia="仿宋_GB2312"/>
          <w:b/>
          <w:color w:val="000000"/>
          <w:sz w:val="32"/>
          <w:szCs w:val="32"/>
        </w:rPr>
        <w:t>公务接待费</w:t>
      </w:r>
      <w:r>
        <w:rPr>
          <w:rFonts w:hint="eastAsia" w:ascii="仿宋" w:hAnsi="仿宋" w:eastAsia="仿宋"/>
          <w:color w:val="000000"/>
          <w:sz w:val="32"/>
          <w:szCs w:val="32"/>
        </w:rPr>
        <w:t>支出预算</w:t>
      </w:r>
      <w:r>
        <w:rPr>
          <w:rFonts w:hint="eastAsia" w:ascii="仿宋" w:hAnsi="仿宋" w:eastAsia="仿宋"/>
          <w:color w:val="000000"/>
          <w:sz w:val="32"/>
          <w:szCs w:val="32"/>
          <w:lang w:val="en-US" w:eastAsia="zh-CN"/>
        </w:rPr>
        <w:t>32</w:t>
      </w:r>
      <w:r>
        <w:rPr>
          <w:rFonts w:hint="eastAsia" w:ascii="仿宋" w:hAnsi="仿宋" w:eastAsia="仿宋"/>
          <w:color w:val="000000"/>
          <w:sz w:val="32"/>
          <w:szCs w:val="32"/>
        </w:rPr>
        <w:t>万元，</w:t>
      </w:r>
      <w:r>
        <w:rPr>
          <w:rFonts w:hint="eastAsia" w:ascii="仿宋_GB2312" w:hAnsi="仿宋" w:eastAsia="仿宋_GB2312"/>
          <w:sz w:val="32"/>
          <w:szCs w:val="32"/>
        </w:rPr>
        <w:t>比上年预算减少</w:t>
      </w:r>
      <w:r>
        <w:rPr>
          <w:rFonts w:hint="eastAsia" w:ascii="仿宋_GB2312" w:hAnsi="仿宋" w:eastAsia="仿宋_GB2312"/>
          <w:sz w:val="32"/>
          <w:szCs w:val="32"/>
          <w:lang w:val="en-US" w:eastAsia="zh-CN"/>
        </w:rPr>
        <w:t>3</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0.8</w:t>
      </w:r>
      <w:r>
        <w:rPr>
          <w:rFonts w:hint="eastAsia" w:ascii="仿宋_GB2312" w:hAnsi="仿宋" w:eastAsia="仿宋_GB2312"/>
          <w:sz w:val="32"/>
          <w:szCs w:val="32"/>
        </w:rPr>
        <w:t>%，下降原因</w:t>
      </w:r>
      <w:r>
        <w:rPr>
          <w:rFonts w:hint="eastAsia" w:ascii="仿宋" w:hAnsi="仿宋" w:eastAsia="仿宋"/>
          <w:sz w:val="32"/>
          <w:szCs w:val="32"/>
        </w:rPr>
        <w:t>主要是按照三公经费管理规定，只减不增。</w:t>
      </w:r>
      <w:r>
        <w:rPr>
          <w:rFonts w:hint="eastAsia" w:ascii="仿宋" w:hAnsi="仿宋" w:eastAsia="仿宋"/>
          <w:color w:val="000000"/>
          <w:sz w:val="32"/>
          <w:szCs w:val="32"/>
        </w:rPr>
        <w:t>经费使用严格执行《党政机关厉行节约反对浪费条例》（中发〔2013〕13号）和《寿县党政机关公务接待管理规定（寿办发〔2015〕2号）规定。</w:t>
      </w:r>
    </w:p>
    <w:p>
      <w:pPr>
        <w:pStyle w:val="3"/>
        <w:spacing w:before="0" w:beforeAutospacing="0" w:after="0" w:afterAutospacing="0" w:line="520" w:lineRule="exact"/>
        <w:ind w:firstLine="537" w:firstLineChars="168"/>
        <w:jc w:val="both"/>
        <w:rPr>
          <w:rFonts w:hint="eastAsia" w:ascii="仿宋" w:hAnsi="仿宋" w:eastAsia="仿宋"/>
          <w:color w:val="000000"/>
          <w:sz w:val="32"/>
          <w:szCs w:val="32"/>
        </w:rPr>
      </w:pPr>
      <w:r>
        <w:rPr>
          <w:rFonts w:hint="eastAsia" w:ascii="仿宋_GB2312" w:hAnsi="仿宋" w:eastAsia="仿宋_GB2312"/>
          <w:color w:val="000000"/>
          <w:sz w:val="32"/>
          <w:szCs w:val="32"/>
        </w:rPr>
        <w:t>（三）</w:t>
      </w:r>
      <w:r>
        <w:rPr>
          <w:rFonts w:hint="eastAsia" w:ascii="仿宋_GB2312" w:hAnsi="仿宋" w:eastAsia="仿宋_GB2312"/>
          <w:b/>
          <w:color w:val="000000"/>
          <w:sz w:val="32"/>
          <w:szCs w:val="32"/>
        </w:rPr>
        <w:t>公务用车购置及运行费</w:t>
      </w:r>
      <w:r>
        <w:rPr>
          <w:rFonts w:hint="eastAsia" w:ascii="仿宋" w:hAnsi="仿宋" w:eastAsia="仿宋"/>
          <w:color w:val="000000"/>
          <w:sz w:val="32"/>
          <w:szCs w:val="32"/>
        </w:rPr>
        <w:t>支出预算0万元，</w:t>
      </w:r>
      <w:r>
        <w:rPr>
          <w:rFonts w:hint="eastAsia" w:ascii="仿宋" w:hAnsi="仿宋" w:eastAsia="仿宋"/>
          <w:sz w:val="32"/>
          <w:szCs w:val="32"/>
        </w:rPr>
        <w:t>与</w:t>
      </w:r>
      <w:r>
        <w:rPr>
          <w:rFonts w:hint="eastAsia" w:ascii="仿宋_GB2312" w:hAnsi="仿宋" w:eastAsia="仿宋_GB2312"/>
          <w:sz w:val="32"/>
          <w:szCs w:val="32"/>
        </w:rPr>
        <w:t>上年</w:t>
      </w:r>
      <w:r>
        <w:rPr>
          <w:rFonts w:hint="eastAsia" w:ascii="仿宋" w:hAnsi="仿宋" w:eastAsia="仿宋"/>
          <w:sz w:val="32"/>
          <w:szCs w:val="32"/>
        </w:rPr>
        <w:t>年预算持平。</w:t>
      </w:r>
      <w:r>
        <w:rPr>
          <w:rFonts w:hint="eastAsia" w:ascii="仿宋" w:hAnsi="仿宋" w:eastAsia="仿宋"/>
          <w:color w:val="000000"/>
          <w:sz w:val="32"/>
          <w:szCs w:val="32"/>
        </w:rPr>
        <w:t>其中：公务用车运行费0万元，</w:t>
      </w:r>
      <w:r>
        <w:rPr>
          <w:rFonts w:hint="eastAsia" w:ascii="仿宋" w:hAnsi="仿宋" w:eastAsia="仿宋"/>
          <w:sz w:val="32"/>
          <w:szCs w:val="32"/>
        </w:rPr>
        <w:t>与202</w:t>
      </w:r>
      <w:r>
        <w:rPr>
          <w:rFonts w:hint="eastAsia" w:ascii="仿宋" w:hAnsi="仿宋" w:eastAsia="仿宋"/>
          <w:sz w:val="32"/>
          <w:szCs w:val="32"/>
          <w:lang w:val="en-US" w:eastAsia="zh-CN"/>
        </w:rPr>
        <w:t>4</w:t>
      </w:r>
      <w:r>
        <w:rPr>
          <w:rFonts w:hint="eastAsia" w:ascii="仿宋" w:hAnsi="仿宋" w:eastAsia="仿宋"/>
          <w:sz w:val="32"/>
          <w:szCs w:val="32"/>
        </w:rPr>
        <w:t>年预算持平，原因主要是实行公车改革后，单位已没有车辆，该项经费主要用于车辆燃料费、维修费、过路过桥费等支出；</w:t>
      </w:r>
      <w:r>
        <w:rPr>
          <w:rFonts w:hint="eastAsia" w:ascii="仿宋" w:hAnsi="仿宋" w:eastAsia="仿宋"/>
          <w:color w:val="000000"/>
          <w:sz w:val="32"/>
          <w:szCs w:val="32"/>
        </w:rPr>
        <w:t>公务用车购置费0万元，</w:t>
      </w:r>
      <w:r>
        <w:rPr>
          <w:rFonts w:hint="eastAsia" w:ascii="仿宋" w:hAnsi="仿宋" w:eastAsia="仿宋"/>
          <w:sz w:val="32"/>
          <w:szCs w:val="32"/>
        </w:rPr>
        <w:t>与</w:t>
      </w:r>
      <w:r>
        <w:rPr>
          <w:rFonts w:hint="eastAsia" w:ascii="仿宋_GB2312" w:hAnsi="仿宋" w:eastAsia="仿宋_GB2312"/>
          <w:sz w:val="32"/>
          <w:szCs w:val="32"/>
        </w:rPr>
        <w:t>上</w:t>
      </w:r>
      <w:r>
        <w:rPr>
          <w:rFonts w:hint="eastAsia" w:ascii="仿宋" w:hAnsi="仿宋" w:eastAsia="仿宋"/>
          <w:sz w:val="32"/>
          <w:szCs w:val="32"/>
        </w:rPr>
        <w:t>年预算持平，原因主要是实行公车改革后，单位已没有车辆，</w:t>
      </w:r>
      <w:r>
        <w:rPr>
          <w:rFonts w:hint="eastAsia" w:ascii="仿宋_GB2312" w:hAnsi="仿宋" w:eastAsia="仿宋_GB2312"/>
          <w:sz w:val="32"/>
          <w:szCs w:val="32"/>
        </w:rPr>
        <w:t>该项经费主要用于</w:t>
      </w:r>
      <w:r>
        <w:rPr>
          <w:rFonts w:hint="eastAsia" w:ascii="仿宋" w:hAnsi="仿宋" w:eastAsia="仿宋"/>
          <w:color w:val="000000"/>
          <w:sz w:val="32"/>
          <w:szCs w:val="32"/>
        </w:rPr>
        <w:t>公务用车购置。经费使用严格按照中央、省和市有关公务用车配备使用管理制度执行。</w:t>
      </w:r>
    </w:p>
    <w:p>
      <w:pPr>
        <w:pStyle w:val="3"/>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sz w:val="32"/>
        </w:rPr>
      </w:pPr>
    </w:p>
    <w:p>
      <w:pPr>
        <w:topLinePunct/>
        <w:adjustRightInd w:val="0"/>
        <w:snapToGrid w:val="0"/>
        <w:spacing w:line="560" w:lineRule="exact"/>
        <w:rPr>
          <w:rFonts w:ascii="TimesNewRoman" w:hAnsi="TimesNewRoman" w:eastAsia="黑体" w:cs="TimesNewRoman"/>
          <w:sz w:val="36"/>
          <w:szCs w:val="36"/>
        </w:rPr>
      </w:pPr>
      <w:bookmarkStart w:id="0" w:name="_GoBack"/>
      <w:bookmarkEnd w:id="0"/>
    </w:p>
    <w:p>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topLinePunct/>
        <w:adjustRightInd w:val="0"/>
        <w:snapToGrid w:val="0"/>
        <w:spacing w:line="560" w:lineRule="exact"/>
        <w:rPr>
          <w:rFonts w:ascii="TimesNewRoman" w:hAnsi="TimesNewRoman" w:eastAsia="黑体"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pPr>
        <w:pStyle w:val="3"/>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十一、一般公共服务支出（类）财政事务（款）财政国库业务：</w:t>
      </w:r>
      <w:r>
        <w:rPr>
          <w:rFonts w:ascii="TimesNewRoman" w:hAnsi="TimesNewRoman" w:eastAsia="仿宋_GB2312" w:cs="TimesNewRoman"/>
          <w:sz w:val="32"/>
          <w:szCs w:val="32"/>
        </w:rPr>
        <w:t>反映</w:t>
      </w:r>
      <w:r>
        <w:rPr>
          <w:rFonts w:hint="eastAsia" w:ascii="TimesNewRoman" w:hAnsi="TimesNewRoman" w:eastAsia="仿宋_GB2312" w:cs="TimesNewRoman"/>
          <w:sz w:val="32"/>
          <w:szCs w:val="32"/>
        </w:rPr>
        <w:t>县</w:t>
      </w:r>
      <w:r>
        <w:rPr>
          <w:rFonts w:hint="eastAsia" w:ascii="TimesNewRoman" w:hAnsi="TimesNewRoman" w:eastAsia="仿宋_GB2312" w:cs="TimesNewRoman"/>
          <w:sz w:val="32"/>
          <w:szCs w:val="32"/>
          <w:u w:val="single"/>
        </w:rPr>
        <w:t>财政局</w:t>
      </w:r>
      <w:r>
        <w:rPr>
          <w:rFonts w:ascii="TimesNewRoman" w:hAnsi="TimesNewRoman" w:eastAsia="仿宋_GB2312" w:cs="TimesNewRoman"/>
          <w:sz w:val="32"/>
          <w:szCs w:val="32"/>
        </w:rPr>
        <w:t>用于国库集中收付业务方面的支出。（</w:t>
      </w:r>
      <w:r>
        <w:rPr>
          <w:rFonts w:ascii="TimesNewRoman" w:hAnsi="TimesNewRoman" w:eastAsia="楷体_GB2312" w:cs="TimesNewRoman"/>
          <w:sz w:val="32"/>
          <w:szCs w:val="32"/>
        </w:rPr>
        <w:t>根据部门预算实际对重要的支出功能科目进行解释</w:t>
      </w:r>
      <w:r>
        <w:rPr>
          <w:rFonts w:ascii="TimesNewRoman" w:hAnsi="TimesNewRoman" w:eastAsia="仿宋_GB2312" w:cs="TimesNewRoman"/>
          <w:sz w:val="32"/>
          <w:szCs w:val="32"/>
        </w:rPr>
        <w:t>）</w:t>
      </w:r>
    </w:p>
    <w:p>
      <w:pPr>
        <w:pStyle w:val="3"/>
        <w:topLinePunct/>
        <w:spacing w:beforeAutospacing="0" w:afterAutospacing="0" w:line="560" w:lineRule="exact"/>
        <w:ind w:firstLine="480" w:firstLineChars="150"/>
        <w:jc w:val="both"/>
        <w:rPr>
          <w:rStyle w:val="6"/>
          <w:rFonts w:ascii="TimesNewRoman" w:hAnsi="TimesNewRoman" w:eastAsia="楷体_GB2312" w:cs="TimesNewRoman"/>
          <w:b w:val="0"/>
          <w:sz w:val="32"/>
          <w:szCs w:val="32"/>
        </w:rPr>
      </w:pPr>
    </w:p>
    <w:p/>
    <w:sectPr>
      <w:footerReference r:id="rId3" w:type="default"/>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中秀体简">
    <w:altName w:val="微软雅黑"/>
    <w:panose1 w:val="00000000000000000000"/>
    <w:charset w:val="00"/>
    <w:family w:val="auto"/>
    <w:pitch w:val="default"/>
    <w:sig w:usb0="00000000" w:usb1="00000000" w:usb2="00000000" w:usb3="00000000" w:csb0="00040001" w:csb1="00000000"/>
  </w:font>
  <w:font w:name="TimesNewRoman">
    <w:altName w:val="Simplified Arabic"/>
    <w:panose1 w:val="02020603050405020304"/>
    <w:charset w:val="00"/>
    <w:family w:val="auto"/>
    <w:pitch w:val="default"/>
    <w:sig w:usb0="00000000" w:usb1="00000000" w:usb2="00000029" w:usb3="00000000" w:csb0="6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5377A"/>
    <w:multiLevelType w:val="singleLevel"/>
    <w:tmpl w:val="2F15377A"/>
    <w:lvl w:ilvl="0" w:tentative="0">
      <w:start w:val="2"/>
      <w:numFmt w:val="chineseCounting"/>
      <w:suff w:val="space"/>
      <w:lvlText w:val="第%1部分"/>
      <w:lvlJc w:val="left"/>
      <w:rPr>
        <w:rFonts w:hint="eastAsia"/>
      </w:rPr>
    </w:lvl>
  </w:abstractNum>
  <w:abstractNum w:abstractNumId="1">
    <w:nsid w:val="6A9D68DB"/>
    <w:multiLevelType w:val="singleLevel"/>
    <w:tmpl w:val="6A9D68D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zU0MGNiODRkZjMxOTk4NmUxY2Y0OWNmZjRjMmQifQ=="/>
  </w:docVars>
  <w:rsids>
    <w:rsidRoot w:val="34C97AC9"/>
    <w:rsid w:val="045415C8"/>
    <w:rsid w:val="07C051B1"/>
    <w:rsid w:val="08F41333"/>
    <w:rsid w:val="094A4A8C"/>
    <w:rsid w:val="0B7B4A3B"/>
    <w:rsid w:val="1F3B60C4"/>
    <w:rsid w:val="24120C19"/>
    <w:rsid w:val="2D0D678E"/>
    <w:rsid w:val="2ED30B7B"/>
    <w:rsid w:val="32EF4A9C"/>
    <w:rsid w:val="34C97AC9"/>
    <w:rsid w:val="3575110C"/>
    <w:rsid w:val="39203A07"/>
    <w:rsid w:val="3DEB0CAC"/>
    <w:rsid w:val="431B6D7E"/>
    <w:rsid w:val="4BBB03EA"/>
    <w:rsid w:val="67654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kern w:val="0"/>
      <w:sz w:val="24"/>
    </w:rPr>
  </w:style>
  <w:style w:type="character" w:styleId="6">
    <w:name w:val="Strong"/>
    <w:basedOn w:val="5"/>
    <w:qFormat/>
    <w:uiPriority w:val="0"/>
    <w:rPr>
      <w:b/>
      <w:bCs/>
    </w:rPr>
  </w:style>
  <w:style w:type="character" w:styleId="7">
    <w:name w:val="page number"/>
    <w:basedOn w:val="5"/>
    <w:uiPriority w:val="0"/>
  </w:style>
  <w:style w:type="character" w:customStyle="1" w:styleId="8">
    <w:name w:val="apple-converted-space"/>
    <w:basedOn w:val="5"/>
    <w:qFormat/>
    <w:uiPriority w:val="0"/>
  </w:style>
  <w:style w:type="character" w:customStyle="1" w:styleId="9">
    <w:name w:val="font61"/>
    <w:basedOn w:val="5"/>
    <w:qFormat/>
    <w:uiPriority w:val="0"/>
    <w:rPr>
      <w:rFonts w:hint="eastAsia" w:ascii="宋体" w:hAnsi="宋体" w:eastAsia="宋体" w:cs="宋体"/>
      <w:color w:val="000000"/>
      <w:sz w:val="20"/>
      <w:szCs w:val="20"/>
      <w:u w:val="none"/>
    </w:rPr>
  </w:style>
  <w:style w:type="character" w:customStyle="1" w:styleId="10">
    <w:name w:val="font71"/>
    <w:basedOn w:val="5"/>
    <w:qFormat/>
    <w:uiPriority w:val="0"/>
    <w:rPr>
      <w:rFonts w:hint="eastAsia" w:ascii="宋体" w:hAnsi="宋体" w:eastAsia="宋体" w:cs="宋体"/>
      <w:color w:val="000000"/>
      <w:sz w:val="20"/>
      <w:szCs w:val="20"/>
      <w:u w:val="none"/>
    </w:rPr>
  </w:style>
  <w:style w:type="character" w:customStyle="1" w:styleId="11">
    <w:name w:val="font51"/>
    <w:basedOn w:val="5"/>
    <w:qFormat/>
    <w:uiPriority w:val="0"/>
    <w:rPr>
      <w:rFonts w:hint="default" w:ascii="汉仪中秀体简" w:hAnsi="汉仪中秀体简" w:eastAsia="汉仪中秀体简" w:cs="汉仪中秀体简"/>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2024-01-16T02:39:00Z</dcterms:created>
  <dc:creator>二蛋</dc:creator>
  <cp:lastModifiedBy>Administrator</cp:lastModifiedBy>
  <dcterms:modified xsi:type="dcterms:W3CDTF">2025-02-19T02:51:05Z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AB12261BCF484B528A5866483B2ED966_11</vt:lpwstr>
  </property>
</Properties>
</file>