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AB0BA">
      <w:pPr>
        <w:adjustRightInd w:val="0"/>
        <w:snapToGrid w:val="0"/>
        <w:spacing w:beforeAutospacing="1" w:afterAutospacing="1" w:line="560" w:lineRule="exact"/>
        <w:jc w:val="center"/>
        <w:rPr>
          <w:rFonts w:ascii="方正小标宋_GBK" w:hAnsi="TimesNewRoman" w:eastAsia="方正小标宋_GBK" w:cs="TimesNewRoman"/>
          <w:bCs/>
          <w:kern w:val="0"/>
          <w:sz w:val="40"/>
          <w:szCs w:val="44"/>
        </w:rPr>
      </w:pPr>
      <w:r>
        <w:rPr>
          <w:rFonts w:hint="eastAsia" w:ascii="方正小标宋_GBK" w:hAnsi="TimesNewRoman" w:eastAsia="方正小标宋_GBK" w:cs="TimesNewRoman"/>
          <w:bCs/>
          <w:kern w:val="0"/>
          <w:sz w:val="40"/>
          <w:szCs w:val="44"/>
        </w:rPr>
        <w:t>目  录</w:t>
      </w:r>
    </w:p>
    <w:p w14:paraId="20E5113B">
      <w:pPr>
        <w:topLinePunct/>
        <w:adjustRightInd w:val="0"/>
        <w:snapToGrid w:val="0"/>
        <w:spacing w:line="560" w:lineRule="exact"/>
        <w:ind w:firstLine="648" w:firstLineChars="200"/>
        <w:rPr>
          <w:rFonts w:ascii="黑体" w:hAnsi="黑体" w:eastAsia="黑体" w:cs="TimesNewRoman"/>
          <w:kern w:val="0"/>
          <w:sz w:val="32"/>
          <w:szCs w:val="32"/>
        </w:rPr>
      </w:pPr>
    </w:p>
    <w:p w14:paraId="2EF681CC">
      <w:pPr>
        <w:topLinePunct/>
        <w:adjustRightInd w:val="0"/>
        <w:snapToGrid w:val="0"/>
        <w:spacing w:line="560" w:lineRule="exact"/>
        <w:ind w:firstLine="648" w:firstLineChars="200"/>
        <w:rPr>
          <w:rFonts w:ascii="黑体" w:hAnsi="黑体" w:eastAsia="黑体" w:cs="TimesNewRoman"/>
          <w:kern w:val="0"/>
          <w:sz w:val="32"/>
          <w:szCs w:val="32"/>
        </w:rPr>
      </w:pPr>
      <w:r>
        <w:rPr>
          <w:rFonts w:ascii="黑体" w:hAnsi="黑体" w:eastAsia="黑体" w:cs="TimesNewRoman"/>
          <w:kern w:val="0"/>
          <w:sz w:val="32"/>
          <w:szCs w:val="32"/>
        </w:rPr>
        <w:t>第一部分</w:t>
      </w:r>
      <w:r>
        <w:rPr>
          <w:rFonts w:hint="eastAsia" w:ascii="黑体" w:hAnsi="黑体" w:eastAsia="黑体"/>
          <w:color w:val="333333"/>
          <w:sz w:val="32"/>
          <w:szCs w:val="32"/>
          <w:shd w:val="clear" w:color="auto" w:fill="FFFFFF"/>
        </w:rPr>
        <w:t>单位概况</w:t>
      </w:r>
    </w:p>
    <w:p w14:paraId="2E0688F2">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hint="eastAsia" w:ascii="仿宋_GB2312" w:hAnsi="TimesNewRoman" w:eastAsia="仿宋_GB2312" w:cs="TimesNewRoman"/>
          <w:bCs/>
          <w:kern w:val="0"/>
          <w:sz w:val="32"/>
          <w:szCs w:val="32"/>
        </w:rPr>
        <w:t>1.主要职责</w:t>
      </w:r>
    </w:p>
    <w:p w14:paraId="63AE8F93">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hint="eastAsia" w:ascii="仿宋_GB2312" w:hAnsi="TimesNewRoman" w:eastAsia="仿宋_GB2312" w:cs="TimesNewRoman"/>
          <w:bCs/>
          <w:kern w:val="0"/>
          <w:sz w:val="32"/>
          <w:szCs w:val="32"/>
        </w:rPr>
        <w:t>2.</w:t>
      </w:r>
      <w:r>
        <w:rPr>
          <w:rFonts w:hint="eastAsia" w:ascii="仿宋" w:hAnsi="仿宋" w:eastAsia="仿宋"/>
          <w:color w:val="333333"/>
          <w:sz w:val="32"/>
          <w:szCs w:val="32"/>
          <w:shd w:val="clear" w:color="auto" w:fill="FFFFFF"/>
        </w:rPr>
        <w:t>单位预算构成</w:t>
      </w:r>
    </w:p>
    <w:p w14:paraId="15E16B65">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hint="eastAsia" w:ascii="仿宋_GB2312" w:hAnsi="TimesNewRoman" w:eastAsia="仿宋_GB2312" w:cs="TimesNewRoman"/>
          <w:bCs/>
          <w:kern w:val="0"/>
          <w:sz w:val="32"/>
          <w:szCs w:val="32"/>
        </w:rPr>
        <w:t>3.2025年度主要工作任务</w:t>
      </w:r>
    </w:p>
    <w:p w14:paraId="5CAA9ADC">
      <w:pPr>
        <w:topLinePunct/>
        <w:adjustRightInd w:val="0"/>
        <w:snapToGrid w:val="0"/>
        <w:spacing w:line="560" w:lineRule="exact"/>
        <w:ind w:firstLine="648" w:firstLineChars="200"/>
        <w:rPr>
          <w:rFonts w:ascii="黑体" w:hAnsi="黑体" w:eastAsia="黑体" w:cs="TimesNewRoman"/>
          <w:kern w:val="0"/>
          <w:sz w:val="32"/>
          <w:szCs w:val="32"/>
        </w:rPr>
      </w:pPr>
      <w:r>
        <w:rPr>
          <w:rFonts w:ascii="黑体" w:hAnsi="黑体" w:eastAsia="黑体" w:cs="TimesNewRoman"/>
          <w:kern w:val="0"/>
          <w:sz w:val="32"/>
          <w:szCs w:val="32"/>
        </w:rPr>
        <w:t>第</w:t>
      </w:r>
      <w:r>
        <w:rPr>
          <w:rFonts w:hint="eastAsia" w:ascii="黑体" w:hAnsi="黑体" w:eastAsia="黑体" w:cs="TimesNewRoman"/>
          <w:kern w:val="0"/>
          <w:sz w:val="32"/>
          <w:szCs w:val="32"/>
        </w:rPr>
        <w:t>二</w:t>
      </w:r>
      <w:r>
        <w:rPr>
          <w:rFonts w:ascii="黑体" w:hAnsi="黑体" w:eastAsia="黑体" w:cs="TimesNewRoman"/>
          <w:kern w:val="0"/>
          <w:sz w:val="32"/>
          <w:szCs w:val="32"/>
        </w:rPr>
        <w:t xml:space="preserve">部分 </w:t>
      </w:r>
      <w:r>
        <w:rPr>
          <w:rFonts w:hint="eastAsia" w:ascii="黑体" w:hAnsi="黑体" w:eastAsia="黑体" w:cs="TimesNewRoman"/>
          <w:kern w:val="0"/>
          <w:sz w:val="32"/>
          <w:szCs w:val="32"/>
        </w:rPr>
        <w:t>2025</w:t>
      </w:r>
      <w:r>
        <w:rPr>
          <w:rFonts w:ascii="黑体" w:hAnsi="黑体" w:eastAsia="黑体" w:cs="TimesNewRoman"/>
          <w:kern w:val="0"/>
          <w:sz w:val="32"/>
          <w:szCs w:val="32"/>
        </w:rPr>
        <w:t>年部门（单位）预算情况说明</w:t>
      </w:r>
    </w:p>
    <w:p w14:paraId="22871700">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ascii="仿宋_GB2312" w:hAnsi="TimesNewRoman" w:eastAsia="仿宋_GB2312" w:cs="TimesNewRoman"/>
          <w:bCs/>
          <w:kern w:val="0"/>
          <w:sz w:val="32"/>
          <w:szCs w:val="32"/>
        </w:rPr>
        <w:t>1.关于</w:t>
      </w:r>
      <w:r>
        <w:rPr>
          <w:rFonts w:hint="eastAsia" w:ascii="仿宋_GB2312" w:hAnsi="TimesNewRoman" w:eastAsia="仿宋_GB2312" w:cs="TimesNewRoman"/>
          <w:bCs/>
          <w:kern w:val="0"/>
          <w:sz w:val="32"/>
          <w:szCs w:val="32"/>
        </w:rPr>
        <w:t>2025</w:t>
      </w:r>
      <w:r>
        <w:rPr>
          <w:rFonts w:ascii="仿宋_GB2312" w:hAnsi="TimesNewRoman" w:eastAsia="仿宋_GB2312" w:cs="TimesNewRoman"/>
          <w:bCs/>
          <w:kern w:val="0"/>
          <w:sz w:val="32"/>
          <w:szCs w:val="32"/>
        </w:rPr>
        <w:t>年收支总表的说明</w:t>
      </w:r>
    </w:p>
    <w:p w14:paraId="6B3C31E7">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ascii="仿宋_GB2312" w:hAnsi="TimesNewRoman" w:eastAsia="仿宋_GB2312" w:cs="TimesNewRoman"/>
          <w:bCs/>
          <w:kern w:val="0"/>
          <w:sz w:val="32"/>
          <w:szCs w:val="32"/>
        </w:rPr>
        <w:t>2.关于</w:t>
      </w:r>
      <w:r>
        <w:rPr>
          <w:rFonts w:hint="eastAsia" w:ascii="仿宋_GB2312" w:hAnsi="TimesNewRoman" w:eastAsia="仿宋_GB2312" w:cs="TimesNewRoman"/>
          <w:bCs/>
          <w:kern w:val="0"/>
          <w:sz w:val="32"/>
          <w:szCs w:val="32"/>
        </w:rPr>
        <w:t>2025</w:t>
      </w:r>
      <w:r>
        <w:rPr>
          <w:rFonts w:ascii="仿宋_GB2312" w:hAnsi="TimesNewRoman" w:eastAsia="仿宋_GB2312" w:cs="TimesNewRoman"/>
          <w:bCs/>
          <w:kern w:val="0"/>
          <w:sz w:val="32"/>
          <w:szCs w:val="32"/>
        </w:rPr>
        <w:t>年收入总表的说明</w:t>
      </w:r>
    </w:p>
    <w:p w14:paraId="02CCC017">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ascii="仿宋_GB2312" w:hAnsi="TimesNewRoman" w:eastAsia="仿宋_GB2312" w:cs="TimesNewRoman"/>
          <w:bCs/>
          <w:kern w:val="0"/>
          <w:sz w:val="32"/>
          <w:szCs w:val="32"/>
        </w:rPr>
        <w:t>3.关于</w:t>
      </w:r>
      <w:r>
        <w:rPr>
          <w:rFonts w:hint="eastAsia" w:ascii="仿宋_GB2312" w:hAnsi="TimesNewRoman" w:eastAsia="仿宋_GB2312" w:cs="TimesNewRoman"/>
          <w:bCs/>
          <w:kern w:val="0"/>
          <w:sz w:val="32"/>
          <w:szCs w:val="32"/>
        </w:rPr>
        <w:t>2025</w:t>
      </w:r>
      <w:r>
        <w:rPr>
          <w:rFonts w:ascii="仿宋_GB2312" w:hAnsi="TimesNewRoman" w:eastAsia="仿宋_GB2312" w:cs="TimesNewRoman"/>
          <w:bCs/>
          <w:kern w:val="0"/>
          <w:sz w:val="32"/>
          <w:szCs w:val="32"/>
        </w:rPr>
        <w:t>年支出总表的说明</w:t>
      </w:r>
    </w:p>
    <w:p w14:paraId="13D09935">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ascii="仿宋_GB2312" w:hAnsi="TimesNewRoman" w:eastAsia="仿宋_GB2312" w:cs="TimesNewRoman"/>
          <w:bCs/>
          <w:kern w:val="0"/>
          <w:sz w:val="32"/>
          <w:szCs w:val="32"/>
        </w:rPr>
        <w:t>4.关于</w:t>
      </w:r>
      <w:r>
        <w:rPr>
          <w:rFonts w:hint="eastAsia" w:ascii="仿宋_GB2312" w:hAnsi="TimesNewRoman" w:eastAsia="仿宋_GB2312" w:cs="TimesNewRoman"/>
          <w:bCs/>
          <w:kern w:val="0"/>
          <w:sz w:val="32"/>
          <w:szCs w:val="32"/>
        </w:rPr>
        <w:t>2025</w:t>
      </w:r>
      <w:r>
        <w:rPr>
          <w:rFonts w:ascii="仿宋_GB2312" w:hAnsi="TimesNewRoman" w:eastAsia="仿宋_GB2312" w:cs="TimesNewRoman"/>
          <w:bCs/>
          <w:kern w:val="0"/>
          <w:sz w:val="32"/>
          <w:szCs w:val="32"/>
        </w:rPr>
        <w:t>年财政拨款收支总表的说明</w:t>
      </w:r>
    </w:p>
    <w:p w14:paraId="591F670E">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ascii="仿宋_GB2312" w:hAnsi="TimesNewRoman" w:eastAsia="仿宋_GB2312" w:cs="TimesNewRoman"/>
          <w:bCs/>
          <w:kern w:val="0"/>
          <w:sz w:val="32"/>
          <w:szCs w:val="32"/>
        </w:rPr>
        <w:t>5.关于</w:t>
      </w:r>
      <w:r>
        <w:rPr>
          <w:rFonts w:hint="eastAsia" w:ascii="仿宋_GB2312" w:hAnsi="TimesNewRoman" w:eastAsia="仿宋_GB2312" w:cs="TimesNewRoman"/>
          <w:bCs/>
          <w:kern w:val="0"/>
          <w:sz w:val="32"/>
          <w:szCs w:val="32"/>
        </w:rPr>
        <w:t>2025</w:t>
      </w:r>
      <w:r>
        <w:rPr>
          <w:rFonts w:ascii="仿宋_GB2312" w:hAnsi="TimesNewRoman" w:eastAsia="仿宋_GB2312" w:cs="TimesNewRoman"/>
          <w:bCs/>
          <w:kern w:val="0"/>
          <w:sz w:val="32"/>
          <w:szCs w:val="32"/>
        </w:rPr>
        <w:t>年一般公共预算支出表的说明</w:t>
      </w:r>
    </w:p>
    <w:p w14:paraId="2C1C5562">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ascii="仿宋_GB2312" w:hAnsi="TimesNewRoman" w:eastAsia="仿宋_GB2312" w:cs="TimesNewRoman"/>
          <w:bCs/>
          <w:kern w:val="0"/>
          <w:sz w:val="32"/>
          <w:szCs w:val="32"/>
        </w:rPr>
        <w:t>6.关于</w:t>
      </w:r>
      <w:r>
        <w:rPr>
          <w:rFonts w:hint="eastAsia" w:ascii="仿宋_GB2312" w:hAnsi="TimesNewRoman" w:eastAsia="仿宋_GB2312" w:cs="TimesNewRoman"/>
          <w:bCs/>
          <w:kern w:val="0"/>
          <w:sz w:val="32"/>
          <w:szCs w:val="32"/>
        </w:rPr>
        <w:t>2025</w:t>
      </w:r>
      <w:r>
        <w:rPr>
          <w:rFonts w:ascii="仿宋_GB2312" w:hAnsi="TimesNewRoman" w:eastAsia="仿宋_GB2312" w:cs="TimesNewRoman"/>
          <w:bCs/>
          <w:kern w:val="0"/>
          <w:sz w:val="32"/>
          <w:szCs w:val="32"/>
        </w:rPr>
        <w:t>年一般公共预算基本支出表的说明</w:t>
      </w:r>
    </w:p>
    <w:p w14:paraId="22AD5A71">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ascii="仿宋_GB2312" w:hAnsi="TimesNewRoman" w:eastAsia="仿宋_GB2312" w:cs="TimesNewRoman"/>
          <w:bCs/>
          <w:kern w:val="0"/>
          <w:sz w:val="32"/>
          <w:szCs w:val="32"/>
        </w:rPr>
        <w:t>7.关于</w:t>
      </w:r>
      <w:r>
        <w:rPr>
          <w:rFonts w:hint="eastAsia" w:ascii="仿宋_GB2312" w:hAnsi="TimesNewRoman" w:eastAsia="仿宋_GB2312" w:cs="TimesNewRoman"/>
          <w:bCs/>
          <w:kern w:val="0"/>
          <w:sz w:val="32"/>
          <w:szCs w:val="32"/>
        </w:rPr>
        <w:t>2025</w:t>
      </w:r>
      <w:r>
        <w:rPr>
          <w:rFonts w:ascii="仿宋_GB2312" w:hAnsi="TimesNewRoman" w:eastAsia="仿宋_GB2312" w:cs="TimesNewRoman"/>
          <w:bCs/>
          <w:kern w:val="0"/>
          <w:sz w:val="32"/>
          <w:szCs w:val="32"/>
        </w:rPr>
        <w:t>年政府性基金预算支出表的说明</w:t>
      </w:r>
    </w:p>
    <w:p w14:paraId="58CA9CC1">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ascii="仿宋_GB2312" w:hAnsi="TimesNewRoman" w:eastAsia="仿宋_GB2312" w:cs="TimesNewRoman"/>
          <w:bCs/>
          <w:kern w:val="0"/>
          <w:sz w:val="32"/>
          <w:szCs w:val="32"/>
        </w:rPr>
        <w:t>8.关于</w:t>
      </w:r>
      <w:r>
        <w:rPr>
          <w:rFonts w:hint="eastAsia" w:ascii="仿宋_GB2312" w:hAnsi="TimesNewRoman" w:eastAsia="仿宋_GB2312" w:cs="TimesNewRoman"/>
          <w:bCs/>
          <w:kern w:val="0"/>
          <w:sz w:val="32"/>
          <w:szCs w:val="32"/>
        </w:rPr>
        <w:t>2025</w:t>
      </w:r>
      <w:r>
        <w:rPr>
          <w:rFonts w:ascii="仿宋_GB2312" w:hAnsi="TimesNewRoman" w:eastAsia="仿宋_GB2312" w:cs="TimesNewRoman"/>
          <w:bCs/>
          <w:kern w:val="0"/>
          <w:sz w:val="32"/>
          <w:szCs w:val="32"/>
        </w:rPr>
        <w:t>年国有资本经营预算支出表的说明</w:t>
      </w:r>
    </w:p>
    <w:p w14:paraId="61D41170">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ascii="仿宋_GB2312" w:hAnsi="TimesNewRoman" w:eastAsia="仿宋_GB2312" w:cs="TimesNewRoman"/>
          <w:bCs/>
          <w:kern w:val="0"/>
          <w:sz w:val="32"/>
          <w:szCs w:val="32"/>
        </w:rPr>
        <w:t>9.关于</w:t>
      </w:r>
      <w:r>
        <w:rPr>
          <w:rFonts w:hint="eastAsia" w:ascii="仿宋_GB2312" w:hAnsi="TimesNewRoman" w:eastAsia="仿宋_GB2312" w:cs="TimesNewRoman"/>
          <w:bCs/>
          <w:kern w:val="0"/>
          <w:sz w:val="32"/>
          <w:szCs w:val="32"/>
        </w:rPr>
        <w:t>2025</w:t>
      </w:r>
      <w:r>
        <w:rPr>
          <w:rFonts w:ascii="仿宋_GB2312" w:hAnsi="TimesNewRoman" w:eastAsia="仿宋_GB2312" w:cs="TimesNewRoman"/>
          <w:bCs/>
          <w:kern w:val="0"/>
          <w:sz w:val="32"/>
          <w:szCs w:val="32"/>
        </w:rPr>
        <w:t>年项目支出表的说明</w:t>
      </w:r>
    </w:p>
    <w:p w14:paraId="5A34A897">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ascii="仿宋_GB2312" w:hAnsi="TimesNewRoman" w:eastAsia="仿宋_GB2312" w:cs="TimesNewRoman"/>
          <w:bCs/>
          <w:kern w:val="0"/>
          <w:sz w:val="32"/>
          <w:szCs w:val="32"/>
        </w:rPr>
        <w:t>10.关于</w:t>
      </w:r>
      <w:r>
        <w:rPr>
          <w:rFonts w:hint="eastAsia" w:ascii="仿宋_GB2312" w:hAnsi="TimesNewRoman" w:eastAsia="仿宋_GB2312" w:cs="TimesNewRoman"/>
          <w:bCs/>
          <w:kern w:val="0"/>
          <w:sz w:val="32"/>
          <w:szCs w:val="32"/>
        </w:rPr>
        <w:t>2025</w:t>
      </w:r>
      <w:r>
        <w:rPr>
          <w:rFonts w:ascii="仿宋_GB2312" w:hAnsi="TimesNewRoman" w:eastAsia="仿宋_GB2312" w:cs="TimesNewRoman"/>
          <w:bCs/>
          <w:kern w:val="0"/>
          <w:sz w:val="32"/>
          <w:szCs w:val="32"/>
        </w:rPr>
        <w:t>年政府采购支出表的说明</w:t>
      </w:r>
    </w:p>
    <w:p w14:paraId="1EDEB2DF">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ascii="仿宋_GB2312" w:hAnsi="TimesNewRoman" w:eastAsia="仿宋_GB2312" w:cs="TimesNewRoman"/>
          <w:bCs/>
          <w:kern w:val="0"/>
          <w:sz w:val="32"/>
          <w:szCs w:val="32"/>
        </w:rPr>
        <w:t>11.关于</w:t>
      </w:r>
      <w:r>
        <w:rPr>
          <w:rFonts w:hint="eastAsia" w:ascii="仿宋_GB2312" w:hAnsi="TimesNewRoman" w:eastAsia="仿宋_GB2312" w:cs="TimesNewRoman"/>
          <w:bCs/>
          <w:kern w:val="0"/>
          <w:sz w:val="32"/>
          <w:szCs w:val="32"/>
        </w:rPr>
        <w:t>2025</w:t>
      </w:r>
      <w:r>
        <w:rPr>
          <w:rFonts w:ascii="仿宋_GB2312" w:hAnsi="TimesNewRoman" w:eastAsia="仿宋_GB2312" w:cs="TimesNewRoman"/>
          <w:bCs/>
          <w:kern w:val="0"/>
          <w:sz w:val="32"/>
          <w:szCs w:val="32"/>
        </w:rPr>
        <w:t>年政府购买服务支出表的说明</w:t>
      </w:r>
    </w:p>
    <w:p w14:paraId="0AC86963">
      <w:pPr>
        <w:topLinePunct/>
        <w:adjustRightInd w:val="0"/>
        <w:snapToGrid w:val="0"/>
        <w:spacing w:line="560" w:lineRule="exact"/>
        <w:ind w:firstLine="648" w:firstLineChars="200"/>
        <w:rPr>
          <w:rFonts w:ascii="仿宋_GB2312" w:hAnsi="TimesNewRoman" w:eastAsia="仿宋_GB2312" w:cs="TimesNewRoman"/>
          <w:bCs/>
          <w:kern w:val="0"/>
          <w:sz w:val="32"/>
          <w:szCs w:val="32"/>
        </w:rPr>
      </w:pPr>
      <w:r>
        <w:rPr>
          <w:rFonts w:hint="eastAsia" w:ascii="仿宋_GB2312" w:hAnsi="TimesNewRoman" w:eastAsia="仿宋_GB2312" w:cs="TimesNewRoman"/>
          <w:bCs/>
          <w:kern w:val="0"/>
          <w:sz w:val="32"/>
          <w:szCs w:val="32"/>
        </w:rPr>
        <w:t>12.关于2025年一般公共预算“三公”经费支出情况说明</w:t>
      </w:r>
    </w:p>
    <w:p w14:paraId="00052DD3">
      <w:pPr>
        <w:topLinePunct/>
        <w:adjustRightInd w:val="0"/>
        <w:snapToGrid w:val="0"/>
        <w:spacing w:line="560" w:lineRule="exact"/>
        <w:ind w:firstLine="648" w:firstLineChars="200"/>
        <w:rPr>
          <w:rFonts w:ascii="黑体" w:hAnsi="黑体" w:eastAsia="黑体" w:cs="TimesNewRoman"/>
          <w:kern w:val="0"/>
          <w:sz w:val="32"/>
          <w:szCs w:val="32"/>
        </w:rPr>
      </w:pPr>
      <w:r>
        <w:rPr>
          <w:rFonts w:ascii="仿宋_GB2312" w:hAnsi="TimesNewRoman" w:eastAsia="仿宋_GB2312" w:cs="TimesNewRoman"/>
          <w:bCs/>
          <w:kern w:val="0"/>
          <w:sz w:val="32"/>
          <w:szCs w:val="32"/>
        </w:rPr>
        <w:t>1</w:t>
      </w:r>
      <w:r>
        <w:rPr>
          <w:rFonts w:hint="eastAsia" w:ascii="仿宋_GB2312" w:hAnsi="TimesNewRoman" w:eastAsia="仿宋_GB2312" w:cs="TimesNewRoman"/>
          <w:bCs/>
          <w:kern w:val="0"/>
          <w:sz w:val="32"/>
          <w:szCs w:val="32"/>
        </w:rPr>
        <w:t>3</w:t>
      </w:r>
      <w:r>
        <w:rPr>
          <w:rFonts w:ascii="仿宋_GB2312" w:hAnsi="TimesNewRoman" w:eastAsia="仿宋_GB2312" w:cs="TimesNewRoman"/>
          <w:bCs/>
          <w:kern w:val="0"/>
          <w:sz w:val="32"/>
          <w:szCs w:val="32"/>
        </w:rPr>
        <w:t>.其他重要事项情况说明</w:t>
      </w:r>
    </w:p>
    <w:p w14:paraId="02468B82">
      <w:pPr>
        <w:topLinePunct/>
        <w:adjustRightInd w:val="0"/>
        <w:snapToGrid w:val="0"/>
        <w:spacing w:line="560" w:lineRule="exact"/>
        <w:ind w:firstLine="648" w:firstLineChars="200"/>
        <w:rPr>
          <w:rFonts w:ascii="黑体" w:hAnsi="黑体" w:eastAsia="黑体" w:cs="TimesNewRoman"/>
          <w:kern w:val="0"/>
          <w:sz w:val="32"/>
          <w:szCs w:val="32"/>
        </w:rPr>
      </w:pPr>
      <w:r>
        <w:rPr>
          <w:rFonts w:ascii="黑体" w:hAnsi="黑体" w:eastAsia="黑体" w:cs="TimesNewRoman"/>
          <w:kern w:val="0"/>
          <w:sz w:val="32"/>
          <w:szCs w:val="32"/>
        </w:rPr>
        <w:t>第</w:t>
      </w:r>
      <w:r>
        <w:rPr>
          <w:rFonts w:hint="eastAsia" w:ascii="黑体" w:hAnsi="黑体" w:eastAsia="黑体" w:cs="TimesNewRoman"/>
          <w:kern w:val="0"/>
          <w:sz w:val="32"/>
          <w:szCs w:val="32"/>
        </w:rPr>
        <w:t>三</w:t>
      </w:r>
      <w:r>
        <w:rPr>
          <w:rFonts w:ascii="黑体" w:hAnsi="黑体" w:eastAsia="黑体" w:cs="TimesNewRoman"/>
          <w:kern w:val="0"/>
          <w:sz w:val="32"/>
          <w:szCs w:val="32"/>
        </w:rPr>
        <w:t>部分 名词解释</w:t>
      </w:r>
    </w:p>
    <w:p w14:paraId="7FC3DCF0">
      <w:pPr>
        <w:topLinePunct/>
        <w:adjustRightInd w:val="0"/>
        <w:snapToGrid w:val="0"/>
        <w:spacing w:line="560" w:lineRule="exact"/>
        <w:ind w:firstLine="648" w:firstLineChars="200"/>
        <w:rPr>
          <w:rFonts w:ascii="TimesNewRoman" w:hAnsi="TimesNewRoman" w:eastAsia="仿宋_GB2312" w:cs="TimesNewRoman"/>
          <w:b/>
          <w:kern w:val="0"/>
          <w:sz w:val="32"/>
          <w:szCs w:val="32"/>
        </w:rPr>
      </w:pPr>
    </w:p>
    <w:p w14:paraId="0E97E7E6">
      <w:pPr>
        <w:topLinePunct/>
        <w:adjustRightInd w:val="0"/>
        <w:snapToGrid w:val="0"/>
        <w:spacing w:line="560" w:lineRule="exact"/>
        <w:rPr>
          <w:rFonts w:ascii="TimesNewRoman" w:hAnsi="TimesNewRoman" w:eastAsia="黑体" w:cs="TimesNewRoman"/>
          <w:bCs/>
          <w:kern w:val="0"/>
          <w:sz w:val="36"/>
          <w:szCs w:val="36"/>
        </w:rPr>
      </w:pPr>
    </w:p>
    <w:p w14:paraId="3D8C2AF6">
      <w:pPr>
        <w:topLinePunct/>
        <w:adjustRightInd w:val="0"/>
        <w:snapToGrid w:val="0"/>
        <w:spacing w:line="560" w:lineRule="exact"/>
        <w:rPr>
          <w:rFonts w:ascii="TimesNewRoman" w:hAnsi="TimesNewRoman" w:eastAsia="黑体" w:cs="TimesNewRoman"/>
          <w:bCs/>
          <w:kern w:val="0"/>
          <w:sz w:val="36"/>
          <w:szCs w:val="36"/>
        </w:rPr>
      </w:pPr>
    </w:p>
    <w:p w14:paraId="3124B570">
      <w:pPr>
        <w:pStyle w:val="4"/>
        <w:shd w:val="clear" w:color="auto" w:fill="FFFFFF"/>
        <w:spacing w:before="0" w:beforeAutospacing="0" w:after="0" w:afterAutospacing="0" w:line="560" w:lineRule="atLeast"/>
        <w:jc w:val="center"/>
        <w:rPr>
          <w:rFonts w:ascii="Calibri" w:hAnsi="Calibri" w:cs="Calibri"/>
          <w:color w:val="333333"/>
        </w:rPr>
      </w:pPr>
      <w:r>
        <w:rPr>
          <w:rFonts w:hint="eastAsia" w:ascii="黑体" w:hAnsi="黑体" w:eastAsia="黑体" w:cs="Calibri"/>
          <w:color w:val="333333"/>
          <w:sz w:val="36"/>
          <w:szCs w:val="36"/>
        </w:rPr>
        <w:t>第一部分</w:t>
      </w:r>
      <w:r>
        <w:rPr>
          <w:rFonts w:ascii="TimesNewRoman" w:hAnsi="TimesNewRoman" w:cs="TimesNewRoman"/>
          <w:color w:val="333333"/>
          <w:sz w:val="36"/>
          <w:szCs w:val="36"/>
        </w:rPr>
        <w:t> </w:t>
      </w:r>
      <w:r>
        <w:rPr>
          <w:rFonts w:hint="eastAsia" w:ascii="黑体" w:hAnsi="黑体" w:eastAsia="黑体" w:cs="Calibri"/>
          <w:color w:val="333333"/>
          <w:sz w:val="36"/>
          <w:szCs w:val="36"/>
        </w:rPr>
        <w:t>单位概况</w:t>
      </w:r>
    </w:p>
    <w:p w14:paraId="3548574D">
      <w:pPr>
        <w:pStyle w:val="4"/>
        <w:shd w:val="clear" w:color="auto" w:fill="FFFFFF"/>
        <w:spacing w:before="0" w:beforeAutospacing="0" w:after="0" w:afterAutospacing="0" w:line="560" w:lineRule="atLeast"/>
        <w:ind w:firstLine="627"/>
        <w:jc w:val="both"/>
        <w:rPr>
          <w:rFonts w:ascii="Calibri" w:hAnsi="Calibri" w:cs="Calibri"/>
          <w:color w:val="333333"/>
        </w:rPr>
      </w:pPr>
      <w:r>
        <w:rPr>
          <w:rFonts w:ascii="Calibri" w:hAnsi="Calibri" w:cs="Calibri"/>
          <w:color w:val="333333"/>
        </w:rPr>
        <w:t> </w:t>
      </w:r>
    </w:p>
    <w:p w14:paraId="5E394930">
      <w:pPr>
        <w:pStyle w:val="4"/>
        <w:shd w:val="clear" w:color="auto" w:fill="FFFFFF"/>
        <w:spacing w:before="0" w:beforeAutospacing="0" w:after="0" w:afterAutospacing="0" w:line="580" w:lineRule="atLeast"/>
        <w:ind w:firstLine="640"/>
        <w:jc w:val="both"/>
        <w:rPr>
          <w:rFonts w:ascii="Calibri" w:hAnsi="Calibri" w:cs="Calibri"/>
          <w:color w:val="333333"/>
        </w:rPr>
      </w:pPr>
      <w:r>
        <w:rPr>
          <w:rFonts w:hint="eastAsia" w:ascii="楷体" w:hAnsi="楷体" w:eastAsia="楷体" w:cs="Calibri"/>
          <w:b/>
          <w:bCs/>
          <w:color w:val="333333"/>
          <w:sz w:val="32"/>
          <w:szCs w:val="32"/>
        </w:rPr>
        <w:t>一、主要职责</w:t>
      </w:r>
    </w:p>
    <w:p w14:paraId="0BC61F88">
      <w:pPr>
        <w:pStyle w:val="4"/>
        <w:shd w:val="clear" w:color="auto" w:fill="FFFFFF"/>
        <w:spacing w:before="0" w:beforeAutospacing="0" w:after="0" w:afterAutospacing="0" w:line="580" w:lineRule="atLeast"/>
        <w:ind w:firstLine="640"/>
        <w:jc w:val="both"/>
        <w:rPr>
          <w:rFonts w:ascii="仿宋" w:hAnsi="仿宋" w:eastAsia="仿宋" w:cs="Calibri"/>
          <w:color w:val="333333"/>
          <w:sz w:val="32"/>
          <w:szCs w:val="32"/>
          <w:shd w:val="clear" w:color="auto" w:fill="FFFFFF"/>
        </w:rPr>
      </w:pPr>
      <w:r>
        <w:rPr>
          <w:rFonts w:hint="eastAsia" w:ascii="仿宋" w:hAnsi="仿宋" w:eastAsia="仿宋" w:cs="Calibri"/>
          <w:color w:val="333333"/>
          <w:sz w:val="32"/>
          <w:szCs w:val="32"/>
          <w:shd w:val="clear" w:color="auto" w:fill="FFFFFF"/>
        </w:rPr>
        <w:t>负责全县文化宣传的业务指导，配合县委县政府的中心工作，积极组织群众文化活动，繁荣群众文化事业。承办文化宣传、文艺演出、美术摄影展览、文体比赛展览、文艺创作培训、文艺创作团体管理、业余文艺创作组织、群众文艺理论研究、文化交流团队组织和作品选送、民族民间文化艺术遗产收集整理。并负责抬阁肘阁、寿州锣鼓、紫金砚制作技艺等县级以上非物质文化遗产项目培训和监督管理工作。</w:t>
      </w:r>
    </w:p>
    <w:p w14:paraId="09D9D2E8">
      <w:pPr>
        <w:pStyle w:val="4"/>
        <w:shd w:val="clear" w:color="auto" w:fill="FFFFFF"/>
        <w:spacing w:before="0" w:beforeAutospacing="0" w:after="0" w:afterAutospacing="0" w:line="580" w:lineRule="atLeast"/>
        <w:ind w:firstLine="640"/>
        <w:jc w:val="both"/>
        <w:rPr>
          <w:rFonts w:ascii="Calibri" w:hAnsi="Calibri" w:cs="Calibri"/>
          <w:color w:val="333333"/>
        </w:rPr>
      </w:pPr>
      <w:r>
        <w:rPr>
          <w:rFonts w:hint="eastAsia" w:ascii="楷体" w:hAnsi="楷体" w:eastAsia="楷体" w:cs="Calibri"/>
          <w:b/>
          <w:bCs/>
          <w:color w:val="333333"/>
          <w:sz w:val="32"/>
          <w:szCs w:val="32"/>
        </w:rPr>
        <w:t>二、部门（单位）预算构成</w:t>
      </w:r>
    </w:p>
    <w:p w14:paraId="1514E77F">
      <w:pPr>
        <w:pStyle w:val="4"/>
        <w:shd w:val="clear" w:color="auto" w:fill="FFFFFF"/>
        <w:spacing w:before="0" w:beforeAutospacing="0" w:after="0" w:afterAutospacing="0" w:line="580" w:lineRule="atLeast"/>
        <w:ind w:firstLine="640"/>
        <w:jc w:val="both"/>
        <w:rPr>
          <w:rFonts w:ascii="Calibri" w:hAnsi="Calibri" w:cs="Calibri"/>
          <w:color w:val="333333"/>
        </w:rPr>
      </w:pPr>
      <w:r>
        <w:rPr>
          <w:rFonts w:hint="eastAsia" w:ascii="仿宋" w:hAnsi="仿宋" w:eastAsia="仿宋" w:cs="Calibri"/>
          <w:color w:val="333333"/>
          <w:sz w:val="32"/>
          <w:szCs w:val="32"/>
        </w:rPr>
        <w:t>寿县文化馆2025年度单位预算仅包括单位本级预算，无其他下属单位预算。</w:t>
      </w:r>
    </w:p>
    <w:p w14:paraId="7FC0CBA4">
      <w:pPr>
        <w:pStyle w:val="4"/>
        <w:shd w:val="clear" w:color="auto" w:fill="FFFFFF"/>
        <w:spacing w:before="0" w:beforeAutospacing="0" w:after="0" w:afterAutospacing="0" w:line="580" w:lineRule="atLeast"/>
        <w:ind w:firstLine="640"/>
        <w:jc w:val="both"/>
        <w:rPr>
          <w:rFonts w:ascii="Calibri" w:hAnsi="Calibri" w:cs="Calibri"/>
          <w:color w:val="333333"/>
        </w:rPr>
      </w:pPr>
      <w:r>
        <w:rPr>
          <w:rFonts w:hint="eastAsia" w:ascii="楷体" w:hAnsi="楷体" w:eastAsia="楷体" w:cs="Calibri"/>
          <w:b/>
          <w:bCs/>
          <w:color w:val="333333"/>
          <w:sz w:val="32"/>
          <w:szCs w:val="32"/>
        </w:rPr>
        <w:t>三、2025年度主要工作任务</w:t>
      </w:r>
    </w:p>
    <w:p w14:paraId="28B2678E">
      <w:pPr>
        <w:pStyle w:val="4"/>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1.扎实推进理论学习和党建工作。</w:t>
      </w:r>
    </w:p>
    <w:p w14:paraId="23E9A914">
      <w:pPr>
        <w:pStyle w:val="4"/>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2.做好馆基础设施维修、提升工作。（老馆明伦堂院落碑廊维修、增加新馆美术馆文化长廊多媒体展示系统,资金来源2025年文旅发展资金）</w:t>
      </w:r>
    </w:p>
    <w:p w14:paraId="2C84A13D">
      <w:pPr>
        <w:pStyle w:val="4"/>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3.做好培训工作，完成暑假文化艺术公益培训班和春秋季成人公益培训班的各项教学任务。</w:t>
      </w:r>
    </w:p>
    <w:p w14:paraId="26E19920">
      <w:pPr>
        <w:pStyle w:val="4"/>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4.开展文化活动，推进线上线下互动，举办书法、美术、摄影等各类展览12场次，开展各类文化活动60场次，线上活动50场。</w:t>
      </w:r>
    </w:p>
    <w:p w14:paraId="50D9AA4B">
      <w:pPr>
        <w:pStyle w:val="4"/>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5.着力打造“肘阁抬阁”“寿州锣鼓”“寿州大鼓”“寿州紫金砚”品牌，加强我县非遗传承保护。</w:t>
      </w:r>
    </w:p>
    <w:p w14:paraId="14DC5435">
      <w:pPr>
        <w:pStyle w:val="4"/>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6.在省级以上文学刊物上发表小说、散文20篇，发表历史研究论文6篇，出版小说《旋流》、非遗系列专著《寿州豆腐宴》（资金来源2024年文旅发展资金）。</w:t>
      </w:r>
    </w:p>
    <w:p w14:paraId="27154AAF">
      <w:pPr>
        <w:pStyle w:val="4"/>
        <w:shd w:val="clear" w:color="auto" w:fill="FFFFFF"/>
        <w:spacing w:before="0" w:beforeAutospacing="0" w:after="0" w:afterAutospacing="0"/>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7.完成主管局及上级主管部门交办的各项任务。</w:t>
      </w:r>
    </w:p>
    <w:p w14:paraId="10F4490D">
      <w:pPr>
        <w:topLinePunct/>
        <w:adjustRightInd w:val="0"/>
        <w:snapToGrid w:val="0"/>
        <w:spacing w:line="580" w:lineRule="exact"/>
        <w:ind w:firstLine="648" w:firstLineChars="200"/>
        <w:rPr>
          <w:rFonts w:ascii="TimesNewRoman" w:hAnsi="TimesNewRoman" w:eastAsia="仿宋_GB2312" w:cs="TimesNewRoman"/>
          <w:bCs/>
          <w:kern w:val="0"/>
          <w:sz w:val="32"/>
          <w:szCs w:val="32"/>
        </w:rPr>
        <w:sectPr>
          <w:footerReference r:id="rId3" w:type="default"/>
          <w:footerReference r:id="rId4" w:type="even"/>
          <w:pgSz w:w="11907" w:h="16840"/>
          <w:pgMar w:top="1803" w:right="1440" w:bottom="1803" w:left="1440" w:header="851" w:footer="1020" w:gutter="0"/>
          <w:cols w:space="720" w:num="1"/>
          <w:docGrid w:type="linesAndChars" w:linePitch="312" w:charSpace="1009"/>
        </w:sectPr>
      </w:pPr>
    </w:p>
    <w:p w14:paraId="3439ADD6">
      <w:pPr>
        <w:topLinePunct/>
        <w:adjustRightInd w:val="0"/>
        <w:snapToGrid w:val="0"/>
        <w:spacing w:line="560" w:lineRule="exact"/>
        <w:jc w:val="center"/>
        <w:rPr>
          <w:rFonts w:ascii="TimesNewRoman" w:hAnsi="TimesNewRoman" w:eastAsia="黑体" w:cs="TimesNewRoman"/>
          <w:bCs/>
          <w:kern w:val="0"/>
          <w:sz w:val="36"/>
          <w:szCs w:val="36"/>
        </w:rPr>
      </w:pPr>
      <w:r>
        <w:rPr>
          <w:rFonts w:ascii="TimesNewRoman" w:hAnsi="TimesNewRoman" w:eastAsia="黑体" w:cs="TimesNewRoman"/>
          <w:bCs/>
          <w:kern w:val="0"/>
          <w:sz w:val="36"/>
          <w:szCs w:val="36"/>
        </w:rPr>
        <w:t>第</w:t>
      </w:r>
      <w:r>
        <w:rPr>
          <w:rFonts w:hint="eastAsia" w:ascii="TimesNewRoman" w:hAnsi="TimesNewRoman" w:eastAsia="黑体" w:cs="TimesNewRoman"/>
          <w:bCs/>
          <w:kern w:val="0"/>
          <w:sz w:val="36"/>
          <w:szCs w:val="36"/>
        </w:rPr>
        <w:t>二</w:t>
      </w:r>
      <w:r>
        <w:rPr>
          <w:rFonts w:ascii="TimesNewRoman" w:hAnsi="TimesNewRoman" w:eastAsia="黑体" w:cs="TimesNewRoman"/>
          <w:bCs/>
          <w:kern w:val="0"/>
          <w:sz w:val="36"/>
          <w:szCs w:val="36"/>
        </w:rPr>
        <w:t xml:space="preserve">部分 </w:t>
      </w:r>
      <w:r>
        <w:rPr>
          <w:rFonts w:hint="eastAsia" w:ascii="TimesNewRoman" w:hAnsi="TimesNewRoman" w:eastAsia="黑体" w:cs="TimesNewRoman"/>
          <w:bCs/>
          <w:kern w:val="0"/>
          <w:sz w:val="36"/>
          <w:szCs w:val="36"/>
        </w:rPr>
        <w:t>2025</w:t>
      </w:r>
      <w:r>
        <w:rPr>
          <w:rFonts w:ascii="TimesNewRoman" w:hAnsi="TimesNewRoman" w:eastAsia="黑体" w:cs="TimesNewRoman"/>
          <w:bCs/>
          <w:kern w:val="0"/>
          <w:sz w:val="36"/>
          <w:szCs w:val="36"/>
        </w:rPr>
        <w:t>年单位预算情况说明</w:t>
      </w:r>
    </w:p>
    <w:p w14:paraId="4FAF3845">
      <w:pPr>
        <w:topLinePunct/>
        <w:adjustRightInd w:val="0"/>
        <w:snapToGrid w:val="0"/>
        <w:spacing w:line="580" w:lineRule="exact"/>
        <w:ind w:firstLine="643" w:firstLineChars="200"/>
        <w:rPr>
          <w:rFonts w:ascii="楷体_GB2312" w:hAnsi="TimesNewRoman" w:eastAsia="楷体_GB2312" w:cs="TimesNewRoman"/>
          <w:b/>
          <w:kern w:val="0"/>
          <w:sz w:val="32"/>
          <w:szCs w:val="32"/>
        </w:rPr>
      </w:pPr>
    </w:p>
    <w:p w14:paraId="056CDDD3">
      <w:pPr>
        <w:topLinePunct/>
        <w:adjustRightInd w:val="0"/>
        <w:snapToGrid w:val="0"/>
        <w:spacing w:line="580" w:lineRule="exact"/>
        <w:ind w:firstLine="643" w:firstLineChars="200"/>
        <w:rPr>
          <w:rFonts w:ascii="楷体_GB2312" w:hAnsi="TimesNewRoman" w:eastAsia="楷体_GB2312" w:cs="TimesNewRoman"/>
          <w:b/>
          <w:kern w:val="0"/>
          <w:sz w:val="32"/>
          <w:szCs w:val="32"/>
        </w:rPr>
      </w:pPr>
      <w:r>
        <w:rPr>
          <w:rFonts w:hint="eastAsia" w:ascii="楷体_GB2312" w:hAnsi="TimesNewRoman" w:eastAsia="楷体_GB2312" w:cs="TimesNewRoman"/>
          <w:b/>
          <w:kern w:val="0"/>
          <w:sz w:val="32"/>
          <w:szCs w:val="32"/>
        </w:rPr>
        <w:t>一、关于2025年收支总表的说明</w:t>
      </w:r>
    </w:p>
    <w:p w14:paraId="1920E440">
      <w:pPr>
        <w:topLinePunct/>
        <w:adjustRightInd w:val="0"/>
        <w:snapToGrid w:val="0"/>
        <w:spacing w:line="580" w:lineRule="exact"/>
        <w:ind w:firstLine="627" w:firstLineChars="196"/>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按照综合预算的原则，寿县文化馆所有收入和支出均纳入单位预算管理。寿县文化馆2025年收支总预算164.93万元，收入全部是一般公共预算拨款收入。支出包括：一般公共服务支出、社会保障和就业支出、卫生健康支出、住房保障支出。</w:t>
      </w:r>
    </w:p>
    <w:p w14:paraId="3B031BF2">
      <w:pPr>
        <w:topLinePunct/>
        <w:adjustRightInd w:val="0"/>
        <w:snapToGrid w:val="0"/>
        <w:spacing w:line="580" w:lineRule="exact"/>
        <w:ind w:firstLine="643" w:firstLineChars="200"/>
        <w:rPr>
          <w:rFonts w:ascii="楷体_GB2312" w:hAnsi="TimesNewRoman" w:eastAsia="楷体_GB2312" w:cs="TimesNewRoman"/>
          <w:b/>
          <w:kern w:val="0"/>
          <w:sz w:val="32"/>
          <w:szCs w:val="32"/>
        </w:rPr>
      </w:pPr>
      <w:r>
        <w:rPr>
          <w:rFonts w:hint="eastAsia" w:ascii="楷体_GB2312" w:hAnsi="TimesNewRoman" w:eastAsia="楷体_GB2312" w:cs="TimesNewRoman"/>
          <w:b/>
          <w:kern w:val="0"/>
          <w:sz w:val="32"/>
          <w:szCs w:val="32"/>
        </w:rPr>
        <w:t>二、关于2025年收入总表的说明</w:t>
      </w:r>
    </w:p>
    <w:p w14:paraId="49E17758">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寿县文化馆</w:t>
      </w:r>
      <w:r>
        <w:rPr>
          <w:rFonts w:hint="eastAsia" w:ascii="仿宋_GB2312" w:hAnsi="TimesNewRoman" w:eastAsia="仿宋_GB2312" w:cs="TimesNewRoman"/>
          <w:sz w:val="32"/>
          <w:szCs w:val="32"/>
        </w:rPr>
        <w:t>2025年收入预算164.93万元，其中，本年收入164.93万元，上年结转收入0万元。</w:t>
      </w:r>
    </w:p>
    <w:p w14:paraId="70147962">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（一）本年收入164.93万元，主要包括：一般公共预算拨款收入164.93万元，占100%，比2024年预算增加23.37万元，增长14.17%，增长原因主要是人员工资增加</w:t>
      </w:r>
    </w:p>
    <w:p w14:paraId="4921EFBC">
      <w:pPr>
        <w:topLinePunct/>
        <w:adjustRightInd w:val="0"/>
        <w:snapToGrid w:val="0"/>
        <w:spacing w:line="580" w:lineRule="exact"/>
        <w:ind w:firstLine="643" w:firstLineChars="200"/>
        <w:rPr>
          <w:rFonts w:ascii="楷体_GB2312" w:hAnsi="TimesNewRoman" w:eastAsia="楷体_GB2312" w:cs="TimesNewRoman"/>
          <w:b/>
          <w:kern w:val="0"/>
          <w:sz w:val="32"/>
          <w:szCs w:val="32"/>
        </w:rPr>
      </w:pPr>
      <w:r>
        <w:rPr>
          <w:rFonts w:hint="eastAsia" w:ascii="楷体_GB2312" w:hAnsi="TimesNewRoman" w:eastAsia="楷体_GB2312" w:cs="TimesNewRoman"/>
          <w:b/>
          <w:kern w:val="0"/>
          <w:sz w:val="32"/>
          <w:szCs w:val="32"/>
        </w:rPr>
        <w:t>三、关于2025年支出总表的说明</w:t>
      </w:r>
    </w:p>
    <w:p w14:paraId="36392CB3">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文化馆2025年支出预算164.93万元，比2024年预算增加23.37万元，增长14.17%，增长原因主要是人员工资增加。其中，基本支出144.93万元，占87.87%，主要用于保障机构日常运转、完成日常工作任务，人员工资；项目支出20万元，占12.13%，主要用于开展文化活动等。</w:t>
      </w:r>
    </w:p>
    <w:p w14:paraId="5D1BAAC9">
      <w:pPr>
        <w:topLinePunct/>
        <w:adjustRightInd w:val="0"/>
        <w:snapToGrid w:val="0"/>
        <w:spacing w:line="580" w:lineRule="exact"/>
        <w:ind w:firstLine="643" w:firstLineChars="200"/>
        <w:rPr>
          <w:rFonts w:ascii="楷体_GB2312" w:hAnsi="TimesNewRoman" w:eastAsia="楷体_GB2312" w:cs="TimesNewRoman"/>
          <w:b/>
          <w:kern w:val="0"/>
          <w:sz w:val="32"/>
          <w:szCs w:val="32"/>
        </w:rPr>
      </w:pPr>
      <w:r>
        <w:rPr>
          <w:rFonts w:hint="eastAsia" w:ascii="楷体_GB2312" w:hAnsi="TimesNewRoman" w:eastAsia="楷体_GB2312" w:cs="TimesNewRoman"/>
          <w:b/>
          <w:kern w:val="0"/>
          <w:sz w:val="32"/>
          <w:szCs w:val="32"/>
        </w:rPr>
        <w:t>四、关于2025年财政拨款收支总表的说明</w:t>
      </w:r>
    </w:p>
    <w:p w14:paraId="69786173">
      <w:pPr>
        <w:topLinePunct/>
        <w:adjustRightInd w:val="0"/>
        <w:snapToGrid w:val="0"/>
        <w:spacing w:line="580" w:lineRule="exact"/>
        <w:ind w:firstLine="640" w:firstLineChars="200"/>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寿县文化馆2025年财政拨款收支预算164.93万元。收入按资金来源分为：一般公共预算拨款164.93万元。支出按功能分类分为：</w:t>
      </w:r>
      <w:r>
        <w:rPr>
          <w:rFonts w:hint="eastAsia" w:ascii="仿宋" w:hAnsi="仿宋" w:eastAsia="仿宋" w:cs="Times New Roman"/>
          <w:bCs/>
          <w:color w:val="333333"/>
          <w:sz w:val="32"/>
          <w:szCs w:val="32"/>
          <w:shd w:val="clear" w:color="auto" w:fill="FFFFFF"/>
        </w:rPr>
        <w:t>文化旅游体育与传媒支出</w:t>
      </w:r>
      <w:r>
        <w:rPr>
          <w:rFonts w:hint="eastAsia" w:ascii="仿宋_GB2312" w:hAnsi="TimesNewRoman" w:eastAsia="仿宋_GB2312" w:cs="TimesNewRoman"/>
          <w:kern w:val="0"/>
          <w:sz w:val="32"/>
          <w:szCs w:val="32"/>
        </w:rPr>
        <w:t>134.37万元，占81.47%；社会保障和就业支出17.95万元，占10.88%；卫生健康支出3.84万元，占2.33%；住房保障支出8.78万元，占5.32%。</w:t>
      </w:r>
    </w:p>
    <w:p w14:paraId="2B681635">
      <w:pPr>
        <w:topLinePunct/>
        <w:adjustRightInd w:val="0"/>
        <w:snapToGrid w:val="0"/>
        <w:spacing w:line="580" w:lineRule="exact"/>
        <w:ind w:firstLine="643" w:firstLineChars="200"/>
        <w:rPr>
          <w:rFonts w:ascii="楷体_GB2312" w:hAnsi="TimesNewRoman" w:eastAsia="楷体_GB2312" w:cs="TimesNewRoman"/>
          <w:b/>
          <w:kern w:val="0"/>
          <w:sz w:val="32"/>
          <w:szCs w:val="32"/>
        </w:rPr>
      </w:pPr>
      <w:r>
        <w:rPr>
          <w:rFonts w:hint="eastAsia" w:ascii="楷体_GB2312" w:hAnsi="TimesNewRoman" w:eastAsia="楷体_GB2312" w:cs="TimesNewRoman"/>
          <w:b/>
          <w:kern w:val="0"/>
          <w:sz w:val="32"/>
          <w:szCs w:val="32"/>
        </w:rPr>
        <w:t>五、关于2025年一般公共预算支出表的说明</w:t>
      </w:r>
    </w:p>
    <w:p w14:paraId="750748ED">
      <w:pPr>
        <w:topLinePunct/>
        <w:adjustRightInd w:val="0"/>
        <w:snapToGrid w:val="0"/>
        <w:spacing w:line="580" w:lineRule="exact"/>
        <w:ind w:firstLine="630" w:firstLineChars="196"/>
        <w:rPr>
          <w:rFonts w:ascii="仿宋_GB2312" w:hAnsi="TimesNewRoman" w:eastAsia="仿宋_GB2312" w:cs="TimesNewRoman"/>
          <w:b/>
          <w:kern w:val="0"/>
          <w:sz w:val="32"/>
          <w:szCs w:val="32"/>
        </w:rPr>
      </w:pPr>
      <w:r>
        <w:rPr>
          <w:rFonts w:hint="eastAsia" w:ascii="仿宋_GB2312" w:hAnsi="TimesNewRoman" w:eastAsia="仿宋_GB2312" w:cs="TimesNewRoman"/>
          <w:b/>
          <w:kern w:val="0"/>
          <w:sz w:val="32"/>
          <w:szCs w:val="32"/>
        </w:rPr>
        <w:t>（一）一般公共预算支出规模变化情况。</w:t>
      </w:r>
    </w:p>
    <w:p w14:paraId="2D0BB445">
      <w:pPr>
        <w:topLinePunct/>
        <w:adjustRightInd w:val="0"/>
        <w:snapToGrid w:val="0"/>
        <w:spacing w:line="580" w:lineRule="exact"/>
        <w:ind w:firstLine="627" w:firstLineChars="196"/>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寿县文化馆2025年一般公共预算支出164.93万元，比2024年预算增加23.37万元，增长14.17%，主要原因：一是人员工资增加；二是文化活动增加。</w:t>
      </w:r>
    </w:p>
    <w:p w14:paraId="1F37B15D">
      <w:pPr>
        <w:topLinePunct/>
        <w:adjustRightInd w:val="0"/>
        <w:snapToGrid w:val="0"/>
        <w:spacing w:line="580" w:lineRule="exact"/>
        <w:ind w:firstLine="630" w:firstLineChars="196"/>
        <w:rPr>
          <w:rFonts w:ascii="仿宋_GB2312" w:hAnsi="TimesNewRoman" w:eastAsia="仿宋_GB2312" w:cs="TimesNewRoman"/>
          <w:b/>
          <w:kern w:val="0"/>
          <w:sz w:val="32"/>
          <w:szCs w:val="32"/>
        </w:rPr>
      </w:pPr>
      <w:r>
        <w:rPr>
          <w:rFonts w:hint="eastAsia" w:ascii="仿宋_GB2312" w:hAnsi="TimesNewRoman" w:eastAsia="仿宋_GB2312" w:cs="TimesNewRoman"/>
          <w:b/>
          <w:kern w:val="0"/>
          <w:sz w:val="32"/>
          <w:szCs w:val="32"/>
        </w:rPr>
        <w:t>（二）一般公共预算支出结构情况。</w:t>
      </w:r>
    </w:p>
    <w:p w14:paraId="239237C0">
      <w:pPr>
        <w:topLinePunct/>
        <w:adjustRightInd w:val="0"/>
        <w:snapToGrid w:val="0"/>
        <w:spacing w:line="580" w:lineRule="exact"/>
        <w:ind w:firstLine="640" w:firstLineChars="200"/>
        <w:rPr>
          <w:rFonts w:ascii="仿宋_GB2312" w:hAnsi="TimesNewRoman" w:eastAsia="仿宋_GB2312" w:cs="TimesNewRoman"/>
          <w:kern w:val="0"/>
          <w:sz w:val="32"/>
          <w:szCs w:val="32"/>
        </w:rPr>
      </w:pPr>
      <w:r>
        <w:rPr>
          <w:rFonts w:hint="eastAsia" w:ascii="仿宋" w:hAnsi="仿宋" w:eastAsia="仿宋" w:cs="Times New Roman"/>
          <w:bCs/>
          <w:color w:val="333333"/>
          <w:sz w:val="32"/>
          <w:szCs w:val="32"/>
          <w:shd w:val="clear" w:color="auto" w:fill="FFFFFF"/>
        </w:rPr>
        <w:t>文化旅游体育与传媒支出</w:t>
      </w:r>
      <w:r>
        <w:rPr>
          <w:rFonts w:hint="eastAsia" w:ascii="仿宋_GB2312" w:hAnsi="TimesNewRoman" w:eastAsia="仿宋_GB2312" w:cs="TimesNewRoman"/>
          <w:kern w:val="0"/>
          <w:sz w:val="32"/>
          <w:szCs w:val="32"/>
        </w:rPr>
        <w:t>134.37万元，占81.47%；社会保障和就业支出17.95万元，占10.88%；卫生健康支出3.84万元，占2.33%；住房保障支出8.78万元，占5.32%。</w:t>
      </w:r>
    </w:p>
    <w:p w14:paraId="4FCB9932">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14:paraId="7EE9EA30">
      <w:pPr>
        <w:pStyle w:val="4"/>
        <w:shd w:val="clear" w:color="auto" w:fill="FFFFFF"/>
        <w:spacing w:before="0" w:beforeAutospacing="0" w:after="0" w:afterAutospacing="0" w:line="58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1.</w:t>
      </w:r>
      <w:r>
        <w:rPr>
          <w:rFonts w:hint="eastAsia"/>
          <w:b/>
          <w:bCs/>
          <w:color w:val="333333"/>
          <w:sz w:val="32"/>
          <w:szCs w:val="32"/>
          <w:shd w:val="clear" w:color="auto" w:fill="FFFFFF"/>
        </w:rPr>
        <w:t> </w:t>
      </w:r>
      <w:r>
        <w:rPr>
          <w:rFonts w:hint="eastAsia" w:ascii="仿宋" w:hAnsi="仿宋" w:eastAsia="仿宋" w:cs="Times New Roman"/>
          <w:b/>
          <w:bCs/>
          <w:color w:val="333333"/>
          <w:sz w:val="32"/>
          <w:szCs w:val="32"/>
          <w:shd w:val="clear" w:color="auto" w:fill="FFFFFF"/>
        </w:rPr>
        <w:t>文化旅游体育与传媒支出（类）文化和旅游（款）群众文化（项）</w:t>
      </w:r>
      <w:r>
        <w:rPr>
          <w:rFonts w:hint="eastAsia" w:ascii="仿宋" w:hAnsi="仿宋" w:eastAsia="仿宋" w:cs="Times New Roman"/>
          <w:color w:val="333333"/>
          <w:sz w:val="32"/>
          <w:szCs w:val="32"/>
        </w:rPr>
        <w:t>2025年预算134.37万元，比2024年预算增加18.68万元，增长13.9%，增长原因主要是薪资预算增加。</w:t>
      </w:r>
    </w:p>
    <w:p w14:paraId="1EE9C714">
      <w:pPr>
        <w:pStyle w:val="4"/>
        <w:shd w:val="clear" w:color="auto" w:fill="FFFFFF"/>
        <w:spacing w:before="0" w:beforeAutospacing="0" w:after="0" w:afterAutospacing="0" w:line="58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2.</w:t>
      </w:r>
      <w:r>
        <w:rPr>
          <w:rFonts w:hint="eastAsia"/>
          <w:b/>
          <w:bCs/>
          <w:color w:val="333333"/>
          <w:sz w:val="32"/>
          <w:szCs w:val="32"/>
          <w:shd w:val="clear" w:color="auto" w:fill="FFFFFF"/>
        </w:rPr>
        <w:t> </w:t>
      </w:r>
      <w:r>
        <w:rPr>
          <w:rFonts w:hint="eastAsia" w:ascii="仿宋" w:hAnsi="仿宋" w:eastAsia="仿宋" w:cs="Times New Roman"/>
          <w:b/>
          <w:bCs/>
          <w:color w:val="333333"/>
          <w:sz w:val="32"/>
          <w:szCs w:val="32"/>
          <w:shd w:val="clear" w:color="auto" w:fill="FFFFFF"/>
        </w:rPr>
        <w:t>社会保障和就业支出（类）行政事业单位养老支出（款）机关事业单位基本养老保险缴费支出（项）</w:t>
      </w:r>
      <w:r>
        <w:rPr>
          <w:rFonts w:hint="eastAsia" w:ascii="仿宋" w:hAnsi="仿宋" w:eastAsia="仿宋" w:cs="Times New Roman"/>
          <w:color w:val="333333"/>
          <w:sz w:val="32"/>
          <w:szCs w:val="32"/>
        </w:rPr>
        <w:t>2025年预算11.70万元，比2024年预算增加0.2万元，增长1.74%，增长原因主要是养老保险缴费基数增加。</w:t>
      </w:r>
    </w:p>
    <w:p w14:paraId="5518C594">
      <w:pPr>
        <w:pStyle w:val="4"/>
        <w:shd w:val="clear" w:color="auto" w:fill="FFFFFF"/>
        <w:spacing w:before="0" w:beforeAutospacing="0" w:after="0" w:afterAutospacing="0" w:line="58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3.</w:t>
      </w:r>
      <w:r>
        <w:rPr>
          <w:rFonts w:hint="eastAsia"/>
          <w:b/>
          <w:bCs/>
          <w:color w:val="333333"/>
          <w:sz w:val="32"/>
          <w:szCs w:val="32"/>
          <w:shd w:val="clear" w:color="auto" w:fill="FFFFFF"/>
        </w:rPr>
        <w:t> </w:t>
      </w:r>
      <w:r>
        <w:rPr>
          <w:rFonts w:hint="eastAsia" w:ascii="仿宋" w:hAnsi="仿宋" w:eastAsia="仿宋" w:cs="Times New Roman"/>
          <w:b/>
          <w:bCs/>
          <w:color w:val="333333"/>
          <w:sz w:val="32"/>
          <w:szCs w:val="32"/>
          <w:shd w:val="clear" w:color="auto" w:fill="FFFFFF"/>
        </w:rPr>
        <w:t>社会保障和就业支出（类）行政事业单位养老支出（款）机关事业单位职业年金缴费支出（项）</w:t>
      </w:r>
      <w:r>
        <w:rPr>
          <w:rFonts w:hint="eastAsia" w:ascii="仿宋" w:hAnsi="仿宋" w:eastAsia="仿宋" w:cs="Times New Roman"/>
          <w:color w:val="333333"/>
          <w:sz w:val="32"/>
          <w:szCs w:val="32"/>
        </w:rPr>
        <w:t>2025年预算5.85万元，比2024年预算增长0.1万元，增长1.71%，增长原因主要是养老保险缴费基数增加。</w:t>
      </w:r>
    </w:p>
    <w:p w14:paraId="229E95D7">
      <w:pPr>
        <w:pStyle w:val="4"/>
        <w:shd w:val="clear" w:color="auto" w:fill="FFFFFF"/>
        <w:spacing w:before="0" w:beforeAutospacing="0" w:after="0" w:afterAutospacing="0" w:line="580" w:lineRule="atLeast"/>
        <w:ind w:firstLine="643"/>
        <w:jc w:val="both"/>
        <w:rPr>
          <w:rFonts w:ascii="Times New Roman" w:hAnsi="Times New Roman" w:cs="Times New Roman"/>
          <w:color w:val="333333"/>
          <w:sz w:val="21"/>
          <w:szCs w:val="21"/>
        </w:rPr>
      </w:pPr>
      <w:r>
        <w:rPr>
          <w:rFonts w:hint="eastAsia" w:ascii="Times New Roman" w:hAnsi="Times New Roman" w:cs="Times New Roman"/>
          <w:color w:val="333333"/>
          <w:sz w:val="36"/>
          <w:szCs w:val="36"/>
        </w:rPr>
        <w:t>4</w:t>
      </w:r>
      <w:r>
        <w:rPr>
          <w:rFonts w:hint="eastAsia" w:ascii="Times New Roman" w:hAnsi="Times New Roman" w:cs="Times New Roman"/>
          <w:b/>
          <w:color w:val="333333"/>
          <w:sz w:val="30"/>
          <w:szCs w:val="30"/>
        </w:rPr>
        <w:t>．卫生健康支出（类）行政事业单位医疗（款）</w:t>
      </w:r>
      <w:r>
        <w:rPr>
          <w:rFonts w:ascii="Times New Roman" w:hAnsi="Times New Roman" w:cs="Times New Roman"/>
          <w:b/>
          <w:color w:val="333333"/>
          <w:sz w:val="30"/>
          <w:szCs w:val="30"/>
        </w:rPr>
        <w:t> 事业单位医疗</w:t>
      </w:r>
      <w:r>
        <w:rPr>
          <w:rFonts w:hint="eastAsia" w:ascii="仿宋" w:hAnsi="仿宋" w:eastAsia="仿宋" w:cs="Times New Roman"/>
          <w:color w:val="333333"/>
          <w:sz w:val="32"/>
          <w:szCs w:val="32"/>
        </w:rPr>
        <w:t>2025年预算3.84万元，比2024年预算增加3.84万元，增长100%，增长原因主要是2024年没做此项预算。</w:t>
      </w:r>
    </w:p>
    <w:p w14:paraId="7462F57F">
      <w:pPr>
        <w:pStyle w:val="4"/>
        <w:shd w:val="clear" w:color="auto" w:fill="FFFFFF"/>
        <w:spacing w:before="0" w:beforeAutospacing="0" w:after="0" w:afterAutospacing="0" w:line="58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5.住房保障支出（类）住房改革支出（款）住房公积金（项）</w:t>
      </w:r>
      <w:r>
        <w:rPr>
          <w:rFonts w:hint="eastAsia" w:ascii="仿宋" w:hAnsi="仿宋" w:eastAsia="仿宋" w:cs="Times New Roman"/>
          <w:color w:val="333333"/>
          <w:sz w:val="32"/>
          <w:szCs w:val="32"/>
        </w:rPr>
        <w:t>2025年预算8.78万元，比2024年预算增加0.16万元，增长1.82%，增长原因主要是有人员工资增加基数增加。</w:t>
      </w:r>
    </w:p>
    <w:p w14:paraId="347D7A32">
      <w:pPr>
        <w:topLinePunct/>
        <w:adjustRightInd w:val="0"/>
        <w:snapToGrid w:val="0"/>
        <w:spacing w:line="580" w:lineRule="exact"/>
        <w:ind w:firstLine="643" w:firstLineChars="200"/>
        <w:rPr>
          <w:rFonts w:ascii="楷体_GB2312" w:hAnsi="TimesNewRoman" w:eastAsia="楷体_GB2312" w:cs="TimesNewRoman"/>
          <w:b/>
          <w:kern w:val="0"/>
          <w:sz w:val="32"/>
          <w:szCs w:val="32"/>
        </w:rPr>
      </w:pPr>
      <w:r>
        <w:rPr>
          <w:rFonts w:hint="eastAsia" w:ascii="楷体_GB2312" w:hAnsi="TimesNewRoman" w:eastAsia="楷体_GB2312" w:cs="TimesNewRoman"/>
          <w:b/>
          <w:kern w:val="0"/>
          <w:sz w:val="32"/>
          <w:szCs w:val="32"/>
        </w:rPr>
        <w:t>六、关于2025年一般公共预算基本支出表的说明</w:t>
      </w:r>
    </w:p>
    <w:p w14:paraId="034D3D5A">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寿县文化馆2025年一般公共预算基本支出144.93万元，其中，人员经费140.77万元，公用经费4.16万元。</w:t>
      </w:r>
    </w:p>
    <w:p w14:paraId="33772D89">
      <w:pPr>
        <w:topLinePunct/>
        <w:spacing w:line="580" w:lineRule="exact"/>
        <w:ind w:firstLine="640" w:firstLineChars="200"/>
        <w:rPr>
          <w:rFonts w:ascii="仿宋_GB2312" w:hAnsi="TimesNewRoman" w:eastAsia="仿宋_GB2312" w:cs="TimesNewRoman"/>
          <w:sz w:val="32"/>
          <w:szCs w:val="32"/>
          <w:u w:val="none"/>
        </w:rPr>
      </w:pPr>
      <w:r>
        <w:rPr>
          <w:rFonts w:hint="eastAsia" w:ascii="仿宋_GB2312" w:hAnsi="TimesNewRoman" w:eastAsia="仿宋_GB2312" w:cs="TimesNewRoman"/>
          <w:sz w:val="32"/>
          <w:szCs w:val="32"/>
        </w:rPr>
        <w:t>（一）人员经费140.77万元，主要包括:</w:t>
      </w:r>
      <w:r>
        <w:rPr>
          <w:rFonts w:hint="eastAsia" w:ascii="仿宋_GB2312" w:hAnsi="TimesNewRoman" w:eastAsia="仿宋_GB2312" w:cs="TimesNewRoman"/>
          <w:sz w:val="32"/>
          <w:szCs w:val="32"/>
          <w:u w:val="none"/>
        </w:rPr>
        <w:t>基本工资、津贴补贴、奖金、伙食补助费、绩效工资、机关事业单位基本养老保险费、职业年金缴费、职工基本医疗保险缴费、其他社会保障缴费、住房公积金、其他工资福利支出、退休费、退职（役）费、抚恤金、生活补助、救济费、奖励金、对其他个人和家庭的补助支出。</w:t>
      </w:r>
    </w:p>
    <w:p w14:paraId="6515CF1F">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二）公用经费4.16万元，主要包括：办公费、印刷费、咨询费、手续费、水费、电费、邮电费、取暖费、物业管理费、差旅费、因公出国（境）费、维修（护）费、租赁费、会议费、培训费、公务接待费、专用材料费、被装购置费、专用燃料费、劳务费、委托业务费、工会经费、福利费、其他交通费用、税金及附加费用、其他商品服务支出。</w:t>
      </w:r>
    </w:p>
    <w:p w14:paraId="56E76985">
      <w:pPr>
        <w:pStyle w:val="4"/>
        <w:shd w:val="clear" w:color="auto" w:fill="FFFFFF"/>
        <w:spacing w:before="0" w:beforeAutospacing="0" w:after="0" w:afterAutospacing="0" w:line="580" w:lineRule="atLeast"/>
        <w:ind w:firstLine="643"/>
        <w:jc w:val="both"/>
        <w:rPr>
          <w:rFonts w:ascii="Calibri" w:hAnsi="Calibri" w:cs="Calibri"/>
          <w:color w:val="333333"/>
        </w:rPr>
      </w:pPr>
      <w:r>
        <w:rPr>
          <w:rFonts w:hint="eastAsia" w:ascii="楷体" w:hAnsi="楷体" w:eastAsia="楷体" w:cs="Calibri"/>
          <w:b/>
          <w:bCs/>
          <w:color w:val="333333"/>
          <w:sz w:val="32"/>
          <w:szCs w:val="32"/>
        </w:rPr>
        <w:t>七、关于2025年政府性基金预算支出表的说明</w:t>
      </w:r>
    </w:p>
    <w:p w14:paraId="2640890E">
      <w:pPr>
        <w:pStyle w:val="4"/>
        <w:shd w:val="clear" w:color="auto" w:fill="FFFFFF"/>
        <w:spacing w:before="0" w:beforeAutospacing="0" w:after="0" w:afterAutospacing="0" w:line="580" w:lineRule="atLeast"/>
        <w:ind w:firstLine="640"/>
        <w:jc w:val="both"/>
        <w:rPr>
          <w:rFonts w:ascii="Calibri" w:hAnsi="Calibri" w:cs="Calibri"/>
          <w:color w:val="333333"/>
        </w:rPr>
      </w:pPr>
      <w:r>
        <w:rPr>
          <w:rFonts w:hint="eastAsia" w:ascii="仿宋" w:hAnsi="仿宋" w:eastAsia="仿宋" w:cs="Calibri"/>
          <w:color w:val="333333"/>
          <w:sz w:val="32"/>
          <w:szCs w:val="32"/>
        </w:rPr>
        <w:t>寿县文化馆2025年没有政府性基金预算拨款收入，也没有使用政府性基金预算拨款安排的支出。</w:t>
      </w:r>
    </w:p>
    <w:p w14:paraId="5E5448BE">
      <w:pPr>
        <w:pStyle w:val="4"/>
        <w:shd w:val="clear" w:color="auto" w:fill="FFFFFF"/>
        <w:spacing w:before="0" w:beforeAutospacing="0" w:after="0" w:afterAutospacing="0" w:line="580" w:lineRule="atLeast"/>
        <w:ind w:firstLine="643"/>
        <w:jc w:val="both"/>
        <w:rPr>
          <w:rFonts w:ascii="Calibri" w:hAnsi="Calibri" w:cs="Calibri"/>
          <w:color w:val="333333"/>
        </w:rPr>
      </w:pPr>
      <w:r>
        <w:rPr>
          <w:rFonts w:hint="eastAsia" w:ascii="楷体" w:hAnsi="楷体" w:eastAsia="楷体" w:cs="Calibri"/>
          <w:b/>
          <w:bCs/>
          <w:color w:val="333333"/>
          <w:sz w:val="32"/>
          <w:szCs w:val="32"/>
        </w:rPr>
        <w:t>八、关于2025年国有资本经营预算支出表的说明</w:t>
      </w:r>
    </w:p>
    <w:p w14:paraId="4BA5F72D">
      <w:pPr>
        <w:pStyle w:val="4"/>
        <w:shd w:val="clear" w:color="auto" w:fill="FFFFFF"/>
        <w:spacing w:before="0" w:beforeAutospacing="0" w:after="0" w:afterAutospacing="0" w:line="580" w:lineRule="atLeast"/>
        <w:ind w:firstLine="640"/>
        <w:jc w:val="both"/>
        <w:rPr>
          <w:rFonts w:ascii="Calibri" w:hAnsi="Calibri" w:cs="Calibri"/>
          <w:color w:val="333333"/>
        </w:rPr>
      </w:pPr>
      <w:r>
        <w:rPr>
          <w:rFonts w:hint="eastAsia" w:ascii="仿宋" w:hAnsi="仿宋" w:eastAsia="仿宋" w:cs="Calibri"/>
          <w:color w:val="333333"/>
          <w:sz w:val="32"/>
          <w:szCs w:val="32"/>
        </w:rPr>
        <w:t>寿县文化馆2025年没有国有资本经营预算拨款收入，也没有使用国有资本经营预算拨款安排的支出。</w:t>
      </w:r>
    </w:p>
    <w:p w14:paraId="0438B276">
      <w:pPr>
        <w:topLinePunct/>
        <w:adjustRightInd w:val="0"/>
        <w:snapToGrid w:val="0"/>
        <w:spacing w:line="580" w:lineRule="exact"/>
        <w:ind w:firstLine="643" w:firstLineChars="200"/>
        <w:rPr>
          <w:rFonts w:ascii="楷体_GB2312" w:hAnsi="TimesNewRoman" w:eastAsia="楷体_GB2312" w:cs="TimesNewRoman"/>
          <w:b/>
          <w:kern w:val="0"/>
          <w:sz w:val="32"/>
          <w:szCs w:val="32"/>
        </w:rPr>
      </w:pPr>
      <w:r>
        <w:rPr>
          <w:rFonts w:hint="eastAsia" w:ascii="楷体_GB2312" w:hAnsi="TimesNewRoman" w:eastAsia="楷体_GB2312" w:cs="TimesNewRoman"/>
          <w:b/>
          <w:kern w:val="0"/>
          <w:sz w:val="32"/>
          <w:szCs w:val="32"/>
        </w:rPr>
        <w:t>九、关于2025年项目支出表的说明</w:t>
      </w:r>
    </w:p>
    <w:p w14:paraId="5FA2BBC2">
      <w:pPr>
        <w:topLinePunct/>
        <w:adjustRightInd w:val="0"/>
        <w:snapToGrid w:val="0"/>
        <w:spacing w:line="580" w:lineRule="exact"/>
        <w:ind w:firstLine="640" w:firstLineChars="200"/>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寿县文化馆2025年预算共安排项目支出20万元，比2024年预算增加（减少）0万元，增长（下降）0%。</w:t>
      </w:r>
    </w:p>
    <w:p w14:paraId="33536B98">
      <w:pPr>
        <w:pStyle w:val="4"/>
        <w:shd w:val="clear" w:color="auto" w:fill="FFFFFF"/>
        <w:spacing w:before="0" w:beforeAutospacing="0" w:after="0" w:afterAutospacing="0" w:line="580" w:lineRule="atLeast"/>
        <w:ind w:firstLine="643"/>
        <w:jc w:val="both"/>
        <w:rPr>
          <w:rFonts w:ascii="Calibri" w:hAnsi="Calibri" w:cs="Calibri"/>
          <w:color w:val="333333"/>
        </w:rPr>
      </w:pPr>
      <w:r>
        <w:rPr>
          <w:rFonts w:hint="eastAsia" w:ascii="楷体" w:hAnsi="楷体" w:eastAsia="楷体" w:cs="Calibri"/>
          <w:b/>
          <w:bCs/>
          <w:color w:val="333333"/>
          <w:sz w:val="32"/>
          <w:szCs w:val="32"/>
        </w:rPr>
        <w:t>十、关于2025年政府采购支出表的说明</w:t>
      </w:r>
    </w:p>
    <w:p w14:paraId="23053CA1">
      <w:pPr>
        <w:pStyle w:val="4"/>
        <w:shd w:val="clear" w:color="auto" w:fill="FFFFFF"/>
        <w:spacing w:before="0" w:beforeAutospacing="0" w:after="0" w:afterAutospacing="0" w:line="580" w:lineRule="atLeast"/>
        <w:ind w:firstLine="640"/>
        <w:jc w:val="both"/>
        <w:rPr>
          <w:rFonts w:ascii="Calibri" w:hAnsi="Calibri" w:cs="Calibri"/>
          <w:color w:val="333333"/>
        </w:rPr>
      </w:pPr>
      <w:r>
        <w:rPr>
          <w:rFonts w:hint="eastAsia" w:ascii="仿宋" w:hAnsi="仿宋" w:eastAsia="仿宋" w:cs="Calibri"/>
          <w:color w:val="333333"/>
          <w:sz w:val="32"/>
          <w:szCs w:val="32"/>
        </w:rPr>
        <w:t>寿县文化馆2025年没有使用一般公共预算拨款、政府性基金预算拨款、国有资本经营预算拨款、财政专户管理资金和单位资金安排的政府采购支出。</w:t>
      </w:r>
    </w:p>
    <w:p w14:paraId="71D63B05">
      <w:pPr>
        <w:pStyle w:val="4"/>
        <w:shd w:val="clear" w:color="auto" w:fill="FFFFFF"/>
        <w:spacing w:before="0" w:beforeAutospacing="0" w:after="0" w:afterAutospacing="0" w:line="580" w:lineRule="atLeast"/>
        <w:ind w:firstLine="643"/>
        <w:jc w:val="both"/>
        <w:rPr>
          <w:rFonts w:ascii="Calibri" w:hAnsi="Calibri" w:cs="Calibri"/>
          <w:color w:val="333333"/>
        </w:rPr>
      </w:pPr>
      <w:r>
        <w:rPr>
          <w:rFonts w:hint="eastAsia" w:ascii="楷体" w:hAnsi="楷体" w:eastAsia="楷体" w:cs="Calibri"/>
          <w:b/>
          <w:bCs/>
          <w:color w:val="333333"/>
          <w:sz w:val="32"/>
          <w:szCs w:val="32"/>
        </w:rPr>
        <w:t>十一、关于2025年政府购买服务支出表的说明</w:t>
      </w:r>
    </w:p>
    <w:p w14:paraId="55682662">
      <w:pPr>
        <w:pStyle w:val="4"/>
        <w:shd w:val="clear" w:color="auto" w:fill="FFFFFF"/>
        <w:spacing w:before="0" w:beforeAutospacing="0" w:after="0" w:afterAutospacing="0" w:line="580" w:lineRule="atLeast"/>
        <w:ind w:firstLine="640"/>
        <w:jc w:val="both"/>
        <w:rPr>
          <w:rFonts w:ascii="Calibri" w:hAnsi="Calibri" w:cs="Calibri"/>
          <w:color w:val="333333"/>
        </w:rPr>
      </w:pPr>
      <w:r>
        <w:rPr>
          <w:rFonts w:hint="eastAsia" w:ascii="仿宋" w:hAnsi="仿宋" w:eastAsia="仿宋" w:cs="Calibri"/>
          <w:color w:val="333333"/>
          <w:sz w:val="32"/>
          <w:szCs w:val="32"/>
        </w:rPr>
        <w:t>寿县文化馆2025年没有安排政府购买服务支出。</w:t>
      </w:r>
    </w:p>
    <w:p w14:paraId="3286C3BE">
      <w:pPr>
        <w:topLinePunct/>
        <w:adjustRightInd w:val="0"/>
        <w:snapToGrid w:val="0"/>
        <w:spacing w:line="580" w:lineRule="exact"/>
        <w:ind w:firstLine="643" w:firstLineChars="200"/>
        <w:rPr>
          <w:rFonts w:ascii="楷体_GB2312" w:hAnsi="TimesNewRoman" w:eastAsia="楷体_GB2312" w:cs="TimesNewRoman"/>
          <w:b/>
          <w:kern w:val="0"/>
          <w:sz w:val="32"/>
          <w:szCs w:val="32"/>
        </w:rPr>
      </w:pPr>
      <w:r>
        <w:rPr>
          <w:rFonts w:hint="eastAsia" w:ascii="楷体_GB2312" w:hAnsi="TimesNewRoman" w:eastAsia="楷体_GB2312" w:cs="TimesNewRoman"/>
          <w:b/>
          <w:kern w:val="0"/>
          <w:sz w:val="32"/>
          <w:szCs w:val="32"/>
        </w:rPr>
        <w:t>十二、关于2025</w:t>
      </w:r>
      <w:r>
        <w:rPr>
          <w:rFonts w:ascii="楷体_GB2312" w:hAnsi="TimesNewRoman" w:eastAsia="楷体_GB2312" w:cs="TimesNewRoman"/>
          <w:b/>
          <w:kern w:val="0"/>
          <w:sz w:val="32"/>
          <w:szCs w:val="32"/>
        </w:rPr>
        <w:t>年一般公共预算“三公”经费支出情况说明</w:t>
      </w:r>
    </w:p>
    <w:p w14:paraId="1E69287A">
      <w:pPr>
        <w:adjustRightInd w:val="0"/>
        <w:snapToGrid w:val="0"/>
        <w:spacing w:line="560" w:lineRule="exact"/>
        <w:ind w:firstLine="640" w:firstLineChars="200"/>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寿县文化馆2025</w:t>
      </w:r>
      <w:r>
        <w:rPr>
          <w:rFonts w:ascii="仿宋_GB2312" w:hAnsi="TimesNewRoman" w:eastAsia="仿宋_GB2312" w:cs="TimesNewRoman"/>
          <w:kern w:val="0"/>
          <w:sz w:val="32"/>
          <w:szCs w:val="32"/>
        </w:rPr>
        <w:t>年一般公共预算“三公”经费支出预算为</w:t>
      </w:r>
      <w:r>
        <w:rPr>
          <w:rFonts w:hint="eastAsia" w:ascii="仿宋_GB2312" w:hAnsi="TimesNewRoman" w:eastAsia="仿宋_GB2312" w:cs="TimesNewRoman"/>
          <w:kern w:val="0"/>
          <w:sz w:val="32"/>
          <w:szCs w:val="32"/>
        </w:rPr>
        <w:t>0.24</w:t>
      </w:r>
      <w:r>
        <w:rPr>
          <w:rFonts w:ascii="仿宋_GB2312" w:hAnsi="TimesNewRoman" w:eastAsia="仿宋_GB2312" w:cs="TimesNewRoman"/>
          <w:kern w:val="0"/>
          <w:sz w:val="32"/>
          <w:szCs w:val="32"/>
        </w:rPr>
        <w:t>万元，比</w:t>
      </w:r>
      <w:r>
        <w:rPr>
          <w:rFonts w:hint="eastAsia" w:ascii="仿宋_GB2312" w:hAnsi="TimesNewRoman" w:eastAsia="仿宋_GB2312" w:cs="TimesNewRoman"/>
          <w:kern w:val="0"/>
          <w:sz w:val="32"/>
          <w:szCs w:val="32"/>
        </w:rPr>
        <w:t>2024</w:t>
      </w:r>
      <w:r>
        <w:rPr>
          <w:rFonts w:ascii="仿宋_GB2312" w:hAnsi="TimesNewRoman" w:eastAsia="仿宋_GB2312" w:cs="TimesNewRoman"/>
          <w:kern w:val="0"/>
          <w:sz w:val="32"/>
          <w:szCs w:val="32"/>
        </w:rPr>
        <w:t>年预算减少</w:t>
      </w:r>
      <w:r>
        <w:rPr>
          <w:rFonts w:hint="eastAsia" w:ascii="仿宋_GB2312" w:hAnsi="TimesNewRoman" w:eastAsia="仿宋_GB2312" w:cs="TimesNewRoman"/>
          <w:kern w:val="0"/>
          <w:sz w:val="32"/>
          <w:szCs w:val="32"/>
        </w:rPr>
        <w:t>0.01</w:t>
      </w:r>
      <w:r>
        <w:rPr>
          <w:rFonts w:ascii="仿宋_GB2312" w:hAnsi="TimesNewRoman" w:eastAsia="仿宋_GB2312" w:cs="TimesNewRoman"/>
          <w:kern w:val="0"/>
          <w:sz w:val="32"/>
          <w:szCs w:val="32"/>
        </w:rPr>
        <w:t>万元，下降</w:t>
      </w:r>
      <w:r>
        <w:rPr>
          <w:rFonts w:hint="eastAsia" w:ascii="仿宋_GB2312" w:hAnsi="TimesNewRoman" w:eastAsia="仿宋_GB2312" w:cs="TimesNewRoman"/>
          <w:kern w:val="0"/>
          <w:sz w:val="32"/>
          <w:szCs w:val="32"/>
        </w:rPr>
        <w:t>4.2</w:t>
      </w:r>
      <w:r>
        <w:rPr>
          <w:rFonts w:ascii="仿宋_GB2312" w:hAnsi="TimesNewRoman" w:eastAsia="仿宋_GB2312" w:cs="TimesNewRoman"/>
          <w:kern w:val="0"/>
          <w:sz w:val="32"/>
          <w:szCs w:val="32"/>
        </w:rPr>
        <w:t>%。其公务接待费支出预算为</w:t>
      </w:r>
      <w:r>
        <w:rPr>
          <w:rFonts w:hint="eastAsia" w:ascii="仿宋_GB2312" w:hAnsi="TimesNewRoman" w:eastAsia="仿宋_GB2312" w:cs="TimesNewRoman"/>
          <w:kern w:val="0"/>
          <w:sz w:val="32"/>
          <w:szCs w:val="32"/>
        </w:rPr>
        <w:t>0.24</w:t>
      </w:r>
      <w:r>
        <w:rPr>
          <w:rFonts w:ascii="仿宋_GB2312" w:hAnsi="TimesNewRoman" w:eastAsia="仿宋_GB2312" w:cs="TimesNewRoman"/>
          <w:kern w:val="0"/>
          <w:sz w:val="32"/>
          <w:szCs w:val="32"/>
        </w:rPr>
        <w:t>万元，</w:t>
      </w:r>
    </w:p>
    <w:p w14:paraId="0737855A">
      <w:pPr>
        <w:spacing w:line="560" w:lineRule="exact"/>
        <w:ind w:firstLine="482" w:firstLineChars="150"/>
        <w:rPr>
          <w:rFonts w:ascii="仿宋_GB2312" w:hAnsi="TimesNewRoman" w:eastAsia="仿宋_GB2312" w:cs="TimesNewRoman"/>
          <w:kern w:val="0"/>
          <w:sz w:val="32"/>
          <w:szCs w:val="32"/>
        </w:rPr>
      </w:pPr>
      <w:r>
        <w:rPr>
          <w:rFonts w:hint="eastAsia" w:ascii="仿宋_GB2312" w:hAnsi="TimesNewRoman" w:eastAsia="仿宋_GB2312" w:cs="TimesNewRoman"/>
          <w:b/>
          <w:kern w:val="0"/>
          <w:sz w:val="32"/>
          <w:szCs w:val="32"/>
        </w:rPr>
        <w:t>（一）公务接待费</w:t>
      </w:r>
      <w:r>
        <w:rPr>
          <w:rFonts w:hint="eastAsia" w:ascii="仿宋_GB2312" w:hAnsi="TimesNewRoman" w:eastAsia="仿宋_GB2312" w:cs="TimesNewRoman"/>
          <w:kern w:val="0"/>
          <w:sz w:val="32"/>
          <w:szCs w:val="32"/>
        </w:rPr>
        <w:t>支出预算0.24万元，比2024年预算减少0.01万元，下降4.2%，下降原因主要是压缩开支。该项经费主要用于上级部门业务交流。经费使用严格执行《党政机关厉行节约反对浪费条例》</w:t>
      </w:r>
      <w:r>
        <w:rPr>
          <w:rFonts w:hint="eastAsia" w:ascii="仿宋_GB2312" w:hAnsi="仿宋" w:eastAsia="仿宋_GB2312" w:cs="Times New Roman"/>
          <w:color w:val="000000"/>
          <w:kern w:val="0"/>
          <w:sz w:val="32"/>
          <w:szCs w:val="32"/>
        </w:rPr>
        <w:t>（中发〔2013〕13号）</w:t>
      </w:r>
      <w:r>
        <w:rPr>
          <w:rFonts w:hint="eastAsia" w:ascii="仿宋_GB2312" w:hAnsi="TimesNewRoman" w:eastAsia="仿宋_GB2312" w:cs="TimesNewRoman"/>
          <w:kern w:val="0"/>
          <w:sz w:val="32"/>
          <w:szCs w:val="32"/>
        </w:rPr>
        <w:t>和</w:t>
      </w:r>
      <w:r>
        <w:rPr>
          <w:rFonts w:hint="eastAsia" w:ascii="仿宋_GB2312" w:hAnsi="仿宋" w:eastAsia="仿宋_GB2312" w:cs="Times New Roman"/>
          <w:color w:val="000000"/>
          <w:kern w:val="0"/>
          <w:sz w:val="32"/>
          <w:szCs w:val="32"/>
        </w:rPr>
        <w:t>《寿县党政机关公务接待管理规定</w:t>
      </w:r>
      <w:r>
        <w:rPr>
          <w:rFonts w:hint="eastAsia" w:ascii="仿宋_GB2312" w:hAnsi="TimesNewRoman" w:eastAsia="仿宋_GB2312" w:cs="TimesNewRoman"/>
          <w:kern w:val="0"/>
          <w:sz w:val="32"/>
          <w:szCs w:val="32"/>
        </w:rPr>
        <w:t>》</w:t>
      </w:r>
      <w:r>
        <w:rPr>
          <w:rFonts w:hint="eastAsia" w:ascii="仿宋_GB2312" w:hAnsi="仿宋" w:eastAsia="仿宋_GB2312" w:cs="Times New Roman"/>
          <w:color w:val="000000"/>
          <w:kern w:val="0"/>
          <w:sz w:val="32"/>
          <w:szCs w:val="32"/>
        </w:rPr>
        <w:t>（寿办发〔2015〕2号）规定。</w:t>
      </w:r>
    </w:p>
    <w:p w14:paraId="0412A8C7">
      <w:pPr>
        <w:topLinePunct/>
        <w:adjustRightInd w:val="0"/>
        <w:snapToGrid w:val="0"/>
        <w:spacing w:line="560" w:lineRule="exact"/>
        <w:ind w:firstLine="643" w:firstLineChars="200"/>
        <w:rPr>
          <w:rFonts w:ascii="楷体_GB2312" w:hAnsi="TimesNewRoman" w:eastAsia="楷体_GB2312" w:cs="TimesNewRoman"/>
          <w:b/>
          <w:kern w:val="0"/>
          <w:sz w:val="32"/>
          <w:szCs w:val="32"/>
        </w:rPr>
      </w:pPr>
      <w:r>
        <w:rPr>
          <w:rFonts w:hint="eastAsia" w:ascii="楷体_GB2312" w:hAnsi="TimesNewRoman" w:eastAsia="楷体_GB2312" w:cs="TimesNewRoman"/>
          <w:b/>
          <w:kern w:val="0"/>
          <w:sz w:val="32"/>
          <w:szCs w:val="32"/>
        </w:rPr>
        <w:t>十三、其他重要事项情况说明</w:t>
      </w:r>
    </w:p>
    <w:p w14:paraId="4405EAD4">
      <w:pPr>
        <w:pStyle w:val="8"/>
        <w:numPr>
          <w:ilvl w:val="0"/>
          <w:numId w:val="1"/>
        </w:numPr>
        <w:topLinePunct/>
        <w:adjustRightInd w:val="0"/>
        <w:snapToGrid w:val="0"/>
        <w:spacing w:line="560" w:lineRule="exact"/>
        <w:ind w:firstLineChars="0"/>
        <w:rPr>
          <w:rFonts w:ascii="仿宋" w:hAnsi="仿宋" w:eastAsia="仿宋"/>
          <w:b/>
          <w:color w:val="333333"/>
          <w:sz w:val="32"/>
          <w:szCs w:val="32"/>
          <w:shd w:val="clear" w:color="auto" w:fill="FFFFFF"/>
        </w:rPr>
      </w:pPr>
      <w:r>
        <w:rPr>
          <w:rFonts w:hint="eastAsia" w:ascii="仿宋" w:hAnsi="仿宋" w:eastAsia="仿宋"/>
          <w:b/>
          <w:color w:val="333333"/>
          <w:sz w:val="32"/>
          <w:szCs w:val="32"/>
          <w:shd w:val="clear" w:color="auto" w:fill="FFFFFF"/>
        </w:rPr>
        <w:t>项目绩效管理</w:t>
      </w:r>
    </w:p>
    <w:p w14:paraId="5C4706B4">
      <w:pPr>
        <w:topLinePunct/>
        <w:adjustRightInd w:val="0"/>
        <w:snapToGrid w:val="0"/>
        <w:spacing w:line="560" w:lineRule="exact"/>
        <w:ind w:left="851"/>
        <w:rPr>
          <w:rFonts w:ascii="仿宋_GB2312" w:hAnsi="楷体" w:eastAsia="仿宋_GB2312" w:cs="Times New Roman"/>
          <w:sz w:val="32"/>
          <w:szCs w:val="32"/>
        </w:rPr>
      </w:pPr>
      <w:r>
        <w:rPr>
          <w:rFonts w:hint="eastAsia" w:ascii="仿宋" w:hAnsi="仿宋" w:eastAsia="仿宋"/>
          <w:color w:val="333333"/>
          <w:sz w:val="32"/>
          <w:szCs w:val="32"/>
          <w:shd w:val="clear" w:color="auto" w:fill="FFFFFF"/>
        </w:rPr>
        <w:t>2025年，</w:t>
      </w:r>
      <w:r>
        <w:rPr>
          <w:rFonts w:hint="eastAsia"/>
          <w:color w:val="333333"/>
          <w:sz w:val="32"/>
          <w:szCs w:val="32"/>
          <w:shd w:val="clear" w:color="auto" w:fill="FFFFFF"/>
        </w:rPr>
        <w:t>寿县文化馆无项目绩效目标管理</w:t>
      </w:r>
    </w:p>
    <w:p w14:paraId="52C508CC">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14:paraId="04C3FE91">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寿县文化馆为非参照公务员法管理的事业单位，按照部门预算机关运行经费口径，2025年无机关运行经费财政拨款预算。</w:t>
      </w:r>
    </w:p>
    <w:p w14:paraId="3F9EF08F">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14:paraId="2CA0AA41">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 w:hAnsi="仿宋" w:eastAsia="仿宋"/>
          <w:color w:val="333333"/>
          <w:sz w:val="32"/>
          <w:szCs w:val="32"/>
          <w:shd w:val="clear" w:color="auto" w:fill="FFFFFF"/>
        </w:rPr>
        <w:t>寿县文化馆2025年没有安排政府采购支出。</w:t>
      </w:r>
      <w:r>
        <w:rPr>
          <w:rFonts w:hint="eastAsia" w:ascii="仿宋_GB2312" w:hAnsi="TimesNewRoman" w:eastAsia="仿宋_GB2312" w:cs="TimesNewRoman"/>
          <w:kern w:val="0"/>
          <w:sz w:val="32"/>
          <w:szCs w:val="32"/>
        </w:rPr>
        <w:t>寿</w:t>
      </w:r>
    </w:p>
    <w:p w14:paraId="51EE85B4">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14:paraId="5E8BB198">
      <w:pPr>
        <w:pStyle w:val="4"/>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hint="eastAsia" w:ascii="仿宋_GB2312" w:hAnsi="TimesNewRoman" w:eastAsia="仿宋_GB2312" w:cs="TimesNewRoman"/>
          <w:sz w:val="32"/>
          <w:szCs w:val="32"/>
        </w:rPr>
        <w:t>截至2024年12月31日，</w:t>
      </w:r>
      <w:r>
        <w:rPr>
          <w:rFonts w:hint="eastAsia" w:cs="Times New Roman"/>
          <w:color w:val="333333"/>
          <w:sz w:val="32"/>
          <w:szCs w:val="32"/>
        </w:rPr>
        <w:t>寿县文化馆共有车辆0辆；单位价值50万元以上的通用设备0台（套）；单位价值100万元以上的专用设备0台（套）。</w:t>
      </w:r>
    </w:p>
    <w:p w14:paraId="5BA2EFC3">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2025年文化馆预算安排购置公务用车0辆，购置费0万元。</w:t>
      </w:r>
    </w:p>
    <w:p w14:paraId="414F8B97">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14:paraId="77747C26">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2025年，</w:t>
      </w:r>
      <w:r>
        <w:rPr>
          <w:rFonts w:hint="eastAsia" w:ascii="仿宋_GB2312" w:hAnsi="TimesNewRoman" w:eastAsia="仿宋_GB2312" w:cs="TimesNewRoman"/>
          <w:kern w:val="0"/>
          <w:sz w:val="32"/>
          <w:szCs w:val="32"/>
        </w:rPr>
        <w:t>寿县文化馆</w:t>
      </w:r>
      <w:r>
        <w:rPr>
          <w:rFonts w:hint="eastAsia" w:ascii="仿宋_GB2312" w:hAnsi="TimesNewRoman" w:eastAsia="仿宋_GB2312" w:cs="TimesNewRoman"/>
          <w:sz w:val="32"/>
          <w:szCs w:val="32"/>
        </w:rPr>
        <w:t>没有项目实行绩效目标管理。</w:t>
      </w:r>
    </w:p>
    <w:p w14:paraId="12994153">
      <w:pPr>
        <w:topLinePunct/>
        <w:adjustRightInd w:val="0"/>
        <w:snapToGrid w:val="0"/>
        <w:spacing w:line="560" w:lineRule="exact"/>
        <w:rPr>
          <w:rFonts w:ascii="TimesNewRoman" w:hAnsi="TimesNewRoman" w:eastAsia="黑体" w:cs="TimesNewRoman"/>
          <w:sz w:val="36"/>
          <w:szCs w:val="36"/>
        </w:rPr>
      </w:pPr>
    </w:p>
    <w:p w14:paraId="710F7CCE">
      <w:pPr>
        <w:topLinePunct/>
        <w:adjustRightInd w:val="0"/>
        <w:snapToGrid w:val="0"/>
        <w:spacing w:line="560" w:lineRule="exact"/>
        <w:jc w:val="center"/>
        <w:rPr>
          <w:rFonts w:ascii="TimesNewRoman" w:hAnsi="TimesNewRoman" w:eastAsia="黑体" w:cs="TimesNewRoman"/>
          <w:sz w:val="36"/>
          <w:szCs w:val="36"/>
        </w:rPr>
      </w:pPr>
    </w:p>
    <w:p w14:paraId="7D612945">
      <w:pPr>
        <w:topLinePunct/>
        <w:adjustRightInd w:val="0"/>
        <w:snapToGrid w:val="0"/>
        <w:spacing w:line="560" w:lineRule="exact"/>
        <w:jc w:val="center"/>
        <w:rPr>
          <w:rFonts w:ascii="TimesNewRoman" w:hAnsi="TimesNewRoman" w:eastAsia="黑体" w:cs="TimesNewRoman"/>
          <w:sz w:val="36"/>
          <w:szCs w:val="36"/>
        </w:rPr>
      </w:pPr>
    </w:p>
    <w:p w14:paraId="01E5888C">
      <w:pPr>
        <w:topLinePunct/>
        <w:adjustRightInd w:val="0"/>
        <w:snapToGrid w:val="0"/>
        <w:spacing w:line="560" w:lineRule="exact"/>
        <w:jc w:val="center"/>
        <w:rPr>
          <w:rFonts w:ascii="TimesNewRoman" w:hAnsi="TimesNewRoman" w:eastAsia="黑体" w:cs="TimesNewRoman"/>
          <w:sz w:val="36"/>
          <w:szCs w:val="36"/>
        </w:rPr>
      </w:pPr>
    </w:p>
    <w:p w14:paraId="54892C67">
      <w:pPr>
        <w:topLinePunct/>
        <w:adjustRightInd w:val="0"/>
        <w:snapToGrid w:val="0"/>
        <w:spacing w:line="560" w:lineRule="exact"/>
        <w:rPr>
          <w:rFonts w:ascii="TimesNewRoman" w:hAnsi="TimesNewRoman" w:eastAsia="黑体" w:cs="TimesNewRoman"/>
          <w:sz w:val="36"/>
          <w:szCs w:val="36"/>
        </w:rPr>
      </w:pPr>
    </w:p>
    <w:p w14:paraId="75B0F47C">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w:t>
      </w:r>
      <w:r>
        <w:rPr>
          <w:rFonts w:hint="eastAsia" w:ascii="TimesNewRoman" w:hAnsi="TimesNewRoman" w:eastAsia="黑体" w:cs="TimesNewRoman"/>
          <w:sz w:val="36"/>
          <w:szCs w:val="36"/>
        </w:rPr>
        <w:t>三</w:t>
      </w:r>
      <w:r>
        <w:rPr>
          <w:rFonts w:ascii="TimesNewRoman" w:hAnsi="TimesNewRoman" w:eastAsia="黑体" w:cs="TimesNewRoman"/>
          <w:sz w:val="36"/>
          <w:szCs w:val="36"/>
        </w:rPr>
        <w:t>部分</w:t>
      </w:r>
      <w:r>
        <w:rPr>
          <w:rFonts w:hint="eastAsia" w:ascii="TimesNewRoman" w:hAnsi="TimesNewRoman" w:eastAsia="黑体" w:cs="TimesNewRoman"/>
          <w:sz w:val="36"/>
          <w:szCs w:val="36"/>
        </w:rPr>
        <w:t xml:space="preserve"> </w:t>
      </w:r>
      <w:r>
        <w:rPr>
          <w:rFonts w:ascii="TimesNewRoman" w:hAnsi="TimesNewRoman" w:eastAsia="黑体" w:cs="TimesNewRoman"/>
          <w:sz w:val="36"/>
          <w:szCs w:val="36"/>
        </w:rPr>
        <w:t>名词解释</w:t>
      </w:r>
    </w:p>
    <w:p w14:paraId="5FCE6ED4">
      <w:pPr>
        <w:topLinePunct/>
        <w:adjustRightInd w:val="0"/>
        <w:snapToGrid w:val="0"/>
        <w:spacing w:line="560" w:lineRule="exact"/>
        <w:rPr>
          <w:rFonts w:ascii="TimesNewRoman" w:hAnsi="TimesNewRoman" w:eastAsia="黑体" w:cs="TimesNewRoman"/>
          <w:szCs w:val="32"/>
        </w:rPr>
      </w:pPr>
    </w:p>
    <w:p w14:paraId="6DF6190C">
      <w:pPr>
        <w:topLinePunct/>
        <w:adjustRightInd w:val="0"/>
        <w:snapToGrid w:val="0"/>
        <w:spacing w:line="560" w:lineRule="exact"/>
        <w:ind w:firstLine="640" w:firstLineChars="200"/>
        <w:rPr>
          <w:rFonts w:ascii="TimesNewRoman" w:hAnsi="TimesNewRoman" w:eastAsia="宋体"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eastAsia="宋体" w:cs="TimesNewRoman"/>
          <w:sz w:val="32"/>
          <w:szCs w:val="32"/>
        </w:rPr>
        <w:t>指部门或单位从同级财政部门取得的财政预算资金。</w:t>
      </w:r>
    </w:p>
    <w:p w14:paraId="3D5E6C93">
      <w:pPr>
        <w:topLinePunct/>
        <w:adjustRightInd w:val="0"/>
        <w:snapToGrid w:val="0"/>
        <w:spacing w:line="560" w:lineRule="exact"/>
        <w:ind w:firstLine="627" w:firstLineChars="196"/>
        <w:rPr>
          <w:rFonts w:ascii="TimesNewRoman" w:hAnsi="TimesNewRoman" w:eastAsia="黑体" w:cs="TimesNewRoman"/>
          <w:kern w:val="0"/>
          <w:sz w:val="32"/>
          <w:szCs w:val="32"/>
        </w:rPr>
      </w:pPr>
      <w:r>
        <w:rPr>
          <w:rFonts w:ascii="楷体_GB2312" w:hAnsi="TimesNewRoman" w:eastAsia="楷体_GB2312" w:cs="TimesNewRoman"/>
          <w:sz w:val="32"/>
          <w:szCs w:val="32"/>
        </w:rPr>
        <w:t>二、事业收入：</w:t>
      </w:r>
      <w:r>
        <w:rPr>
          <w:rFonts w:ascii="TimesNewRoman" w:hAnsi="TimesNewRoman" w:eastAsia="仿宋_GB2312" w:cs="TimesNewRoman"/>
          <w:kern w:val="0"/>
          <w:sz w:val="32"/>
          <w:szCs w:val="32"/>
        </w:rPr>
        <w:t>指事业单位开展专业业务活动及辅助活动所取得的收入。</w:t>
      </w:r>
    </w:p>
    <w:p w14:paraId="2D7B8030">
      <w:pPr>
        <w:topLinePunct/>
        <w:adjustRightInd w:val="0"/>
        <w:snapToGrid w:val="0"/>
        <w:spacing w:line="560" w:lineRule="exact"/>
        <w:ind w:firstLine="627" w:firstLineChars="196"/>
        <w:rPr>
          <w:rFonts w:ascii="TimesNewRoman" w:hAnsi="TimesNewRoman" w:eastAsia="仿宋_GB2312" w:cs="TimesNewRoman"/>
          <w:kern w:val="0"/>
          <w:sz w:val="32"/>
          <w:szCs w:val="32"/>
        </w:rPr>
      </w:pPr>
      <w:r>
        <w:rPr>
          <w:rFonts w:ascii="楷体_GB2312" w:hAnsi="TimesNewRoman" w:eastAsia="楷体_GB2312" w:cs="TimesNewRoman"/>
          <w:sz w:val="32"/>
          <w:szCs w:val="32"/>
        </w:rPr>
        <w:t>三、财政专户管理资金：</w:t>
      </w:r>
      <w:r>
        <w:rPr>
          <w:rFonts w:ascii="TimesNewRoman" w:hAnsi="TimesNewRoman" w:eastAsia="仿宋_GB2312" w:cs="TimesNewRoman"/>
          <w:kern w:val="0"/>
          <w:sz w:val="32"/>
          <w:szCs w:val="32"/>
        </w:rPr>
        <w:t>指按照非税收入管理相关规定，纳入财政专户管理的教育收费等。</w:t>
      </w:r>
    </w:p>
    <w:p w14:paraId="4474D658">
      <w:pPr>
        <w:topLinePunct/>
        <w:adjustRightInd w:val="0"/>
        <w:snapToGrid w:val="0"/>
        <w:spacing w:line="560" w:lineRule="exact"/>
        <w:ind w:firstLine="627" w:firstLineChars="196"/>
        <w:rPr>
          <w:rFonts w:ascii="TimesNewRoman" w:hAnsi="TimesNewRoman" w:eastAsia="仿宋_GB2312" w:cs="TimesNewRoman"/>
          <w:kern w:val="0"/>
          <w:sz w:val="32"/>
          <w:szCs w:val="32"/>
        </w:rPr>
      </w:pPr>
      <w:r>
        <w:rPr>
          <w:rFonts w:ascii="楷体_GB2312" w:hAnsi="TimesNewRoman" w:eastAsia="楷体_GB2312" w:cs="TimesNewRoman"/>
          <w:sz w:val="32"/>
          <w:szCs w:val="32"/>
        </w:rPr>
        <w:t>四、事业单位经营收入：</w:t>
      </w:r>
      <w:r>
        <w:rPr>
          <w:rFonts w:ascii="TimesNewRoman" w:hAnsi="TimesNewRoman" w:eastAsia="仿宋_GB2312" w:cs="TimesNewRoman"/>
          <w:kern w:val="0"/>
          <w:sz w:val="32"/>
          <w:szCs w:val="32"/>
        </w:rPr>
        <w:t>指事业单位在专业业务活动及其辅助活动之外开展非独立核算经营活动取得的收入。</w:t>
      </w:r>
    </w:p>
    <w:p w14:paraId="5D7AF3EC">
      <w:pPr>
        <w:topLinePunct/>
        <w:adjustRightInd w:val="0"/>
        <w:snapToGrid w:val="0"/>
        <w:spacing w:line="560" w:lineRule="exact"/>
        <w:ind w:firstLine="627" w:firstLineChars="196"/>
        <w:rPr>
          <w:rFonts w:ascii="TimesNewRoman" w:hAnsi="TimesNewRoman" w:eastAsia="仿宋_GB2312" w:cs="TimesNewRoman"/>
          <w:kern w:val="0"/>
          <w:sz w:val="32"/>
          <w:szCs w:val="32"/>
        </w:rPr>
      </w:pPr>
      <w:r>
        <w:rPr>
          <w:rFonts w:ascii="楷体_GB2312" w:hAnsi="TimesNewRoman" w:eastAsia="楷体_GB2312" w:cs="TimesNewRoman"/>
          <w:sz w:val="32"/>
          <w:szCs w:val="32"/>
        </w:rPr>
        <w:t>五、附属单位上缴收入：</w:t>
      </w:r>
      <w:r>
        <w:rPr>
          <w:rFonts w:ascii="TimesNewRoman" w:hAnsi="TimesNewRoman" w:eastAsia="仿宋_GB2312" w:cs="TimesNewRoman"/>
          <w:kern w:val="0"/>
          <w:sz w:val="32"/>
          <w:szCs w:val="32"/>
        </w:rPr>
        <w:t>本单位所属下级单位上缴给本单位的全部收入。</w:t>
      </w:r>
    </w:p>
    <w:p w14:paraId="1661DCD5">
      <w:pPr>
        <w:topLinePunct/>
        <w:adjustRightInd w:val="0"/>
        <w:snapToGrid w:val="0"/>
        <w:spacing w:line="560" w:lineRule="exact"/>
        <w:ind w:firstLine="627" w:firstLineChars="196"/>
        <w:rPr>
          <w:rFonts w:ascii="TimesNewRoman" w:hAnsi="TimesNewRoman" w:eastAsia="仿宋_GB2312" w:cs="TimesNewRoman"/>
          <w:kern w:val="0"/>
          <w:sz w:val="32"/>
          <w:szCs w:val="32"/>
        </w:rPr>
      </w:pPr>
      <w:r>
        <w:rPr>
          <w:rFonts w:ascii="楷体_GB2312" w:hAnsi="TimesNewRoman" w:eastAsia="楷体_GB2312" w:cs="TimesNewRoman"/>
          <w:sz w:val="32"/>
          <w:szCs w:val="32"/>
        </w:rPr>
        <w:t>六、上年结转：</w:t>
      </w:r>
      <w:r>
        <w:rPr>
          <w:rFonts w:ascii="TimesNewRoman" w:hAnsi="TimesNewRoman" w:eastAsia="仿宋_GB2312" w:cs="TimesNewRoman"/>
          <w:kern w:val="0"/>
          <w:sz w:val="32"/>
          <w:szCs w:val="32"/>
        </w:rPr>
        <w:t>指以前年度安排、结转到本年仍按原用途继续使用的资金。</w:t>
      </w:r>
    </w:p>
    <w:p w14:paraId="0E7AFE99">
      <w:pPr>
        <w:topLinePunct/>
        <w:adjustRightInd w:val="0"/>
        <w:snapToGrid w:val="0"/>
        <w:spacing w:line="560" w:lineRule="exact"/>
        <w:ind w:firstLine="627" w:firstLineChars="196"/>
        <w:rPr>
          <w:rFonts w:ascii="TimesNewRoman" w:hAnsi="TimesNewRoman" w:eastAsia="仿宋_GB2312" w:cs="TimesNewRoman"/>
          <w:kern w:val="0"/>
          <w:sz w:val="32"/>
          <w:szCs w:val="32"/>
        </w:rPr>
      </w:pPr>
      <w:r>
        <w:rPr>
          <w:rFonts w:ascii="楷体_GB2312" w:hAnsi="TimesNewRoman" w:eastAsia="楷体_GB2312" w:cs="TimesNewRoman"/>
          <w:sz w:val="32"/>
          <w:szCs w:val="32"/>
        </w:rPr>
        <w:t>七、结转下年：</w:t>
      </w:r>
      <w:r>
        <w:rPr>
          <w:rFonts w:ascii="TimesNewRoman" w:hAnsi="TimesNewRoman" w:eastAsia="仿宋_GB2312" w:cs="TimesNewRoman"/>
          <w:kern w:val="0"/>
          <w:sz w:val="32"/>
          <w:szCs w:val="32"/>
        </w:rPr>
        <w:t>指以前年度预算安排、因客观条件发生变化无法按原计划实施，需以后年度按原用途继续使用的资金。</w:t>
      </w:r>
    </w:p>
    <w:p w14:paraId="71E6DA3B">
      <w:pPr>
        <w:topLinePunct/>
        <w:adjustRightInd w:val="0"/>
        <w:snapToGrid w:val="0"/>
        <w:spacing w:line="560" w:lineRule="exact"/>
        <w:ind w:firstLine="627" w:firstLineChars="196"/>
        <w:rPr>
          <w:rFonts w:ascii="TimesNewRoman" w:hAnsi="TimesNewRoman" w:eastAsia="仿宋_GB2312" w:cs="TimesNewRoman"/>
          <w:kern w:val="0"/>
          <w:sz w:val="32"/>
          <w:szCs w:val="32"/>
        </w:rPr>
      </w:pPr>
      <w:r>
        <w:rPr>
          <w:rFonts w:ascii="楷体_GB2312" w:hAnsi="TimesNewRoman" w:eastAsia="楷体_GB2312" w:cs="TimesNewRoman"/>
          <w:sz w:val="32"/>
          <w:szCs w:val="32"/>
        </w:rPr>
        <w:t>八、基本支出：</w:t>
      </w:r>
      <w:r>
        <w:rPr>
          <w:rFonts w:ascii="TimesNewRoman" w:hAnsi="TimesNewRoman" w:eastAsia="仿宋_GB2312" w:cs="TimesNewRoman"/>
          <w:kern w:val="0"/>
          <w:sz w:val="32"/>
          <w:szCs w:val="32"/>
        </w:rPr>
        <w:t>指为保障机构正常运转、完成日常工作任务而发生的人员支出和公用支出。</w:t>
      </w:r>
    </w:p>
    <w:p w14:paraId="2ABA89D0">
      <w:pPr>
        <w:topLinePunct/>
        <w:spacing w:line="560" w:lineRule="exact"/>
        <w:ind w:firstLine="627" w:firstLineChars="196"/>
        <w:rPr>
          <w:rFonts w:ascii="TimesNewRoman" w:hAnsi="TimesNewRoman" w:eastAsia="仿宋_GB2312" w:cs="TimesNewRoman"/>
          <w:kern w:val="0"/>
          <w:sz w:val="32"/>
          <w:szCs w:val="32"/>
        </w:rPr>
      </w:pPr>
      <w:r>
        <w:rPr>
          <w:rFonts w:ascii="楷体_GB2312" w:hAnsi="TimesNewRoman" w:eastAsia="楷体_GB2312" w:cs="TimesNewRoman"/>
          <w:sz w:val="32"/>
          <w:szCs w:val="32"/>
        </w:rPr>
        <w:t>九、项目支出：</w:t>
      </w:r>
      <w:r>
        <w:rPr>
          <w:rFonts w:ascii="TimesNewRoman" w:hAnsi="TimesNewRoman" w:eastAsia="仿宋_GB2312" w:cs="TimesNewRoman"/>
          <w:kern w:val="0"/>
          <w:sz w:val="32"/>
          <w:szCs w:val="32"/>
        </w:rPr>
        <w:t>指在除基本支出之外的支出，主要用于完成特定的工作任务和事业发展目标。</w:t>
      </w:r>
      <w:r>
        <w:rPr>
          <w:rFonts w:ascii="TimesNewRoman" w:hAnsi="TimesNewRoman" w:eastAsia="仿宋_GB2312" w:cs="TimesNewRoman"/>
          <w:kern w:val="0"/>
          <w:sz w:val="32"/>
          <w:szCs w:val="32"/>
        </w:rPr>
        <w:br w:type="textWrapping"/>
      </w:r>
      <w:r>
        <w:rPr>
          <w:rFonts w:ascii="楷体_GB2312" w:hAnsi="TimesNewRoman" w:eastAsia="楷体_GB2312" w:cs="TimesNewRoman"/>
          <w:sz w:val="32"/>
          <w:szCs w:val="32"/>
        </w:rPr>
        <w:t xml:space="preserve">    十、机关运行经费:</w:t>
      </w:r>
      <w:r>
        <w:rPr>
          <w:rFonts w:ascii="TimesNewRoman" w:hAnsi="TimesNewRoman" w:eastAsia="仿宋_GB2312" w:cs="TimesNewRoman"/>
          <w:kern w:val="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6240430">
      <w:pPr>
        <w:spacing w:line="560" w:lineRule="exact"/>
        <w:rPr>
          <w:rFonts w:hint="default" w:ascii="仿宋_GB2312" w:hAnsi="Times New Roman" w:eastAsia="仿宋_GB2312" w:cs="宋体"/>
          <w:sz w:val="28"/>
          <w:szCs w:val="28"/>
          <w:u w:val="thick"/>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附件：寿县文化馆2025年预算公开表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TimesNewRoman">
    <w:altName w:val="Arial"/>
    <w:panose1 w:val="00000000000000000000"/>
    <w:charset w:val="00"/>
    <w:family w:val="auto"/>
    <w:pitch w:val="default"/>
    <w:sig w:usb0="00000000" w:usb1="00000000" w:usb2="00000029" w:usb3="00000000" w:csb0="6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AA98">
    <w:pPr>
      <w:pStyle w:val="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ascii="宋体" w:hAnsi="宋体"/>
        <w:sz w:val="28"/>
        <w:szCs w:val="28"/>
      </w:rPr>
      <w:t xml:space="preserve">— </w:t>
    </w:r>
  </w:p>
  <w:p w14:paraId="03F49BE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6431C">
    <w:pPr>
      <w:pStyle w:val="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10</w:t>
    </w:r>
    <w:r>
      <w:rPr>
        <w:rFonts w:hint="eastAsia" w:ascii="宋体" w:hAnsi="宋体"/>
        <w:sz w:val="28"/>
        <w:szCs w:val="28"/>
      </w:rPr>
      <w:fldChar w:fldCharType="end"/>
    </w:r>
    <w:r>
      <w:rPr>
        <w:rFonts w:hint="eastAsia" w:ascii="宋体" w:hAnsi="宋体"/>
        <w:sz w:val="28"/>
        <w:szCs w:val="28"/>
      </w:rPr>
      <w:t xml:space="preserve"> —</w:t>
    </w:r>
  </w:p>
  <w:p w14:paraId="4B2BF43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E457D7"/>
    <w:multiLevelType w:val="multilevel"/>
    <w:tmpl w:val="34E457D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NmZGFlYzY2OTQ4YjBjNGQ1N2IzYjRmYTQxOGY5NTUifQ=="/>
  </w:docVars>
  <w:rsids>
    <w:rsidRoot w:val="00D94F68"/>
    <w:rsid w:val="00000E0B"/>
    <w:rsid w:val="002043EA"/>
    <w:rsid w:val="00304EAE"/>
    <w:rsid w:val="00343ECD"/>
    <w:rsid w:val="003C64AB"/>
    <w:rsid w:val="0044093B"/>
    <w:rsid w:val="004A453F"/>
    <w:rsid w:val="005E5E38"/>
    <w:rsid w:val="005E7968"/>
    <w:rsid w:val="00625C75"/>
    <w:rsid w:val="006576B0"/>
    <w:rsid w:val="008C407D"/>
    <w:rsid w:val="008D6A45"/>
    <w:rsid w:val="00973DE5"/>
    <w:rsid w:val="00A15B9E"/>
    <w:rsid w:val="00A906BA"/>
    <w:rsid w:val="00AE197C"/>
    <w:rsid w:val="00AE3AEA"/>
    <w:rsid w:val="00B86B4E"/>
    <w:rsid w:val="00C06D60"/>
    <w:rsid w:val="00C23E34"/>
    <w:rsid w:val="00D76908"/>
    <w:rsid w:val="00D94F68"/>
    <w:rsid w:val="00DD66EC"/>
    <w:rsid w:val="47E179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脚 Char"/>
    <w:basedOn w:val="6"/>
    <w:link w:val="2"/>
    <w:qFormat/>
    <w:uiPriority w:val="0"/>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3466</Words>
  <Characters>3964</Characters>
  <Lines>28</Lines>
  <Paragraphs>8</Paragraphs>
  <TotalTime>4</TotalTime>
  <ScaleCrop>false</ScaleCrop>
  <LinksUpToDate>false</LinksUpToDate>
  <CharactersWithSpaces>3981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2025-01-16T10:18:00Z</dcterms:created>
  <dc:creator>xb21cn</dc:creator>
  <cp:lastModifiedBy>ltkj101</cp:lastModifiedBy>
  <dcterms:modified xsi:type="dcterms:W3CDTF">2025-01-18T07:34:04Z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DF8D33D959C84A78A1F0C3273C4EB767_12</vt:lpwstr>
  </property>
</Properties>
</file>