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D5431B">
      <w:pPr>
        <w:pStyle w:val="16"/>
        <w:ind w:firstLine="1280"/>
        <w:jc w:val="center"/>
        <w:rPr>
          <w:rFonts w:hint="default" w:ascii="Times New Roman" w:hAnsi="Times New Roman" w:cs="Times New Roman"/>
          <w:color w:val="000000" w:themeColor="text1"/>
          <w:sz w:val="64"/>
          <w:szCs w:val="64"/>
          <w14:textFill>
            <w14:solidFill>
              <w14:schemeClr w14:val="tx1"/>
            </w14:solidFill>
          </w14:textFill>
        </w:rPr>
      </w:pPr>
    </w:p>
    <w:p w14:paraId="2F112E89">
      <w:pPr>
        <w:pStyle w:val="16"/>
        <w:ind w:firstLine="0" w:firstLineChars="0"/>
        <w:jc w:val="center"/>
        <w:outlineLvl w:val="0"/>
        <w:rPr>
          <w:rFonts w:hint="default" w:ascii="Times New Roman" w:hAnsi="Times New Roman" w:eastAsia="方正小标宋简体" w:cs="Times New Roman"/>
          <w:color w:val="000000" w:themeColor="text1"/>
          <w:sz w:val="64"/>
          <w:szCs w:val="64"/>
          <w14:textFill>
            <w14:solidFill>
              <w14:schemeClr w14:val="tx1"/>
            </w14:solidFill>
          </w14:textFill>
        </w:rPr>
      </w:pPr>
      <w:bookmarkStart w:id="0" w:name="_Toc31623"/>
      <w:bookmarkStart w:id="1" w:name="_Toc13101"/>
      <w:r>
        <w:rPr>
          <w:rFonts w:hint="default" w:ascii="Times New Roman" w:hAnsi="Times New Roman" w:eastAsia="方正小标宋简体" w:cs="Times New Roman"/>
          <w:color w:val="000000" w:themeColor="text1"/>
          <w:sz w:val="64"/>
          <w:szCs w:val="64"/>
          <w14:textFill>
            <w14:solidFill>
              <w14:schemeClr w14:val="tx1"/>
            </w14:solidFill>
          </w14:textFill>
        </w:rPr>
        <w:t>寿县养殖水域滩涂规划</w:t>
      </w:r>
      <w:bookmarkEnd w:id="0"/>
      <w:bookmarkEnd w:id="1"/>
    </w:p>
    <w:p w14:paraId="042C9DDF">
      <w:pPr>
        <w:pStyle w:val="16"/>
        <w:ind w:firstLine="0" w:firstLineChars="0"/>
        <w:jc w:val="center"/>
        <w:rPr>
          <w:rFonts w:hint="default" w:ascii="Times New Roman" w:hAnsi="Times New Roman" w:cs="Times New Roman"/>
          <w:b/>
          <w:color w:val="000000" w:themeColor="text1"/>
          <w:sz w:val="44"/>
          <w:szCs w:val="44"/>
          <w14:textFill>
            <w14:solidFill>
              <w14:schemeClr w14:val="tx1"/>
            </w14:solidFill>
          </w14:textFill>
        </w:rPr>
      </w:pPr>
      <w:r>
        <w:rPr>
          <w:rFonts w:hint="default" w:ascii="Times New Roman" w:hAnsi="Times New Roman" w:cs="Times New Roman"/>
          <w:b/>
          <w:color w:val="000000" w:themeColor="text1"/>
          <w:sz w:val="44"/>
          <w:szCs w:val="44"/>
          <w14:textFill>
            <w14:solidFill>
              <w14:schemeClr w14:val="tx1"/>
            </w14:solidFill>
          </w14:textFill>
        </w:rPr>
        <w:t>(2025-203</w:t>
      </w:r>
      <w:r>
        <w:rPr>
          <w:rFonts w:hint="default" w:ascii="Times New Roman" w:hAnsi="Times New Roman" w:cs="Times New Roman"/>
          <w:b/>
          <w:color w:val="000000" w:themeColor="text1"/>
          <w:sz w:val="44"/>
          <w:szCs w:val="44"/>
          <w:lang w:val="en-US" w:eastAsia="zh-CN"/>
          <w14:textFill>
            <w14:solidFill>
              <w14:schemeClr w14:val="tx1"/>
            </w14:solidFill>
          </w14:textFill>
        </w:rPr>
        <w:t>5</w:t>
      </w:r>
      <w:r>
        <w:rPr>
          <w:rFonts w:hint="default" w:ascii="Times New Roman" w:hAnsi="Times New Roman" w:cs="Times New Roman"/>
          <w:b/>
          <w:color w:val="000000" w:themeColor="text1"/>
          <w:sz w:val="44"/>
          <w:szCs w:val="44"/>
          <w14:textFill>
            <w14:solidFill>
              <w14:schemeClr w14:val="tx1"/>
            </w14:solidFill>
          </w14:textFill>
        </w:rPr>
        <w:t>)</w:t>
      </w:r>
    </w:p>
    <w:p w14:paraId="6BCE495F">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1E6D02FE">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5E81A576">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626C785C">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259722A2">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37F4023E">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26EFF39F">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63678BF6">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68350025">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7EE3A6A3">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7FE708D8">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7971AB30">
      <w:pPr>
        <w:pStyle w:val="16"/>
        <w:ind w:firstLine="883"/>
        <w:jc w:val="center"/>
        <w:rPr>
          <w:rFonts w:hint="default" w:ascii="Times New Roman" w:hAnsi="Times New Roman" w:cs="Times New Roman"/>
          <w:b/>
          <w:color w:val="000000" w:themeColor="text1"/>
          <w:sz w:val="44"/>
          <w:szCs w:val="44"/>
          <w14:textFill>
            <w14:solidFill>
              <w14:schemeClr w14:val="tx1"/>
            </w14:solidFill>
          </w14:textFill>
        </w:rPr>
      </w:pPr>
    </w:p>
    <w:p w14:paraId="5F7D1ED3">
      <w:pPr>
        <w:pStyle w:val="16"/>
        <w:ind w:firstLine="0" w:firstLineChars="0"/>
        <w:jc w:val="center"/>
        <w:outlineLvl w:val="0"/>
        <w:rPr>
          <w:rFonts w:hint="default" w:ascii="Times New Roman" w:hAnsi="Times New Roman" w:eastAsia="黑体" w:cs="Times New Roman"/>
          <w:color w:val="000000" w:themeColor="text1"/>
          <w:sz w:val="40"/>
          <w:szCs w:val="40"/>
          <w14:textFill>
            <w14:solidFill>
              <w14:schemeClr w14:val="tx1"/>
            </w14:solidFill>
          </w14:textFill>
        </w:rPr>
      </w:pPr>
      <w:bookmarkStart w:id="2" w:name="_Toc25509"/>
      <w:bookmarkStart w:id="3" w:name="_Toc18854"/>
      <w:r>
        <w:rPr>
          <w:rFonts w:hint="default" w:ascii="Times New Roman" w:hAnsi="Times New Roman" w:eastAsia="黑体" w:cs="Times New Roman"/>
          <w:color w:val="000000" w:themeColor="text1"/>
          <w:sz w:val="40"/>
          <w:szCs w:val="40"/>
          <w14:textFill>
            <w14:solidFill>
              <w14:schemeClr w14:val="tx1"/>
            </w14:solidFill>
          </w14:textFill>
        </w:rPr>
        <w:t>寿县水产管理服务中心</w:t>
      </w:r>
      <w:bookmarkEnd w:id="2"/>
      <w:bookmarkEnd w:id="3"/>
    </w:p>
    <w:p w14:paraId="797488D1">
      <w:pPr>
        <w:pStyle w:val="16"/>
        <w:ind w:firstLine="0" w:firstLineChars="0"/>
        <w:jc w:val="center"/>
        <w:rPr>
          <w:rFonts w:hint="default" w:ascii="Times New Roman" w:hAnsi="Times New Roman" w:eastAsia="黑体" w:cs="Times New Roman"/>
          <w:color w:val="000000" w:themeColor="text1"/>
          <w:sz w:val="40"/>
          <w:szCs w:val="40"/>
          <w14:textFill>
            <w14:solidFill>
              <w14:schemeClr w14:val="tx1"/>
            </w14:solidFill>
          </w14:textFill>
        </w:rPr>
      </w:pPr>
      <w:r>
        <w:rPr>
          <w:rFonts w:hint="default" w:ascii="Times New Roman" w:hAnsi="Times New Roman" w:eastAsia="黑体" w:cs="Times New Roman"/>
          <w:color w:val="000000" w:themeColor="text1"/>
          <w:sz w:val="40"/>
          <w:szCs w:val="40"/>
          <w14:textFill>
            <w14:solidFill>
              <w14:schemeClr w14:val="tx1"/>
            </w14:solidFill>
          </w14:textFill>
        </w:rPr>
        <w:t>二〇二五年三月</w:t>
      </w:r>
    </w:p>
    <w:p w14:paraId="668104C9">
      <w:pPr>
        <w:pStyle w:val="16"/>
        <w:ind w:firstLine="0" w:firstLineChars="0"/>
        <w:jc w:val="center"/>
        <w:rPr>
          <w:rFonts w:hint="default" w:ascii="Times New Roman" w:hAnsi="Times New Roman" w:eastAsia="黑体" w:cs="Times New Roman"/>
          <w:color w:val="000000" w:themeColor="text1"/>
          <w:sz w:val="40"/>
          <w:szCs w:val="40"/>
          <w14:textFill>
            <w14:solidFill>
              <w14:schemeClr w14:val="tx1"/>
            </w14:solidFill>
          </w14:textFill>
        </w:rPr>
      </w:pPr>
    </w:p>
    <w:p w14:paraId="321FDD2B">
      <w:pPr>
        <w:pStyle w:val="16"/>
        <w:ind w:firstLine="640"/>
        <w:jc w:val="center"/>
        <w:rPr>
          <w:rFonts w:hint="default" w:ascii="Times New Roman" w:hAnsi="Times New Roman" w:eastAsia="黑体" w:cs="Times New Roman"/>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1418" w:gutter="0"/>
          <w:cols w:space="720" w:num="1"/>
          <w:docGrid w:type="lines" w:linePitch="312" w:charSpace="0"/>
        </w:sectPr>
      </w:pPr>
    </w:p>
    <w:p w14:paraId="7F3C8A80">
      <w:pPr>
        <w:spacing w:line="240" w:lineRule="auto"/>
        <w:ind w:firstLine="0" w:firstLineChars="0"/>
        <w:jc w:val="center"/>
        <w:rPr>
          <w:rFonts w:hint="default" w:ascii="Times New Roman" w:hAnsi="Times New Roman" w:cs="Times New Roman"/>
          <w:color w:val="000000" w:themeColor="text1"/>
          <w:sz w:val="36"/>
          <w:szCs w:val="36"/>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目录</w:t>
      </w:r>
    </w:p>
    <w:sdt>
      <w:sdtPr>
        <w:rPr>
          <w:rFonts w:ascii="宋体" w:hAnsi="宋体" w:eastAsia="宋体" w:cs="黑体"/>
          <w:kern w:val="2"/>
          <w:sz w:val="21"/>
          <w:szCs w:val="30"/>
          <w:lang w:val="en-US" w:eastAsia="zh-CN" w:bidi="ar-SA"/>
        </w:rPr>
        <w:id w:val="147459454"/>
        <w15:color w:val="DBDBDB"/>
        <w:docPartObj>
          <w:docPartGallery w:val="Table of Contents"/>
          <w:docPartUnique/>
        </w:docPartObj>
      </w:sdtPr>
      <w:sdtEndPr>
        <w:rPr>
          <w:rFonts w:hint="default" w:ascii="Times New Roman" w:hAnsi="Times New Roman" w:eastAsia="仿宋" w:cs="Times New Roman"/>
          <w:b/>
          <w:color w:val="000000" w:themeColor="text1"/>
          <w:kern w:val="2"/>
          <w:sz w:val="21"/>
          <w:szCs w:val="30"/>
          <w:lang w:val="en-US" w:eastAsia="zh-CN" w:bidi="ar-SA"/>
          <w14:textFill>
            <w14:solidFill>
              <w14:schemeClr w14:val="tx1"/>
            </w14:solidFill>
          </w14:textFill>
        </w:rPr>
      </w:sdtEndPr>
      <w:sdtContent>
        <w:p w14:paraId="70FD8F09">
          <w:pPr>
            <w:spacing w:before="0" w:beforeLines="0" w:after="0" w:afterLines="0" w:line="240" w:lineRule="auto"/>
            <w:ind w:left="0" w:leftChars="0" w:right="0" w:rightChars="0" w:firstLine="0" w:firstLineChars="0"/>
            <w:jc w:val="center"/>
            <w:rPr>
              <w:b/>
            </w:rPr>
          </w:pPr>
          <w:r>
            <w:rPr>
              <w:rFonts w:hint="default" w:ascii="Times New Roman" w:hAnsi="Times New Roman" w:eastAsia="仿宋" w:cs="Times New Roman"/>
              <w:b/>
              <w:color w:val="000000" w:themeColor="text1"/>
              <w:kern w:val="2"/>
              <w:sz w:val="30"/>
              <w:szCs w:val="30"/>
              <w14:textFill>
                <w14:solidFill>
                  <w14:schemeClr w14:val="tx1"/>
                </w14:solidFill>
              </w14:textFill>
            </w:rPr>
            <w:fldChar w:fldCharType="begin"/>
          </w:r>
          <w:r>
            <w:rPr>
              <w:rFonts w:hint="default" w:ascii="Times New Roman" w:hAnsi="Times New Roman" w:eastAsia="仿宋" w:cs="Times New Roman"/>
              <w:b/>
              <w:color w:val="000000" w:themeColor="text1"/>
              <w:kern w:val="2"/>
              <w:sz w:val="30"/>
              <w:szCs w:val="30"/>
              <w14:textFill>
                <w14:solidFill>
                  <w14:schemeClr w14:val="tx1"/>
                </w14:solidFill>
              </w14:textFill>
            </w:rPr>
            <w:instrText xml:space="preserve">TOC \o "1-2" \h \u </w:instrText>
          </w:r>
          <w:r>
            <w:rPr>
              <w:rFonts w:hint="default" w:ascii="Times New Roman" w:hAnsi="Times New Roman" w:eastAsia="仿宋" w:cs="Times New Roman"/>
              <w:b/>
              <w:color w:val="000000" w:themeColor="text1"/>
              <w:kern w:val="2"/>
              <w:sz w:val="30"/>
              <w:szCs w:val="30"/>
              <w14:textFill>
                <w14:solidFill>
                  <w14:schemeClr w14:val="tx1"/>
                </w14:solidFill>
              </w14:textFill>
            </w:rPr>
            <w:fldChar w:fldCharType="separate"/>
          </w:r>
        </w:p>
        <w:p w14:paraId="04AE6D91">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_Toc24499 </w:instrText>
          </w:r>
          <w:r>
            <w:rPr>
              <w:rFonts w:hint="default" w:ascii="Times New Roman" w:hAnsi="Times New Roman" w:eastAsia="仿宋" w:cs="Times New Roman"/>
              <w:b/>
              <w:kern w:val="2"/>
              <w:szCs w:val="30"/>
            </w:rPr>
            <w:fldChar w:fldCharType="separate"/>
          </w:r>
          <w:r>
            <w:rPr>
              <w:rFonts w:hint="eastAsia" w:ascii="Times New Roman" w:hAnsi="Times New Roman" w:cs="Times New Roman"/>
              <w:b/>
              <w:szCs w:val="36"/>
            </w:rPr>
            <w:t xml:space="preserve">第一章 </w:t>
          </w:r>
          <w:r>
            <w:rPr>
              <w:rFonts w:hint="default" w:ascii="Times New Roman" w:hAnsi="Times New Roman" w:cs="Times New Roman"/>
              <w:b/>
            </w:rPr>
            <w:t>总则</w:t>
          </w:r>
          <w:r>
            <w:rPr>
              <w:b/>
            </w:rPr>
            <w:tab/>
          </w:r>
          <w:r>
            <w:rPr>
              <w:b/>
            </w:rPr>
            <w:fldChar w:fldCharType="begin"/>
          </w:r>
          <w:r>
            <w:rPr>
              <w:b/>
            </w:rPr>
            <w:instrText xml:space="preserve"> PAGEREF _Toc24499 \h </w:instrText>
          </w:r>
          <w:r>
            <w:rPr>
              <w:b/>
            </w:rPr>
            <w:fldChar w:fldCharType="separate"/>
          </w:r>
          <w:r>
            <w:rPr>
              <w:b/>
            </w:rPr>
            <w:t>1</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3AD712E3">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_Toc24276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第一节 </w:t>
          </w:r>
          <w:r>
            <w:rPr>
              <w:rFonts w:hint="default" w:ascii="Times New Roman" w:hAnsi="Times New Roman" w:cs="Times New Roman"/>
            </w:rPr>
            <w:t>前言</w:t>
          </w:r>
          <w:r>
            <w:tab/>
          </w:r>
          <w:r>
            <w:fldChar w:fldCharType="begin"/>
          </w:r>
          <w:r>
            <w:instrText xml:space="preserve"> PAGEREF _Toc24276 \h </w:instrText>
          </w:r>
          <w:r>
            <w:fldChar w:fldCharType="separate"/>
          </w:r>
          <w:r>
            <w:t>1</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0845DF0D">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_Toc29830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第二节 </w:t>
          </w:r>
          <w:r>
            <w:rPr>
              <w:rFonts w:hint="default" w:ascii="Times New Roman" w:hAnsi="Times New Roman" w:cs="Times New Roman"/>
            </w:rPr>
            <w:t>编制依据</w:t>
          </w:r>
          <w:r>
            <w:tab/>
          </w:r>
          <w:r>
            <w:fldChar w:fldCharType="begin"/>
          </w:r>
          <w:r>
            <w:instrText xml:space="preserve"> PAGEREF _Toc29830 \h </w:instrText>
          </w:r>
          <w:r>
            <w:fldChar w:fldCharType="separate"/>
          </w:r>
          <w:r>
            <w:t>2</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334B136E">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_Toc13663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第三节 </w:t>
          </w:r>
          <w:r>
            <w:rPr>
              <w:rFonts w:hint="default" w:ascii="Times New Roman" w:hAnsi="Times New Roman" w:cs="Times New Roman"/>
            </w:rPr>
            <w:t>目标任务</w:t>
          </w:r>
          <w:r>
            <w:tab/>
          </w:r>
          <w:r>
            <w:fldChar w:fldCharType="begin"/>
          </w:r>
          <w:r>
            <w:instrText xml:space="preserve"> PAGEREF _Toc13663 \h </w:instrText>
          </w:r>
          <w:r>
            <w:fldChar w:fldCharType="separate"/>
          </w:r>
          <w:r>
            <w:t>5</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7FF14CB2">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_Toc31602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第四节 </w:t>
          </w:r>
          <w:r>
            <w:rPr>
              <w:rFonts w:hint="default" w:ascii="Times New Roman" w:hAnsi="Times New Roman" w:cs="Times New Roman"/>
            </w:rPr>
            <w:t>基本原则</w:t>
          </w:r>
          <w:r>
            <w:tab/>
          </w:r>
          <w:r>
            <w:fldChar w:fldCharType="begin"/>
          </w:r>
          <w:r>
            <w:instrText xml:space="preserve"> PAGEREF _Toc31602 \h </w:instrText>
          </w:r>
          <w:r>
            <w:fldChar w:fldCharType="separate"/>
          </w:r>
          <w:r>
            <w:t>8</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733980C3">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_Toc9233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第五节 </w:t>
          </w:r>
          <w:r>
            <w:rPr>
              <w:rFonts w:hint="default" w:ascii="Times New Roman" w:hAnsi="Times New Roman" w:cs="Times New Roman"/>
            </w:rPr>
            <w:t>规划范围</w:t>
          </w:r>
          <w:r>
            <w:tab/>
          </w:r>
          <w:r>
            <w:fldChar w:fldCharType="begin"/>
          </w:r>
          <w:r>
            <w:instrText xml:space="preserve"> PAGEREF _Toc9233 \h </w:instrText>
          </w:r>
          <w:r>
            <w:fldChar w:fldCharType="separate"/>
          </w:r>
          <w:r>
            <w:t>9</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78C9A927">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_Toc15261 </w:instrText>
          </w:r>
          <w:r>
            <w:rPr>
              <w:rFonts w:hint="default" w:ascii="Times New Roman" w:hAnsi="Times New Roman" w:eastAsia="仿宋" w:cs="Times New Roman"/>
              <w:b/>
              <w:kern w:val="2"/>
              <w:szCs w:val="30"/>
            </w:rPr>
            <w:fldChar w:fldCharType="separate"/>
          </w:r>
          <w:r>
            <w:rPr>
              <w:rFonts w:hint="eastAsia" w:ascii="Times New Roman" w:hAnsi="Times New Roman" w:cs="Times New Roman"/>
              <w:b/>
              <w:szCs w:val="36"/>
            </w:rPr>
            <w:t xml:space="preserve">第二章 </w:t>
          </w:r>
          <w:r>
            <w:rPr>
              <w:rFonts w:hint="default" w:ascii="Times New Roman" w:hAnsi="Times New Roman" w:cs="Times New Roman"/>
              <w:b/>
            </w:rPr>
            <w:t>养殖水域滩涂利用评价</w:t>
          </w:r>
          <w:r>
            <w:rPr>
              <w:b/>
            </w:rPr>
            <w:tab/>
          </w:r>
          <w:r>
            <w:rPr>
              <w:b/>
            </w:rPr>
            <w:fldChar w:fldCharType="begin"/>
          </w:r>
          <w:r>
            <w:rPr>
              <w:b/>
            </w:rPr>
            <w:instrText xml:space="preserve"> PAGEREF _Toc15261 \h </w:instrText>
          </w:r>
          <w:r>
            <w:rPr>
              <w:b/>
            </w:rPr>
            <w:fldChar w:fldCharType="separate"/>
          </w:r>
          <w:r>
            <w:rPr>
              <w:b/>
            </w:rPr>
            <w:t>10</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0C0F8A9C">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_Toc31470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第六节 </w:t>
          </w:r>
          <w:r>
            <w:rPr>
              <w:rFonts w:hint="default" w:ascii="Times New Roman" w:hAnsi="Times New Roman" w:cs="Times New Roman"/>
            </w:rPr>
            <w:t>水域滩涂承载力分析</w:t>
          </w:r>
          <w:r>
            <w:tab/>
          </w:r>
          <w:r>
            <w:fldChar w:fldCharType="begin"/>
          </w:r>
          <w:r>
            <w:instrText xml:space="preserve"> PAGEREF _Toc31470 \h </w:instrText>
          </w:r>
          <w:r>
            <w:fldChar w:fldCharType="separate"/>
          </w:r>
          <w:r>
            <w:t>10</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0A0C5EDC">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_Toc15500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第七节 </w:t>
          </w:r>
          <w:r>
            <w:rPr>
              <w:rFonts w:hint="default" w:ascii="Times New Roman" w:hAnsi="Times New Roman" w:cs="Times New Roman"/>
            </w:rPr>
            <w:t>水产养殖产业发展分析</w:t>
          </w:r>
          <w:r>
            <w:tab/>
          </w:r>
          <w:r>
            <w:fldChar w:fldCharType="begin"/>
          </w:r>
          <w:r>
            <w:instrText xml:space="preserve"> PAGEREF _Toc15500 \h </w:instrText>
          </w:r>
          <w:r>
            <w:fldChar w:fldCharType="separate"/>
          </w:r>
          <w:r>
            <w:t>20</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2E837B65">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_Toc1204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第八节 </w:t>
          </w:r>
          <w:r>
            <w:rPr>
              <w:rFonts w:hint="default" w:ascii="Times New Roman" w:hAnsi="Times New Roman" w:cs="Times New Roman"/>
            </w:rPr>
            <w:t>养殖水域滩涂开发总体思路</w:t>
          </w:r>
          <w:r>
            <w:tab/>
          </w:r>
          <w:r>
            <w:fldChar w:fldCharType="begin"/>
          </w:r>
          <w:r>
            <w:instrText xml:space="preserve"> PAGEREF _Toc1204 \h </w:instrText>
          </w:r>
          <w:r>
            <w:fldChar w:fldCharType="separate"/>
          </w:r>
          <w:r>
            <w:t>25</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6420C7E4">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_Toc8740 </w:instrText>
          </w:r>
          <w:r>
            <w:rPr>
              <w:rFonts w:hint="default" w:ascii="Times New Roman" w:hAnsi="Times New Roman" w:eastAsia="仿宋" w:cs="Times New Roman"/>
              <w:b/>
              <w:kern w:val="2"/>
              <w:szCs w:val="30"/>
            </w:rPr>
            <w:fldChar w:fldCharType="separate"/>
          </w:r>
          <w:r>
            <w:rPr>
              <w:rFonts w:hint="eastAsia" w:ascii="Times New Roman" w:hAnsi="Times New Roman" w:cs="Times New Roman"/>
              <w:b/>
              <w:szCs w:val="36"/>
            </w:rPr>
            <w:t xml:space="preserve">第三章 </w:t>
          </w:r>
          <w:r>
            <w:rPr>
              <w:rFonts w:hint="default" w:ascii="Times New Roman" w:hAnsi="Times New Roman" w:cs="Times New Roman"/>
              <w:b/>
            </w:rPr>
            <w:t>养殖水域滩涂功能区规划</w:t>
          </w:r>
          <w:r>
            <w:rPr>
              <w:b/>
            </w:rPr>
            <w:tab/>
          </w:r>
          <w:r>
            <w:rPr>
              <w:b/>
            </w:rPr>
            <w:fldChar w:fldCharType="begin"/>
          </w:r>
          <w:r>
            <w:rPr>
              <w:b/>
            </w:rPr>
            <w:instrText xml:space="preserve"> PAGEREF _Toc8740 \h </w:instrText>
          </w:r>
          <w:r>
            <w:rPr>
              <w:b/>
            </w:rPr>
            <w:fldChar w:fldCharType="separate"/>
          </w:r>
          <w:r>
            <w:rPr>
              <w:b/>
            </w:rPr>
            <w:t>26</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35D6BE0F">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_Toc20812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第九节 </w:t>
          </w:r>
          <w:r>
            <w:rPr>
              <w:rFonts w:hint="default" w:ascii="Times New Roman" w:hAnsi="Times New Roman" w:cs="Times New Roman"/>
            </w:rPr>
            <w:t>功能区划概述</w:t>
          </w:r>
          <w:r>
            <w:tab/>
          </w:r>
          <w:r>
            <w:fldChar w:fldCharType="begin"/>
          </w:r>
          <w:r>
            <w:instrText xml:space="preserve"> PAGEREF _Toc20812 \h </w:instrText>
          </w:r>
          <w:r>
            <w:fldChar w:fldCharType="separate"/>
          </w:r>
          <w:r>
            <w:t>26</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63CF89A8">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_Toc12768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第十节 </w:t>
          </w:r>
          <w:r>
            <w:rPr>
              <w:rFonts w:hint="default" w:ascii="Times New Roman" w:hAnsi="Times New Roman" w:cs="Times New Roman"/>
            </w:rPr>
            <w:t>禁止养殖区</w:t>
          </w:r>
          <w:r>
            <w:tab/>
          </w:r>
          <w:r>
            <w:fldChar w:fldCharType="begin"/>
          </w:r>
          <w:r>
            <w:instrText xml:space="preserve"> PAGEREF _Toc12768 \h </w:instrText>
          </w:r>
          <w:r>
            <w:fldChar w:fldCharType="separate"/>
          </w:r>
          <w:r>
            <w:t>27</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7842B5CC">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_Toc30894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第十一节 </w:t>
          </w:r>
          <w:r>
            <w:rPr>
              <w:rFonts w:hint="default" w:ascii="Times New Roman" w:hAnsi="Times New Roman" w:cs="Times New Roman"/>
            </w:rPr>
            <w:t>限制养殖区</w:t>
          </w:r>
          <w:r>
            <w:tab/>
          </w:r>
          <w:r>
            <w:fldChar w:fldCharType="begin"/>
          </w:r>
          <w:r>
            <w:instrText xml:space="preserve"> PAGEREF _Toc30894 \h </w:instrText>
          </w:r>
          <w:r>
            <w:fldChar w:fldCharType="separate"/>
          </w:r>
          <w:r>
            <w:t>29</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18B80F66">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_Toc4760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第十二节 </w:t>
          </w:r>
          <w:r>
            <w:rPr>
              <w:rFonts w:hint="default" w:ascii="Times New Roman" w:hAnsi="Times New Roman" w:cs="Times New Roman"/>
            </w:rPr>
            <w:t>养殖区</w:t>
          </w:r>
          <w:r>
            <w:tab/>
          </w:r>
          <w:r>
            <w:fldChar w:fldCharType="begin"/>
          </w:r>
          <w:r>
            <w:instrText xml:space="preserve"> PAGEREF _Toc4760 \h </w:instrText>
          </w:r>
          <w:r>
            <w:fldChar w:fldCharType="separate"/>
          </w:r>
          <w:r>
            <w:t>31</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6924F18E">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_Toc16909 </w:instrText>
          </w:r>
          <w:r>
            <w:rPr>
              <w:rFonts w:hint="default" w:ascii="Times New Roman" w:hAnsi="Times New Roman" w:eastAsia="仿宋" w:cs="Times New Roman"/>
              <w:b/>
              <w:kern w:val="2"/>
              <w:szCs w:val="30"/>
            </w:rPr>
            <w:fldChar w:fldCharType="separate"/>
          </w:r>
          <w:r>
            <w:rPr>
              <w:rFonts w:hint="eastAsia" w:ascii="Times New Roman" w:hAnsi="Times New Roman" w:cs="Times New Roman"/>
              <w:b/>
              <w:szCs w:val="36"/>
            </w:rPr>
            <w:t xml:space="preserve">第四章 </w:t>
          </w:r>
          <w:r>
            <w:rPr>
              <w:rFonts w:hint="default" w:ascii="Times New Roman" w:hAnsi="Times New Roman" w:cs="Times New Roman"/>
              <w:b/>
            </w:rPr>
            <w:t>保障措施</w:t>
          </w:r>
          <w:r>
            <w:rPr>
              <w:b/>
            </w:rPr>
            <w:tab/>
          </w:r>
          <w:r>
            <w:rPr>
              <w:b/>
            </w:rPr>
            <w:fldChar w:fldCharType="begin"/>
          </w:r>
          <w:r>
            <w:rPr>
              <w:b/>
            </w:rPr>
            <w:instrText xml:space="preserve"> PAGEREF _Toc16909 \h </w:instrText>
          </w:r>
          <w:r>
            <w:rPr>
              <w:b/>
            </w:rPr>
            <w:fldChar w:fldCharType="separate"/>
          </w:r>
          <w:r>
            <w:rPr>
              <w:b/>
            </w:rPr>
            <w:t>34</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6F9025B5">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_Toc9093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第十三节 </w:t>
          </w:r>
          <w:r>
            <w:rPr>
              <w:rFonts w:hint="default" w:ascii="Times New Roman" w:hAnsi="Times New Roman" w:cs="Times New Roman"/>
            </w:rPr>
            <w:t>加强组织领导</w:t>
          </w:r>
          <w:r>
            <w:tab/>
          </w:r>
          <w:r>
            <w:fldChar w:fldCharType="begin"/>
          </w:r>
          <w:r>
            <w:instrText xml:space="preserve"> PAGEREF _Toc9093 \h </w:instrText>
          </w:r>
          <w:r>
            <w:fldChar w:fldCharType="separate"/>
          </w:r>
          <w:r>
            <w:t>34</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58CA015E">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_Toc14664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第十四节 </w:t>
          </w:r>
          <w:r>
            <w:rPr>
              <w:rFonts w:hint="default" w:ascii="Times New Roman" w:hAnsi="Times New Roman" w:cs="Times New Roman"/>
            </w:rPr>
            <w:t>强化监督检查</w:t>
          </w:r>
          <w:r>
            <w:tab/>
          </w:r>
          <w:r>
            <w:fldChar w:fldCharType="begin"/>
          </w:r>
          <w:r>
            <w:instrText xml:space="preserve"> PAGEREF _Toc14664 \h </w:instrText>
          </w:r>
          <w:r>
            <w:fldChar w:fldCharType="separate"/>
          </w:r>
          <w:r>
            <w:t>34</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48BCF189">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_Toc27755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第十五节 </w:t>
          </w:r>
          <w:r>
            <w:rPr>
              <w:rFonts w:hint="default" w:ascii="Times New Roman" w:hAnsi="Times New Roman" w:cs="Times New Roman"/>
            </w:rPr>
            <w:t>强化养殖水域滩涂保护与管理</w:t>
          </w:r>
          <w:r>
            <w:tab/>
          </w:r>
          <w:r>
            <w:fldChar w:fldCharType="begin"/>
          </w:r>
          <w:r>
            <w:instrText xml:space="preserve"> PAGEREF _Toc27755 \h </w:instrText>
          </w:r>
          <w:r>
            <w:fldChar w:fldCharType="separate"/>
          </w:r>
          <w:r>
            <w:t>35</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4293006B">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_Toc19695 </w:instrText>
          </w:r>
          <w:r>
            <w:rPr>
              <w:rFonts w:hint="default" w:ascii="Times New Roman" w:hAnsi="Times New Roman" w:eastAsia="仿宋" w:cs="Times New Roman"/>
              <w:kern w:val="2"/>
              <w:szCs w:val="30"/>
            </w:rPr>
            <w:fldChar w:fldCharType="separate"/>
          </w:r>
          <w:r>
            <w:rPr>
              <w:rFonts w:hint="eastAsia" w:ascii="宋体" w:hAnsi="宋体" w:eastAsia="宋体" w:cs="宋体"/>
              <w:lang w:eastAsia="zh-CN"/>
            </w:rPr>
            <w:t xml:space="preserve">第十六节 </w:t>
          </w:r>
          <w:r>
            <w:rPr>
              <w:rFonts w:hint="eastAsia" w:ascii="Times New Roman" w:hAnsi="Times New Roman" w:cs="Times New Roman"/>
              <w:lang w:eastAsia="zh-CN"/>
            </w:rPr>
            <w:t>加强渔业环境保护</w:t>
          </w:r>
          <w:r>
            <w:tab/>
          </w:r>
          <w:r>
            <w:fldChar w:fldCharType="begin"/>
          </w:r>
          <w:r>
            <w:instrText xml:space="preserve"> PAGEREF _Toc19695 \h </w:instrText>
          </w:r>
          <w:r>
            <w:fldChar w:fldCharType="separate"/>
          </w:r>
          <w:r>
            <w:t>35</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1FFFEF22">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_Toc30734 </w:instrText>
          </w:r>
          <w:r>
            <w:rPr>
              <w:rFonts w:hint="default" w:ascii="Times New Roman" w:hAnsi="Times New Roman" w:eastAsia="仿宋" w:cs="Times New Roman"/>
              <w:b/>
              <w:kern w:val="2"/>
              <w:szCs w:val="30"/>
            </w:rPr>
            <w:fldChar w:fldCharType="separate"/>
          </w:r>
          <w:r>
            <w:rPr>
              <w:rFonts w:hint="eastAsia" w:ascii="Times New Roman" w:hAnsi="Times New Roman" w:cs="Times New Roman"/>
              <w:b/>
              <w:szCs w:val="36"/>
            </w:rPr>
            <w:t xml:space="preserve">第五章 </w:t>
          </w:r>
          <w:r>
            <w:rPr>
              <w:rFonts w:hint="default" w:ascii="Times New Roman" w:hAnsi="Times New Roman" w:cs="Times New Roman"/>
              <w:b/>
            </w:rPr>
            <w:t>规划实施环境影响分析</w:t>
          </w:r>
          <w:r>
            <w:rPr>
              <w:b/>
            </w:rPr>
            <w:tab/>
          </w:r>
          <w:r>
            <w:rPr>
              <w:b/>
            </w:rPr>
            <w:fldChar w:fldCharType="begin"/>
          </w:r>
          <w:r>
            <w:rPr>
              <w:b/>
            </w:rPr>
            <w:instrText xml:space="preserve"> PAGEREF _Toc30734 \h </w:instrText>
          </w:r>
          <w:r>
            <w:rPr>
              <w:b/>
            </w:rPr>
            <w:fldChar w:fldCharType="separate"/>
          </w:r>
          <w:r>
            <w:rPr>
              <w:b/>
            </w:rPr>
            <w:t>37</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0140BEF9">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_Toc8540 </w:instrText>
          </w:r>
          <w:r>
            <w:rPr>
              <w:rFonts w:hint="default" w:ascii="Times New Roman" w:hAnsi="Times New Roman" w:eastAsia="仿宋" w:cs="Times New Roman"/>
              <w:kern w:val="2"/>
              <w:szCs w:val="30"/>
            </w:rPr>
            <w:fldChar w:fldCharType="separate"/>
          </w:r>
          <w:r>
            <w:rPr>
              <w:rFonts w:hint="eastAsia" w:ascii="宋体" w:hAnsi="宋体" w:eastAsia="宋体" w:cs="宋体"/>
              <w:lang w:val="zh-CN"/>
            </w:rPr>
            <w:t xml:space="preserve">第十七节 </w:t>
          </w:r>
          <w:r>
            <w:rPr>
              <w:rFonts w:hint="default" w:ascii="Times New Roman" w:hAnsi="Times New Roman" w:cs="Times New Roman"/>
              <w:lang w:val="zh-CN"/>
            </w:rPr>
            <w:t>环境影响分析、预测和评估</w:t>
          </w:r>
          <w:r>
            <w:tab/>
          </w:r>
          <w:r>
            <w:fldChar w:fldCharType="begin"/>
          </w:r>
          <w:r>
            <w:instrText xml:space="preserve"> PAGEREF _Toc8540 \h </w:instrText>
          </w:r>
          <w:r>
            <w:fldChar w:fldCharType="separate"/>
          </w:r>
          <w:r>
            <w:t>37</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397C83F4">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_Toc13153 </w:instrText>
          </w:r>
          <w:r>
            <w:rPr>
              <w:rFonts w:hint="default" w:ascii="Times New Roman" w:hAnsi="Times New Roman" w:eastAsia="仿宋" w:cs="Times New Roman"/>
              <w:kern w:val="2"/>
              <w:szCs w:val="30"/>
            </w:rPr>
            <w:fldChar w:fldCharType="separate"/>
          </w:r>
          <w:r>
            <w:rPr>
              <w:rFonts w:hint="eastAsia" w:ascii="宋体" w:hAnsi="宋体" w:eastAsia="宋体" w:cs="宋体"/>
              <w:lang w:val="zh-CN"/>
            </w:rPr>
            <w:t xml:space="preserve">第十八节 </w:t>
          </w:r>
          <w:r>
            <w:rPr>
              <w:rFonts w:hint="default" w:ascii="Times New Roman" w:hAnsi="Times New Roman" w:cs="Times New Roman"/>
              <w:lang w:val="zh-CN"/>
            </w:rPr>
            <w:t>环境保护措施</w:t>
          </w:r>
          <w:r>
            <w:tab/>
          </w:r>
          <w:r>
            <w:fldChar w:fldCharType="begin"/>
          </w:r>
          <w:r>
            <w:instrText xml:space="preserve"> PAGEREF _Toc13153 \h </w:instrText>
          </w:r>
          <w:r>
            <w:fldChar w:fldCharType="separate"/>
          </w:r>
          <w:r>
            <w:t>39</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502D7327">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_Toc27059 </w:instrText>
          </w:r>
          <w:r>
            <w:rPr>
              <w:rFonts w:hint="default" w:ascii="Times New Roman" w:hAnsi="Times New Roman" w:eastAsia="仿宋" w:cs="Times New Roman"/>
              <w:kern w:val="2"/>
              <w:szCs w:val="30"/>
            </w:rPr>
            <w:fldChar w:fldCharType="separate"/>
          </w:r>
          <w:r>
            <w:rPr>
              <w:rFonts w:hint="eastAsia" w:ascii="宋体" w:hAnsi="宋体" w:eastAsia="宋体" w:cs="宋体"/>
              <w:lang w:val="zh-CN"/>
            </w:rPr>
            <w:t xml:space="preserve">第十九节 </w:t>
          </w:r>
          <w:r>
            <w:rPr>
              <w:rFonts w:hint="default" w:ascii="Times New Roman" w:hAnsi="Times New Roman" w:cs="Times New Roman"/>
              <w:lang w:val="zh-CN"/>
            </w:rPr>
            <w:t>环境影响评价结论</w:t>
          </w:r>
          <w:r>
            <w:tab/>
          </w:r>
          <w:r>
            <w:fldChar w:fldCharType="begin"/>
          </w:r>
          <w:r>
            <w:instrText xml:space="preserve"> PAGEREF _Toc27059 \h </w:instrText>
          </w:r>
          <w:r>
            <w:fldChar w:fldCharType="separate"/>
          </w:r>
          <w:r>
            <w:t>40</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66CCCFC6">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_Toc32524 </w:instrText>
          </w:r>
          <w:r>
            <w:rPr>
              <w:rFonts w:hint="default" w:ascii="Times New Roman" w:hAnsi="Times New Roman" w:eastAsia="仿宋" w:cs="Times New Roman"/>
              <w:b/>
              <w:kern w:val="2"/>
              <w:szCs w:val="30"/>
            </w:rPr>
            <w:fldChar w:fldCharType="separate"/>
          </w:r>
          <w:r>
            <w:rPr>
              <w:rFonts w:hint="eastAsia" w:ascii="Times New Roman" w:hAnsi="Times New Roman" w:cs="Times New Roman"/>
              <w:b/>
              <w:szCs w:val="36"/>
            </w:rPr>
            <w:t xml:space="preserve">第六章 </w:t>
          </w:r>
          <w:r>
            <w:rPr>
              <w:rFonts w:hint="default" w:ascii="Times New Roman" w:hAnsi="Times New Roman" w:cs="Times New Roman"/>
              <w:b/>
            </w:rPr>
            <w:t>附则</w:t>
          </w:r>
          <w:r>
            <w:rPr>
              <w:b/>
            </w:rPr>
            <w:tab/>
          </w:r>
          <w:r>
            <w:rPr>
              <w:b/>
            </w:rPr>
            <w:fldChar w:fldCharType="begin"/>
          </w:r>
          <w:r>
            <w:rPr>
              <w:b/>
            </w:rPr>
            <w:instrText xml:space="preserve"> PAGEREF _Toc32524 \h </w:instrText>
          </w:r>
          <w:r>
            <w:rPr>
              <w:b/>
            </w:rPr>
            <w:fldChar w:fldCharType="separate"/>
          </w:r>
          <w:r>
            <w:rPr>
              <w:b/>
            </w:rPr>
            <w:t>41</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131BCA23">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_Toc24005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第二十节 </w:t>
          </w:r>
          <w:r>
            <w:rPr>
              <w:rFonts w:hint="default" w:ascii="Times New Roman" w:hAnsi="Times New Roman" w:cs="Times New Roman"/>
            </w:rPr>
            <w:t>关于规划图件</w:t>
          </w:r>
          <w:r>
            <w:tab/>
          </w:r>
          <w:r>
            <w:fldChar w:fldCharType="begin"/>
          </w:r>
          <w:r>
            <w:instrText xml:space="preserve"> PAGEREF _Toc24005 \h </w:instrText>
          </w:r>
          <w:r>
            <w:fldChar w:fldCharType="separate"/>
          </w:r>
          <w:r>
            <w:t>41</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57DDF5FF">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_Toc20027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第二十一节 </w:t>
          </w:r>
          <w:r>
            <w:rPr>
              <w:rFonts w:hint="default" w:ascii="Times New Roman" w:hAnsi="Times New Roman" w:cs="Times New Roman"/>
            </w:rPr>
            <w:t>关于规划实施的补充说明</w:t>
          </w:r>
          <w:r>
            <w:tab/>
          </w:r>
          <w:r>
            <w:fldChar w:fldCharType="begin"/>
          </w:r>
          <w:r>
            <w:instrText xml:space="preserve"> PAGEREF _Toc20027 \h </w:instrText>
          </w:r>
          <w:r>
            <w:fldChar w:fldCharType="separate"/>
          </w:r>
          <w:r>
            <w:t>41</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21E34320">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_Toc23595 </w:instrText>
          </w:r>
          <w:r>
            <w:rPr>
              <w:rFonts w:hint="default" w:ascii="Times New Roman" w:hAnsi="Times New Roman" w:eastAsia="仿宋" w:cs="Times New Roman"/>
              <w:kern w:val="2"/>
              <w:szCs w:val="30"/>
            </w:rPr>
            <w:fldChar w:fldCharType="separate"/>
          </w:r>
          <w:r>
            <w:rPr>
              <w:rFonts w:hint="eastAsia" w:ascii="宋体" w:hAnsi="宋体" w:eastAsia="宋体" w:cs="宋体"/>
            </w:rPr>
            <w:t xml:space="preserve">第二十二节 </w:t>
          </w:r>
          <w:r>
            <w:rPr>
              <w:rFonts w:hint="default" w:ascii="Times New Roman" w:hAnsi="Times New Roman" w:cs="Times New Roman"/>
            </w:rPr>
            <w:t>关于规划修订</w:t>
          </w:r>
          <w:r>
            <w:tab/>
          </w:r>
          <w:r>
            <w:fldChar w:fldCharType="begin"/>
          </w:r>
          <w:r>
            <w:instrText xml:space="preserve"> PAGEREF _Toc23595 \h </w:instrText>
          </w:r>
          <w:r>
            <w:fldChar w:fldCharType="separate"/>
          </w:r>
          <w:r>
            <w:t>41</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27C61EFB">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_Toc17621 </w:instrText>
          </w:r>
          <w:r>
            <w:rPr>
              <w:rFonts w:hint="default" w:ascii="Times New Roman" w:hAnsi="Times New Roman" w:eastAsia="仿宋" w:cs="Times New Roman"/>
              <w:b/>
              <w:kern w:val="2"/>
              <w:szCs w:val="30"/>
            </w:rPr>
            <w:fldChar w:fldCharType="separate"/>
          </w:r>
          <w:r>
            <w:rPr>
              <w:rFonts w:hint="default" w:ascii="Times New Roman" w:hAnsi="Times New Roman" w:cs="Times New Roman"/>
              <w:b/>
            </w:rPr>
            <w:t>附表</w:t>
          </w:r>
          <w:r>
            <w:rPr>
              <w:b/>
            </w:rPr>
            <w:tab/>
          </w:r>
          <w:r>
            <w:rPr>
              <w:b/>
            </w:rPr>
            <w:fldChar w:fldCharType="begin"/>
          </w:r>
          <w:r>
            <w:rPr>
              <w:b/>
            </w:rPr>
            <w:instrText xml:space="preserve"> PAGEREF _Toc17621 \h </w:instrText>
          </w:r>
          <w:r>
            <w:rPr>
              <w:b/>
            </w:rPr>
            <w:fldChar w:fldCharType="separate"/>
          </w:r>
          <w:r>
            <w:rPr>
              <w:b/>
            </w:rPr>
            <w:t>43</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5C667620">
          <w:pPr>
            <w:pStyle w:val="57"/>
            <w:tabs>
              <w:tab w:val="right" w:leader="dot" w:pos="8250"/>
            </w:tabs>
            <w:rPr>
              <w:rFonts w:hint="default" w:ascii="Times New Roman" w:hAnsi="Times New Roman" w:eastAsia="仿宋" w:cs="Times New Roman"/>
              <w:color w:val="000000" w:themeColor="text1"/>
              <w:kern w:val="2"/>
              <w:szCs w:val="30"/>
              <w14:textFill>
                <w14:solidFill>
                  <w14:schemeClr w14:val="tx1"/>
                </w14:solidFill>
              </w14:textFill>
            </w:rPr>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HYPERLINK \l _Toc532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附表1养殖水域滩涂功能区划表</w:t>
          </w:r>
          <w:r>
            <w:rPr>
              <w:rFonts w:hint="default" w:ascii="Times New Roman" w:hAnsi="Times New Roman" w:eastAsia="仿宋" w:cs="Times New Roman"/>
              <w:color w:val="000000" w:themeColor="text1"/>
              <w:kern w:val="2"/>
              <w:szCs w:val="30"/>
              <w14:textFill>
                <w14:solidFill>
                  <w14:schemeClr w14:val="tx1"/>
                </w14:solidFill>
              </w14:textFill>
            </w:rPr>
            <w:tab/>
          </w: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PAGEREF _Toc532 \h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44</w:t>
          </w:r>
          <w:r>
            <w:rPr>
              <w:rFonts w:hint="default" w:ascii="Times New Roman" w:hAnsi="Times New Roman" w:eastAsia="仿宋" w:cs="Times New Roman"/>
              <w:color w:val="000000" w:themeColor="text1"/>
              <w:kern w:val="2"/>
              <w:szCs w:val="30"/>
              <w14:textFill>
                <w14:solidFill>
                  <w14:schemeClr w14:val="tx1"/>
                </w14:solidFill>
              </w14:textFill>
            </w:rP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291BB73D">
          <w:pPr>
            <w:pStyle w:val="57"/>
            <w:tabs>
              <w:tab w:val="right" w:leader="dot" w:pos="8250"/>
            </w:tabs>
            <w:rPr>
              <w:rFonts w:hint="default" w:ascii="Times New Roman" w:hAnsi="Times New Roman" w:eastAsia="仿宋" w:cs="Times New Roman"/>
              <w:color w:val="000000" w:themeColor="text1"/>
              <w:kern w:val="2"/>
              <w:szCs w:val="30"/>
              <w14:textFill>
                <w14:solidFill>
                  <w14:schemeClr w14:val="tx1"/>
                </w14:solidFill>
              </w14:textFill>
            </w:rPr>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HYPERLINK \l _Toc6291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附表2-1寿县水域滩涂禁止养殖区汇总表</w:t>
          </w:r>
          <w:r>
            <w:rPr>
              <w:rFonts w:hint="default" w:ascii="Times New Roman" w:hAnsi="Times New Roman" w:eastAsia="仿宋" w:cs="Times New Roman"/>
              <w:color w:val="000000" w:themeColor="text1"/>
              <w:kern w:val="2"/>
              <w:szCs w:val="30"/>
              <w14:textFill>
                <w14:solidFill>
                  <w14:schemeClr w14:val="tx1"/>
                </w14:solidFill>
              </w14:textFill>
            </w:rPr>
            <w:tab/>
          </w: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PAGEREF _Toc6291 \h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45</w:t>
          </w:r>
          <w:r>
            <w:rPr>
              <w:rFonts w:hint="default" w:ascii="Times New Roman" w:hAnsi="Times New Roman" w:eastAsia="仿宋" w:cs="Times New Roman"/>
              <w:color w:val="000000" w:themeColor="text1"/>
              <w:kern w:val="2"/>
              <w:szCs w:val="30"/>
              <w14:textFill>
                <w14:solidFill>
                  <w14:schemeClr w14:val="tx1"/>
                </w14:solidFill>
              </w14:textFill>
            </w:rP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1BA98497">
          <w:pPr>
            <w:pStyle w:val="57"/>
            <w:tabs>
              <w:tab w:val="right" w:leader="dot" w:pos="8250"/>
            </w:tabs>
            <w:rPr>
              <w:rFonts w:hint="default" w:ascii="Times New Roman" w:hAnsi="Times New Roman" w:eastAsia="仿宋" w:cs="Times New Roman"/>
              <w:color w:val="000000" w:themeColor="text1"/>
              <w:kern w:val="2"/>
              <w:szCs w:val="30"/>
              <w14:textFill>
                <w14:solidFill>
                  <w14:schemeClr w14:val="tx1"/>
                </w14:solidFill>
              </w14:textFill>
            </w:rPr>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HYPERLINK \l _Toc3733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附表2-2寿县水域滩涂禁止养殖区汇总表</w:t>
          </w:r>
          <w:r>
            <w:rPr>
              <w:rFonts w:hint="default" w:ascii="Times New Roman" w:hAnsi="Times New Roman" w:eastAsia="仿宋" w:cs="Times New Roman"/>
              <w:color w:val="000000" w:themeColor="text1"/>
              <w:kern w:val="2"/>
              <w:szCs w:val="30"/>
              <w14:textFill>
                <w14:solidFill>
                  <w14:schemeClr w14:val="tx1"/>
                </w14:solidFill>
              </w14:textFill>
            </w:rPr>
            <w:tab/>
          </w: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PAGEREF _Toc3733 \h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45</w:t>
          </w:r>
          <w:r>
            <w:rPr>
              <w:rFonts w:hint="default" w:ascii="Times New Roman" w:hAnsi="Times New Roman" w:eastAsia="仿宋" w:cs="Times New Roman"/>
              <w:color w:val="000000" w:themeColor="text1"/>
              <w:kern w:val="2"/>
              <w:szCs w:val="30"/>
              <w14:textFill>
                <w14:solidFill>
                  <w14:schemeClr w14:val="tx1"/>
                </w14:solidFill>
              </w14:textFill>
            </w:rP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05E1B2A5">
          <w:pPr>
            <w:pStyle w:val="57"/>
            <w:tabs>
              <w:tab w:val="right" w:leader="dot" w:pos="8250"/>
            </w:tabs>
            <w:rPr>
              <w:rFonts w:hint="default" w:ascii="Times New Roman" w:hAnsi="Times New Roman" w:eastAsia="仿宋" w:cs="Times New Roman"/>
              <w:color w:val="000000" w:themeColor="text1"/>
              <w:kern w:val="2"/>
              <w:szCs w:val="30"/>
              <w14:textFill>
                <w14:solidFill>
                  <w14:schemeClr w14:val="tx1"/>
                </w14:solidFill>
              </w14:textFill>
            </w:rPr>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HYPERLINK \l _Toc21380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附表2-3寿县水域滩涂禁止养殖区汇总表</w:t>
          </w:r>
          <w:r>
            <w:rPr>
              <w:rFonts w:hint="default" w:ascii="Times New Roman" w:hAnsi="Times New Roman" w:eastAsia="仿宋" w:cs="Times New Roman"/>
              <w:color w:val="000000" w:themeColor="text1"/>
              <w:kern w:val="2"/>
              <w:szCs w:val="30"/>
              <w14:textFill>
                <w14:solidFill>
                  <w14:schemeClr w14:val="tx1"/>
                </w14:solidFill>
              </w14:textFill>
            </w:rPr>
            <w:tab/>
          </w: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PAGEREF _Toc21380 \h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45</w:t>
          </w:r>
          <w:r>
            <w:rPr>
              <w:rFonts w:hint="default" w:ascii="Times New Roman" w:hAnsi="Times New Roman" w:eastAsia="仿宋" w:cs="Times New Roman"/>
              <w:color w:val="000000" w:themeColor="text1"/>
              <w:kern w:val="2"/>
              <w:szCs w:val="30"/>
              <w14:textFill>
                <w14:solidFill>
                  <w14:schemeClr w14:val="tx1"/>
                </w14:solidFill>
              </w14:textFill>
            </w:rP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423D7946">
          <w:pPr>
            <w:pStyle w:val="57"/>
            <w:tabs>
              <w:tab w:val="right" w:leader="dot" w:pos="8250"/>
            </w:tabs>
            <w:rPr>
              <w:rFonts w:hint="default" w:ascii="Times New Roman" w:hAnsi="Times New Roman" w:eastAsia="仿宋" w:cs="Times New Roman"/>
              <w:color w:val="000000" w:themeColor="text1"/>
              <w:kern w:val="2"/>
              <w:szCs w:val="30"/>
              <w14:textFill>
                <w14:solidFill>
                  <w14:schemeClr w14:val="tx1"/>
                </w14:solidFill>
              </w14:textFill>
            </w:rPr>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HYPERLINK \l _Toc21892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附表3-1寿县水域滩涂限制养殖区汇总表</w:t>
          </w:r>
          <w:r>
            <w:rPr>
              <w:rFonts w:hint="default" w:ascii="Times New Roman" w:hAnsi="Times New Roman" w:eastAsia="仿宋" w:cs="Times New Roman"/>
              <w:color w:val="000000" w:themeColor="text1"/>
              <w:kern w:val="2"/>
              <w:szCs w:val="30"/>
              <w14:textFill>
                <w14:solidFill>
                  <w14:schemeClr w14:val="tx1"/>
                </w14:solidFill>
              </w14:textFill>
            </w:rPr>
            <w:tab/>
          </w: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PAGEREF _Toc21892 \h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46</w:t>
          </w:r>
          <w:r>
            <w:rPr>
              <w:rFonts w:hint="default" w:ascii="Times New Roman" w:hAnsi="Times New Roman" w:eastAsia="仿宋" w:cs="Times New Roman"/>
              <w:color w:val="000000" w:themeColor="text1"/>
              <w:kern w:val="2"/>
              <w:szCs w:val="30"/>
              <w14:textFill>
                <w14:solidFill>
                  <w14:schemeClr w14:val="tx1"/>
                </w14:solidFill>
              </w14:textFill>
            </w:rP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00B38E60">
          <w:pPr>
            <w:pStyle w:val="57"/>
            <w:tabs>
              <w:tab w:val="right" w:leader="dot" w:pos="8250"/>
            </w:tabs>
            <w:rPr>
              <w:rFonts w:hint="default" w:ascii="Times New Roman" w:hAnsi="Times New Roman" w:eastAsia="仿宋" w:cs="Times New Roman"/>
              <w:color w:val="000000" w:themeColor="text1"/>
              <w:kern w:val="2"/>
              <w:szCs w:val="30"/>
              <w14:textFill>
                <w14:solidFill>
                  <w14:schemeClr w14:val="tx1"/>
                </w14:solidFill>
              </w14:textFill>
            </w:rPr>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HYPERLINK \l _Toc19463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附表3-2寿县水域滩涂限制养殖区汇总表</w:t>
          </w:r>
          <w:r>
            <w:rPr>
              <w:rFonts w:hint="default" w:ascii="Times New Roman" w:hAnsi="Times New Roman" w:eastAsia="仿宋" w:cs="Times New Roman"/>
              <w:color w:val="000000" w:themeColor="text1"/>
              <w:kern w:val="2"/>
              <w:szCs w:val="30"/>
              <w14:textFill>
                <w14:solidFill>
                  <w14:schemeClr w14:val="tx1"/>
                </w14:solidFill>
              </w14:textFill>
            </w:rPr>
            <w:tab/>
          </w: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color w:val="000000" w:themeColor="text1"/>
              <w:kern w:val="2"/>
              <w:szCs w:val="30"/>
              <w14:textFill>
                <w14:solidFill>
                  <w14:schemeClr w14:val="tx1"/>
                </w14:solidFill>
              </w14:textFill>
            </w:rPr>
            <w:instrText xml:space="preserve"> PAGEREF _Toc19463 \h </w:instrText>
          </w:r>
          <w:r>
            <w:rPr>
              <w:rFonts w:hint="default" w:ascii="Times New Roman" w:hAnsi="Times New Roman" w:eastAsia="仿宋" w:cs="Times New Roman"/>
              <w:color w:val="000000" w:themeColor="text1"/>
              <w:kern w:val="2"/>
              <w:szCs w:val="30"/>
              <w14:textFill>
                <w14:solidFill>
                  <w14:schemeClr w14:val="tx1"/>
                </w14:solidFill>
              </w14:textFill>
            </w:rPr>
            <w:fldChar w:fldCharType="separate"/>
          </w:r>
          <w:r>
            <w:rPr>
              <w:rFonts w:hint="default" w:ascii="Times New Roman" w:hAnsi="Times New Roman" w:eastAsia="仿宋" w:cs="Times New Roman"/>
              <w:color w:val="000000" w:themeColor="text1"/>
              <w:kern w:val="2"/>
              <w:szCs w:val="30"/>
              <w14:textFill>
                <w14:solidFill>
                  <w14:schemeClr w14:val="tx1"/>
                </w14:solidFill>
              </w14:textFill>
            </w:rPr>
            <w:t>46</w:t>
          </w:r>
          <w:r>
            <w:rPr>
              <w:rFonts w:hint="default" w:ascii="Times New Roman" w:hAnsi="Times New Roman" w:eastAsia="仿宋" w:cs="Times New Roman"/>
              <w:color w:val="000000" w:themeColor="text1"/>
              <w:kern w:val="2"/>
              <w:szCs w:val="30"/>
              <w14:textFill>
                <w14:solidFill>
                  <w14:schemeClr w14:val="tx1"/>
                </w14:solidFill>
              </w14:textFill>
            </w:rP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7458FD03">
          <w:pPr>
            <w:pStyle w:val="56"/>
            <w:tabs>
              <w:tab w:val="right" w:leader="dot" w:pos="8250"/>
            </w:tabs>
            <w:rPr>
              <w:b/>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begin"/>
          </w:r>
          <w:r>
            <w:rPr>
              <w:rFonts w:hint="default" w:ascii="Times New Roman" w:hAnsi="Times New Roman" w:eastAsia="仿宋" w:cs="Times New Roman"/>
              <w:b/>
              <w:kern w:val="2"/>
              <w:szCs w:val="30"/>
            </w:rPr>
            <w:instrText xml:space="preserve"> HYPERLINK \l _Toc26151 </w:instrText>
          </w:r>
          <w:r>
            <w:rPr>
              <w:rFonts w:hint="default" w:ascii="Times New Roman" w:hAnsi="Times New Roman" w:eastAsia="仿宋" w:cs="Times New Roman"/>
              <w:b/>
              <w:kern w:val="2"/>
              <w:szCs w:val="30"/>
            </w:rPr>
            <w:fldChar w:fldCharType="separate"/>
          </w:r>
          <w:r>
            <w:rPr>
              <w:rFonts w:hint="default" w:ascii="Times New Roman" w:hAnsi="Times New Roman" w:eastAsia="仿宋" w:cs="Times New Roman"/>
              <w:b/>
            </w:rPr>
            <w:t>附图</w:t>
          </w:r>
          <w:r>
            <w:rPr>
              <w:b/>
            </w:rPr>
            <w:tab/>
          </w:r>
          <w:r>
            <w:rPr>
              <w:b/>
            </w:rPr>
            <w:fldChar w:fldCharType="begin"/>
          </w:r>
          <w:r>
            <w:rPr>
              <w:b/>
            </w:rPr>
            <w:instrText xml:space="preserve"> PAGEREF _Toc26151 \h </w:instrText>
          </w:r>
          <w:r>
            <w:rPr>
              <w:b/>
            </w:rPr>
            <w:fldChar w:fldCharType="separate"/>
          </w:r>
          <w:r>
            <w:rPr>
              <w:b/>
            </w:rPr>
            <w:t>47</w:t>
          </w:r>
          <w:r>
            <w:rPr>
              <w:b/>
            </w:rPr>
            <w:fldChar w:fldCharType="end"/>
          </w: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p w14:paraId="725E43F2">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_Toc1345 </w:instrText>
          </w:r>
          <w:r>
            <w:rPr>
              <w:rFonts w:hint="default" w:ascii="Times New Roman" w:hAnsi="Times New Roman" w:eastAsia="仿宋" w:cs="Times New Roman"/>
              <w:kern w:val="2"/>
              <w:szCs w:val="30"/>
            </w:rPr>
            <w:fldChar w:fldCharType="separate"/>
          </w:r>
          <w:r>
            <w:rPr>
              <w:rFonts w:hint="default" w:ascii="Times New Roman" w:hAnsi="Times New Roman" w:eastAsia="仿宋" w:cs="Times New Roman"/>
            </w:rPr>
            <w:t>附图1养殖水域滩涂利用现状图</w:t>
          </w:r>
          <w:r>
            <w:tab/>
          </w:r>
          <w:r>
            <w:fldChar w:fldCharType="begin"/>
          </w:r>
          <w:r>
            <w:instrText xml:space="preserve"> PAGEREF _Toc1345 \h </w:instrText>
          </w:r>
          <w:r>
            <w:fldChar w:fldCharType="separate"/>
          </w:r>
          <w:r>
            <w:t>48</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45C8A51D">
          <w:pPr>
            <w:pStyle w:val="57"/>
            <w:tabs>
              <w:tab w:val="right" w:leader="dot" w:pos="8250"/>
            </w:tabs>
          </w:pPr>
          <w:r>
            <w:rPr>
              <w:rFonts w:hint="default" w:ascii="Times New Roman" w:hAnsi="Times New Roman" w:eastAsia="仿宋" w:cs="Times New Roman"/>
              <w:color w:val="000000" w:themeColor="text1"/>
              <w:kern w:val="2"/>
              <w:szCs w:val="30"/>
              <w14:textFill>
                <w14:solidFill>
                  <w14:schemeClr w14:val="tx1"/>
                </w14:solidFill>
              </w14:textFill>
            </w:rPr>
            <w:fldChar w:fldCharType="begin"/>
          </w:r>
          <w:r>
            <w:rPr>
              <w:rFonts w:hint="default" w:ascii="Times New Roman" w:hAnsi="Times New Roman" w:eastAsia="仿宋" w:cs="Times New Roman"/>
              <w:kern w:val="2"/>
              <w:szCs w:val="30"/>
            </w:rPr>
            <w:instrText xml:space="preserve"> HYPERLINK \l _Toc27697 </w:instrText>
          </w:r>
          <w:r>
            <w:rPr>
              <w:rFonts w:hint="default" w:ascii="Times New Roman" w:hAnsi="Times New Roman" w:eastAsia="仿宋" w:cs="Times New Roman"/>
              <w:kern w:val="2"/>
              <w:szCs w:val="30"/>
            </w:rPr>
            <w:fldChar w:fldCharType="separate"/>
          </w:r>
          <w:r>
            <w:rPr>
              <w:rFonts w:hint="default" w:ascii="Times New Roman" w:hAnsi="Times New Roman" w:eastAsia="仿宋" w:cs="Times New Roman"/>
            </w:rPr>
            <w:t>附图2养殖水域滩涂功能区规划图</w:t>
          </w:r>
          <w:r>
            <w:tab/>
          </w:r>
          <w:r>
            <w:fldChar w:fldCharType="begin"/>
          </w:r>
          <w:r>
            <w:instrText xml:space="preserve"> PAGEREF _Toc27697 \h </w:instrText>
          </w:r>
          <w:r>
            <w:fldChar w:fldCharType="separate"/>
          </w:r>
          <w:r>
            <w:t>49</w:t>
          </w:r>
          <w:r>
            <w:fldChar w:fldCharType="end"/>
          </w:r>
          <w:r>
            <w:rPr>
              <w:rFonts w:hint="default" w:ascii="Times New Roman" w:hAnsi="Times New Roman" w:eastAsia="仿宋" w:cs="Times New Roman"/>
              <w:color w:val="000000" w:themeColor="text1"/>
              <w:kern w:val="2"/>
              <w:szCs w:val="30"/>
              <w14:textFill>
                <w14:solidFill>
                  <w14:schemeClr w14:val="tx1"/>
                </w14:solidFill>
              </w14:textFill>
            </w:rPr>
            <w:fldChar w:fldCharType="end"/>
          </w:r>
        </w:p>
        <w:p w14:paraId="3062C5C7">
          <w:pPr>
            <w:pStyle w:val="56"/>
            <w:tabs>
              <w:tab w:val="right" w:leader="dot" w:pos="8250"/>
            </w:tabs>
            <w:rPr>
              <w:rFonts w:hint="default" w:ascii="Times New Roman" w:hAnsi="Times New Roman" w:eastAsia="仿宋" w:cs="Times New Roman"/>
              <w:b/>
              <w:color w:val="000000" w:themeColor="text1"/>
              <w:kern w:val="2"/>
              <w:szCs w:val="30"/>
              <w:lang w:val="en-US" w:eastAsia="zh-CN" w:bidi="ar-SA"/>
              <w14:textFill>
                <w14:solidFill>
                  <w14:schemeClr w14:val="tx1"/>
                </w14:solidFill>
              </w14:textFill>
            </w:rPr>
          </w:pPr>
          <w:r>
            <w:rPr>
              <w:rFonts w:hint="default" w:ascii="Times New Roman" w:hAnsi="Times New Roman" w:eastAsia="仿宋" w:cs="Times New Roman"/>
              <w:b/>
              <w:color w:val="000000" w:themeColor="text1"/>
              <w:kern w:val="2"/>
              <w:szCs w:val="30"/>
              <w14:textFill>
                <w14:solidFill>
                  <w14:schemeClr w14:val="tx1"/>
                </w14:solidFill>
              </w14:textFill>
            </w:rPr>
            <w:fldChar w:fldCharType="end"/>
          </w:r>
        </w:p>
      </w:sdtContent>
    </w:sdt>
    <w:p w14:paraId="0AB65A86">
      <w:pPr>
        <w:ind w:firstLine="602"/>
        <w:rPr>
          <w:rFonts w:hint="default" w:ascii="Times New Roman" w:hAnsi="Times New Roman" w:cs="Times New Roman"/>
          <w:b/>
          <w:color w:val="000000" w:themeColor="text1"/>
          <w14:textFill>
            <w14:solidFill>
              <w14:schemeClr w14:val="tx1"/>
            </w14:solidFill>
          </w14:textFill>
        </w:rPr>
      </w:pPr>
    </w:p>
    <w:p w14:paraId="55280EB7">
      <w:pPr>
        <w:ind w:firstLine="600"/>
        <w:rPr>
          <w:rFonts w:hint="default" w:ascii="Times New Roman" w:hAnsi="Times New Roman" w:cs="Times New Roman"/>
          <w:color w:val="000000" w:themeColor="text1"/>
          <w14:textFill>
            <w14:solidFill>
              <w14:schemeClr w14:val="tx1"/>
            </w14:solidFill>
          </w14:textFill>
        </w:rPr>
        <w:sectPr>
          <w:headerReference r:id="rId11" w:type="default"/>
          <w:footerReference r:id="rId12" w:type="default"/>
          <w:pgSz w:w="11850" w:h="16783"/>
          <w:pgMar w:top="1140" w:right="1800" w:bottom="1243" w:left="1800" w:header="851" w:footer="992" w:gutter="0"/>
          <w:pgNumType w:fmt="upperRoman" w:start="1"/>
          <w:cols w:space="425" w:num="1"/>
          <w:docGrid w:type="lines" w:linePitch="312" w:charSpace="0"/>
        </w:sectPr>
      </w:pPr>
    </w:p>
    <w:p w14:paraId="466EFAC5">
      <w:pPr>
        <w:pStyle w:val="2"/>
        <w:rPr>
          <w:rFonts w:hint="default" w:ascii="Times New Roman" w:hAnsi="Times New Roman" w:cs="Times New Roman"/>
          <w:color w:val="000000" w:themeColor="text1"/>
          <w14:textFill>
            <w14:solidFill>
              <w14:schemeClr w14:val="tx1"/>
            </w14:solidFill>
          </w14:textFill>
        </w:rPr>
      </w:pPr>
      <w:bookmarkStart w:id="4" w:name="_Toc29508"/>
      <w:bookmarkStart w:id="5" w:name="_Toc11112"/>
      <w:bookmarkStart w:id="6" w:name="_Toc24499"/>
      <w:bookmarkStart w:id="7" w:name="_Toc22685"/>
      <w:bookmarkStart w:id="8" w:name="_Toc30396"/>
      <w:r>
        <w:rPr>
          <w:rFonts w:hint="default" w:ascii="Times New Roman" w:hAnsi="Times New Roman" w:cs="Times New Roman"/>
          <w:color w:val="000000" w:themeColor="text1"/>
          <w14:textFill>
            <w14:solidFill>
              <w14:schemeClr w14:val="tx1"/>
            </w14:solidFill>
          </w14:textFill>
        </w:rPr>
        <w:t>总则</w:t>
      </w:r>
      <w:bookmarkEnd w:id="4"/>
      <w:bookmarkEnd w:id="5"/>
      <w:bookmarkEnd w:id="6"/>
      <w:bookmarkEnd w:id="7"/>
      <w:bookmarkEnd w:id="8"/>
    </w:p>
    <w:p w14:paraId="24C07122">
      <w:pPr>
        <w:pStyle w:val="3"/>
        <w:ind w:firstLine="643"/>
        <w:rPr>
          <w:rFonts w:hint="default" w:ascii="Times New Roman" w:hAnsi="Times New Roman" w:cs="Times New Roman"/>
          <w:color w:val="000000" w:themeColor="text1"/>
          <w14:textFill>
            <w14:solidFill>
              <w14:schemeClr w14:val="tx1"/>
            </w14:solidFill>
          </w14:textFill>
        </w:rPr>
      </w:pPr>
      <w:bookmarkStart w:id="9" w:name="_Toc22651"/>
      <w:bookmarkStart w:id="10" w:name="_Toc20268"/>
      <w:bookmarkStart w:id="11" w:name="_Toc1481"/>
      <w:bookmarkStart w:id="12" w:name="_Toc606"/>
      <w:bookmarkStart w:id="13" w:name="_Toc24276"/>
      <w:r>
        <w:rPr>
          <w:rFonts w:hint="default" w:ascii="Times New Roman" w:hAnsi="Times New Roman" w:cs="Times New Roman"/>
          <w:color w:val="000000" w:themeColor="text1"/>
          <w14:textFill>
            <w14:solidFill>
              <w14:schemeClr w14:val="tx1"/>
            </w14:solidFill>
          </w14:textFill>
        </w:rPr>
        <w:t>前言</w:t>
      </w:r>
      <w:bookmarkEnd w:id="9"/>
      <w:bookmarkEnd w:id="10"/>
      <w:bookmarkEnd w:id="11"/>
      <w:bookmarkEnd w:id="12"/>
      <w:bookmarkEnd w:id="13"/>
    </w:p>
    <w:p w14:paraId="71A7E802">
      <w:pPr>
        <w:widowControl/>
        <w:shd w:val="clear" w:color="auto" w:fill="FFFFFF"/>
        <w:spacing w:line="600" w:lineRule="exact"/>
        <w:ind w:firstLine="600"/>
        <w:rPr>
          <w:rFonts w:hint="eastAsia" w:ascii="Times New Roman" w:hAnsi="Times New Roman" w:eastAsia="仿宋" w:cs="Times New Roman"/>
          <w:color w:val="000000" w:themeColor="text1"/>
          <w:shd w:val="clear" w:color="auto" w:fill="FFFFFF"/>
          <w:lang w:eastAsia="zh-C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随着经济社会快速发展、生态保护政策深化以及水产养殖产业转型升级，寿县水域滩涂资源分布格局和功能定位已发生显著变化。</w:t>
      </w:r>
      <w:r>
        <w:rPr>
          <w:rFonts w:hint="default" w:ascii="Times New Roman" w:hAnsi="Times New Roman" w:cs="Times New Roman"/>
          <w:color w:val="000000" w:themeColor="text1"/>
          <w:shd w:val="clear" w:color="auto" w:fill="FFFFFF"/>
          <w:lang w:eastAsia="zh-CN"/>
          <w14:textFill>
            <w14:solidFill>
              <w14:schemeClr w14:val="tx1"/>
            </w14:solidFill>
          </w14:textFill>
        </w:rPr>
        <w:t>原《寿县养殖水域滩涂规划（2018-2030年）》在指导水产养殖布局、保障生态安全方面成效显著，但鉴于当前国土空间规划的新要求、生态保护红线的严格划定以及现代渔业发展的新趋势，部分内容已显露出适应性不足的问题。</w:t>
      </w:r>
      <w:r>
        <w:rPr>
          <w:rFonts w:hint="eastAsia" w:cs="Times New Roman"/>
          <w:color w:val="000000" w:themeColor="text1"/>
          <w:shd w:val="clear" w:color="auto" w:fill="FFFFFF"/>
          <w:lang w:eastAsia="zh-CN"/>
          <w14:textFill>
            <w14:solidFill>
              <w14:schemeClr w14:val="tx1"/>
            </w14:solidFill>
          </w14:textFill>
        </w:rPr>
        <w:t>为深入贯彻《中华人民共和国渔业法》《中华人民共和国环境保护法》等法律法规精神，科学合理地统筹水产养殖与生态保护之间的关系，特此启动本规划的修编工作。</w:t>
      </w:r>
    </w:p>
    <w:p w14:paraId="1BDAAAA0">
      <w:pPr>
        <w:widowControl/>
        <w:shd w:val="clear" w:color="auto" w:fill="FFFFFF"/>
        <w:spacing w:line="600" w:lineRule="exact"/>
        <w:ind w:firstLine="600"/>
        <w:rPr>
          <w:rFonts w:hint="eastAsia" w:ascii="Times New Roman" w:hAnsi="Times New Roman" w:eastAsia="仿宋" w:cs="Times New Roman"/>
          <w:color w:val="000000" w:themeColor="text1"/>
          <w:shd w:val="clear" w:color="auto" w:fill="FFFFFF"/>
          <w:lang w:eastAsia="zh-CN"/>
          <w14:textFill>
            <w14:solidFill>
              <w14:schemeClr w14:val="tx1"/>
            </w14:solidFill>
          </w14:textFill>
        </w:rPr>
      </w:pPr>
      <w:r>
        <w:rPr>
          <w:rFonts w:hint="eastAsia" w:cs="Times New Roman"/>
          <w:color w:val="000000" w:themeColor="text1"/>
          <w:shd w:val="clear" w:color="auto" w:fill="FFFFFF"/>
          <w:lang w:eastAsia="zh-CN"/>
          <w14:textFill>
            <w14:solidFill>
              <w14:schemeClr w14:val="tx1"/>
            </w14:solidFill>
          </w14:textFill>
        </w:rPr>
        <w:t>本次修编以“生态优先、绿色发展”为核心理念，依据最新国土变更调查成果和“三区三线”划定数据，结合寿县水域滩涂资源禀赋及环境承载力，重新界定禁止养殖区、限制养殖区和养殖区功能范围。</w:t>
      </w:r>
    </w:p>
    <w:p w14:paraId="01309131">
      <w:pPr>
        <w:widowControl/>
        <w:shd w:val="clear" w:color="auto" w:fill="FFFFFF"/>
        <w:spacing w:line="600" w:lineRule="exact"/>
        <w:ind w:firstLine="600"/>
        <w:rPr>
          <w:rFonts w:hint="eastAsia" w:ascii="Times New Roman" w:hAnsi="Times New Roman" w:eastAsia="仿宋" w:cs="Times New Roman"/>
          <w:color w:val="000000" w:themeColor="text1"/>
          <w:shd w:val="clear" w:color="auto" w:fill="FFFFFF"/>
          <w:lang w:eastAsia="zh-C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重点优化资源适配性、生态保护、水域滩涂分类管理等内容。</w:t>
      </w:r>
      <w:r>
        <w:rPr>
          <w:rFonts w:hint="eastAsia" w:cs="Times New Roman"/>
          <w:color w:val="000000" w:themeColor="text1"/>
          <w:shd w:val="clear" w:color="auto" w:fill="FFFFFF"/>
          <w:lang w:eastAsia="zh-CN"/>
          <w14:textFill>
            <w14:solidFill>
              <w14:schemeClr w14:val="tx1"/>
            </w14:solidFill>
          </w14:textFill>
        </w:rPr>
        <w:t>依据水域滩涂的资源特点、生态变迁及养殖技术的更新换代，进行资源适配性的优化调整，重新估算了现有养殖容量，科学合理地规划了渔业产业布局，并加强了尾水治理技术的推广与应用。将生态保护红线与自然保护地管理要求相衔接，对饮用水源地、行洪区等敏感区域实施严格管控，进一步强化生态保护措施，坚决禁止违规养殖行为。</w:t>
      </w:r>
      <w:r>
        <w:rPr>
          <w:rFonts w:hint="default" w:ascii="Times New Roman" w:hAnsi="Times New Roman" w:cs="Times New Roman"/>
          <w:color w:val="000000" w:themeColor="text1"/>
          <w:shd w:val="clear" w:color="auto" w:fill="FFFFFF"/>
          <w14:textFill>
            <w14:solidFill>
              <w14:schemeClr w14:val="tx1"/>
            </w14:solidFill>
          </w14:textFill>
        </w:rPr>
        <w:t>响应农业农村部关于绿色发展的号召，引领产业升级，推广陆基循环水养殖、生态沟渠净化等新模式，提升养殖设施智能化水平。</w:t>
      </w:r>
      <w:r>
        <w:rPr>
          <w:rFonts w:hint="eastAsia" w:cs="Times New Roman"/>
          <w:color w:val="000000" w:themeColor="text1"/>
          <w:shd w:val="clear" w:color="auto" w:fill="FFFFFF"/>
          <w:lang w:eastAsia="zh-CN"/>
          <w14:textFill>
            <w14:solidFill>
              <w14:schemeClr w14:val="tx1"/>
            </w14:solidFill>
          </w14:textFill>
        </w:rPr>
        <w:t>完善水域滩涂养殖证登记制度，清晰界定全民所有和集体所有水域的权属，明确其使用程序，以确保养殖主体的合法权益得到充分保障。</w:t>
      </w:r>
    </w:p>
    <w:p w14:paraId="4BA2CF86">
      <w:pPr>
        <w:widowControl/>
        <w:shd w:val="clear" w:color="auto" w:fill="FFFFFF"/>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本规划是寿县未来水产养殖业发展的纲领性文件，旨在实现“稳面积、调结构、护生态、促增收”的多重目标，为</w:t>
      </w:r>
      <w:r>
        <w:rPr>
          <w:rFonts w:hint="default" w:ascii="Times New Roman" w:hAnsi="Times New Roman" w:cs="Times New Roman"/>
          <w:color w:val="000000" w:themeColor="text1"/>
          <w:shd w:val="clear" w:color="auto" w:fill="FFFFFF"/>
          <w:lang w:val="en-US" w:eastAsia="zh-CN"/>
          <w14:textFill>
            <w14:solidFill>
              <w14:schemeClr w14:val="tx1"/>
            </w14:solidFill>
          </w14:textFill>
        </w:rPr>
        <w:t>实现</w:t>
      </w:r>
      <w:r>
        <w:rPr>
          <w:rFonts w:hint="default" w:ascii="Times New Roman" w:hAnsi="Times New Roman" w:cs="Times New Roman"/>
          <w:color w:val="000000" w:themeColor="text1"/>
          <w:shd w:val="clear" w:color="auto" w:fill="FFFFFF"/>
          <w14:textFill>
            <w14:solidFill>
              <w14:schemeClr w14:val="tx1"/>
            </w14:solidFill>
          </w14:textFill>
        </w:rPr>
        <w:t>渔业高质量发展</w:t>
      </w:r>
      <w:r>
        <w:rPr>
          <w:rFonts w:hint="default" w:ascii="Times New Roman" w:hAnsi="Times New Roman" w:cs="Times New Roman"/>
          <w:color w:val="000000" w:themeColor="text1"/>
          <w:shd w:val="clear" w:color="auto" w:fill="FFFFFF"/>
          <w:lang w:val="en-US" w:eastAsia="zh-CN"/>
          <w14:textFill>
            <w14:solidFill>
              <w14:schemeClr w14:val="tx1"/>
            </w14:solidFill>
          </w14:textFill>
        </w:rPr>
        <w:t>助力乡村振兴</w:t>
      </w:r>
      <w:r>
        <w:rPr>
          <w:rFonts w:hint="default" w:ascii="Times New Roman" w:hAnsi="Times New Roman" w:cs="Times New Roman"/>
          <w:color w:val="000000" w:themeColor="text1"/>
          <w:shd w:val="clear" w:color="auto" w:fill="FFFFFF"/>
          <w14:textFill>
            <w14:solidFill>
              <w14:schemeClr w14:val="tx1"/>
            </w14:solidFill>
          </w14:textFill>
        </w:rPr>
        <w:t>提供科学依据。</w:t>
      </w:r>
    </w:p>
    <w:p w14:paraId="2161C01D">
      <w:pPr>
        <w:pStyle w:val="3"/>
        <w:ind w:firstLine="643"/>
        <w:rPr>
          <w:rFonts w:hint="default" w:ascii="Times New Roman" w:hAnsi="Times New Roman" w:cs="Times New Roman"/>
          <w:color w:val="000000" w:themeColor="text1"/>
          <w14:textFill>
            <w14:solidFill>
              <w14:schemeClr w14:val="tx1"/>
            </w14:solidFill>
          </w14:textFill>
        </w:rPr>
      </w:pPr>
      <w:bookmarkStart w:id="14" w:name="_Toc31489"/>
      <w:bookmarkStart w:id="15" w:name="_Toc4314"/>
      <w:bookmarkStart w:id="16" w:name="_Toc32622"/>
      <w:bookmarkStart w:id="17" w:name="_Toc13077"/>
      <w:bookmarkStart w:id="18" w:name="_Toc29830"/>
      <w:r>
        <w:rPr>
          <w:rFonts w:hint="default" w:ascii="Times New Roman" w:hAnsi="Times New Roman" w:cs="Times New Roman"/>
          <w:color w:val="000000" w:themeColor="text1"/>
          <w14:textFill>
            <w14:solidFill>
              <w14:schemeClr w14:val="tx1"/>
            </w14:solidFill>
          </w14:textFill>
        </w:rPr>
        <w:t>编制依据</w:t>
      </w:r>
      <w:bookmarkEnd w:id="14"/>
      <w:bookmarkEnd w:id="15"/>
      <w:bookmarkEnd w:id="16"/>
      <w:bookmarkEnd w:id="17"/>
      <w:bookmarkEnd w:id="18"/>
    </w:p>
    <w:p w14:paraId="69BB2F95">
      <w:pPr>
        <w:pStyle w:val="4"/>
        <w:ind w:firstLine="643"/>
        <w:rPr>
          <w:rFonts w:hint="default" w:ascii="Times New Roman" w:hAnsi="Times New Roman" w:cs="Times New Roman"/>
          <w:color w:val="000000" w:themeColor="text1"/>
          <w14:textFill>
            <w14:solidFill>
              <w14:schemeClr w14:val="tx1"/>
            </w14:solidFill>
          </w14:textFill>
        </w:rPr>
      </w:pPr>
      <w:bookmarkStart w:id="19" w:name="_Toc1454"/>
      <w:r>
        <w:rPr>
          <w:rFonts w:hint="default" w:ascii="Times New Roman" w:hAnsi="Times New Roman" w:cs="Times New Roman"/>
          <w:color w:val="000000" w:themeColor="text1"/>
          <w14:textFill>
            <w14:solidFill>
              <w14:schemeClr w14:val="tx1"/>
            </w14:solidFill>
          </w14:textFill>
        </w:rPr>
        <w:t>有关法律法规</w:t>
      </w:r>
      <w:bookmarkEnd w:id="19"/>
    </w:p>
    <w:p w14:paraId="1D7BE541">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bookmarkStart w:id="20" w:name="_Toc7642"/>
      <w:r>
        <w:rPr>
          <w:rFonts w:hint="default" w:ascii="Times New Roman" w:hAnsi="Times New Roman" w:cs="Times New Roman"/>
          <w:color w:val="000000" w:themeColor="text1"/>
          <w:shd w:val="clear" w:color="auto" w:fill="FFFFFF"/>
          <w14:textFill>
            <w14:solidFill>
              <w14:schemeClr w14:val="tx1"/>
            </w14:solidFill>
          </w14:textFill>
        </w:rPr>
        <w:t>《中华人民共和国渔业法》；</w:t>
      </w:r>
    </w:p>
    <w:p w14:paraId="0A1D59F3">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《中华人民共和国环境保护法》；</w:t>
      </w:r>
    </w:p>
    <w:p w14:paraId="26DBEA7F">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《中华人民共和国水污染防治法》；</w:t>
      </w:r>
    </w:p>
    <w:p w14:paraId="5A60006F">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《中华人民共和国航道法》；</w:t>
      </w:r>
    </w:p>
    <w:p w14:paraId="59D4A0B1">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《中华人民共和国水法》；</w:t>
      </w:r>
    </w:p>
    <w:p w14:paraId="7BC9297F">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《中华人民共和国土地管理法》；</w:t>
      </w:r>
    </w:p>
    <w:p w14:paraId="0A26D7A8">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《中华人民共和国防洪法》；</w:t>
      </w:r>
    </w:p>
    <w:p w14:paraId="4D409D46">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《中华人民共和国渔业法实施细则》；</w:t>
      </w:r>
    </w:p>
    <w:p w14:paraId="3285BC6D">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《中华人民共和国水产资源繁殖保护条例》；</w:t>
      </w:r>
    </w:p>
    <w:p w14:paraId="29DE6033">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《中华人民共和国水生野生动物保护实施条例》；</w:t>
      </w:r>
    </w:p>
    <w:p w14:paraId="4EAFE1BB">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《中华人民共和国水污染防治法实施细则》；</w:t>
      </w:r>
    </w:p>
    <w:p w14:paraId="053BCF64">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《中华人民共和国河道管理条例》；</w:t>
      </w:r>
    </w:p>
    <w:p w14:paraId="6B721B37">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《水域滩涂养殖发证登记办法》；</w:t>
      </w:r>
    </w:p>
    <w:p w14:paraId="54863011">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《农业部水产苗种管理办法》；</w:t>
      </w:r>
    </w:p>
    <w:p w14:paraId="46929CA9">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《农业部水产养殖质量安全管理规定》；</w:t>
      </w:r>
    </w:p>
    <w:p w14:paraId="089BA7FC">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《安徽省实施〈中华人民共和国渔业法〉办法》；</w:t>
      </w:r>
    </w:p>
    <w:p w14:paraId="3F72F647">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《安徽省湖泊管理保护条例》；</w:t>
      </w:r>
    </w:p>
    <w:p w14:paraId="6F4A3117">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《安徽省湿地保护条例》；</w:t>
      </w:r>
    </w:p>
    <w:p w14:paraId="5C38B7B8">
      <w:pPr>
        <w:numPr>
          <w:ilvl w:val="0"/>
          <w:numId w:val="5"/>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《安徽省饮用水水源环境保护条例》。</w:t>
      </w:r>
    </w:p>
    <w:p w14:paraId="045A6B3E">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规范性文件</w:t>
      </w:r>
      <w:bookmarkEnd w:id="20"/>
    </w:p>
    <w:p w14:paraId="17862665">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《中共中央</w:t>
      </w:r>
      <w:r>
        <w:rPr>
          <w:rFonts w:hint="eastAsia" w:ascii="Times New Roman" w:hAnsi="Times New Roman" w:cs="Times New Roman"/>
          <w:color w:val="000000" w:themeColor="text1"/>
          <w:shd w:val="clear" w:color="auto" w:fill="FFFFFF"/>
          <w:lang w:val="en-US" w:eastAsia="zh-C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国务院关于加快推进生态文明建设的意见》（中发〔2015〕12号）；</w:t>
      </w:r>
    </w:p>
    <w:p w14:paraId="2721F683">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《中共中央办公厅</w:t>
      </w:r>
      <w:r>
        <w:rPr>
          <w:rFonts w:hint="eastAsia" w:ascii="Times New Roman" w:hAnsi="Times New Roman" w:cs="Times New Roman"/>
          <w:color w:val="000000" w:themeColor="text1"/>
          <w:shd w:val="clear" w:color="auto" w:fill="FFFFFF"/>
          <w:lang w:val="en-US" w:eastAsia="zh-CN"/>
          <w14:textFill>
            <w14:solidFill>
              <w14:schemeClr w14:val="tx1"/>
            </w14:solidFill>
          </w14:textFill>
        </w:rPr>
        <w:t xml:space="preserve"> </w:t>
      </w:r>
      <w:r>
        <w:rPr>
          <w:rFonts w:hint="default" w:ascii="Times New Roman" w:hAnsi="Times New Roman" w:cs="Times New Roman"/>
          <w:color w:val="000000" w:themeColor="text1"/>
          <w:shd w:val="clear" w:color="auto" w:fill="FFFFFF"/>
          <w14:textFill>
            <w14:solidFill>
              <w14:schemeClr w14:val="tx1"/>
            </w14:solidFill>
          </w14:textFill>
        </w:rPr>
        <w:t>国务院办公厅关于全面推行河长制的意见》（厅字〔2016〕42号）；</w:t>
      </w:r>
    </w:p>
    <w:p w14:paraId="79BF2FAF">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《国务院关于印发水污染防治行动计划的通知》（国发〔2015〕17号）；</w:t>
      </w:r>
    </w:p>
    <w:p w14:paraId="5C4BEAE9">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《国务院关于印发“十三五”生态环境保护规划的通知》（国发〔2016〕65号）；</w:t>
      </w:r>
    </w:p>
    <w:p w14:paraId="1E77DFB6">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《农业部关于印发〈养殖水域滩涂规划编制工作规范〉和〈养殖水域滩涂规划编制大纲〉的通知》（农渔发〔2016〕39号）；</w:t>
      </w:r>
    </w:p>
    <w:p w14:paraId="40F7E016">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《农业部关于稳定水域滩涂养殖使用权推进水域滩涂养殖发证登记工作的意见》（农渔发〔2015〕25号）；</w:t>
      </w:r>
    </w:p>
    <w:p w14:paraId="5FD57CD7">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《农业部关于加快推进渔业转方式调结构的指导意见》（农渔发〔2016〕1号）；</w:t>
      </w:r>
    </w:p>
    <w:p w14:paraId="09623385">
      <w:pPr>
        <w:numPr>
          <w:ilvl w:val="0"/>
          <w:numId w:val="6"/>
        </w:numPr>
        <w:spacing w:line="60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《安徽省农业委员会关于开展养殖水域滩涂规划编制修订工作的通知》（皖农渔函〔2017〕110号）。</w:t>
      </w:r>
    </w:p>
    <w:p w14:paraId="34335402">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相关规划</w:t>
      </w:r>
    </w:p>
    <w:p w14:paraId="67654E05">
      <w:pPr>
        <w:numPr>
          <w:ilvl w:val="0"/>
          <w:numId w:val="7"/>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《安徽省养殖水域滩涂规划（2023－2030年）》；</w:t>
      </w:r>
    </w:p>
    <w:p w14:paraId="7185E8B3">
      <w:pPr>
        <w:numPr>
          <w:ilvl w:val="0"/>
          <w:numId w:val="7"/>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《安徽省“十四五”渔业发展规划》；</w:t>
      </w:r>
    </w:p>
    <w:p w14:paraId="61000AEB">
      <w:pPr>
        <w:numPr>
          <w:ilvl w:val="0"/>
          <w:numId w:val="7"/>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cs="Times New Roman"/>
          <w:color w:val="000000" w:themeColor="text1"/>
          <w:sz w:val="32"/>
          <w:szCs w:val="32"/>
          <w:shd w:val="clear" w:color="auto" w:fill="FFFFFF"/>
          <w:lang w:val="en-US" w:eastAsia="zh-CN"/>
          <w14:textFill>
            <w14:solidFill>
              <w14:schemeClr w14:val="tx1"/>
            </w14:solidFill>
          </w14:textFill>
        </w:rPr>
        <w:t>淮南市港区规划</w:t>
      </w:r>
      <w:r>
        <w:rPr>
          <w:rFonts w:hint="default" w:ascii="Times New Roman" w:hAnsi="Times New Roman" w:cs="Times New Roman"/>
          <w:color w:val="000000" w:themeColor="text1"/>
          <w:sz w:val="32"/>
          <w:szCs w:val="32"/>
          <w:shd w:val="clear" w:color="auto" w:fill="FFFFFF"/>
          <w:lang w:eastAsia="zh-CN"/>
          <w14:textFill>
            <w14:solidFill>
              <w14:schemeClr w14:val="tx1"/>
            </w14:solidFill>
          </w14:textFill>
        </w:rPr>
        <w:t>》；</w:t>
      </w:r>
    </w:p>
    <w:p w14:paraId="1F725058">
      <w:pPr>
        <w:numPr>
          <w:ilvl w:val="0"/>
          <w:numId w:val="7"/>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《寿县国土空间总体规划（2021-2035）》；</w:t>
      </w:r>
    </w:p>
    <w:p w14:paraId="1D9B3BBA">
      <w:pPr>
        <w:numPr>
          <w:ilvl w:val="0"/>
          <w:numId w:val="7"/>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《寿县养殖水域滩涂规划（2018-2030年）》</w:t>
      </w:r>
      <w:r>
        <w:rPr>
          <w:rFonts w:hint="default" w:ascii="Times New Roman" w:hAnsi="Times New Roman" w:cs="Times New Roman"/>
          <w:color w:val="000000" w:themeColor="text1"/>
          <w:sz w:val="32"/>
          <w:szCs w:val="32"/>
          <w:shd w:val="clear" w:color="auto" w:fill="FFFFFF"/>
          <w:lang w:eastAsia="zh-CN"/>
          <w14:textFill>
            <w14:solidFill>
              <w14:schemeClr w14:val="tx1"/>
            </w14:solidFill>
          </w14:textFill>
        </w:rPr>
        <w:t>；</w:t>
      </w:r>
    </w:p>
    <w:p w14:paraId="3BD37BE3">
      <w:pPr>
        <w:numPr>
          <w:ilvl w:val="0"/>
          <w:numId w:val="7"/>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lang w:eastAsia="zh-CN"/>
          <w14:textFill>
            <w14:solidFill>
              <w14:schemeClr w14:val="tx1"/>
            </w14:solidFill>
          </w14:textFill>
        </w:rPr>
        <w:t>《</w:t>
      </w:r>
      <w:r>
        <w:rPr>
          <w:rFonts w:hint="default" w:ascii="Times New Roman" w:hAnsi="Times New Roman" w:cs="Times New Roman"/>
          <w:color w:val="000000" w:themeColor="text1"/>
          <w:sz w:val="32"/>
          <w:szCs w:val="32"/>
          <w:shd w:val="clear" w:color="auto" w:fill="FFFFFF"/>
          <w:lang w:val="en-US" w:eastAsia="zh-CN"/>
          <w14:textFill>
            <w14:solidFill>
              <w14:schemeClr w14:val="tx1"/>
            </w14:solidFill>
          </w14:textFill>
        </w:rPr>
        <w:t>寿县湖泊水库保护规划</w:t>
      </w:r>
      <w:r>
        <w:rPr>
          <w:rFonts w:hint="default" w:ascii="Times New Roman" w:hAnsi="Times New Roman" w:cs="Times New Roman"/>
          <w:color w:val="000000" w:themeColor="text1"/>
          <w:sz w:val="32"/>
          <w:szCs w:val="32"/>
          <w:shd w:val="clear" w:color="auto" w:fill="FFFFFF"/>
          <w:lang w:eastAsia="zh-CN"/>
          <w14:textFill>
            <w14:solidFill>
              <w14:schemeClr w14:val="tx1"/>
            </w14:solidFill>
          </w14:textFill>
        </w:rPr>
        <w:t>》。</w:t>
      </w:r>
    </w:p>
    <w:p w14:paraId="54FC53E2">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相关技术标准</w:t>
      </w:r>
    </w:p>
    <w:p w14:paraId="5165ED41">
      <w:pPr>
        <w:numPr>
          <w:ilvl w:val="0"/>
          <w:numId w:val="8"/>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《水产养殖业水污染物排放标准》(DB34/4722—2024)；</w:t>
      </w:r>
    </w:p>
    <w:p w14:paraId="61214E29">
      <w:pPr>
        <w:numPr>
          <w:ilvl w:val="0"/>
          <w:numId w:val="8"/>
        </w:numPr>
        <w:spacing w:line="600" w:lineRule="exact"/>
        <w:ind w:firstLineChars="0"/>
        <w:rPr>
          <w:rFonts w:hint="default" w:ascii="Times New Roman" w:hAnsi="Times New Roman" w:cs="Times New Roman"/>
          <w:color w:val="000000" w:themeColor="text1"/>
          <w:sz w:val="32"/>
          <w:szCs w:val="32"/>
          <w:shd w:val="clear" w:color="auto" w:fill="FFFFFF"/>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《安徽省水生动物增殖放流技术规范》(DB34/T1005-2009)；</w:t>
      </w:r>
    </w:p>
    <w:p w14:paraId="32A03F60">
      <w:pPr>
        <w:numPr>
          <w:ilvl w:val="0"/>
          <w:numId w:val="8"/>
        </w:numPr>
        <w:spacing w:line="600" w:lineRule="exact"/>
        <w:ind w:firstLineChars="0"/>
        <w:rPr>
          <w:rFonts w:hint="default" w:ascii="Times New Roman" w:hAnsi="Times New Roman" w:cs="Times New Roman"/>
          <w:color w:val="000000" w:themeColor="text1"/>
          <w:sz w:val="32"/>
          <w:szCs w:val="32"/>
          <w:shd w:val="clear" w:color="auto" w:fill="FFFFFF"/>
          <w:lang w:val="en-US" w:eastAsia="zh-CN"/>
          <w14:textFill>
            <w14:solidFill>
              <w14:schemeClr w14:val="tx1"/>
            </w14:solidFill>
          </w14:textFill>
        </w:rPr>
      </w:pPr>
      <w:r>
        <w:rPr>
          <w:rFonts w:hint="default" w:ascii="Times New Roman" w:hAnsi="Times New Roman" w:cs="Times New Roman"/>
          <w:color w:val="000000" w:themeColor="text1"/>
          <w:sz w:val="32"/>
          <w:szCs w:val="32"/>
          <w:shd w:val="clear" w:color="auto" w:fill="FFFFFF"/>
          <w14:textFill>
            <w14:solidFill>
              <w14:schemeClr w14:val="tx1"/>
            </w14:solidFill>
          </w14:textFill>
        </w:rPr>
        <w:t>《大水面增养殖容量计算方法》（SC/T114</w:t>
      </w:r>
      <w:r>
        <w:rPr>
          <w:rFonts w:hint="default" w:ascii="Times New Roman" w:hAnsi="Times New Roman" w:cs="Times New Roman"/>
          <w:color w:val="000000" w:themeColor="text1"/>
          <w:sz w:val="32"/>
          <w:szCs w:val="32"/>
          <w:shd w:val="clear" w:color="auto" w:fill="FFFFFF"/>
          <w:lang w:val="en-US" w:eastAsia="zh-CN"/>
          <w14:textFill>
            <w14:solidFill>
              <w14:schemeClr w14:val="tx1"/>
            </w14:solidFill>
          </w14:textFill>
        </w:rPr>
        <w:t>9-2020）。</w:t>
      </w:r>
    </w:p>
    <w:p w14:paraId="6B54F66E">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其他</w:t>
      </w:r>
    </w:p>
    <w:p w14:paraId="2B20D7C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2024年</w:t>
      </w:r>
      <w:r>
        <w:rPr>
          <w:rFonts w:hint="default" w:ascii="Times New Roman" w:hAnsi="Times New Roman" w:cs="Times New Roman"/>
          <w:color w:val="000000" w:themeColor="text1"/>
          <w14:textFill>
            <w14:solidFill>
              <w14:schemeClr w14:val="tx1"/>
            </w14:solidFill>
          </w14:textFill>
        </w:rPr>
        <w:t>寿县国土变更调查成果和“三区三线”划定数据，以及近年寿县渔业统计资料。</w:t>
      </w:r>
    </w:p>
    <w:p w14:paraId="5EDB5623">
      <w:pPr>
        <w:pStyle w:val="3"/>
        <w:ind w:firstLine="643"/>
        <w:rPr>
          <w:rFonts w:hint="default" w:ascii="Times New Roman" w:hAnsi="Times New Roman" w:cs="Times New Roman"/>
          <w:color w:val="000000" w:themeColor="text1"/>
          <w14:textFill>
            <w14:solidFill>
              <w14:schemeClr w14:val="tx1"/>
            </w14:solidFill>
          </w14:textFill>
        </w:rPr>
      </w:pPr>
      <w:bookmarkStart w:id="21" w:name="_Toc15038"/>
      <w:bookmarkStart w:id="22" w:name="_Toc32222"/>
      <w:bookmarkStart w:id="23" w:name="_Toc6315"/>
      <w:bookmarkStart w:id="24" w:name="_Toc1835"/>
      <w:bookmarkStart w:id="25" w:name="_Toc13663"/>
      <w:r>
        <w:rPr>
          <w:rFonts w:hint="default" w:ascii="Times New Roman" w:hAnsi="Times New Roman" w:cs="Times New Roman"/>
          <w:color w:val="000000" w:themeColor="text1"/>
          <w14:textFill>
            <w14:solidFill>
              <w14:schemeClr w14:val="tx1"/>
            </w14:solidFill>
          </w14:textFill>
        </w:rPr>
        <w:t>目标任务</w:t>
      </w:r>
      <w:bookmarkEnd w:id="21"/>
      <w:bookmarkEnd w:id="22"/>
      <w:bookmarkEnd w:id="23"/>
      <w:bookmarkEnd w:id="24"/>
      <w:bookmarkEnd w:id="25"/>
    </w:p>
    <w:p w14:paraId="0CF2EC63">
      <w:pPr>
        <w:pStyle w:val="4"/>
        <w:numPr>
          <w:ilvl w:val="2"/>
          <w:numId w:val="9"/>
        </w:numPr>
        <w:ind w:left="0" w:firstLine="643"/>
        <w:rPr>
          <w:rFonts w:hint="default" w:ascii="Times New Roman" w:hAnsi="Times New Roman" w:cs="Times New Roman"/>
          <w:color w:val="000000" w:themeColor="text1"/>
          <w14:textFill>
            <w14:solidFill>
              <w14:schemeClr w14:val="tx1"/>
            </w14:solidFill>
          </w14:textFill>
        </w:rPr>
      </w:pPr>
      <w:bookmarkStart w:id="26" w:name="_Toc26218"/>
      <w:r>
        <w:rPr>
          <w:rFonts w:hint="default" w:ascii="Times New Roman" w:hAnsi="Times New Roman" w:cs="Times New Roman"/>
          <w:color w:val="000000" w:themeColor="text1"/>
          <w14:textFill>
            <w14:solidFill>
              <w14:schemeClr w14:val="tx1"/>
            </w14:solidFill>
          </w14:textFill>
        </w:rPr>
        <w:t>规划期限</w:t>
      </w:r>
      <w:bookmarkEnd w:id="26"/>
    </w:p>
    <w:p w14:paraId="626B5C7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规划期限为2025-2035年，基准年为2024年。</w:t>
      </w:r>
    </w:p>
    <w:p w14:paraId="57CCC38B">
      <w:pPr>
        <w:pStyle w:val="4"/>
        <w:ind w:firstLine="643"/>
        <w:rPr>
          <w:rFonts w:hint="default" w:ascii="Times New Roman" w:hAnsi="Times New Roman" w:cs="Times New Roman"/>
          <w:color w:val="000000" w:themeColor="text1"/>
          <w14:textFill>
            <w14:solidFill>
              <w14:schemeClr w14:val="tx1"/>
            </w14:solidFill>
          </w14:textFill>
        </w:rPr>
      </w:pPr>
      <w:bookmarkStart w:id="27" w:name="_Toc9478"/>
      <w:r>
        <w:rPr>
          <w:rFonts w:hint="default" w:ascii="Times New Roman" w:hAnsi="Times New Roman" w:cs="Times New Roman"/>
          <w:color w:val="000000" w:themeColor="text1"/>
          <w14:textFill>
            <w14:solidFill>
              <w14:schemeClr w14:val="tx1"/>
            </w14:solidFill>
          </w14:textFill>
        </w:rPr>
        <w:t>规划目标</w:t>
      </w:r>
      <w:bookmarkEnd w:id="27"/>
    </w:p>
    <w:p w14:paraId="42D643EE">
      <w:pPr>
        <w:pStyle w:val="58"/>
        <w:shd w:val="clear" w:color="060000" w:fill="FFFFFF"/>
        <w:spacing w:line="600" w:lineRule="exact"/>
        <w:ind w:firstLine="600"/>
        <w:jc w:val="both"/>
        <w:rPr>
          <w:rFonts w:hint="eastAsia" w:ascii="Times New Roman" w:hAnsi="Times New Roman" w:eastAsia="仿宋" w:cs="Times New Roman"/>
          <w:color w:val="000000" w:themeColor="text1"/>
          <w:sz w:val="30"/>
          <w:shd w:val="clear" w:color="090000" w:fill="FFFFFF"/>
          <w:lang w:eastAsia="zh-CN"/>
          <w14:textFill>
            <w14:solidFill>
              <w14:schemeClr w14:val="tx1"/>
            </w14:solidFill>
          </w14:textFill>
        </w:rPr>
      </w:pPr>
      <w:bookmarkStart w:id="28" w:name="_Toc2651"/>
      <w:r>
        <w:rPr>
          <w:rFonts w:hint="default" w:ascii="Times New Roman" w:hAnsi="Times New Roman" w:cs="Times New Roman"/>
          <w:color w:val="000000" w:themeColor="text1"/>
          <w:sz w:val="30"/>
          <w:shd w:val="clear" w:color="090000" w:fill="FFFFFF"/>
          <w14:textFill>
            <w14:solidFill>
              <w14:schemeClr w14:val="tx1"/>
            </w14:solidFill>
          </w14:textFill>
        </w:rPr>
        <w:t>深入践行习近平生态文明思想和大食物观，</w:t>
      </w:r>
      <w:r>
        <w:rPr>
          <w:rFonts w:hint="eastAsia" w:ascii="Times New Roman" w:hAnsi="Times New Roman" w:cs="Times New Roman"/>
          <w:color w:val="000000" w:themeColor="text1"/>
          <w:sz w:val="30"/>
          <w:shd w:val="clear" w:color="090000" w:fill="FFFFFF"/>
          <w:lang w:eastAsia="zh-CN"/>
          <w14:textFill>
            <w14:solidFill>
              <w14:schemeClr w14:val="tx1"/>
            </w14:solidFill>
          </w14:textFill>
        </w:rPr>
        <w:t>在科学评估水域滩涂资源及环境承载力基础上，依法合理划定全县各类养殖功能区，科学布局渔业生产，确保养殖面积稳定，促进大水面生态渔业发展，保障渔业生产者合法权益，加强水域生态环境保护，加大监测监管力度，以实现渔业稳产保供、绿色发展及产业振兴的高质量发展目标。</w:t>
      </w:r>
    </w:p>
    <w:p w14:paraId="5A286CA3">
      <w:pPr>
        <w:pStyle w:val="58"/>
        <w:shd w:val="clear" w:color="060000" w:fill="FFFFFF"/>
        <w:spacing w:line="600" w:lineRule="exact"/>
        <w:ind w:firstLine="600"/>
        <w:jc w:val="both"/>
        <w:rPr>
          <w:rFonts w:hint="default" w:ascii="Times New Roman" w:hAnsi="Times New Roman" w:cs="Times New Roman"/>
          <w:color w:val="000000" w:themeColor="text1"/>
          <w:sz w:val="30"/>
          <w:shd w:val="clear" w:color="090000" w:fill="FFFFFF"/>
          <w14:textFill>
            <w14:solidFill>
              <w14:schemeClr w14:val="tx1"/>
            </w14:solidFill>
          </w14:textFill>
        </w:rPr>
      </w:pPr>
      <w:r>
        <w:rPr>
          <w:rFonts w:hint="default" w:ascii="Times New Roman" w:hAnsi="Times New Roman" w:cs="Times New Roman"/>
          <w:color w:val="000000" w:themeColor="text1"/>
          <w:sz w:val="30"/>
          <w:shd w:val="clear" w:color="090000" w:fill="FFFFFF"/>
          <w14:textFill>
            <w14:solidFill>
              <w14:schemeClr w14:val="tx1"/>
            </w14:solidFill>
          </w14:textFill>
        </w:rPr>
        <w:t>至2030年，养殖水域滩涂的禁止养殖区、限制养殖区和养殖区将得到进一步优化，确保与生态保护红线和国土空间规划的100%衔接。水域滩涂养殖证登记率将达到100%，同时，将建立全民与集体水域使用权的动态管理数据库，以实现科学和可持续的管理。</w:t>
      </w:r>
      <w:r>
        <w:rPr>
          <w:rFonts w:hint="eastAsia" w:ascii="Times New Roman" w:hAnsi="Times New Roman" w:cs="Times New Roman"/>
          <w:color w:val="000000" w:themeColor="text1"/>
          <w:sz w:val="30"/>
          <w:shd w:val="clear" w:color="090000" w:fill="FFFFFF"/>
          <w:lang w:eastAsia="zh-CN"/>
          <w14:textFill>
            <w14:solidFill>
              <w14:schemeClr w14:val="tx1"/>
            </w14:solidFill>
          </w14:textFill>
        </w:rPr>
        <w:t>养殖水域滩涂渔业可利用范围（涵盖限制养殖区及养殖区）广泛，总面积超过</w:t>
      </w:r>
      <w:r>
        <w:rPr>
          <w:rFonts w:hint="eastAsia" w:ascii="Times New Roman" w:hAnsi="Times New Roman" w:cs="Times New Roman"/>
          <w:color w:val="000000" w:themeColor="text1"/>
          <w:sz w:val="30"/>
          <w:shd w:val="clear" w:color="090000" w:fill="FFFFFF"/>
          <w:lang w:val="en-US" w:eastAsia="zh-CN"/>
          <w14:textFill>
            <w14:solidFill>
              <w14:schemeClr w14:val="tx1"/>
            </w14:solidFill>
          </w14:textFill>
        </w:rPr>
        <w:t>2</w:t>
      </w:r>
      <w:r>
        <w:rPr>
          <w:rFonts w:hint="eastAsia" w:ascii="Times New Roman" w:hAnsi="Times New Roman" w:cs="Times New Roman"/>
          <w:color w:val="000000" w:themeColor="text1"/>
          <w:sz w:val="30"/>
          <w:shd w:val="clear" w:color="090000" w:fill="FFFFFF"/>
          <w:lang w:eastAsia="zh-CN"/>
          <w14:textFill>
            <w14:solidFill>
              <w14:schemeClr w14:val="tx1"/>
            </w14:solidFill>
          </w14:textFill>
        </w:rPr>
        <w:t>万</w:t>
      </w:r>
      <w:r>
        <w:rPr>
          <w:rFonts w:hint="eastAsia" w:ascii="Times New Roman" w:hAnsi="Times New Roman" w:cs="Times New Roman"/>
          <w:color w:val="000000" w:themeColor="text1"/>
          <w:sz w:val="30"/>
          <w:shd w:val="clear" w:color="090000" w:fill="FFFFFF"/>
          <w:lang w:val="en-US" w:eastAsia="zh-CN"/>
          <w14:textFill>
            <w14:solidFill>
              <w14:schemeClr w14:val="tx1"/>
            </w14:solidFill>
          </w14:textFill>
        </w:rPr>
        <w:t>公顷</w:t>
      </w:r>
      <w:r>
        <w:rPr>
          <w:rFonts w:hint="eastAsia" w:ascii="Times New Roman" w:hAnsi="Times New Roman" w:cs="Times New Roman"/>
          <w:color w:val="000000" w:themeColor="text1"/>
          <w:sz w:val="30"/>
          <w:shd w:val="clear" w:color="090000" w:fill="FFFFFF"/>
          <w:lang w:eastAsia="zh-CN"/>
          <w14:textFill>
            <w14:solidFill>
              <w14:schemeClr w14:val="tx1"/>
            </w14:solidFill>
          </w14:textFill>
        </w:rPr>
        <w:t>，水产品年产能高达14.3万吨以上。</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此外，</w:t>
      </w:r>
      <w:r>
        <w:rPr>
          <w:rFonts w:hint="default" w:ascii="Times New Roman" w:hAnsi="Times New Roman" w:cs="Times New Roman"/>
          <w:color w:val="000000" w:themeColor="text1"/>
          <w:sz w:val="30"/>
          <w:shd w:val="clear" w:color="090000" w:fill="FFFFFF"/>
          <w14:textFill>
            <w14:solidFill>
              <w14:schemeClr w14:val="tx1"/>
            </w14:solidFill>
          </w14:textFill>
        </w:rPr>
        <w:t>限制养殖区和连片</w:t>
      </w:r>
      <w:r>
        <w:rPr>
          <w:rFonts w:hint="eastAsia" w:ascii="Times New Roman" w:hAnsi="Times New Roman" w:cs="Times New Roman"/>
          <w:color w:val="000000" w:themeColor="text1"/>
          <w:sz w:val="30"/>
          <w:shd w:val="clear" w:color="090000" w:fill="FFFFFF"/>
          <w:lang w:val="en-US" w:eastAsia="zh-CN"/>
          <w14:textFill>
            <w14:solidFill>
              <w14:schemeClr w14:val="tx1"/>
            </w14:solidFill>
          </w14:textFill>
        </w:rPr>
        <w:t>5公顷</w:t>
      </w:r>
      <w:r>
        <w:rPr>
          <w:rFonts w:hint="default" w:ascii="Times New Roman" w:hAnsi="Times New Roman" w:cs="Times New Roman"/>
          <w:color w:val="000000" w:themeColor="text1"/>
          <w:sz w:val="30"/>
          <w:shd w:val="clear" w:color="090000" w:fill="FFFFFF"/>
          <w14:textFill>
            <w14:solidFill>
              <w14:schemeClr w14:val="tx1"/>
            </w14:solidFill>
          </w14:textFill>
        </w:rPr>
        <w:t>以上池塘养殖区养殖尾水实现达标排放，实现协调可持续发展。</w:t>
      </w:r>
    </w:p>
    <w:p w14:paraId="04E25F81">
      <w:pPr>
        <w:pStyle w:val="58"/>
        <w:shd w:val="clear" w:color="060000" w:fill="FFFFFF"/>
        <w:spacing w:line="600" w:lineRule="exact"/>
        <w:ind w:firstLine="600"/>
        <w:jc w:val="both"/>
        <w:rPr>
          <w:rFonts w:hint="default" w:ascii="Times New Roman" w:hAnsi="Times New Roman" w:cs="Times New Roman"/>
          <w:color w:val="000000" w:themeColor="text1"/>
          <w:sz w:val="30"/>
          <w:shd w:val="clear" w:color="090000" w:fill="FFFFFF"/>
          <w14:textFill>
            <w14:solidFill>
              <w14:schemeClr w14:val="tx1"/>
            </w14:solidFill>
          </w14:textFill>
        </w:rPr>
      </w:pPr>
      <w:r>
        <w:rPr>
          <w:rFonts w:hint="default" w:ascii="Times New Roman" w:hAnsi="Times New Roman" w:cs="Times New Roman"/>
          <w:color w:val="000000" w:themeColor="text1"/>
          <w:sz w:val="30"/>
          <w:shd w:val="clear" w:color="090000" w:fill="FFFFFF"/>
          <w14:textFill>
            <w14:solidFill>
              <w14:schemeClr w14:val="tx1"/>
            </w14:solidFill>
          </w14:textFill>
        </w:rPr>
        <w:t>至2035年，全域养殖水域纳入智慧渔业体系，构建</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w:t>
      </w:r>
      <w:r>
        <w:rPr>
          <w:rFonts w:hint="default" w:ascii="Times New Roman" w:hAnsi="Times New Roman" w:cs="Times New Roman"/>
          <w:color w:val="000000" w:themeColor="text1"/>
          <w:sz w:val="30"/>
          <w:shd w:val="clear" w:color="090000" w:fill="FFFFFF"/>
          <w14:textFill>
            <w14:solidFill>
              <w14:schemeClr w14:val="tx1"/>
            </w14:solidFill>
          </w14:textFill>
        </w:rPr>
        <w:t>空天地</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w:t>
      </w:r>
      <w:r>
        <w:rPr>
          <w:rFonts w:hint="default" w:ascii="Times New Roman" w:hAnsi="Times New Roman" w:cs="Times New Roman"/>
          <w:color w:val="000000" w:themeColor="text1"/>
          <w:sz w:val="30"/>
          <w:shd w:val="clear" w:color="090000" w:fill="FFFFFF"/>
          <w14:textFill>
            <w14:solidFill>
              <w14:schemeClr w14:val="tx1"/>
            </w14:solidFill>
          </w14:textFill>
        </w:rPr>
        <w:t>一体化监测网络</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，实施养殖主体信用评级制度，加强全域数字化监管力度，</w:t>
      </w:r>
      <w:r>
        <w:rPr>
          <w:rFonts w:hint="default" w:ascii="Times New Roman" w:hAnsi="Times New Roman" w:cs="Times New Roman"/>
          <w:color w:val="000000" w:themeColor="text1"/>
          <w:sz w:val="30"/>
          <w:shd w:val="clear" w:color="090000" w:fill="FFFFFF"/>
          <w14:textFill>
            <w14:solidFill>
              <w14:schemeClr w14:val="tx1"/>
            </w14:solidFill>
          </w14:textFill>
        </w:rPr>
        <w:t>形成</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w:t>
      </w:r>
      <w:r>
        <w:rPr>
          <w:rFonts w:hint="default" w:ascii="Times New Roman" w:hAnsi="Times New Roman" w:cs="Times New Roman"/>
          <w:color w:val="000000" w:themeColor="text1"/>
          <w:sz w:val="30"/>
          <w:shd w:val="clear" w:color="090000" w:fill="FFFFFF"/>
          <w14:textFill>
            <w14:solidFill>
              <w14:schemeClr w14:val="tx1"/>
            </w14:solidFill>
          </w14:textFill>
        </w:rPr>
        <w:t>生态管控-资源适配-智慧治理-富民强产</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w:t>
      </w:r>
      <w:r>
        <w:rPr>
          <w:rFonts w:hint="default" w:ascii="Times New Roman" w:hAnsi="Times New Roman" w:cs="Times New Roman"/>
          <w:color w:val="000000" w:themeColor="text1"/>
          <w:sz w:val="30"/>
          <w:shd w:val="clear" w:color="090000" w:fill="FFFFFF"/>
          <w14:textFill>
            <w14:solidFill>
              <w14:schemeClr w14:val="tx1"/>
            </w14:solidFill>
          </w14:textFill>
        </w:rPr>
        <w:t>的闭环发展体系</w:t>
      </w:r>
      <w:r>
        <w:rPr>
          <w:rFonts w:hint="default" w:ascii="Times New Roman" w:hAnsi="Times New Roman" w:cs="Times New Roman"/>
          <w:color w:val="000000" w:themeColor="text1"/>
          <w:sz w:val="30"/>
          <w:shd w:val="clear" w:color="090000" w:fill="FFFFFF"/>
          <w:lang w:eastAsia="zh-CN"/>
          <w14:textFill>
            <w14:solidFill>
              <w14:schemeClr w14:val="tx1"/>
            </w14:solidFill>
          </w14:textFill>
        </w:rPr>
        <w:t>，</w:t>
      </w:r>
      <w:r>
        <w:rPr>
          <w:rFonts w:hint="default" w:ascii="Times New Roman" w:hAnsi="Times New Roman" w:cs="Times New Roman"/>
          <w:color w:val="000000" w:themeColor="text1"/>
          <w:sz w:val="30"/>
          <w:shd w:val="clear" w:color="090000" w:fill="FFFFFF"/>
          <w14:textFill>
            <w14:solidFill>
              <w14:schemeClr w14:val="tx1"/>
            </w14:solidFill>
          </w14:textFill>
        </w:rPr>
        <w:t>实现水产品供给保障有力、资源利用高效、产地环境良好、渔区生态优美的渔业可持续发展格局。</w:t>
      </w:r>
    </w:p>
    <w:p w14:paraId="72C363FF">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重点任务</w:t>
      </w:r>
      <w:bookmarkEnd w:id="28"/>
    </w:p>
    <w:p w14:paraId="68E96D98">
      <w:pPr>
        <w:ind w:firstLine="600"/>
        <w:rPr>
          <w:rFonts w:hint="default" w:ascii="Times New Roman" w:hAnsi="Times New Roman" w:cs="Times New Roman"/>
          <w:color w:val="000000" w:themeColor="text1"/>
          <w14:textFill>
            <w14:solidFill>
              <w14:schemeClr w14:val="tx1"/>
            </w14:solidFill>
          </w14:textFill>
        </w:rPr>
      </w:pPr>
      <w:bookmarkStart w:id="29" w:name="_Toc20152"/>
      <w:bookmarkStart w:id="30" w:name="_Toc13285"/>
      <w:bookmarkStart w:id="31" w:name="_Toc5200"/>
      <w:r>
        <w:rPr>
          <w:rFonts w:hint="default" w:ascii="Times New Roman" w:hAnsi="Times New Roman" w:cs="Times New Roman"/>
          <w:color w:val="000000" w:themeColor="text1"/>
          <w14:textFill>
            <w14:solidFill>
              <w14:schemeClr w14:val="tx1"/>
            </w14:solidFill>
          </w14:textFill>
        </w:rPr>
        <w:t>（一）</w:t>
      </w:r>
      <w:r>
        <w:rPr>
          <w:rFonts w:hint="eastAsia" w:cs="Times New Roman"/>
          <w:color w:val="000000" w:themeColor="text1"/>
          <w:lang w:eastAsia="zh-CN"/>
          <w14:textFill>
            <w14:solidFill>
              <w14:schemeClr w14:val="tx1"/>
            </w14:solidFill>
          </w14:textFill>
        </w:rPr>
        <w:t>强化养殖水域滩涂的管理力度，兼顾生产发展与环境保护的双重需求，确保水产健康养殖面积的稳定性，为养殖生产提供充足的空间。</w:t>
      </w:r>
      <w:r>
        <w:rPr>
          <w:rFonts w:hint="default" w:ascii="Times New Roman" w:hAnsi="Times New Roman" w:cs="Times New Roman"/>
          <w:color w:val="000000" w:themeColor="text1"/>
          <w14:textFill>
            <w14:solidFill>
              <w14:schemeClr w14:val="tx1"/>
            </w14:solidFill>
          </w14:textFill>
        </w:rPr>
        <w:t>依法加强养殖水域滩涂统一规划，科学划定禁止养殖区、限制养殖区和允许养殖区。完善重要养殖水域滩涂保护制度，严格限制养殖水域滩涂占用，严禁擅自改变养殖水域滩涂用途。建立全县统一的养殖水域滩涂信息化管理系统，建立寿县养殖水域滩涂数据库，规范化维护与更新。</w:t>
      </w:r>
    </w:p>
    <w:p w14:paraId="36CBDA0E">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（二）引领水产养殖业转型升级。大力发展生态健康养殖。开展水产健康养殖示范创建，发展生态健康养殖模式。</w:t>
      </w:r>
      <w:r>
        <w:rPr>
          <w:rFonts w:hint="eastAsia" w:cs="Times New Roman"/>
          <w:color w:val="000000" w:themeColor="text1"/>
          <w:lang w:eastAsia="zh-CN"/>
          <w14:textFill>
            <w14:solidFill>
              <w14:schemeClr w14:val="tx1"/>
            </w14:solidFill>
          </w14:textFill>
        </w:rPr>
        <w:t>积极推行疫苗免疫技术与生态防控措施，加速推进水产养殖兽药使用的减量化进程。</w:t>
      </w:r>
      <w:r>
        <w:rPr>
          <w:rFonts w:hint="default" w:ascii="Times New Roman" w:hAnsi="Times New Roman" w:cs="Times New Roman"/>
          <w:color w:val="000000" w:themeColor="text1"/>
          <w14:textFill>
            <w14:solidFill>
              <w14:schemeClr w14:val="tx1"/>
            </w14:solidFill>
          </w14:textFill>
        </w:rPr>
        <w:t>倡导用水与养水并重，实施养殖区域或品种的轮换制度，以减轻传统养殖区水域滩涂的环境承载压力。</w:t>
      </w:r>
    </w:p>
    <w:p w14:paraId="6C077146">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（三）提高养殖设施和装备水平。大力实施池塘标准化改造，完善循环水和进排水处理设施，支持生态沟渠、生态塘、潜流湿地等尾水处理设施升级改造，积极探索并建立养殖池塘长期维护与改造的有效机制。</w:t>
      </w:r>
      <w:r>
        <w:rPr>
          <w:rFonts w:hint="eastAsia" w:cs="Times New Roman"/>
          <w:color w:val="000000" w:themeColor="text1"/>
          <w:lang w:eastAsia="zh-CN"/>
          <w14:textFill>
            <w14:solidFill>
              <w14:schemeClr w14:val="tx1"/>
            </w14:solidFill>
          </w14:textFill>
        </w:rPr>
        <w:t>加大对水处理装备、养殖装备及养殖产品收获装备等关键领域的研发支持力度，并促进其广泛应用。</w:t>
      </w:r>
      <w:r>
        <w:rPr>
          <w:rFonts w:hint="default" w:ascii="Times New Roman" w:hAnsi="Times New Roman" w:cs="Times New Roman"/>
          <w:color w:val="000000" w:themeColor="text1"/>
          <w14:textFill>
            <w14:solidFill>
              <w14:schemeClr w14:val="tx1"/>
            </w14:solidFill>
          </w14:textFill>
        </w:rPr>
        <w:t>推进智慧水产养殖，引导物联网、大数据、人工智能等现代信息技术与水产养殖生产深度融合，开展数字渔业示范。</w:t>
      </w:r>
    </w:p>
    <w:p w14:paraId="0BE6953D">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完善养殖生产经营体系。培育和壮大养殖大户、家庭渔场、专业合作社、水产养殖龙头企业等新型经营主体，引导发展多种形式的适度规模经营。优化水域滩涂资源配置，加强对水域滩涂经营权的保护，合理引导水域滩涂经营权向新型经营主体流转。健全产业链利益联结机制，发展渔业产业化经营联合体。建立健全水产养殖社会化服务体系，</w:t>
      </w:r>
      <w:r>
        <w:rPr>
          <w:rFonts w:hint="default" w:ascii="Times New Roman" w:hAnsi="Times New Roman" w:cs="Times New Roman"/>
          <w:color w:val="000000" w:themeColor="text1"/>
          <w:lang w:val="en-US" w:eastAsia="zh-CN"/>
          <w14:textFill>
            <w14:solidFill>
              <w14:schemeClr w14:val="tx1"/>
            </w14:solidFill>
          </w14:textFill>
        </w:rPr>
        <w:t>促进</w:t>
      </w:r>
      <w:r>
        <w:rPr>
          <w:rFonts w:hint="default" w:ascii="Times New Roman" w:hAnsi="Times New Roman" w:cs="Times New Roman"/>
          <w:color w:val="000000" w:themeColor="text1"/>
          <w14:textFill>
            <w14:solidFill>
              <w14:schemeClr w14:val="tx1"/>
            </w14:solidFill>
          </w14:textFill>
        </w:rPr>
        <w:t>养殖户与现代水产养殖业发展有机衔接。</w:t>
      </w:r>
    </w:p>
    <w:p w14:paraId="0BEB03DB">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（五）保护渔业资源环境。一是持续推进养殖尾水治理。</w:t>
      </w:r>
      <w:r>
        <w:rPr>
          <w:rFonts w:hint="eastAsia" w:cs="Times New Roman"/>
          <w:color w:val="000000" w:themeColor="text1"/>
          <w:lang w:eastAsia="zh-CN"/>
          <w14:textFill>
            <w14:solidFill>
              <w14:schemeClr w14:val="tx1"/>
            </w14:solidFill>
          </w14:textFill>
        </w:rPr>
        <w:t>根据安徽省发布的《水产养殖业水污染物排放标准（DB34/4722-2024）》，所有新建水产养殖项目必须依法进行环境影响评价，并严格遵守该标准所规定的排放限值和监测要求。</w:t>
      </w:r>
      <w:r>
        <w:rPr>
          <w:rFonts w:hint="default" w:ascii="Times New Roman" w:hAnsi="Times New Roman" w:cs="Times New Roman"/>
          <w:color w:val="000000" w:themeColor="text1"/>
          <w14:textFill>
            <w14:solidFill>
              <w14:schemeClr w14:val="tx1"/>
            </w14:solidFill>
          </w14:textFill>
        </w:rPr>
        <w:t>加快推进水产养殖节水减排，鼓励采取进排水改造、生物净化、人工湿地、种植水生蔬菜等技术措施开展集中连片池塘养殖区域和工厂化养殖尾水治理，推动养殖尾水资源化利用或达标排放。</w:t>
      </w:r>
      <w:r>
        <w:rPr>
          <w:rFonts w:hint="eastAsia" w:cs="Times New Roman"/>
          <w:color w:val="000000" w:themeColor="text1"/>
          <w:lang w:eastAsia="zh-CN"/>
          <w14:textFill>
            <w14:solidFill>
              <w14:schemeClr w14:val="tx1"/>
            </w14:solidFill>
          </w14:textFill>
        </w:rPr>
        <w:t>需规范养殖尾水排放口的设置，并切实履行属地监管职责，同时明确生产者环境保护的主体责任。</w:t>
      </w:r>
      <w:r>
        <w:rPr>
          <w:rFonts w:hint="default" w:ascii="Times New Roman" w:hAnsi="Times New Roman" w:cs="Times New Roman"/>
          <w:color w:val="000000" w:themeColor="text1"/>
          <w14:textFill>
            <w14:solidFill>
              <w14:schemeClr w14:val="tx1"/>
            </w14:solidFill>
          </w14:textFill>
        </w:rPr>
        <w:t>二是发挥水产养殖生态修复功能。鼓励在湖泊水库发展不投饵滤食性、草食性鱼类等增养殖，实现以渔控草、以渔抑藻、以渔净水。推动城镇水系及农村坑塘沟渠整治，放养景观品种和水质净化物种，重构水生生态系统，美化水系环境。三是加强重要水域渔业资源保护。对划入禁止养殖区和限制养殖区的重要水域，加强水产种质资源、生物多样性及重要栖息地保护，促进水生生物资源自然恢复和生态平衡。持续开展重要水域渔业资源监测，建立渔业资源数据库。</w:t>
      </w:r>
    </w:p>
    <w:p w14:paraId="1B6B0882">
      <w:pPr>
        <w:pStyle w:val="3"/>
        <w:ind w:firstLine="643"/>
        <w:rPr>
          <w:rFonts w:hint="default" w:ascii="Times New Roman" w:hAnsi="Times New Roman" w:cs="Times New Roman"/>
          <w:color w:val="000000" w:themeColor="text1"/>
          <w14:textFill>
            <w14:solidFill>
              <w14:schemeClr w14:val="tx1"/>
            </w14:solidFill>
          </w14:textFill>
        </w:rPr>
      </w:pPr>
      <w:bookmarkStart w:id="32" w:name="_Toc2924"/>
      <w:bookmarkStart w:id="33" w:name="_Toc31602"/>
      <w:r>
        <w:rPr>
          <w:rFonts w:hint="default" w:ascii="Times New Roman" w:hAnsi="Times New Roman" w:cs="Times New Roman"/>
          <w:color w:val="000000" w:themeColor="text1"/>
          <w14:textFill>
            <w14:solidFill>
              <w14:schemeClr w14:val="tx1"/>
            </w14:solidFill>
          </w14:textFill>
        </w:rPr>
        <w:t>基本原则</w:t>
      </w:r>
      <w:bookmarkEnd w:id="29"/>
      <w:bookmarkEnd w:id="30"/>
      <w:bookmarkEnd w:id="31"/>
      <w:bookmarkEnd w:id="32"/>
      <w:bookmarkEnd w:id="33"/>
    </w:p>
    <w:p w14:paraId="6FBEA3E3">
      <w:pPr>
        <w:spacing w:line="600" w:lineRule="exact"/>
        <w:ind w:firstLine="600"/>
        <w:rPr>
          <w:rFonts w:hint="eastAsia" w:ascii="Times New Roman" w:hAnsi="Times New Roman" w:eastAsia="仿宋" w:cs="Times New Roman"/>
          <w:color w:val="000000" w:themeColor="text1"/>
          <w:kern w:val="0"/>
          <w:lang w:eastAsia="zh-CN"/>
          <w14:textFill>
            <w14:solidFill>
              <w14:schemeClr w14:val="tx1"/>
            </w14:solidFill>
          </w14:textFill>
        </w:rPr>
      </w:pPr>
      <w:bookmarkStart w:id="34" w:name="_Toc26823"/>
      <w:bookmarkStart w:id="35" w:name="_Toc12351"/>
      <w:bookmarkStart w:id="36" w:name="_Toc7233"/>
      <w:r>
        <w:rPr>
          <w:rFonts w:hint="default" w:ascii="Times New Roman" w:hAnsi="Times New Roman" w:cs="Times New Roman"/>
          <w:color w:val="000000" w:themeColor="text1"/>
          <w:kern w:val="0"/>
          <w14:textFill>
            <w14:solidFill>
              <w14:schemeClr w14:val="tx1"/>
            </w14:solidFill>
          </w14:textFill>
        </w:rPr>
        <w:t>——科学规划、因地制宜。</w:t>
      </w:r>
      <w:r>
        <w:rPr>
          <w:rFonts w:hint="eastAsia" w:cs="Times New Roman"/>
          <w:color w:val="000000" w:themeColor="text1"/>
          <w:kern w:val="0"/>
          <w:lang w:eastAsia="zh-CN"/>
          <w14:textFill>
            <w14:solidFill>
              <w14:schemeClr w14:val="tx1"/>
            </w14:solidFill>
          </w14:textFill>
        </w:rPr>
        <w:t>结合寿县水域滩涂的承载力评价结果及水产养殖产业的发展实际需求，科学制定养殖水域滩涂的开发利用与保护总体规划。</w:t>
      </w:r>
      <w:r>
        <w:rPr>
          <w:rFonts w:hint="default" w:ascii="Times New Roman" w:hAnsi="Times New Roman" w:cs="Times New Roman"/>
          <w:color w:val="000000" w:themeColor="text1"/>
          <w:kern w:val="0"/>
          <w14:textFill>
            <w14:solidFill>
              <w14:schemeClr w14:val="tx1"/>
            </w14:solidFill>
          </w14:textFill>
        </w:rPr>
        <w:t>遵循《农业部关于印发</w:t>
      </w:r>
      <w:r>
        <w:rPr>
          <w:rFonts w:hint="eastAsia" w:ascii="Times New Roman" w:hAnsi="Times New Roman"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养殖水域滩涂规划编制工作规范〉和〈养殖水域滩涂规划编制大纲〉的通知》要求，</w:t>
      </w:r>
      <w:r>
        <w:rPr>
          <w:rFonts w:hint="eastAsia" w:cs="Times New Roman"/>
          <w:color w:val="000000" w:themeColor="text1"/>
          <w:kern w:val="0"/>
          <w:lang w:eastAsia="zh-CN"/>
          <w14:textFill>
            <w14:solidFill>
              <w14:schemeClr w14:val="tx1"/>
            </w14:solidFill>
          </w14:textFill>
        </w:rPr>
        <w:t>科学评估水域资源和环境承载力，合理规划水产养殖布局，加强水域滩涂生态环境保护，确保养殖水产品质量安全，切实保障人民群众身体健康。</w:t>
      </w:r>
    </w:p>
    <w:p w14:paraId="27E49084">
      <w:pPr>
        <w:spacing w:line="600" w:lineRule="exact"/>
        <w:ind w:firstLine="600"/>
        <w:rPr>
          <w:rFonts w:hint="eastAsia" w:ascii="Times New Roman" w:hAnsi="Times New Roman" w:eastAsia="仿宋" w:cs="Times New Roman"/>
          <w:color w:val="000000" w:themeColor="text1"/>
          <w:kern w:val="0"/>
          <w:lang w:eastAsia="zh-CN"/>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——生态优先、底线约束。坚持走生产发展、生活富裕、生态良好的文明发展道路，科学开展水域滩涂利用评价，保护水域滩涂生态环境，合理安排产业发展空间。</w:t>
      </w:r>
      <w:r>
        <w:rPr>
          <w:rFonts w:hint="eastAsia" w:cs="Times New Roman"/>
          <w:color w:val="000000" w:themeColor="text1"/>
          <w:kern w:val="0"/>
          <w:lang w:eastAsia="zh-CN"/>
          <w14:textFill>
            <w14:solidFill>
              <w14:schemeClr w14:val="tx1"/>
            </w14:solidFill>
          </w14:textFill>
        </w:rPr>
        <w:t>将饮用水水源地、重要湖泊、河流、水库及自然保护区等划定为生态保护或公共安全的重要区域，作为禁止或限制养殖的“红线”和“黄线”区域，明确发展底线。</w:t>
      </w:r>
    </w:p>
    <w:p w14:paraId="4021F938">
      <w:pPr>
        <w:spacing w:line="600" w:lineRule="exact"/>
        <w:ind w:firstLine="600"/>
        <w:rPr>
          <w:rFonts w:hint="eastAsia" w:ascii="Times New Roman" w:hAnsi="Times New Roman" w:eastAsia="仿宋" w:cs="Times New Roman"/>
          <w:color w:val="000000" w:themeColor="text1"/>
          <w:kern w:val="0"/>
          <w:lang w:eastAsia="zh-CN"/>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——合理布局、转调结合。</w:t>
      </w:r>
      <w:r>
        <w:rPr>
          <w:rFonts w:hint="eastAsia" w:cs="Times New Roman"/>
          <w:color w:val="000000" w:themeColor="text1"/>
          <w:kern w:val="0"/>
          <w:lang w:eastAsia="zh-CN"/>
          <w14:textFill>
            <w14:solidFill>
              <w14:schemeClr w14:val="tx1"/>
            </w14:solidFill>
          </w14:textFill>
        </w:rPr>
        <w:t>稳定淡水池塘养殖规模，积极发展湖泊水库大水面生态增养殖，鼓励陆基循环水养殖和稻田综合种养模式，实现养殖水域滩涂的科学规划、合理储备、有序开发和协调发展。</w:t>
      </w:r>
    </w:p>
    <w:p w14:paraId="6C58221E">
      <w:pPr>
        <w:spacing w:line="600" w:lineRule="exact"/>
        <w:ind w:firstLine="6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——总体协调、横向衔接。与《寿县国土空间总体规划（2021-2035）》等上位规划相衔接，建立国土空间规划“一张图”，避免交叉和矛盾，促进区域经济协调发展。</w:t>
      </w:r>
    </w:p>
    <w:p w14:paraId="1A1C3F01">
      <w:pPr>
        <w:pStyle w:val="3"/>
        <w:ind w:firstLine="643"/>
        <w:rPr>
          <w:rFonts w:hint="default" w:ascii="Times New Roman" w:hAnsi="Times New Roman" w:cs="Times New Roman"/>
          <w:color w:val="000000" w:themeColor="text1"/>
          <w14:textFill>
            <w14:solidFill>
              <w14:schemeClr w14:val="tx1"/>
            </w14:solidFill>
          </w14:textFill>
        </w:rPr>
      </w:pPr>
      <w:bookmarkStart w:id="37" w:name="_Toc592"/>
      <w:bookmarkStart w:id="38" w:name="_Toc9233"/>
      <w:r>
        <w:rPr>
          <w:rFonts w:hint="default" w:ascii="Times New Roman" w:hAnsi="Times New Roman" w:cs="Times New Roman"/>
          <w:color w:val="000000" w:themeColor="text1"/>
          <w14:textFill>
            <w14:solidFill>
              <w14:schemeClr w14:val="tx1"/>
            </w14:solidFill>
          </w14:textFill>
        </w:rPr>
        <w:t>规划范围</w:t>
      </w:r>
      <w:bookmarkEnd w:id="34"/>
      <w:bookmarkEnd w:id="35"/>
      <w:bookmarkEnd w:id="36"/>
      <w:bookmarkEnd w:id="37"/>
      <w:bookmarkEnd w:id="38"/>
    </w:p>
    <w:p w14:paraId="5B383A2C">
      <w:pPr>
        <w:spacing w:line="62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规划范围覆盖寿县辖区内已经实行水产养殖开发利用和目前尚未开发但适于水产养殖开发利用的所有（全民、集体）水域和滩涂。</w:t>
      </w:r>
    </w:p>
    <w:p w14:paraId="7A0ED4B0">
      <w:pPr>
        <w:spacing w:line="620" w:lineRule="exact"/>
        <w:ind w:firstLine="600"/>
        <w:rPr>
          <w:rFonts w:hint="default" w:ascii="Times New Roman" w:hAnsi="Times New Roman" w:cs="Times New Roman"/>
          <w:color w:val="000000" w:themeColor="text1"/>
          <w:shd w:val="clear" w:color="auto" w:fill="FFFFFF"/>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寿县国土变更调查中，将适于水产养殖开发利用的沟渠纳入了规划范围。</w:t>
      </w:r>
    </w:p>
    <w:p w14:paraId="1EC78880">
      <w:pPr>
        <w:spacing w:line="620" w:lineRule="exact"/>
        <w:ind w:firstLine="600"/>
        <w:rPr>
          <w:rFonts w:hint="eastAsia" w:ascii="Times New Roman" w:hAnsi="Times New Roman" w:eastAsia="仿宋" w:cs="Times New Roman"/>
          <w:color w:val="000000" w:themeColor="text1"/>
          <w:shd w:val="clear" w:color="auto" w:fill="FFFFFF"/>
          <w:lang w:eastAsia="zh-CN"/>
          <w14:textFill>
            <w14:solidFill>
              <w14:schemeClr w14:val="tx1"/>
            </w14:solidFill>
          </w14:textFill>
        </w:rPr>
      </w:pPr>
      <w:r>
        <w:rPr>
          <w:rFonts w:hint="default" w:ascii="Times New Roman" w:hAnsi="Times New Roman" w:cs="Times New Roman"/>
          <w:color w:val="000000" w:themeColor="text1"/>
          <w:shd w:val="clear" w:color="auto" w:fill="FFFFFF"/>
          <w14:textFill>
            <w14:solidFill>
              <w14:schemeClr w14:val="tx1"/>
            </w14:solidFill>
          </w14:textFill>
        </w:rPr>
        <w:t>稻渔综合种养模式不属于传统水产养殖水面范畴，因此不计入养殖区面积，但仍需纳入养殖区进行统一管理；同样，陆基工厂化养殖区因多采用设施化养殖方式，也不计入养殖区面积，但同样需纳入养殖区管理。</w:t>
      </w:r>
    </w:p>
    <w:p w14:paraId="5D24A2F4">
      <w:pPr>
        <w:ind w:firstLine="600"/>
        <w:rPr>
          <w:rFonts w:hint="default" w:ascii="Times New Roman" w:hAnsi="Times New Roman" w:cs="Times New Roman"/>
          <w:color w:val="000000" w:themeColor="text1"/>
          <w14:textFill>
            <w14:solidFill>
              <w14:schemeClr w14:val="tx1"/>
            </w14:solidFill>
          </w14:textFill>
        </w:rPr>
      </w:pPr>
    </w:p>
    <w:p w14:paraId="58AC57B8">
      <w:pPr>
        <w:ind w:firstLine="600"/>
        <w:rPr>
          <w:rFonts w:hint="default" w:ascii="Times New Roman" w:hAnsi="Times New Roman" w:cs="Times New Roman"/>
          <w:color w:val="000000" w:themeColor="text1"/>
          <w14:textFill>
            <w14:solidFill>
              <w14:schemeClr w14:val="tx1"/>
            </w14:solidFill>
          </w14:textFill>
        </w:rPr>
        <w:sectPr>
          <w:headerReference r:id="rId13" w:type="default"/>
          <w:footerReference r:id="rId14" w:type="default"/>
          <w:type w:val="continuous"/>
          <w:pgSz w:w="11850" w:h="16783"/>
          <w:pgMar w:top="1440" w:right="1800" w:bottom="1440" w:left="1800" w:header="851" w:footer="992" w:gutter="0"/>
          <w:pgNumType w:start="1"/>
          <w:cols w:space="425" w:num="1"/>
          <w:docGrid w:type="lines" w:linePitch="312" w:charSpace="0"/>
        </w:sectPr>
      </w:pPr>
    </w:p>
    <w:p w14:paraId="7430F40E">
      <w:pPr>
        <w:pStyle w:val="2"/>
        <w:rPr>
          <w:rFonts w:hint="default" w:ascii="Times New Roman" w:hAnsi="Times New Roman" w:cs="Times New Roman"/>
          <w:color w:val="000000" w:themeColor="text1"/>
          <w14:textFill>
            <w14:solidFill>
              <w14:schemeClr w14:val="tx1"/>
            </w14:solidFill>
          </w14:textFill>
        </w:rPr>
      </w:pPr>
      <w:bookmarkStart w:id="39" w:name="_Toc14289"/>
      <w:bookmarkStart w:id="40" w:name="_Toc17180"/>
      <w:bookmarkStart w:id="41" w:name="_Toc10377"/>
      <w:bookmarkStart w:id="42" w:name="_Toc30775"/>
      <w:bookmarkStart w:id="43" w:name="_Toc14329"/>
      <w:bookmarkStart w:id="44" w:name="_Toc15261"/>
      <w:bookmarkStart w:id="45" w:name="_Toc10297"/>
      <w:r>
        <w:rPr>
          <w:rFonts w:hint="default" w:ascii="Times New Roman" w:hAnsi="Times New Roman" w:cs="Times New Roman"/>
          <w:color w:val="000000" w:themeColor="text1"/>
          <w14:textFill>
            <w14:solidFill>
              <w14:schemeClr w14:val="tx1"/>
            </w14:solidFill>
          </w14:textFill>
        </w:rPr>
        <w:t>养殖水域滩涂利用评价</w:t>
      </w:r>
      <w:bookmarkEnd w:id="39"/>
      <w:bookmarkEnd w:id="40"/>
      <w:bookmarkEnd w:id="41"/>
      <w:bookmarkEnd w:id="42"/>
      <w:bookmarkEnd w:id="43"/>
      <w:bookmarkEnd w:id="44"/>
      <w:bookmarkEnd w:id="45"/>
    </w:p>
    <w:p w14:paraId="10913B82">
      <w:pPr>
        <w:pStyle w:val="3"/>
        <w:ind w:firstLine="643"/>
        <w:rPr>
          <w:rFonts w:hint="default" w:ascii="Times New Roman" w:hAnsi="Times New Roman" w:cs="Times New Roman"/>
          <w:color w:val="000000" w:themeColor="text1"/>
          <w14:textFill>
            <w14:solidFill>
              <w14:schemeClr w14:val="tx1"/>
            </w14:solidFill>
          </w14:textFill>
        </w:rPr>
      </w:pPr>
      <w:bookmarkStart w:id="46" w:name="_Toc13019"/>
      <w:bookmarkStart w:id="47" w:name="_Toc23778"/>
      <w:bookmarkStart w:id="48" w:name="_Toc22981"/>
      <w:bookmarkStart w:id="49" w:name="_Toc21890"/>
      <w:bookmarkStart w:id="50" w:name="_Toc17805"/>
      <w:bookmarkStart w:id="51" w:name="_Toc31470"/>
      <w:bookmarkStart w:id="52" w:name="_Toc6016"/>
      <w:r>
        <w:rPr>
          <w:rFonts w:hint="default" w:ascii="Times New Roman" w:hAnsi="Times New Roman" w:cs="Times New Roman"/>
          <w:color w:val="000000" w:themeColor="text1"/>
          <w14:textFill>
            <w14:solidFill>
              <w14:schemeClr w14:val="tx1"/>
            </w14:solidFill>
          </w14:textFill>
        </w:rPr>
        <w:t>水域滩涂承载力分析</w:t>
      </w:r>
      <w:bookmarkEnd w:id="46"/>
      <w:bookmarkEnd w:id="47"/>
      <w:bookmarkEnd w:id="48"/>
      <w:bookmarkEnd w:id="49"/>
      <w:bookmarkEnd w:id="50"/>
      <w:bookmarkEnd w:id="51"/>
      <w:bookmarkEnd w:id="52"/>
    </w:p>
    <w:p w14:paraId="728C69F8">
      <w:pPr>
        <w:pStyle w:val="4"/>
        <w:numPr>
          <w:ilvl w:val="2"/>
          <w:numId w:val="10"/>
        </w:numPr>
        <w:ind w:left="0" w:firstLine="643"/>
        <w:rPr>
          <w:rFonts w:hint="default" w:ascii="Times New Roman" w:hAnsi="Times New Roman" w:cs="Times New Roman"/>
          <w:color w:val="000000" w:themeColor="text1"/>
          <w14:textFill>
            <w14:solidFill>
              <w14:schemeClr w14:val="tx1"/>
            </w14:solidFill>
          </w14:textFill>
        </w:rPr>
      </w:pPr>
      <w:bookmarkStart w:id="53" w:name="_Toc27267"/>
      <w:bookmarkStart w:id="54" w:name="_Toc27498"/>
      <w:bookmarkStart w:id="55" w:name="_Toc8869"/>
      <w:r>
        <w:rPr>
          <w:rFonts w:hint="default" w:ascii="Times New Roman" w:hAnsi="Times New Roman" w:cs="Times New Roman"/>
          <w:color w:val="000000" w:themeColor="text1"/>
          <w14:textFill>
            <w14:solidFill>
              <w14:schemeClr w14:val="tx1"/>
            </w14:solidFill>
          </w14:textFill>
        </w:rPr>
        <w:t>水域滩涂资源状况</w:t>
      </w:r>
      <w:bookmarkEnd w:id="53"/>
      <w:bookmarkEnd w:id="54"/>
      <w:bookmarkEnd w:id="55"/>
    </w:p>
    <w:p w14:paraId="69E8DDE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（一）地理位置</w:t>
      </w:r>
    </w:p>
    <w:p w14:paraId="4D4E10C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位于安徽省中部，淮河南岸，八公山南麓。在东经116°27′—117°04′、北纬31°54′—32°40′之间。东邻长丰县、淮南市，西隔淠水与霍邱县为邻，南与合肥蜀山区、肥西县、六安市毗连，北和凤台县、颍上县接壤，国土面积为2948</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，辖25个乡镇。</w:t>
      </w:r>
    </w:p>
    <w:p w14:paraId="72B9484E">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（二）地形地貌</w:t>
      </w:r>
    </w:p>
    <w:p w14:paraId="6A93A7F4">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寿县，位于安徽省中部，隶属于淮南市，总面积为2986平方公里。该县地势东南高，西北低，主要地貌包括丘陵、岗地和平原洼地。其中，陆域面积约为2794平方公里，占总面积的94.8%，而水域面积约为154平方公里，占总面积的5.2%。</w:t>
      </w:r>
    </w:p>
    <w:p w14:paraId="4846B6DC">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丘陵区处于县境中部和南部，面积1127</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，占全县总面积38.2%。瓦埠湖将全县丘陵区分割为瓦东、瓦西两大片，海拔在25～80</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，以王塘寺最高（87.0</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eastAsia="zh-CN"/>
          <w14:textFill>
            <w14:solidFill>
              <w14:schemeClr w14:val="tx1"/>
            </w14:solidFill>
          </w14:textFill>
        </w:rPr>
        <w:t>北部边缘为八公山，主峰老庙台海拔241.2米，面积达200多平方公里，占全县总面积的1.0%。</w:t>
      </w:r>
    </w:p>
    <w:p w14:paraId="0496C9CB">
      <w:pPr>
        <w:ind w:firstLine="60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寿县中部平原区，位于淠东干渠瓦庙店及陡涧河以北地区，地面高程在21-27米，地势平坦，面积约为788</w:t>
      </w:r>
      <w:r>
        <w:rPr>
          <w:rFonts w:hint="eastAsia" w:cs="Times New Roman"/>
          <w:color w:val="000000" w:themeColor="text1"/>
          <w:lang w:val="en-US" w:eastAsia="zh-CN"/>
          <w14:textFill>
            <w14:solidFill>
              <w14:schemeClr w14:val="tx1"/>
            </w14:solidFill>
          </w14:textFill>
        </w:rPr>
        <w:t>平方公里</w:t>
      </w:r>
      <w:r>
        <w:rPr>
          <w:rFonts w:hint="eastAsia" w:cs="Times New Roman"/>
          <w:color w:val="000000" w:themeColor="text1"/>
          <w:lang w:eastAsia="zh-CN"/>
          <w14:textFill>
            <w14:solidFill>
              <w14:schemeClr w14:val="tx1"/>
            </w14:solidFill>
          </w14:textFill>
        </w:rPr>
        <w:t>，占全县总面积的90%以上。</w:t>
      </w:r>
      <w:r>
        <w:rPr>
          <w:rFonts w:hint="default" w:ascii="Times New Roman" w:hAnsi="Times New Roman" w:cs="Times New Roman"/>
          <w:color w:val="000000" w:themeColor="text1"/>
          <w14:textFill>
            <w14:solidFill>
              <w14:schemeClr w14:val="tx1"/>
            </w14:solidFill>
          </w14:textFill>
        </w:rPr>
        <w:t>沿淮河、淠河右岸及瓦埠湖沿岸，地面高程18～23</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，主要为沿河沿湖低平洼地，呈碟状散见于淮、淠河右岸，形成独立的小型湖泊洼地，如寿西湖、梁家湖、肖严湖等，面积366</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，占全县总面积12.4%。</w:t>
      </w:r>
    </w:p>
    <w:p w14:paraId="54B3377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（三）水域滩涂资源状况</w:t>
      </w:r>
    </w:p>
    <w:p w14:paraId="0957036F">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寿县北缘有淮河自西向东，西缘有淠河由南而北流经县境，东淝河中、下游河道及瓦埠湖纵贯寿县南北。境内水域类型多样，</w:t>
      </w:r>
      <w:r>
        <w:rPr>
          <w:rFonts w:hint="eastAsia" w:cs="Times New Roman"/>
          <w:color w:val="000000" w:themeColor="text1"/>
          <w:lang w:eastAsia="zh-CN"/>
          <w14:textFill>
            <w14:solidFill>
              <w14:schemeClr w14:val="tx1"/>
            </w14:solidFill>
          </w14:textFill>
        </w:rPr>
        <w:t>全县水域滩涂面积450</w:t>
      </w:r>
      <w:r>
        <w:rPr>
          <w:rFonts w:hint="eastAsia" w:cs="Times New Roman"/>
          <w:color w:val="000000" w:themeColor="text1"/>
          <w:lang w:val="en-US"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25</w:t>
      </w:r>
      <w:r>
        <w:rPr>
          <w:rFonts w:hint="eastAsia" w:cs="Times New Roman"/>
          <w:color w:val="000000" w:themeColor="text1"/>
          <w:lang w:val="en-US" w:eastAsia="zh-CN"/>
          <w14:textFill>
            <w14:solidFill>
              <w14:schemeClr w14:val="tx1"/>
            </w14:solidFill>
          </w14:textFill>
        </w:rPr>
        <w:t>平方公里</w:t>
      </w:r>
      <w:r>
        <w:rPr>
          <w:rFonts w:hint="eastAsia" w:cs="Times New Roman"/>
          <w:color w:val="000000" w:themeColor="text1"/>
          <w:lang w:eastAsia="zh-CN"/>
          <w14:textFill>
            <w14:solidFill>
              <w14:schemeClr w14:val="tx1"/>
            </w14:solidFill>
          </w14:textFill>
        </w:rPr>
        <w:t>，拥有丰富的水资源。其中包括三河（淠河、淮河、东淝河），三渠（瓦东、瓦西、淠东），“一湖”（瓦埠湖），“一塘”（安丰塘），“两库”（大井水库、花果水库）等，这些水系的沟通为寿县提供了丰富的水资源。此外，寿县建有中型水库3座，小型水库56座，总库容达到18265.07万立方米。还有154座小（一）型水库和小（二）型水库、支斗毛渠为辅的沟塘堰坝，纵横交错，星罗棋布，为水产养殖提供了优越的条件。</w:t>
      </w:r>
    </w:p>
    <w:p w14:paraId="7E0AB42D">
      <w:pPr>
        <w:numPr>
          <w:ilvl w:val="0"/>
          <w:numId w:val="11"/>
        </w:numPr>
        <w:ind w:firstLine="600"/>
        <w:rPr>
          <w:rFonts w:hint="default" w:ascii="Times New Roman" w:hAnsi="Times New Roman" w:cs="Times New Roman"/>
          <w:color w:val="000000" w:themeColor="text1"/>
          <w14:textFill>
            <w14:solidFill>
              <w14:schemeClr w14:val="tx1"/>
            </w14:solidFill>
          </w14:textFill>
        </w:rPr>
      </w:pPr>
      <w:bookmarkStart w:id="56" w:name="_Toc261817263"/>
      <w:bookmarkStart w:id="57" w:name="_Toc426011731"/>
      <w:bookmarkStart w:id="58" w:name="_Toc261817483"/>
      <w:r>
        <w:rPr>
          <w:rFonts w:hint="default" w:ascii="Times New Roman" w:hAnsi="Times New Roman" w:cs="Times New Roman"/>
          <w:color w:val="000000" w:themeColor="text1"/>
          <w14:textFill>
            <w14:solidFill>
              <w14:schemeClr w14:val="tx1"/>
            </w14:solidFill>
          </w14:textFill>
        </w:rPr>
        <w:t>河湖水系</w:t>
      </w:r>
    </w:p>
    <w:p w14:paraId="6660E99D">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寿县河流水系发达，北缘有淮河自西向东，西缘有淠河由南而北流经县境，东淝河中、下游河道及瓦埠湖纵贯寿县南北，瓦埠湖作为安徽省淮河流域最大的湖泊，全长60公里，水面最宽6000米，最窄处只有300米，水位保持在18.0米时，其相应的湖区水面达156平方公里，蓄水量为2.2亿立方米。瓦埠湖流域面积4200平方公里，经东淝河与淮河相通，为县境最大的天然蓄水库。境内有肖严湖、梁家湖分别注入淮河、淠河。</w:t>
      </w:r>
    </w:p>
    <w:p w14:paraId="553D205F">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淠河是淮河的主要支流之一，流域面积6000</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淠河有东、西两条源流，称东淠河、西淠河，东、西淠河于六安市两河口汇合后始称淠河。淠河经六安至码头集入寿县境，向北经迎河集、大店岗至清河口入淮河。两河口以上流域呈扇形，支流发达，汇流集中；两河口以下流域呈带状，无大支流汇入。淠河全长260</w:t>
      </w:r>
      <w:r>
        <w:rPr>
          <w:rFonts w:hint="default" w:ascii="Times New Roman" w:hAnsi="Times New Roman" w:cs="Times New Roman"/>
          <w:color w:val="000000" w:themeColor="text1"/>
          <w:lang w:eastAsia="zh-CN"/>
          <w14:textFill>
            <w14:solidFill>
              <w14:schemeClr w14:val="tx1"/>
            </w14:solidFill>
          </w14:textFill>
        </w:rPr>
        <w:t>公里</w:t>
      </w:r>
      <w:r>
        <w:rPr>
          <w:rFonts w:hint="default" w:ascii="Times New Roman" w:hAnsi="Times New Roman" w:cs="Times New Roman"/>
          <w:color w:val="000000" w:themeColor="text1"/>
          <w14:textFill>
            <w14:solidFill>
              <w14:schemeClr w14:val="tx1"/>
            </w14:solidFill>
          </w14:textFill>
        </w:rPr>
        <w:t>，流经寿县境内河段长59</w:t>
      </w:r>
      <w:r>
        <w:rPr>
          <w:rFonts w:hint="default" w:ascii="Times New Roman" w:hAnsi="Times New Roman" w:cs="Times New Roman"/>
          <w:color w:val="000000" w:themeColor="text1"/>
          <w:lang w:eastAsia="zh-CN"/>
          <w14:textFill>
            <w14:solidFill>
              <w14:schemeClr w14:val="tx1"/>
            </w14:solidFill>
          </w14:textFill>
        </w:rPr>
        <w:t>公里</w:t>
      </w:r>
      <w:r>
        <w:rPr>
          <w:rFonts w:hint="default" w:ascii="Times New Roman" w:hAnsi="Times New Roman" w:cs="Times New Roman"/>
          <w:color w:val="000000" w:themeColor="text1"/>
          <w14:textFill>
            <w14:solidFill>
              <w14:schemeClr w14:val="tx1"/>
            </w14:solidFill>
          </w14:textFill>
        </w:rPr>
        <w:t>，流域面积746</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w:t>
      </w:r>
    </w:p>
    <w:p w14:paraId="0D8A664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东淝河源出肥西县铭传乡，北流经金桥过淠河总干渠金桥涵；折西北流，左纳青龙堰来水；经李家圩左纳桃园河；又北左纳大堰来水，于东桥集入寿县境，至董埠与西干会合。东西两干汇合后北流，经石埠、船涨埠，至白洋淀注入瓦埠湖。寿县东淝河流域面积2202</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w:t>
      </w:r>
    </w:p>
    <w:p w14:paraId="5A6911A2">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瓦埠湖位于淮河右岸，湖面跨寿县、长丰两县及淮南市，主要在寿县境内。湖区南起白洋淀，北至钱家滩，长52</w:t>
      </w:r>
      <w:r>
        <w:rPr>
          <w:rFonts w:hint="default" w:ascii="Times New Roman" w:hAnsi="Times New Roman" w:cs="Times New Roman"/>
          <w:color w:val="000000" w:themeColor="text1"/>
          <w:lang w:eastAsia="zh-CN"/>
          <w14:textFill>
            <w14:solidFill>
              <w14:schemeClr w14:val="tx1"/>
            </w14:solidFill>
          </w14:textFill>
        </w:rPr>
        <w:t>公里</w:t>
      </w:r>
      <w:r>
        <w:rPr>
          <w:rFonts w:hint="default" w:ascii="Times New Roman" w:hAnsi="Times New Roman" w:cs="Times New Roman"/>
          <w:color w:val="000000" w:themeColor="text1"/>
          <w14:textFill>
            <w14:solidFill>
              <w14:schemeClr w14:val="tx1"/>
            </w14:solidFill>
          </w14:textFill>
        </w:rPr>
        <w:t>，东西平均宽约3</w:t>
      </w:r>
      <w:r>
        <w:rPr>
          <w:rFonts w:hint="default" w:ascii="Times New Roman" w:hAnsi="Times New Roman" w:cs="Times New Roman"/>
          <w:color w:val="000000" w:themeColor="text1"/>
          <w:lang w:eastAsia="zh-CN"/>
          <w14:textFill>
            <w14:solidFill>
              <w14:schemeClr w14:val="tx1"/>
            </w14:solidFill>
          </w14:textFill>
        </w:rPr>
        <w:t>公里</w:t>
      </w:r>
      <w:r>
        <w:rPr>
          <w:rFonts w:hint="default" w:ascii="Times New Roman" w:hAnsi="Times New Roman" w:cs="Times New Roman"/>
          <w:color w:val="000000" w:themeColor="text1"/>
          <w14:textFill>
            <w14:solidFill>
              <w14:schemeClr w14:val="tx1"/>
            </w14:solidFill>
          </w14:textFill>
        </w:rPr>
        <w:t>，湖底高程15.5</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。正常水位18.0</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，水面面积156</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，相应容积为2.2亿</w:t>
      </w:r>
      <w:r>
        <w:rPr>
          <w:rFonts w:hint="default" w:ascii="Times New Roman" w:hAnsi="Times New Roman" w:cs="Times New Roman"/>
          <w:color w:val="000000" w:themeColor="text1"/>
          <w:lang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。湖水经东淝河下段于寿县北五里闸，过东淝河闸，北流至赵台子注入淮河。1952年规划为淮河蓄洪区，设计蓄洪水位22.0</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，总蓄水量12.9亿</w:t>
      </w:r>
      <w:r>
        <w:rPr>
          <w:rFonts w:hint="default" w:ascii="Times New Roman" w:hAnsi="Times New Roman" w:cs="Times New Roman"/>
          <w:color w:val="000000" w:themeColor="text1"/>
          <w:lang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，水面积386</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w:t>
      </w:r>
    </w:p>
    <w:p w14:paraId="411938EB">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肖严湖流域位于安徽省寿县西北部，北濒淮河，西临淠河，东抵正阳分干渠和淠东干渠，南至杨西分干渠，流域总面积344</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，其中流域西北部为洼地，面积为104</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，地面高程19.0～22.0</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；东南部为坡水地带，面积227.6</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，地面高程23～27</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；中部有肖严湖，常年蓄水位19.5</w:t>
      </w:r>
      <w:r>
        <w:rPr>
          <w:rFonts w:hint="default" w:ascii="Times New Roman" w:hAnsi="Times New Roman" w:cs="Times New Roman"/>
          <w:color w:val="000000" w:themeColor="text1"/>
          <w:lang w:eastAsia="zh-CN"/>
          <w14:textFill>
            <w14:solidFill>
              <w14:schemeClr w14:val="tx1"/>
            </w14:solidFill>
          </w14:textFill>
        </w:rPr>
        <w:t>米</w:t>
      </w:r>
      <w:r>
        <w:rPr>
          <w:rFonts w:hint="default" w:ascii="Times New Roman" w:hAnsi="Times New Roman" w:cs="Times New Roman"/>
          <w:color w:val="000000" w:themeColor="text1"/>
          <w14:textFill>
            <w14:solidFill>
              <w14:schemeClr w14:val="tx1"/>
            </w14:solidFill>
          </w14:textFill>
        </w:rPr>
        <w:t>，相应水面面积4.6</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，蓄水量307万</w:t>
      </w:r>
      <w:r>
        <w:rPr>
          <w:rFonts w:hint="default" w:ascii="Times New Roman" w:hAnsi="Times New Roman" w:cs="Times New Roman"/>
          <w:color w:val="000000" w:themeColor="text1"/>
          <w:lang w:val="en-US"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。肖严湖河流上段基本为自然河道，下段1951年建成正阳排水干渠，南起肖严湖，北至正阳涵，全长13</w:t>
      </w:r>
      <w:r>
        <w:rPr>
          <w:rFonts w:hint="default" w:ascii="Times New Roman" w:hAnsi="Times New Roman" w:cs="Times New Roman"/>
          <w:color w:val="000000" w:themeColor="text1"/>
          <w:lang w:eastAsia="zh-CN"/>
          <w14:textFill>
            <w14:solidFill>
              <w14:schemeClr w14:val="tx1"/>
            </w14:solidFill>
          </w14:textFill>
        </w:rPr>
        <w:t>公里</w:t>
      </w:r>
      <w:r>
        <w:rPr>
          <w:rFonts w:hint="default" w:ascii="Times New Roman" w:hAnsi="Times New Roman" w:cs="Times New Roman"/>
          <w:color w:val="000000" w:themeColor="text1"/>
          <w14:textFill>
            <w14:solidFill>
              <w14:schemeClr w14:val="tx1"/>
            </w14:solidFill>
          </w14:textFill>
        </w:rPr>
        <w:t>，洼地涝水通过正阳排水渠经正阳涵排入淮河。</w:t>
      </w:r>
    </w:p>
    <w:p w14:paraId="3C51E44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寿县主要河流、湖泊特征见表1和表2。</w:t>
      </w:r>
    </w:p>
    <w:p w14:paraId="0FC94416">
      <w:pPr>
        <w:pStyle w:val="7"/>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寿县主要河流一览表</w:t>
      </w:r>
    </w:p>
    <w:tbl>
      <w:tblPr>
        <w:tblStyle w:val="17"/>
        <w:tblW w:w="8624" w:type="dxa"/>
        <w:tblInd w:w="98" w:type="dxa"/>
        <w:tblLayout w:type="autofit"/>
        <w:tblCellMar>
          <w:top w:w="0" w:type="dxa"/>
          <w:left w:w="108" w:type="dxa"/>
          <w:bottom w:w="0" w:type="dxa"/>
          <w:right w:w="108" w:type="dxa"/>
        </w:tblCellMar>
      </w:tblPr>
      <w:tblGrid>
        <w:gridCol w:w="885"/>
        <w:gridCol w:w="2636"/>
        <w:gridCol w:w="1130"/>
        <w:gridCol w:w="1224"/>
        <w:gridCol w:w="1374"/>
        <w:gridCol w:w="1375"/>
      </w:tblGrid>
      <w:tr w14:paraId="348EFD2F">
        <w:tblPrEx>
          <w:tblCellMar>
            <w:top w:w="0" w:type="dxa"/>
            <w:left w:w="108" w:type="dxa"/>
            <w:bottom w:w="0" w:type="dxa"/>
            <w:right w:w="108" w:type="dxa"/>
          </w:tblCellMar>
        </w:tblPrEx>
        <w:trPr>
          <w:trHeight w:val="914"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7FA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序号</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A0DD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河流名称</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5EE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水系</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38E44">
            <w:pPr>
              <w:widowControl/>
              <w:spacing w:line="240" w:lineRule="auto"/>
              <w:ind w:firstLine="0" w:firstLineChars="0"/>
              <w:jc w:val="center"/>
              <w:textAlignment w:val="center"/>
              <w:rPr>
                <w:rStyle w:val="59"/>
                <w:rFonts w:hint="default" w:ascii="Times New Roman" w:hAnsi="Times New Roman" w:eastAsia="仿宋" w:cs="Times New Roman"/>
                <w:color w:val="000000" w:themeColor="text1"/>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境内河长</w:t>
            </w:r>
          </w:p>
          <w:p w14:paraId="7DFC07B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cs="Times New Roman"/>
                <w:color w:val="000000" w:themeColor="text1"/>
                <w14:textFill>
                  <w14:solidFill>
                    <w14:schemeClr w14:val="tx1"/>
                  </w14:solidFill>
                </w14:textFill>
              </w:rPr>
              <w:t>(</w:t>
            </w:r>
            <w:r>
              <w:rPr>
                <w:rStyle w:val="60"/>
                <w:rFonts w:hint="default" w:ascii="Times New Roman" w:hAnsi="Times New Roman" w:eastAsia="宋体" w:cs="Times New Roman"/>
                <w:color w:val="000000" w:themeColor="text1"/>
                <w:lang w:eastAsia="zh-CN"/>
                <w14:textFill>
                  <w14:solidFill>
                    <w14:schemeClr w14:val="tx1"/>
                  </w14:solidFill>
                </w14:textFill>
              </w:rPr>
              <w:t>公里</w:t>
            </w:r>
            <w:r>
              <w:rPr>
                <w:rStyle w:val="60"/>
                <w:rFonts w:hint="default" w:ascii="Times New Roman" w:hAnsi="Times New Roman" w:cs="Times New Roman"/>
                <w:color w:val="000000" w:themeColor="text1"/>
                <w14:textFill>
                  <w14:solidFill>
                    <w14:schemeClr w14:val="tx1"/>
                  </w14:solidFill>
                </w14:textFill>
              </w:rPr>
              <w:t>)</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1F3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境内流域面积（</w:t>
            </w:r>
            <w:r>
              <w:rPr>
                <w:rStyle w:val="60"/>
                <w:rFonts w:hint="default" w:ascii="Times New Roman" w:hAnsi="Times New Roman" w:cs="Times New Roman"/>
                <w:color w:val="000000" w:themeColor="text1"/>
                <w:lang w:eastAsia="zh-CN"/>
                <w14:textFill>
                  <w14:solidFill>
                    <w14:schemeClr w14:val="tx1"/>
                  </w14:solidFill>
                </w14:textFill>
              </w:rPr>
              <w:t>平方公里</w:t>
            </w:r>
            <w:r>
              <w:rPr>
                <w:rStyle w:val="59"/>
                <w:rFonts w:hint="default" w:ascii="Times New Roman" w:hAnsi="Times New Roman" w:eastAsia="仿宋" w:cs="Times New Roman"/>
                <w:color w:val="000000" w:themeColor="text1"/>
                <w14:textFill>
                  <w14:solidFill>
                    <w14:schemeClr w14:val="tx1"/>
                  </w14:solidFill>
                </w14:textFill>
              </w:rPr>
              <w:t>)</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9D3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备注</w:t>
            </w:r>
          </w:p>
        </w:tc>
      </w:tr>
      <w:tr w14:paraId="727A0165">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8607">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0A1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淮河</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B6C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淮河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F25C">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37</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4EF0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60"/>
                <w:rFonts w:hint="default" w:ascii="Times New Roman" w:hAnsi="Times New Roman" w:cs="Times New Roman"/>
                <w:color w:val="000000" w:themeColor="text1"/>
                <w14:textFill>
                  <w14:solidFill>
                    <w14:schemeClr w14:val="tx1"/>
                  </w14:solidFill>
                </w14:textFill>
              </w:rPr>
              <w:t>-</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CCC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跨省干流</w:t>
            </w:r>
          </w:p>
        </w:tc>
      </w:tr>
      <w:tr w14:paraId="56F03014">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1CED">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82F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淠河</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478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淠河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4814">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57.7</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6497">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746</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620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一级支流</w:t>
            </w:r>
          </w:p>
        </w:tc>
      </w:tr>
      <w:tr w14:paraId="4ECAC00E">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833D">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16C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9DC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F4427">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51.8</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5DE6">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2202</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82F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一级支流</w:t>
            </w:r>
          </w:p>
        </w:tc>
      </w:tr>
      <w:tr w14:paraId="413F29EC">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91D0F">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8AD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东淝河西源</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CFC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CC02">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DCB9">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24A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19AB3838">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CEFF">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2ED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陡涧河</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814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9387">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24</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0130">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292</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BD3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0E23F0D7">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71E3">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6</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080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南小河</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7FD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6FE6">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28.4</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F344">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206</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020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4151F266">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DE4C">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1BB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金小堰</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357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ACDF">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27.53</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AA68">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211</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479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73DD3433">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AD62">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751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中心沟</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13E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B55B">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40.71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D775">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251.1</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F3D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732DF0DB">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4ACA">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9</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4E6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万小河</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3EA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0CF7">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29.6</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721BF">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217</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EB4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37648806">
        <w:tblPrEx>
          <w:tblCellMar>
            <w:top w:w="0" w:type="dxa"/>
            <w:left w:w="108" w:type="dxa"/>
            <w:bottom w:w="0" w:type="dxa"/>
            <w:right w:w="108" w:type="dxa"/>
          </w:tblCellMar>
        </w:tblPrEx>
        <w:trPr>
          <w:trHeight w:val="52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B913">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10</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463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寿西湖截涝沟</w:t>
            </w:r>
            <w:r>
              <w:rPr>
                <w:rStyle w:val="60"/>
                <w:rFonts w:hint="default" w:ascii="Times New Roman" w:hAnsi="Times New Roman" w:cs="Times New Roman"/>
                <w:color w:val="000000" w:themeColor="text1"/>
                <w14:textFill>
                  <w14:solidFill>
                    <w14:schemeClr w14:val="tx1"/>
                  </w14:solidFill>
                </w14:textFill>
              </w:rPr>
              <w:t>(</w:t>
            </w:r>
            <w:r>
              <w:rPr>
                <w:rStyle w:val="59"/>
                <w:rFonts w:hint="default" w:ascii="Times New Roman" w:hAnsi="Times New Roman" w:eastAsia="仿宋" w:cs="Times New Roman"/>
                <w:color w:val="000000" w:themeColor="text1"/>
                <w14:textFill>
                  <w14:solidFill>
                    <w14:schemeClr w14:val="tx1"/>
                  </w14:solidFill>
                </w14:textFill>
              </w:rPr>
              <w:t>护城河</w:t>
            </w:r>
            <w:r>
              <w:rPr>
                <w:rStyle w:val="60"/>
                <w:rFonts w:hint="default" w:ascii="Times New Roman" w:hAnsi="Times New Roman" w:cs="Times New Roman"/>
                <w:color w:val="000000" w:themeColor="text1"/>
                <w14:textFill>
                  <w14:solidFill>
                    <w14:schemeClr w14:val="tx1"/>
                  </w14:solidFill>
                </w14:textFill>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CD6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东淝河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F5E2">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28.12</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483F">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200</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AF9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411E374F">
        <w:tblPrEx>
          <w:tblCellMar>
            <w:top w:w="0" w:type="dxa"/>
            <w:left w:w="108" w:type="dxa"/>
            <w:bottom w:w="0" w:type="dxa"/>
            <w:right w:w="108" w:type="dxa"/>
          </w:tblCellMar>
        </w:tblPrEx>
        <w:trPr>
          <w:trHeight w:val="482"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49FB">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7A5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梁家湖排涝渠</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700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淠河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4289">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7DF88">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247</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7C20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二级支流</w:t>
            </w:r>
          </w:p>
        </w:tc>
      </w:tr>
      <w:tr w14:paraId="3072EE48">
        <w:tblPrEx>
          <w:tblCellMar>
            <w:top w:w="0" w:type="dxa"/>
            <w:left w:w="108" w:type="dxa"/>
            <w:bottom w:w="0" w:type="dxa"/>
            <w:right w:w="108" w:type="dxa"/>
          </w:tblCellMar>
        </w:tblPrEx>
        <w:trPr>
          <w:trHeight w:val="511"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44B6">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12</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E67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肖严湖正南排水渠</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FAF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淠河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C333">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32.4</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AF0E">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344</w:t>
            </w:r>
          </w:p>
        </w:tc>
        <w:tc>
          <w:tcPr>
            <w:tcW w:w="1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ABA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Style w:val="59"/>
                <w:rFonts w:hint="default" w:ascii="Times New Roman" w:hAnsi="Times New Roman" w:eastAsia="仿宋" w:cs="Times New Roman"/>
                <w:color w:val="000000" w:themeColor="text1"/>
                <w14:textFill>
                  <w14:solidFill>
                    <w14:schemeClr w14:val="tx1"/>
                  </w14:solidFill>
                </w14:textFill>
              </w:rPr>
              <w:t>一级支流</w:t>
            </w:r>
          </w:p>
        </w:tc>
      </w:tr>
    </w:tbl>
    <w:p w14:paraId="4440EA6B">
      <w:pPr>
        <w:ind w:firstLine="0" w:firstLineChars="0"/>
        <w:rPr>
          <w:rFonts w:hint="default" w:ascii="Times New Roman" w:hAnsi="Times New Roman" w:cs="Times New Roman"/>
          <w:color w:val="000000" w:themeColor="text1"/>
          <w14:textFill>
            <w14:solidFill>
              <w14:schemeClr w14:val="tx1"/>
            </w14:solidFill>
          </w14:textFill>
        </w:rPr>
      </w:pPr>
    </w:p>
    <w:p w14:paraId="47236376">
      <w:pPr>
        <w:pStyle w:val="7"/>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寿县主要湖泊一览表</w:t>
      </w:r>
    </w:p>
    <w:tbl>
      <w:tblPr>
        <w:tblStyle w:val="17"/>
        <w:tblW w:w="8575" w:type="dxa"/>
        <w:tblInd w:w="98" w:type="dxa"/>
        <w:tblLayout w:type="autofit"/>
        <w:tblCellMar>
          <w:top w:w="0" w:type="dxa"/>
          <w:left w:w="108" w:type="dxa"/>
          <w:bottom w:w="0" w:type="dxa"/>
          <w:right w:w="108" w:type="dxa"/>
        </w:tblCellMar>
      </w:tblPr>
      <w:tblGrid>
        <w:gridCol w:w="926"/>
        <w:gridCol w:w="1902"/>
        <w:gridCol w:w="2060"/>
        <w:gridCol w:w="1726"/>
        <w:gridCol w:w="1961"/>
      </w:tblGrid>
      <w:tr w14:paraId="79C8BF11">
        <w:tblPrEx>
          <w:tblCellMar>
            <w:top w:w="0" w:type="dxa"/>
            <w:left w:w="108" w:type="dxa"/>
            <w:bottom w:w="0" w:type="dxa"/>
            <w:right w:w="108" w:type="dxa"/>
          </w:tblCellMar>
        </w:tblPrEx>
        <w:trPr>
          <w:trHeight w:val="605"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CDE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序号</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38A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湖泊名称</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958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正常蓄水位</w:t>
            </w:r>
            <w:r>
              <w:rPr>
                <w:rFonts w:hint="default" w:ascii="Times New Roman" w:hAnsi="Times New Roman" w:cs="Times New Roman"/>
                <w:color w:val="000000" w:themeColor="text1"/>
                <w:kern w:val="0"/>
                <w:sz w:val="22"/>
                <w:szCs w:val="22"/>
                <w14:textFill>
                  <w14:solidFill>
                    <w14:schemeClr w14:val="tx1"/>
                  </w14:solidFill>
                </w14:textFill>
              </w:rPr>
              <w:br w:type="textWrapping"/>
            </w:r>
            <w:r>
              <w:rPr>
                <w:rFonts w:hint="default" w:ascii="Times New Roman" w:hAnsi="Times New Roman" w:cs="Times New Roman"/>
                <w:color w:val="000000" w:themeColor="text1"/>
                <w:kern w:val="0"/>
                <w:sz w:val="22"/>
                <w:szCs w:val="22"/>
                <w14:textFill>
                  <w14:solidFill>
                    <w14:schemeClr w14:val="tx1"/>
                  </w14:solidFill>
                </w14:textFill>
              </w:rPr>
              <w:t>（</w:t>
            </w:r>
            <w:r>
              <w:rPr>
                <w:rFonts w:hint="default" w:ascii="Times New Roman" w:hAnsi="Times New Roman" w:cs="Times New Roman"/>
                <w:color w:val="000000" w:themeColor="text1"/>
                <w:kern w:val="0"/>
                <w:sz w:val="22"/>
                <w:szCs w:val="22"/>
                <w:lang w:eastAsia="zh-CN"/>
                <w14:textFill>
                  <w14:solidFill>
                    <w14:schemeClr w14:val="tx1"/>
                  </w14:solidFill>
                </w14:textFill>
              </w:rPr>
              <w:t>米</w:t>
            </w:r>
            <w:r>
              <w:rPr>
                <w:rFonts w:hint="default" w:ascii="Times New Roman" w:hAnsi="Times New Roman" w:cs="Times New Roman"/>
                <w:color w:val="000000" w:themeColor="text1"/>
                <w:kern w:val="0"/>
                <w:sz w:val="22"/>
                <w:szCs w:val="22"/>
                <w14:textFill>
                  <w14:solidFill>
                    <w14:schemeClr w14:val="tx1"/>
                  </w14:solidFill>
                </w14:textFill>
              </w:rPr>
              <w:t>）</w:t>
            </w:r>
          </w:p>
        </w:tc>
        <w:tc>
          <w:tcPr>
            <w:tcW w:w="1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030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蓄水量</w:t>
            </w:r>
            <w:r>
              <w:rPr>
                <w:rFonts w:hint="default" w:ascii="Times New Roman" w:hAnsi="Times New Roman" w:cs="Times New Roman"/>
                <w:color w:val="000000" w:themeColor="text1"/>
                <w:kern w:val="0"/>
                <w:sz w:val="22"/>
                <w:szCs w:val="22"/>
                <w14:textFill>
                  <w14:solidFill>
                    <w14:schemeClr w14:val="tx1"/>
                  </w14:solidFill>
                </w14:textFill>
              </w:rPr>
              <w:br w:type="textWrapping"/>
            </w:r>
            <w:r>
              <w:rPr>
                <w:rFonts w:hint="default" w:ascii="Times New Roman" w:hAnsi="Times New Roman" w:cs="Times New Roman"/>
                <w:color w:val="000000" w:themeColor="text1"/>
                <w:kern w:val="0"/>
                <w:sz w:val="22"/>
                <w:szCs w:val="22"/>
                <w14:textFill>
                  <w14:solidFill>
                    <w14:schemeClr w14:val="tx1"/>
                  </w14:solidFill>
                </w14:textFill>
              </w:rPr>
              <w:t>（亿</w:t>
            </w:r>
            <w:r>
              <w:rPr>
                <w:rFonts w:hint="default" w:ascii="Times New Roman" w:hAnsi="Times New Roman" w:cs="Times New Roman"/>
                <w:color w:val="000000" w:themeColor="text1"/>
                <w:kern w:val="0"/>
                <w:sz w:val="22"/>
                <w:szCs w:val="22"/>
                <w:lang w:eastAsia="zh-CN"/>
                <w14:textFill>
                  <w14:solidFill>
                    <w14:schemeClr w14:val="tx1"/>
                  </w14:solidFill>
                </w14:textFill>
              </w:rPr>
              <w:t>立方米</w:t>
            </w:r>
            <w:r>
              <w:rPr>
                <w:rFonts w:hint="default" w:ascii="Times New Roman" w:hAnsi="Times New Roman" w:cs="Times New Roman"/>
                <w:color w:val="000000" w:themeColor="text1"/>
                <w:kern w:val="0"/>
                <w:sz w:val="22"/>
                <w:szCs w:val="22"/>
                <w14:textFill>
                  <w14:solidFill>
                    <w14:schemeClr w14:val="tx1"/>
                  </w14:solidFill>
                </w14:textFill>
              </w:rPr>
              <w:t>)</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A82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流域面积（</w:t>
            </w:r>
            <w:r>
              <w:rPr>
                <w:rFonts w:hint="default" w:ascii="Times New Roman" w:hAnsi="Times New Roman" w:cs="Times New Roman"/>
                <w:color w:val="000000" w:themeColor="text1"/>
                <w:kern w:val="0"/>
                <w:sz w:val="22"/>
                <w:szCs w:val="22"/>
                <w:lang w:eastAsia="zh-CN"/>
                <w14:textFill>
                  <w14:solidFill>
                    <w14:schemeClr w14:val="tx1"/>
                  </w14:solidFill>
                </w14:textFill>
              </w:rPr>
              <w:t>平方公里</w:t>
            </w:r>
            <w:r>
              <w:rPr>
                <w:rFonts w:hint="default" w:ascii="Times New Roman" w:hAnsi="Times New Roman" w:cs="Times New Roman"/>
                <w:color w:val="000000" w:themeColor="text1"/>
                <w:kern w:val="0"/>
                <w:sz w:val="22"/>
                <w:szCs w:val="22"/>
                <w14:textFill>
                  <w14:solidFill>
                    <w14:schemeClr w14:val="tx1"/>
                  </w14:solidFill>
                </w14:textFill>
              </w:rPr>
              <w:t>)</w:t>
            </w:r>
          </w:p>
        </w:tc>
      </w:tr>
      <w:tr w14:paraId="785644D6">
        <w:tblPrEx>
          <w:tblCellMar>
            <w:top w:w="0" w:type="dxa"/>
            <w:left w:w="108" w:type="dxa"/>
            <w:bottom w:w="0" w:type="dxa"/>
            <w:right w:w="108" w:type="dxa"/>
          </w:tblCellMar>
        </w:tblPrEx>
        <w:trPr>
          <w:trHeight w:val="600" w:hRule="atLeast"/>
        </w:trPr>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1023">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w:t>
            </w:r>
          </w:p>
        </w:tc>
        <w:tc>
          <w:tcPr>
            <w:tcW w:w="1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E4A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527D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18.50</w:t>
            </w:r>
          </w:p>
        </w:tc>
        <w:tc>
          <w:tcPr>
            <w:tcW w:w="1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69C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2.74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A11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1963</w:t>
            </w:r>
          </w:p>
        </w:tc>
      </w:tr>
      <w:tr w14:paraId="2C649BF9">
        <w:tblPrEx>
          <w:tblCellMar>
            <w:top w:w="0" w:type="dxa"/>
            <w:left w:w="108" w:type="dxa"/>
            <w:bottom w:w="0" w:type="dxa"/>
            <w:right w:w="108" w:type="dxa"/>
          </w:tblCellMar>
        </w:tblPrEx>
        <w:trPr>
          <w:trHeight w:val="915" w:hRule="atLeast"/>
        </w:trPr>
        <w:tc>
          <w:tcPr>
            <w:tcW w:w="926" w:type="dxa"/>
            <w:tcBorders>
              <w:top w:val="single" w:color="000000" w:sz="4" w:space="0"/>
              <w:left w:val="single" w:color="000000" w:sz="4" w:space="0"/>
              <w:bottom w:val="single" w:color="auto" w:sz="4" w:space="0"/>
              <w:right w:val="single" w:color="000000" w:sz="4" w:space="0"/>
            </w:tcBorders>
            <w:shd w:val="clear" w:color="auto" w:fill="auto"/>
            <w:vAlign w:val="center"/>
          </w:tcPr>
          <w:p w14:paraId="582F42A8">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w:t>
            </w:r>
          </w:p>
        </w:tc>
        <w:tc>
          <w:tcPr>
            <w:tcW w:w="1902" w:type="dxa"/>
            <w:tcBorders>
              <w:top w:val="single" w:color="000000" w:sz="4" w:space="0"/>
              <w:left w:val="single" w:color="000000" w:sz="4" w:space="0"/>
              <w:bottom w:val="single" w:color="auto" w:sz="4" w:space="0"/>
              <w:right w:val="single" w:color="000000" w:sz="4" w:space="0"/>
            </w:tcBorders>
            <w:shd w:val="clear" w:color="auto" w:fill="auto"/>
            <w:vAlign w:val="center"/>
          </w:tcPr>
          <w:p w14:paraId="589D6F0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肖严湖</w:t>
            </w:r>
          </w:p>
        </w:tc>
        <w:tc>
          <w:tcPr>
            <w:tcW w:w="2060" w:type="dxa"/>
            <w:tcBorders>
              <w:top w:val="single" w:color="000000" w:sz="4" w:space="0"/>
              <w:left w:val="single" w:color="000000" w:sz="4" w:space="0"/>
              <w:bottom w:val="single" w:color="auto" w:sz="4" w:space="0"/>
              <w:right w:val="single" w:color="000000" w:sz="4" w:space="0"/>
            </w:tcBorders>
            <w:shd w:val="clear" w:color="auto" w:fill="auto"/>
            <w:vAlign w:val="center"/>
          </w:tcPr>
          <w:p w14:paraId="4063C1E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19.50</w:t>
            </w:r>
          </w:p>
        </w:tc>
        <w:tc>
          <w:tcPr>
            <w:tcW w:w="1726" w:type="dxa"/>
            <w:tcBorders>
              <w:top w:val="single" w:color="000000" w:sz="4" w:space="0"/>
              <w:left w:val="single" w:color="000000" w:sz="4" w:space="0"/>
              <w:bottom w:val="single" w:color="auto" w:sz="4" w:space="0"/>
              <w:right w:val="single" w:color="000000" w:sz="4" w:space="0"/>
            </w:tcBorders>
            <w:shd w:val="clear" w:color="auto" w:fill="auto"/>
            <w:vAlign w:val="center"/>
          </w:tcPr>
          <w:p w14:paraId="6962FEE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0.03</w:t>
            </w:r>
          </w:p>
        </w:tc>
        <w:tc>
          <w:tcPr>
            <w:tcW w:w="1961" w:type="dxa"/>
            <w:tcBorders>
              <w:top w:val="single" w:color="000000" w:sz="4" w:space="0"/>
              <w:left w:val="single" w:color="000000" w:sz="4" w:space="0"/>
              <w:bottom w:val="single" w:color="auto" w:sz="4" w:space="0"/>
              <w:right w:val="single" w:color="000000" w:sz="4" w:space="0"/>
            </w:tcBorders>
            <w:shd w:val="clear" w:color="auto" w:fill="auto"/>
            <w:vAlign w:val="center"/>
          </w:tcPr>
          <w:p w14:paraId="3E4E4A8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344</w:t>
            </w:r>
          </w:p>
        </w:tc>
      </w:tr>
      <w:bookmarkEnd w:id="56"/>
      <w:bookmarkEnd w:id="57"/>
      <w:bookmarkEnd w:id="58"/>
    </w:tbl>
    <w:p w14:paraId="1AD50ACD">
      <w:pPr>
        <w:numPr>
          <w:ilvl w:val="0"/>
          <w:numId w:val="11"/>
        </w:num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水库</w:t>
      </w:r>
    </w:p>
    <w:p w14:paraId="601B9283">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寿县拥有三座中型水库，还建有56座小型水库，总库容达到18265.07万立方米。在灌溉设施方面，寿县拥有13543座塘坝。</w:t>
      </w:r>
    </w:p>
    <w:p w14:paraId="13410AF2">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（1）中型水库</w:t>
      </w:r>
    </w:p>
    <w:p w14:paraId="54BBE6BF">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3座中型水库分别为安丰塘水库、花果水库、大井水库，控制流域面积429.8</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，总库容15107万</w:t>
      </w:r>
      <w:r>
        <w:rPr>
          <w:rFonts w:hint="default" w:ascii="Times New Roman" w:hAnsi="Times New Roman" w:cs="Times New Roman"/>
          <w:color w:val="000000" w:themeColor="text1"/>
          <w:lang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，兴利库容11150万</w:t>
      </w:r>
      <w:r>
        <w:rPr>
          <w:rFonts w:hint="default" w:ascii="Times New Roman" w:hAnsi="Times New Roman" w:cs="Times New Roman"/>
          <w:color w:val="000000" w:themeColor="text1"/>
          <w:lang w:val="en-US"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，死库容2260万</w:t>
      </w:r>
      <w:r>
        <w:rPr>
          <w:rFonts w:hint="default" w:ascii="Times New Roman" w:hAnsi="Times New Roman" w:cs="Times New Roman"/>
          <w:color w:val="000000" w:themeColor="text1"/>
          <w:lang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。其中大井水库和花果水库列入《安徽省湖泊保护名录》。</w:t>
      </w:r>
      <w:r>
        <w:rPr>
          <w:rFonts w:hint="eastAsia" w:cs="Times New Roman"/>
          <w:color w:val="000000" w:themeColor="text1"/>
          <w:lang w:eastAsia="zh-CN"/>
          <w14:textFill>
            <w14:solidFill>
              <w14:schemeClr w14:val="tx1"/>
            </w14:solidFill>
          </w14:textFill>
        </w:rPr>
        <w:t>寿县中型水库的主要工程特征详见表3。</w:t>
      </w:r>
    </w:p>
    <w:p w14:paraId="36E46D9B">
      <w:pPr>
        <w:pStyle w:val="7"/>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寿县中型水库主要工程特征</w:t>
      </w:r>
    </w:p>
    <w:tbl>
      <w:tblPr>
        <w:tblStyle w:val="17"/>
        <w:tblW w:w="8801" w:type="dxa"/>
        <w:tblInd w:w="98" w:type="dxa"/>
        <w:tblLayout w:type="autofit"/>
        <w:tblCellMar>
          <w:top w:w="0" w:type="dxa"/>
          <w:left w:w="108" w:type="dxa"/>
          <w:bottom w:w="0" w:type="dxa"/>
          <w:right w:w="108" w:type="dxa"/>
        </w:tblCellMar>
      </w:tblPr>
      <w:tblGrid>
        <w:gridCol w:w="885"/>
        <w:gridCol w:w="1140"/>
        <w:gridCol w:w="1636"/>
        <w:gridCol w:w="1311"/>
        <w:gridCol w:w="1198"/>
        <w:gridCol w:w="1288"/>
        <w:gridCol w:w="1343"/>
      </w:tblGrid>
      <w:tr w14:paraId="632D2D94">
        <w:tblPrEx>
          <w:tblCellMar>
            <w:top w:w="0" w:type="dxa"/>
            <w:left w:w="108" w:type="dxa"/>
            <w:bottom w:w="0" w:type="dxa"/>
            <w:right w:w="108" w:type="dxa"/>
          </w:tblCellMar>
        </w:tblPrEx>
        <w:trPr>
          <w:trHeight w:val="675"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B023">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序号</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1A9C">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流域</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3375">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水库名称</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F7F3">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控制面积</w:t>
            </w:r>
            <w:r>
              <w:rPr>
                <w:rFonts w:hint="default" w:ascii="Times New Roman" w:hAnsi="Times New Roman" w:cs="Times New Roman"/>
                <w:color w:val="000000" w:themeColor="text1"/>
                <w:kern w:val="0"/>
                <w:sz w:val="24"/>
                <w:szCs w:val="24"/>
                <w14:textFill>
                  <w14:solidFill>
                    <w14:schemeClr w14:val="tx1"/>
                  </w14:solidFill>
                </w14:textFill>
              </w:rPr>
              <w:br w:type="textWrapping"/>
            </w:r>
            <w:r>
              <w:rPr>
                <w:rFonts w:hint="default" w:ascii="Times New Roman" w:hAnsi="Times New Roman" w:cs="Times New Roman"/>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lang w:eastAsia="zh-CN"/>
                <w14:textFill>
                  <w14:solidFill>
                    <w14:schemeClr w14:val="tx1"/>
                  </w14:solidFill>
                </w14:textFill>
              </w:rPr>
              <w:t>平方公里</w:t>
            </w:r>
            <w:r>
              <w:rPr>
                <w:rFonts w:hint="default" w:ascii="Times New Roman" w:hAnsi="Times New Roman" w:cs="Times New Roman"/>
                <w:color w:val="000000" w:themeColor="text1"/>
                <w:kern w:val="0"/>
                <w:sz w:val="24"/>
                <w:szCs w:val="24"/>
                <w14:textFill>
                  <w14:solidFill>
                    <w14:schemeClr w14:val="tx1"/>
                  </w14:solidFill>
                </w14:textFill>
              </w:rPr>
              <w:t>)</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CB63">
            <w:pPr>
              <w:widowControl/>
              <w:spacing w:line="240" w:lineRule="auto"/>
              <w:ind w:firstLine="0" w:firstLineChars="0"/>
              <w:jc w:val="right"/>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总库容</w:t>
            </w:r>
            <w:r>
              <w:rPr>
                <w:rFonts w:hint="default" w:ascii="Times New Roman" w:hAnsi="Times New Roman" w:cs="Times New Roman"/>
                <w:color w:val="000000" w:themeColor="text1"/>
                <w:kern w:val="0"/>
                <w:sz w:val="24"/>
                <w:szCs w:val="24"/>
                <w14:textFill>
                  <w14:solidFill>
                    <w14:schemeClr w14:val="tx1"/>
                  </w14:solidFill>
                </w14:textFill>
              </w:rPr>
              <w:br w:type="textWrapping"/>
            </w:r>
            <w:r>
              <w:rPr>
                <w:rFonts w:hint="default" w:ascii="Times New Roman" w:hAnsi="Times New Roman" w:cs="Times New Roman"/>
                <w:color w:val="000000" w:themeColor="text1"/>
                <w:kern w:val="0"/>
                <w:sz w:val="24"/>
                <w:szCs w:val="24"/>
                <w14:textFill>
                  <w14:solidFill>
                    <w14:schemeClr w14:val="tx1"/>
                  </w14:solidFill>
                </w14:textFill>
              </w:rPr>
              <w:t>（万</w:t>
            </w:r>
            <w:r>
              <w:rPr>
                <w:rFonts w:hint="default" w:ascii="Times New Roman" w:hAnsi="Times New Roman" w:cs="Times New Roman"/>
                <w:color w:val="000000" w:themeColor="text1"/>
                <w:kern w:val="0"/>
                <w:sz w:val="24"/>
                <w:szCs w:val="24"/>
                <w:lang w:eastAsia="zh-CN"/>
                <w14:textFill>
                  <w14:solidFill>
                    <w14:schemeClr w14:val="tx1"/>
                  </w14:solidFill>
                </w14:textFill>
              </w:rPr>
              <w:t>立方米</w:t>
            </w:r>
            <w:r>
              <w:rPr>
                <w:rFonts w:hint="default" w:ascii="Times New Roman" w:hAnsi="Times New Roman" w:cs="Times New Roman"/>
                <w:color w:val="000000" w:themeColor="text1"/>
                <w:kern w:val="0"/>
                <w:sz w:val="24"/>
                <w:szCs w:val="24"/>
                <w14:textFill>
                  <w14:solidFill>
                    <w14:schemeClr w14:val="tx1"/>
                  </w14:solidFill>
                </w14:textFill>
              </w:rPr>
              <w:t>)</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D1C6">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兴利库容</w:t>
            </w:r>
            <w:r>
              <w:rPr>
                <w:rFonts w:hint="default" w:ascii="Times New Roman" w:hAnsi="Times New Roman" w:cs="Times New Roman"/>
                <w:color w:val="000000" w:themeColor="text1"/>
                <w:kern w:val="0"/>
                <w:sz w:val="24"/>
                <w:szCs w:val="24"/>
                <w14:textFill>
                  <w14:solidFill>
                    <w14:schemeClr w14:val="tx1"/>
                  </w14:solidFill>
                </w14:textFill>
              </w:rPr>
              <w:br w:type="textWrapping"/>
            </w:r>
            <w:r>
              <w:rPr>
                <w:rFonts w:hint="default" w:ascii="Times New Roman" w:hAnsi="Times New Roman" w:cs="Times New Roman"/>
                <w:color w:val="000000" w:themeColor="text1"/>
                <w:kern w:val="0"/>
                <w:sz w:val="24"/>
                <w:szCs w:val="24"/>
                <w14:textFill>
                  <w14:solidFill>
                    <w14:schemeClr w14:val="tx1"/>
                  </w14:solidFill>
                </w14:textFill>
              </w:rPr>
              <w:t>（万</w:t>
            </w:r>
            <w:r>
              <w:rPr>
                <w:rFonts w:hint="default" w:ascii="Times New Roman" w:hAnsi="Times New Roman" w:cs="Times New Roman"/>
                <w:color w:val="000000" w:themeColor="text1"/>
                <w:kern w:val="0"/>
                <w:sz w:val="24"/>
                <w:szCs w:val="24"/>
                <w:lang w:eastAsia="zh-CN"/>
                <w14:textFill>
                  <w14:solidFill>
                    <w14:schemeClr w14:val="tx1"/>
                  </w14:solidFill>
                </w14:textFill>
              </w:rPr>
              <w:t>立方米</w:t>
            </w:r>
            <w:r>
              <w:rPr>
                <w:rFonts w:hint="default" w:ascii="Times New Roman" w:hAnsi="Times New Roman" w:cs="Times New Roman"/>
                <w:color w:val="000000" w:themeColor="text1"/>
                <w:kern w:val="0"/>
                <w:sz w:val="24"/>
                <w:szCs w:val="24"/>
                <w14:textFill>
                  <w14:solidFill>
                    <w14:schemeClr w14:val="tx1"/>
                  </w14:solidFill>
                </w14:textFill>
              </w:rPr>
              <w:t>)</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2BE2">
            <w:pPr>
              <w:widowControl/>
              <w:spacing w:line="240" w:lineRule="auto"/>
              <w:ind w:firstLine="0" w:firstLineChars="0"/>
              <w:jc w:val="right"/>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死库容</w:t>
            </w:r>
            <w:r>
              <w:rPr>
                <w:rFonts w:hint="default" w:ascii="Times New Roman" w:hAnsi="Times New Roman" w:cs="Times New Roman"/>
                <w:color w:val="000000" w:themeColor="text1"/>
                <w:kern w:val="0"/>
                <w:sz w:val="24"/>
                <w:szCs w:val="24"/>
                <w14:textFill>
                  <w14:solidFill>
                    <w14:schemeClr w14:val="tx1"/>
                  </w14:solidFill>
                </w14:textFill>
              </w:rPr>
              <w:br w:type="textWrapping"/>
            </w:r>
            <w:r>
              <w:rPr>
                <w:rFonts w:hint="default" w:ascii="Times New Roman" w:hAnsi="Times New Roman" w:cs="Times New Roman"/>
                <w:color w:val="000000" w:themeColor="text1"/>
                <w:kern w:val="0"/>
                <w:sz w:val="24"/>
                <w:szCs w:val="24"/>
                <w14:textFill>
                  <w14:solidFill>
                    <w14:schemeClr w14:val="tx1"/>
                  </w14:solidFill>
                </w14:textFill>
              </w:rPr>
              <w:t>(万</w:t>
            </w:r>
            <w:r>
              <w:rPr>
                <w:rFonts w:hint="default" w:ascii="Times New Roman" w:hAnsi="Times New Roman" w:cs="Times New Roman"/>
                <w:color w:val="000000" w:themeColor="text1"/>
                <w:kern w:val="0"/>
                <w:sz w:val="24"/>
                <w:szCs w:val="24"/>
                <w:lang w:eastAsia="zh-CN"/>
                <w14:textFill>
                  <w14:solidFill>
                    <w14:schemeClr w14:val="tx1"/>
                  </w14:solidFill>
                </w14:textFill>
              </w:rPr>
              <w:t>立方米</w:t>
            </w:r>
            <w:r>
              <w:rPr>
                <w:rFonts w:hint="default" w:ascii="Times New Roman" w:hAnsi="Times New Roman" w:cs="Times New Roman"/>
                <w:color w:val="000000" w:themeColor="text1"/>
                <w:kern w:val="0"/>
                <w:sz w:val="24"/>
                <w:szCs w:val="24"/>
                <w14:textFill>
                  <w14:solidFill>
                    <w14:schemeClr w14:val="tx1"/>
                  </w14:solidFill>
                </w14:textFill>
              </w:rPr>
              <w:t>)</w:t>
            </w:r>
          </w:p>
        </w:tc>
      </w:tr>
      <w:tr w14:paraId="59FECAD6">
        <w:tblPrEx>
          <w:tblCellMar>
            <w:top w:w="0" w:type="dxa"/>
            <w:left w:w="108" w:type="dxa"/>
            <w:bottom w:w="0" w:type="dxa"/>
            <w:right w:w="108" w:type="dxa"/>
          </w:tblCellMar>
        </w:tblPrEx>
        <w:trPr>
          <w:trHeight w:val="479"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0633">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3D92">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瓦埠湖</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E281">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安丰塘水库</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ACE2">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390</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00E1">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9046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9152">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6677</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06C5">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1723</w:t>
            </w:r>
          </w:p>
        </w:tc>
      </w:tr>
      <w:tr w14:paraId="449A902C">
        <w:tblPrEx>
          <w:tblCellMar>
            <w:top w:w="0" w:type="dxa"/>
            <w:left w:w="108" w:type="dxa"/>
            <w:bottom w:w="0" w:type="dxa"/>
            <w:right w:w="108" w:type="dxa"/>
          </w:tblCellMar>
        </w:tblPrEx>
        <w:trPr>
          <w:trHeight w:val="479"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D5D3">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9A69">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瓦埠湖</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5B54">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大井水库</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AC0B">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33.6</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B021">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5055</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D93F">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3604</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4234">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525</w:t>
            </w:r>
          </w:p>
        </w:tc>
      </w:tr>
      <w:tr w14:paraId="63BEE6F5">
        <w:tblPrEx>
          <w:tblCellMar>
            <w:top w:w="0" w:type="dxa"/>
            <w:left w:w="108" w:type="dxa"/>
            <w:bottom w:w="0" w:type="dxa"/>
            <w:right w:w="108" w:type="dxa"/>
          </w:tblCellMar>
        </w:tblPrEx>
        <w:trPr>
          <w:trHeight w:val="479" w:hRule="atLeast"/>
        </w:trPr>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B097">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0A69">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瓦埠湖</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05F0">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花果水库</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37BC">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6.2</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8E60">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1006</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0140">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869</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FD5E">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12</w:t>
            </w:r>
          </w:p>
        </w:tc>
      </w:tr>
      <w:tr w14:paraId="1BBEEDD6">
        <w:tblPrEx>
          <w:tblCellMar>
            <w:top w:w="0" w:type="dxa"/>
            <w:left w:w="108" w:type="dxa"/>
            <w:bottom w:w="0" w:type="dxa"/>
            <w:right w:w="108" w:type="dxa"/>
          </w:tblCellMar>
        </w:tblPrEx>
        <w:trPr>
          <w:trHeight w:val="484" w:hRule="atLeast"/>
        </w:trPr>
        <w:tc>
          <w:tcPr>
            <w:tcW w:w="36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5176B1">
            <w:pPr>
              <w:widowControl/>
              <w:spacing w:line="240" w:lineRule="auto"/>
              <w:ind w:firstLine="0" w:firstLineChars="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合计</w:t>
            </w:r>
          </w:p>
        </w:tc>
        <w:tc>
          <w:tcPr>
            <w:tcW w:w="13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DC687">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429.8</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D8E5">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15107</w:t>
            </w:r>
          </w:p>
        </w:tc>
        <w:tc>
          <w:tcPr>
            <w:tcW w:w="12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73C6">
            <w:pPr>
              <w:widowControl/>
              <w:spacing w:line="240" w:lineRule="auto"/>
              <w:ind w:firstLine="0" w:firstLineChars="0"/>
              <w:jc w:val="center"/>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11150</w:t>
            </w:r>
          </w:p>
        </w:tc>
        <w:tc>
          <w:tcPr>
            <w:tcW w:w="13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F6B9">
            <w:pPr>
              <w:widowControl/>
              <w:spacing w:line="240" w:lineRule="auto"/>
              <w:ind w:firstLine="0" w:firstLineChars="0"/>
              <w:jc w:val="right"/>
              <w:textAlignment w:val="center"/>
              <w:rPr>
                <w:rFonts w:hint="default" w:ascii="Times New Roman" w:hAnsi="Times New Roman" w:eastAsia="仿宋"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2260</w:t>
            </w:r>
          </w:p>
        </w:tc>
      </w:tr>
    </w:tbl>
    <w:p w14:paraId="14F7E4B6">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（2）小型水库</w:t>
      </w:r>
    </w:p>
    <w:p w14:paraId="0FD6EAC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小型水库56座，控制流域面积494.7</w:t>
      </w:r>
      <w:r>
        <w:rPr>
          <w:rFonts w:hint="default" w:ascii="Times New Roman" w:hAnsi="Times New Roman" w:cs="Times New Roman"/>
          <w:color w:val="000000" w:themeColor="text1"/>
          <w:lang w:eastAsia="zh-CN"/>
          <w14:textFill>
            <w14:solidFill>
              <w14:schemeClr w14:val="tx1"/>
            </w14:solidFill>
          </w14:textFill>
        </w:rPr>
        <w:t>平方公里</w:t>
      </w:r>
      <w:r>
        <w:rPr>
          <w:rFonts w:hint="default" w:ascii="Times New Roman" w:hAnsi="Times New Roman" w:cs="Times New Roman"/>
          <w:color w:val="000000" w:themeColor="text1"/>
          <w14:textFill>
            <w14:solidFill>
              <w14:schemeClr w14:val="tx1"/>
            </w14:solidFill>
          </w14:textFill>
        </w:rPr>
        <w:t>，总库容3158.07万</w:t>
      </w:r>
      <w:r>
        <w:rPr>
          <w:rFonts w:hint="default" w:ascii="Times New Roman" w:hAnsi="Times New Roman" w:cs="Times New Roman"/>
          <w:color w:val="000000" w:themeColor="text1"/>
          <w:lang w:eastAsia="zh-CN"/>
          <w14:textFill>
            <w14:solidFill>
              <w14:schemeClr w14:val="tx1"/>
            </w14:solidFill>
          </w14:textFill>
        </w:rPr>
        <w:t>立方米</w:t>
      </w:r>
      <w:r>
        <w:rPr>
          <w:rFonts w:hint="default" w:ascii="Times New Roman" w:hAnsi="Times New Roman" w:cs="Times New Roman"/>
          <w:color w:val="000000" w:themeColor="text1"/>
          <w14:textFill>
            <w14:solidFill>
              <w14:schemeClr w14:val="tx1"/>
            </w14:solidFill>
          </w14:textFill>
        </w:rPr>
        <w:t>。</w:t>
      </w:r>
    </w:p>
    <w:p w14:paraId="090D6A8D">
      <w:pPr>
        <w:numPr>
          <w:ilvl w:val="0"/>
          <w:numId w:val="11"/>
        </w:num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坑塘</w:t>
      </w:r>
    </w:p>
    <w:p w14:paraId="5149D81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依据2023年寿县国土变更调查矢量数，全县现有坑塘水面19142.61公顷、养殖坑塘1108.92公顷。</w:t>
      </w:r>
    </w:p>
    <w:p w14:paraId="4BF63272">
      <w:pPr>
        <w:pStyle w:val="4"/>
        <w:ind w:firstLine="643"/>
        <w:rPr>
          <w:rFonts w:hint="default" w:ascii="Times New Roman" w:hAnsi="Times New Roman" w:cs="Times New Roman"/>
          <w:color w:val="000000" w:themeColor="text1"/>
          <w14:textFill>
            <w14:solidFill>
              <w14:schemeClr w14:val="tx1"/>
            </w14:solidFill>
          </w14:textFill>
        </w:rPr>
      </w:pPr>
      <w:bookmarkStart w:id="59" w:name="_Toc31773"/>
      <w:bookmarkStart w:id="60" w:name="_Toc25750"/>
      <w:bookmarkStart w:id="61" w:name="_Toc23747"/>
      <w:r>
        <w:rPr>
          <w:rFonts w:hint="default" w:ascii="Times New Roman" w:hAnsi="Times New Roman" w:cs="Times New Roman"/>
          <w:color w:val="000000" w:themeColor="text1"/>
          <w14:textFill>
            <w14:solidFill>
              <w14:schemeClr w14:val="tx1"/>
            </w14:solidFill>
          </w14:textFill>
        </w:rPr>
        <w:t>气候水文条件</w:t>
      </w:r>
      <w:bookmarkEnd w:id="59"/>
      <w:bookmarkEnd w:id="60"/>
      <w:bookmarkEnd w:id="61"/>
    </w:p>
    <w:p w14:paraId="3DE9BF2D">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地处淮河流域中段南侧，属北亚热带半湿润气候。各主要气候要素的变化均呈冬夏长、春秋短、四季分明的特点。冬季，淮河、东淝河等河间有结冰；春夏秋受长江中、下游温和湿润气候影响，又有江淮分水岭的阻隔，气候要素呈现出地温高于气温，蒸发量大于降雨量的特点。雨量北少南多，气温北低南高，易旱易涝，沿淮湖洼地渍涝时有发生。</w:t>
      </w:r>
    </w:p>
    <w:p w14:paraId="186F6BAD">
      <w:pPr>
        <w:ind w:firstLine="600"/>
        <w:rPr>
          <w:rFonts w:hint="default"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据寿县气象站资料，本区最高气温40.4℃，最低气温-24.1℃，年平均气温14.8℃，年平均日照时数为2296.4小时，全年无霜期213天。冬季为东北风，夏季为东南风，主导风向为东风，年平均风速3.3</w:t>
      </w:r>
      <w:r>
        <w:rPr>
          <w:rFonts w:hint="default" w:ascii="Times New Roman" w:hAnsi="Times New Roman" w:cs="Times New Roman"/>
          <w:color w:val="000000" w:themeColor="text1"/>
          <w:lang w:val="en-US" w:eastAsia="zh-CN"/>
          <w14:textFill>
            <w14:solidFill>
              <w14:schemeClr w14:val="tx1"/>
            </w14:solidFill>
          </w14:textFill>
        </w:rPr>
        <w:t xml:space="preserve"> m</w:t>
      </w:r>
      <w:r>
        <w:rPr>
          <w:rFonts w:hint="default" w:ascii="Times New Roman" w:hAnsi="Times New Roman" w:cs="Times New Roman"/>
          <w:color w:val="000000" w:themeColor="text1"/>
          <w14:textFill>
            <w14:solidFill>
              <w14:schemeClr w14:val="tx1"/>
            </w14:solidFill>
          </w14:textFill>
        </w:rPr>
        <w:t>/s。</w:t>
      </w:r>
    </w:p>
    <w:p w14:paraId="3DEA9E0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本区多年平均降水量944</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，降雨的年际、年内分配极不均匀。据流域内记载较长的安丰塘站资料统计，年降水量最大的1954年达1534.1</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，最小的1966年仅为474.1</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，相差三倍多。6～9月汛期降雨量一般占全年的70%左右。月降雨量最大的是1954年7月，为652.9</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；最小的1966年7月降雨量仅9.7</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。多年平均径流深为192</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，年径流系数约为0.2。多年平均蒸发量为980</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w:t>
      </w:r>
    </w:p>
    <w:p w14:paraId="59EAAD46">
      <w:pPr>
        <w:pStyle w:val="4"/>
        <w:ind w:firstLine="643"/>
        <w:rPr>
          <w:rFonts w:hint="default" w:ascii="Times New Roman" w:hAnsi="Times New Roman" w:cs="Times New Roman"/>
          <w:color w:val="000000" w:themeColor="text1"/>
          <w14:textFill>
            <w14:solidFill>
              <w14:schemeClr w14:val="tx1"/>
            </w14:solidFill>
          </w14:textFill>
        </w:rPr>
      </w:pPr>
      <w:bookmarkStart w:id="62" w:name="_Toc15692"/>
      <w:bookmarkStart w:id="63" w:name="_Toc2703"/>
      <w:bookmarkStart w:id="64" w:name="_Toc27079"/>
      <w:r>
        <w:rPr>
          <w:rFonts w:hint="default" w:ascii="Times New Roman" w:hAnsi="Times New Roman" w:cs="Times New Roman"/>
          <w:color w:val="000000" w:themeColor="text1"/>
          <w14:textFill>
            <w14:solidFill>
              <w14:schemeClr w14:val="tx1"/>
            </w14:solidFill>
          </w14:textFill>
        </w:rPr>
        <w:t>水生生物资源状况</w:t>
      </w:r>
      <w:bookmarkEnd w:id="62"/>
      <w:bookmarkEnd w:id="63"/>
      <w:bookmarkEnd w:id="64"/>
    </w:p>
    <w:p w14:paraId="674C9531">
      <w:pPr>
        <w:numPr>
          <w:ilvl w:val="0"/>
          <w:numId w:val="12"/>
        </w:num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浮游生物和底栖生物资源</w:t>
      </w:r>
    </w:p>
    <w:p w14:paraId="39C8C5CA">
      <w:pPr>
        <w:ind w:firstLine="600"/>
        <w:rPr>
          <w:rFonts w:hint="eastAsia"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的天然水域大部分都具有丰富的饵料生物资源和较高的初级生产力。寿县水域类型多样，不同类型的水域，含浮游生物和底栖生物的种类和数量也不同，主要受环境因素制约，通常河、湖、水库等较大型水面中浮游生物和底栖生物含量很高，一般浮游植物在100~300万个/升，浮游动物在1000~2000个/升，湖库的浅水区中多螺、贝、蚌类等大型底栖动物，池塘因水体小，环境变化剧烈，且受人为影响很大，因此浮游生物量变化最大，一般夏季浮游生物种类和数量达到最高峰，特别是绿藻、蓝藻大量繁殖。</w:t>
      </w:r>
      <w:r>
        <w:rPr>
          <w:rFonts w:hint="eastAsia" w:ascii="Times New Roman" w:hAnsi="Times New Roman" w:cs="Times New Roman"/>
          <w:color w:val="000000" w:themeColor="text1"/>
          <w:lang w:eastAsia="zh-CN"/>
          <w14:textFill>
            <w14:solidFill>
              <w14:schemeClr w14:val="tx1"/>
            </w14:solidFill>
          </w14:textFill>
        </w:rPr>
        <w:t>浮游植物涵盖了硅藻门、绿藻门、蓝藻门、裸藻门、金藻门、黄藻门、甲藻门、隐藻门共8大门类，计97属；浮游动物则包括原生动物、轮虫、枝角类、寡毛类、水生昆虫类、多毛类等7大类，共计31种。</w:t>
      </w:r>
    </w:p>
    <w:p w14:paraId="193EA2CE">
      <w:pPr>
        <w:numPr>
          <w:ilvl w:val="0"/>
          <w:numId w:val="12"/>
        </w:num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典型大水面水生生物资源状况（以安丰塘为例）</w:t>
      </w:r>
    </w:p>
    <w:p w14:paraId="68397587">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浮游植物资源状况：根据2017年7月和9月浮游植物调查分析结果，安丰塘水库4个断面8个采样点共检出浮游植物45种，隶属蓝藻、硅藻、绿藻、隐藻、裸藻、金藻、甲藻7个藻门，其中硅藻门20种，占46.51%；绿藻门9种，占20.93%；裸藻门4种，占9.30%；其他藻类占比均低于10%。</w:t>
      </w:r>
    </w:p>
    <w:p w14:paraId="71BEEF1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浮游植物密度与生物量：根据2017年秋季（9月）浮游植物调查分析结果，浮游植物平均密度为2.27×105ind/L，平均生物量为1.86mg/L。其中，硅藻门密度最大，为1.159×l06ind/L；其次为绿藻门，密度为5.42×105ind/L；再次为蓝藻门，密度1.04×105ind/L；相对而言，其他种类密度均较低。</w:t>
      </w:r>
    </w:p>
    <w:p w14:paraId="3BBD3908">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浮游动物资源状况：根据2017年秋季（9月）浮游动物调查分析结果，共镜检出浮游动物58种，其中原生动物31种，轮虫15种，枝角类和桡足类12种。</w:t>
      </w:r>
      <w:r>
        <w:rPr>
          <w:rFonts w:hint="eastAsia" w:cs="Times New Roman"/>
          <w:color w:val="000000" w:themeColor="text1"/>
          <w:lang w:eastAsia="zh-CN"/>
          <w14:textFill>
            <w14:solidFill>
              <w14:schemeClr w14:val="tx1"/>
            </w14:solidFill>
          </w14:textFill>
        </w:rPr>
        <w:t>浮游动物生物量变化范围为595.28～1542.89mg/L，平均值为1003.91mg/L，显示出季节性波动，其中秋季生物量最高，平均为0.60 mg/L，而春季最低，平均为0.06 mg/L。各采样点间生物量差异不显著。</w:t>
      </w:r>
    </w:p>
    <w:p w14:paraId="2A627F5F">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底栖动物资源状况：根据2017年秋季（9月）底栖动物调查分析结果，共鉴定出底栖动物9种，其中瓣鳃纲5种，寡毛纲4种。</w:t>
      </w:r>
    </w:p>
    <w:p w14:paraId="3C0FAD6F">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（一）鱼类资源</w:t>
      </w:r>
    </w:p>
    <w:p w14:paraId="5513010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根据资源调查和查阅有关资料，寿县原有鱼类100多种，已掌握的鱼类有70种，隶属9目、15科、7个亚科，其中鲤科鱼类38种，占总数的54%，鳅科、鲶科和鮠科鱼类15种，占总数的21%，其他鱼类17种，占总数的25%。</w:t>
      </w:r>
    </w:p>
    <w:p w14:paraId="4A3069A8">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寿县水域属</w:t>
      </w:r>
      <w:r>
        <w:rPr>
          <w:rFonts w:hint="default" w:ascii="Times New Roman" w:hAnsi="Times New Roman" w:cs="Times New Roman"/>
          <w:color w:val="000000" w:themeColor="text1"/>
          <w:lang w:val="en-US" w:eastAsia="zh-CN"/>
          <w14:textFill>
            <w14:solidFill>
              <w14:schemeClr w14:val="tx1"/>
            </w14:solidFill>
          </w14:textFill>
        </w:rPr>
        <w:t>淮河</w:t>
      </w:r>
      <w:r>
        <w:rPr>
          <w:rFonts w:hint="default" w:ascii="Times New Roman" w:hAnsi="Times New Roman" w:cs="Times New Roman"/>
          <w:color w:val="000000" w:themeColor="text1"/>
          <w14:textFill>
            <w14:solidFill>
              <w14:schemeClr w14:val="tx1"/>
            </w14:solidFill>
          </w14:textFill>
        </w:rPr>
        <w:t>水系，鱼类组成与淮河水系大致相仿，资源丰富，涵盖了定居性鱼类以及洄游和半洄游鱼类。</w:t>
      </w:r>
      <w:r>
        <w:rPr>
          <w:rFonts w:hint="eastAsia" w:cs="Times New Roman"/>
          <w:color w:val="000000" w:themeColor="text1"/>
          <w:lang w:eastAsia="zh-CN"/>
          <w14:textFill>
            <w14:solidFill>
              <w14:schemeClr w14:val="tx1"/>
            </w14:solidFill>
          </w14:textFill>
        </w:rPr>
        <w:t>按主要养殖品种划分，鱼类包括：青鱼、草鱼、鲢鱼、鳙鱼、鲤鱼、鲫鱼、鳊鱼、鲂鱼、鲌鱼、鳜鱼、鲶鱼、乌鳢和黄鳝等；</w:t>
      </w:r>
      <w:r>
        <w:rPr>
          <w:rFonts w:hint="default" w:ascii="Times New Roman" w:hAnsi="Times New Roman" w:cs="Times New Roman"/>
          <w:color w:val="000000" w:themeColor="text1"/>
          <w14:textFill>
            <w14:solidFill>
              <w14:schemeClr w14:val="tx1"/>
            </w14:solidFill>
          </w14:textFill>
        </w:rPr>
        <w:t>虾蟹</w:t>
      </w:r>
      <w:r>
        <w:rPr>
          <w:rFonts w:hint="eastAsia" w:cs="Times New Roman"/>
          <w:color w:val="000000" w:themeColor="text1"/>
          <w:lang w:val="en-US" w:eastAsia="zh-CN"/>
          <w14:textFill>
            <w14:solidFill>
              <w14:schemeClr w14:val="tx1"/>
            </w14:solidFill>
          </w14:textFill>
        </w:rPr>
        <w:t>包括</w:t>
      </w:r>
      <w:r>
        <w:rPr>
          <w:rFonts w:hint="default" w:ascii="Times New Roman" w:hAnsi="Times New Roman" w:cs="Times New Roman"/>
          <w:color w:val="000000" w:themeColor="text1"/>
          <w14:textFill>
            <w14:solidFill>
              <w14:schemeClr w14:val="tx1"/>
            </w14:solidFill>
          </w14:textFill>
        </w:rPr>
        <w:t>青虾、克氏螯虾、</w:t>
      </w:r>
      <w:r>
        <w:rPr>
          <w:rFonts w:hint="default" w:ascii="Times New Roman" w:hAnsi="Times New Roman" w:cs="Times New Roman"/>
          <w:color w:val="000000" w:themeColor="text1"/>
          <w:lang w:val="en-US" w:eastAsia="zh-CN"/>
          <w14:textFill>
            <w14:solidFill>
              <w14:schemeClr w14:val="tx1"/>
            </w14:solidFill>
          </w14:textFill>
        </w:rPr>
        <w:t>罗氏沼虾</w:t>
      </w:r>
      <w:r>
        <w:rPr>
          <w:rFonts w:hint="default" w:ascii="Times New Roman" w:hAnsi="Times New Roman" w:cs="Times New Roman"/>
          <w:color w:val="000000" w:themeColor="text1"/>
          <w14:textFill>
            <w14:solidFill>
              <w14:schemeClr w14:val="tx1"/>
            </w14:solidFill>
          </w14:textFill>
        </w:rPr>
        <w:t>、中华绒螯蟹等；贝类</w:t>
      </w:r>
      <w:r>
        <w:rPr>
          <w:rFonts w:hint="eastAsia" w:cs="Times New Roman"/>
          <w:color w:val="000000" w:themeColor="text1"/>
          <w:lang w:val="en-US" w:eastAsia="zh-CN"/>
          <w14:textFill>
            <w14:solidFill>
              <w14:schemeClr w14:val="tx1"/>
            </w14:solidFill>
          </w14:textFill>
        </w:rPr>
        <w:t>包括</w:t>
      </w:r>
      <w:r>
        <w:rPr>
          <w:rFonts w:hint="default" w:ascii="Times New Roman" w:hAnsi="Times New Roman" w:cs="Times New Roman"/>
          <w:color w:val="000000" w:themeColor="text1"/>
          <w14:textFill>
            <w14:solidFill>
              <w14:schemeClr w14:val="tx1"/>
            </w14:solidFill>
          </w14:textFill>
        </w:rPr>
        <w:t>蚬、螺、蚌等；</w:t>
      </w:r>
      <w:r>
        <w:rPr>
          <w:rFonts w:hint="eastAsia" w:cs="Times New Roman"/>
          <w:color w:val="000000" w:themeColor="text1"/>
          <w:lang w:val="en-US" w:eastAsia="zh-CN"/>
          <w14:textFill>
            <w14:solidFill>
              <w14:schemeClr w14:val="tx1"/>
            </w14:solidFill>
          </w14:textFill>
        </w:rPr>
        <w:t>还有</w:t>
      </w:r>
      <w:r>
        <w:rPr>
          <w:rFonts w:hint="default" w:ascii="Times New Roman" w:hAnsi="Times New Roman" w:cs="Times New Roman"/>
          <w:color w:val="000000" w:themeColor="text1"/>
          <w14:textFill>
            <w14:solidFill>
              <w14:schemeClr w14:val="tx1"/>
            </w14:solidFill>
          </w14:textFill>
        </w:rPr>
        <w:t>龟、鳖、蛙等</w:t>
      </w:r>
      <w:r>
        <w:rPr>
          <w:rFonts w:hint="eastAsia" w:cs="Times New Roman"/>
          <w:color w:val="000000" w:themeColor="text1"/>
          <w:lang w:val="en-US" w:eastAsia="zh-CN"/>
          <w14:textFill>
            <w14:solidFill>
              <w14:schemeClr w14:val="tx1"/>
            </w14:solidFill>
          </w14:textFill>
        </w:rPr>
        <w:t>两栖类经济动物</w:t>
      </w:r>
      <w:r>
        <w:rPr>
          <w:rFonts w:hint="default" w:ascii="Times New Roman" w:hAnsi="Times New Roman" w:cs="Times New Roman"/>
          <w:color w:val="000000" w:themeColor="text1"/>
          <w14:textFill>
            <w14:solidFill>
              <w14:schemeClr w14:val="tx1"/>
            </w14:solidFill>
          </w14:textFill>
        </w:rPr>
        <w:t>。引进的鱼类有</w:t>
      </w:r>
      <w:r>
        <w:rPr>
          <w:rFonts w:hint="default" w:ascii="Times New Roman" w:hAnsi="Times New Roman" w:cs="Times New Roman"/>
          <w:color w:val="000000" w:themeColor="text1"/>
          <w:lang w:val="en-US" w:eastAsia="zh-CN"/>
          <w14:textFill>
            <w14:solidFill>
              <w14:schemeClr w14:val="tx1"/>
            </w14:solidFill>
          </w14:textFill>
        </w:rPr>
        <w:t>镜鲤</w:t>
      </w:r>
      <w:r>
        <w:rPr>
          <w:rFonts w:hint="default" w:ascii="Times New Roman" w:hAnsi="Times New Roman" w:cs="Times New Roman"/>
          <w:color w:val="000000" w:themeColor="text1"/>
          <w14:textFill>
            <w14:solidFill>
              <w14:schemeClr w14:val="tx1"/>
            </w14:solidFill>
          </w14:textFill>
        </w:rPr>
        <w:t>、罗非鱼、加州鲈、金丝鲶、沟鲶、彭泽鲫、异育银鲫、湘云鲫等。</w:t>
      </w:r>
    </w:p>
    <w:p w14:paraId="788F5D8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（六）初级生产力</w:t>
      </w:r>
    </w:p>
    <w:p w14:paraId="71CEEF6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据《大水面增养殖容量计算方法》（SC/T1149-2020），结合寿县气候条件，确定初级生产力测算相关参数。全县湖泊水库水体年交换率约300%，3-11月鱼类生长期内，浮游植物现存生物产量为9.59mg/L，浮游植物P/B系数取65，则浮游植物初级生产力为1.87k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；浮游动物现存生产量为2.67mg/L，优势种为针簇多肢轮虫和水溞，浮游动物P/B系数取60，则浮游动物初级生产力为0.48kg/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。根据同类型湖泊相关参数，寡毛类和摇蚊幼虫P/B系数取2.5，螺蚌软体动物P/B系数取4。全县湖泊水库寡毛类和摇蚊幼虫等底栖动物现存生物量为3.43g/㎡，则寡毛类和摇蚊幼虫等底栖动物初级生产力为9.3g/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；螺蚌软体动物现存生物量为113.25g/㎡，则螺蚌软体动物初级生产力为0.45kg/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p w14:paraId="5EED05C1">
      <w:pPr>
        <w:pStyle w:val="4"/>
        <w:ind w:firstLine="643"/>
        <w:rPr>
          <w:rFonts w:hint="default" w:ascii="Times New Roman" w:hAnsi="Times New Roman" w:cs="Times New Roman"/>
          <w:color w:val="000000" w:themeColor="text1"/>
          <w14:textFill>
            <w14:solidFill>
              <w14:schemeClr w14:val="tx1"/>
            </w14:solidFill>
          </w14:textFill>
        </w:rPr>
      </w:pPr>
      <w:bookmarkStart w:id="65" w:name="_Toc31730"/>
      <w:bookmarkStart w:id="66" w:name="_Toc4957"/>
      <w:bookmarkStart w:id="67" w:name="_Toc17659"/>
      <w:r>
        <w:rPr>
          <w:rFonts w:hint="default" w:ascii="Times New Roman" w:hAnsi="Times New Roman" w:cs="Times New Roman"/>
          <w:color w:val="000000" w:themeColor="text1"/>
          <w14:textFill>
            <w14:solidFill>
              <w14:schemeClr w14:val="tx1"/>
            </w14:solidFill>
          </w14:textFill>
        </w:rPr>
        <w:t>水域环境状况</w:t>
      </w:r>
      <w:bookmarkEnd w:id="65"/>
      <w:bookmarkEnd w:id="66"/>
      <w:bookmarkEnd w:id="67"/>
    </w:p>
    <w:p w14:paraId="5ECBFAAF">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寿县渔业自然环境总体优良，位于亚热带季风区，气候温润，霜冻期短，鱼类生长期长达7到8个月，适合多数淡水鱼类的生长。</w:t>
      </w:r>
      <w:r>
        <w:rPr>
          <w:rFonts w:hint="eastAsia" w:ascii="Times New Roman" w:hAnsi="Times New Roman" w:cs="Times New Roman"/>
          <w:color w:val="000000" w:themeColor="text1"/>
          <w:lang w:eastAsia="zh-CN"/>
          <w14:textFill>
            <w14:solidFill>
              <w14:schemeClr w14:val="tx1"/>
            </w14:solidFill>
          </w14:textFill>
        </w:rPr>
        <w:t>平均年降水量</w:t>
      </w:r>
      <w:r>
        <w:rPr>
          <w:rFonts w:hint="default" w:ascii="Times New Roman" w:hAnsi="Times New Roman" w:cs="Times New Roman"/>
          <w:color w:val="000000" w:themeColor="text1"/>
          <w14:textFill>
            <w14:solidFill>
              <w14:schemeClr w14:val="tx1"/>
            </w14:solidFill>
          </w14:textFill>
        </w:rPr>
        <w:t>为944</w:t>
      </w:r>
      <w:r>
        <w:rPr>
          <w:rFonts w:hint="default" w:ascii="Times New Roman" w:hAnsi="Times New Roman" w:cs="Times New Roman"/>
          <w:color w:val="000000" w:themeColor="text1"/>
          <w:lang w:eastAsia="zh-CN"/>
          <w14:textFill>
            <w14:solidFill>
              <w14:schemeClr w14:val="tx1"/>
            </w14:solidFill>
          </w14:textFill>
        </w:rPr>
        <w:t>毫米</w:t>
      </w:r>
      <w:r>
        <w:rPr>
          <w:rFonts w:hint="default" w:ascii="Times New Roman" w:hAnsi="Times New Roman" w:cs="Times New Roman"/>
          <w:color w:val="000000" w:themeColor="text1"/>
          <w14:textFill>
            <w14:solidFill>
              <w14:schemeClr w14:val="tx1"/>
            </w14:solidFill>
          </w14:textFill>
        </w:rPr>
        <w:t>，主要集中在6-8月，这与天然饵料生物和鱼类快速生长繁殖的水量需求相匹配。</w:t>
      </w:r>
      <w:r>
        <w:rPr>
          <w:rFonts w:hint="eastAsia" w:cs="Times New Roman"/>
          <w:color w:val="000000" w:themeColor="text1"/>
          <w:lang w:eastAsia="zh-CN"/>
          <w14:textFill>
            <w14:solidFill>
              <w14:schemeClr w14:val="tx1"/>
            </w14:solidFill>
          </w14:textFill>
        </w:rPr>
        <w:t>寿县拥有丰富的地表水资源，湖库和河流等公共天然水域的水质检测结果显示，水质良好，pH值中性，营养盐类丰富，溶氧含量高。</w:t>
      </w:r>
      <w:r>
        <w:rPr>
          <w:rFonts w:hint="default" w:ascii="Times New Roman" w:hAnsi="Times New Roman" w:cs="Times New Roman"/>
          <w:color w:val="000000" w:themeColor="text1"/>
          <w14:textFill>
            <w14:solidFill>
              <w14:schemeClr w14:val="tx1"/>
            </w14:solidFill>
          </w14:textFill>
        </w:rPr>
        <w:t>此外，寿县水域类型多样，为天然鱼类及其饵料生物的生长提供了良好的条件。</w:t>
      </w:r>
    </w:p>
    <w:p w14:paraId="157F8667">
      <w:pPr>
        <w:pStyle w:val="4"/>
        <w:ind w:firstLine="643"/>
        <w:rPr>
          <w:rFonts w:hint="default" w:ascii="Times New Roman" w:hAnsi="Times New Roman" w:cs="Times New Roman"/>
          <w:color w:val="000000" w:themeColor="text1"/>
          <w14:textFill>
            <w14:solidFill>
              <w14:schemeClr w14:val="tx1"/>
            </w14:solidFill>
          </w14:textFill>
        </w:rPr>
      </w:pPr>
      <w:bookmarkStart w:id="68" w:name="_Toc10751"/>
      <w:bookmarkStart w:id="69" w:name="_Toc30027"/>
      <w:bookmarkStart w:id="70" w:name="_Toc28100"/>
      <w:r>
        <w:rPr>
          <w:rFonts w:hint="default" w:ascii="Times New Roman" w:hAnsi="Times New Roman" w:cs="Times New Roman"/>
          <w:color w:val="000000" w:themeColor="text1"/>
          <w14:textFill>
            <w14:solidFill>
              <w14:schemeClr w14:val="tx1"/>
            </w14:solidFill>
          </w14:textFill>
        </w:rPr>
        <w:t>水域滩涂承载力评价</w:t>
      </w:r>
      <w:bookmarkEnd w:id="68"/>
      <w:bookmarkEnd w:id="69"/>
      <w:bookmarkEnd w:id="70"/>
    </w:p>
    <w:p w14:paraId="7F4DD0F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依据《内陆水域渔业自然资源调查手册》（农业出版社，1991）、《湖泊调查技术规程》（科学出版社，2015）等技术规程对全县湖泊水库山塘承载力进行评价，并根据周边地区同类型水体承载力予以优化调整。</w:t>
      </w:r>
    </w:p>
    <w:p w14:paraId="613C8B1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（一）湖泊承载力评价</w:t>
      </w:r>
    </w:p>
    <w:p w14:paraId="68FB138B">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寿县湖群浮游植物初级生产力为1.87kg/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，浮游植物中的优势种类为绿藻与硅藻，这些藻类易于鱼类消化吸收，其平均利用率设定为35%，饵料系数则定为40，据此计算出鱼产潜力为16.36g/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p w14:paraId="7DC6A4A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浮游动物初级生产力为479.97g/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，浮游动物平均利用率取50%，饵料系数为10，其鱼产潜力为24g/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p w14:paraId="78068D3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螺蚌软体动物初级生产力为453g/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，鲤、青鱼等对螺蚌软体动物利用率取25%，饵料系数取50，其鱼产潜力为2.26g/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；寡毛类和摇蚊幼虫等底栖动物初级生产力为8.58g/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，鲫等底层鱼类对其利用率取40%，饵料系数取6，其鱼产潜力为0.62g/</w:t>
      </w:r>
      <w:r>
        <w:rPr>
          <w:rFonts w:hint="default" w:ascii="Times New Roman" w:hAnsi="Times New Roman" w:cs="Times New Roman"/>
          <w:color w:val="000000" w:themeColor="text1"/>
          <w:sz w:val="32"/>
          <w:szCs w:val="32"/>
          <w:shd w:val="clear" w:color="auto" w:fill="FFFFFF"/>
          <w14:textFill>
            <w14:solidFill>
              <w14:schemeClr w14:val="tx1"/>
            </w14:solidFill>
          </w14:textFill>
        </w:rPr>
        <w:t>m²</w:t>
      </w:r>
      <w:r>
        <w:rPr>
          <w:rFonts w:hint="default" w:ascii="Times New Roman" w:hAnsi="Times New Roman" w:cs="Times New Roman"/>
          <w:color w:val="000000" w:themeColor="text1"/>
          <w14:textFill>
            <w14:solidFill>
              <w14:schemeClr w14:val="tx1"/>
            </w14:solidFill>
          </w14:textFill>
        </w:rPr>
        <w:t>。</w:t>
      </w:r>
    </w:p>
    <w:p w14:paraId="33B2C9FF">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全县水库鱼产力参照寿县湖群，并根据多年实际投放、捕捞量优化调整。</w:t>
      </w:r>
    </w:p>
    <w:p w14:paraId="7F0AC85D">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（二）池塘承载力评价</w:t>
      </w:r>
    </w:p>
    <w:p w14:paraId="37A2E06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养殖池塘的承载力受多种因素影响，包括养殖投入强度、技术水平、管理水平以及环境条件等，因此存在较大的差异性。</w:t>
      </w:r>
      <w:r>
        <w:rPr>
          <w:rFonts w:hint="eastAsia" w:cs="Times New Roman"/>
          <w:color w:val="000000" w:themeColor="text1"/>
          <w:lang w:eastAsia="zh-CN"/>
          <w14:textFill>
            <w14:solidFill>
              <w14:schemeClr w14:val="tx1"/>
            </w14:solidFill>
          </w14:textFill>
        </w:rPr>
        <w:t>以寿县养殖池塘的平均投入强度、管理水平和气候条件为依据，建议主养大宗鱼类的养殖容量不超过2.25kg/m²，特色鱼类如鲈鱼、黄颡鱼的养殖容量不超过1.50kg/m²，而虾蟹类的养殖容量则建议低于0.30kg/m²。在设施化和信息化水平较高的养殖池塘中，养殖容量的确定应基于对碳氮比的精确控制，以及确保氮、磷元素的合理收支，以维持生态平衡。</w:t>
      </w:r>
      <w:r>
        <w:rPr>
          <w:rFonts w:hint="default" w:ascii="Times New Roman" w:hAnsi="Times New Roman" w:cs="Times New Roman"/>
          <w:color w:val="000000" w:themeColor="text1"/>
          <w14:textFill>
            <w14:solidFill>
              <w14:schemeClr w14:val="tx1"/>
            </w14:solidFill>
          </w14:textFill>
        </w:rPr>
        <w:t>在确保污染物产出量不超过养殖尾水处理系统承载能力的前提下，可适当提升单位面积的养殖产量。</w:t>
      </w:r>
    </w:p>
    <w:p w14:paraId="484E65FC">
      <w:pPr>
        <w:pStyle w:val="3"/>
        <w:ind w:firstLine="643"/>
        <w:rPr>
          <w:rFonts w:hint="default" w:ascii="Times New Roman" w:hAnsi="Times New Roman" w:cs="Times New Roman"/>
          <w:color w:val="000000" w:themeColor="text1"/>
          <w14:textFill>
            <w14:solidFill>
              <w14:schemeClr w14:val="tx1"/>
            </w14:solidFill>
          </w14:textFill>
        </w:rPr>
      </w:pPr>
      <w:bookmarkStart w:id="71" w:name="_Toc13083"/>
      <w:bookmarkStart w:id="72" w:name="_Toc24310"/>
      <w:bookmarkStart w:id="73" w:name="_Toc29875"/>
      <w:bookmarkStart w:id="74" w:name="_Toc10886"/>
      <w:bookmarkStart w:id="75" w:name="_Toc15500"/>
      <w:bookmarkStart w:id="76" w:name="_Toc108"/>
      <w:bookmarkStart w:id="77" w:name="_Toc8837"/>
      <w:r>
        <w:rPr>
          <w:rFonts w:hint="default" w:ascii="Times New Roman" w:hAnsi="Times New Roman" w:cs="Times New Roman"/>
          <w:color w:val="000000" w:themeColor="text1"/>
          <w14:textFill>
            <w14:solidFill>
              <w14:schemeClr w14:val="tx1"/>
            </w14:solidFill>
          </w14:textFill>
        </w:rPr>
        <w:t>水产养殖产业发展分析</w:t>
      </w:r>
      <w:bookmarkEnd w:id="71"/>
      <w:bookmarkEnd w:id="72"/>
      <w:bookmarkEnd w:id="73"/>
      <w:bookmarkEnd w:id="74"/>
      <w:bookmarkEnd w:id="75"/>
      <w:bookmarkEnd w:id="76"/>
      <w:bookmarkEnd w:id="77"/>
    </w:p>
    <w:p w14:paraId="606807A8">
      <w:pPr>
        <w:pStyle w:val="4"/>
        <w:numPr>
          <w:ilvl w:val="2"/>
          <w:numId w:val="13"/>
        </w:numPr>
        <w:ind w:left="0" w:firstLine="643"/>
        <w:rPr>
          <w:rFonts w:hint="default" w:ascii="Times New Roman" w:hAnsi="Times New Roman" w:cs="Times New Roman"/>
          <w:color w:val="000000" w:themeColor="text1"/>
          <w14:textFill>
            <w14:solidFill>
              <w14:schemeClr w14:val="tx1"/>
            </w14:solidFill>
          </w14:textFill>
        </w:rPr>
      </w:pPr>
      <w:bookmarkStart w:id="78" w:name="_Toc18663"/>
      <w:bookmarkStart w:id="79" w:name="_Toc28382"/>
      <w:bookmarkStart w:id="80" w:name="_Toc6844"/>
      <w:r>
        <w:rPr>
          <w:rFonts w:hint="default" w:ascii="Times New Roman" w:hAnsi="Times New Roman" w:cs="Times New Roman"/>
          <w:color w:val="000000" w:themeColor="text1"/>
          <w14:textFill>
            <w14:solidFill>
              <w14:schemeClr w14:val="tx1"/>
            </w14:solidFill>
          </w14:textFill>
        </w:rPr>
        <w:t>水产养殖发展现状</w:t>
      </w:r>
      <w:bookmarkEnd w:id="78"/>
      <w:bookmarkEnd w:id="79"/>
      <w:bookmarkEnd w:id="80"/>
    </w:p>
    <w:p w14:paraId="6A741CC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根据</w:t>
      </w:r>
      <w:r>
        <w:rPr>
          <w:rFonts w:hint="default" w:ascii="Times New Roman" w:hAnsi="Times New Roman" w:cs="Times New Roman"/>
          <w:color w:val="000000" w:themeColor="text1"/>
          <w:lang w:val="en-US" w:eastAsia="zh-CN"/>
          <w14:textFill>
            <w14:solidFill>
              <w14:schemeClr w14:val="tx1"/>
            </w14:solidFill>
          </w14:textFill>
        </w:rPr>
        <w:t>寿县</w:t>
      </w:r>
      <w:r>
        <w:rPr>
          <w:rFonts w:hint="default" w:ascii="Times New Roman" w:hAnsi="Times New Roman" w:cs="Times New Roman"/>
          <w:color w:val="000000" w:themeColor="text1"/>
          <w:lang w:eastAsia="zh-CN"/>
          <w14:textFill>
            <w14:solidFill>
              <w14:schemeClr w14:val="tx1"/>
            </w14:solidFill>
          </w14:textFill>
        </w:rPr>
        <w:t>2024年渔业生产情况</w:t>
      </w:r>
      <w:r>
        <w:rPr>
          <w:rFonts w:hint="default" w:ascii="Times New Roman" w:hAnsi="Times New Roman" w:cs="Times New Roman"/>
          <w:color w:val="000000" w:themeColor="text1"/>
          <w:lang w:val="en-US" w:eastAsia="zh-CN"/>
          <w14:textFill>
            <w14:solidFill>
              <w14:schemeClr w14:val="tx1"/>
            </w14:solidFill>
          </w14:textFill>
        </w:rPr>
        <w:t>统计</w:t>
      </w:r>
      <w:r>
        <w:rPr>
          <w:rFonts w:hint="default" w:ascii="Times New Roman" w:hAnsi="Times New Roman" w:cs="Times New Roman"/>
          <w:color w:val="000000" w:themeColor="text1"/>
          <w:lang w:eastAsia="zh-CN"/>
          <w14:textFill>
            <w14:solidFill>
              <w14:schemeClr w14:val="tx1"/>
            </w14:solidFill>
          </w14:textFill>
        </w:rPr>
        <w:t>报告，全县水产养殖面积保持稳定，达到</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89</w:t>
      </w:r>
      <w:r>
        <w:rPr>
          <w:rFonts w:hint="default" w:ascii="Times New Roman" w:hAnsi="Times New Roman" w:cs="Times New Roman"/>
          <w:color w:val="000000" w:themeColor="text1"/>
          <w:lang w:eastAsia="zh-CN"/>
          <w14:textFill>
            <w14:solidFill>
              <w14:schemeClr w14:val="tx1"/>
            </w14:solidFill>
          </w14:textFill>
        </w:rPr>
        <w:t>万</w:t>
      </w:r>
      <w:r>
        <w:rPr>
          <w:rFonts w:hint="eastAsia" w:cs="Times New Roman"/>
          <w:color w:val="000000" w:themeColor="text1"/>
          <w:lang w:val="en-US" w:eastAsia="zh-CN"/>
          <w14:textFill>
            <w14:solidFill>
              <w14:schemeClr w14:val="tx1"/>
            </w14:solidFill>
          </w14:textFill>
        </w:rPr>
        <w:t>公顷</w:t>
      </w:r>
      <w:r>
        <w:rPr>
          <w:rFonts w:hint="default" w:ascii="Times New Roman" w:hAnsi="Times New Roman" w:cs="Times New Roman"/>
          <w:color w:val="000000" w:themeColor="text1"/>
          <w:lang w:eastAsia="zh-CN"/>
          <w14:textFill>
            <w14:solidFill>
              <w14:schemeClr w14:val="tx1"/>
            </w14:solidFill>
          </w14:textFill>
        </w:rPr>
        <w:t>，与去年持平。稻渔综合种养面积实现了显著增长，达到</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34</w:t>
      </w:r>
      <w:r>
        <w:rPr>
          <w:rFonts w:hint="default" w:ascii="Times New Roman" w:hAnsi="Times New Roman" w:cs="Times New Roman"/>
          <w:color w:val="000000" w:themeColor="text1"/>
          <w:lang w:eastAsia="zh-CN"/>
          <w14:textFill>
            <w14:solidFill>
              <w14:schemeClr w14:val="tx1"/>
            </w14:solidFill>
          </w14:textFill>
        </w:rPr>
        <w:t>万</w:t>
      </w:r>
      <w:r>
        <w:rPr>
          <w:rFonts w:hint="default" w:ascii="Times New Roman" w:hAnsi="Times New Roman" w:cs="Times New Roman"/>
          <w:color w:val="000000" w:themeColor="text1"/>
          <w:lang w:val="en-US" w:eastAsia="zh-CN"/>
          <w14:textFill>
            <w14:solidFill>
              <w14:schemeClr w14:val="tx1"/>
            </w14:solidFill>
          </w14:textFill>
        </w:rPr>
        <w:t>公顷</w:t>
      </w:r>
      <w:r>
        <w:rPr>
          <w:rFonts w:hint="default" w:ascii="Times New Roman" w:hAnsi="Times New Roman" w:cs="Times New Roman"/>
          <w:color w:val="000000" w:themeColor="text1"/>
          <w:lang w:eastAsia="zh-CN"/>
          <w14:textFill>
            <w14:solidFill>
              <w14:schemeClr w14:val="tx1"/>
            </w14:solidFill>
          </w14:textFill>
        </w:rPr>
        <w:t>，同比增长2.55%。水产品总产量达到11.1万吨，同比增长2.82%，占全市水产品总产量的56%以上。此外，渔业总产值达到29.03亿，同比增长5.64%，显示出渔业经济的稳步增长。</w:t>
      </w:r>
      <w:r>
        <w:rPr>
          <w:rFonts w:hint="default" w:ascii="Times New Roman" w:hAnsi="Times New Roman" w:cs="Times New Roman"/>
          <w:color w:val="000000" w:themeColor="text1"/>
          <w14:textFill>
            <w14:solidFill>
              <w14:schemeClr w14:val="tx1"/>
            </w14:solidFill>
          </w14:textFill>
        </w:rPr>
        <w:t>全县水产品市场供求两旺，龟鳖、鳝鳅、青虾、河蟹、大口黑鲈、鳜鱼等名特优水产品的价格同比增幅达30%以上，渔业经济稳步增长，持续向好。</w:t>
      </w:r>
    </w:p>
    <w:p w14:paraId="0ABF59B7">
      <w:pPr>
        <w:pStyle w:val="4"/>
        <w:ind w:firstLine="643"/>
        <w:rPr>
          <w:rFonts w:hint="default" w:ascii="Times New Roman" w:hAnsi="Times New Roman" w:cs="Times New Roman"/>
          <w:color w:val="000000" w:themeColor="text1"/>
          <w14:textFill>
            <w14:solidFill>
              <w14:schemeClr w14:val="tx1"/>
            </w14:solidFill>
          </w14:textFill>
        </w:rPr>
      </w:pPr>
      <w:bookmarkStart w:id="81" w:name="_Toc3158"/>
      <w:bookmarkStart w:id="82" w:name="_Toc22329"/>
      <w:bookmarkStart w:id="83" w:name="_Toc22137"/>
      <w:r>
        <w:rPr>
          <w:rFonts w:hint="default" w:ascii="Times New Roman" w:hAnsi="Times New Roman" w:cs="Times New Roman"/>
          <w:color w:val="000000" w:themeColor="text1"/>
          <w14:textFill>
            <w14:solidFill>
              <w14:schemeClr w14:val="tx1"/>
            </w14:solidFill>
          </w14:textFill>
        </w:rPr>
        <w:t>区域经济发展方向</w:t>
      </w:r>
      <w:bookmarkEnd w:id="81"/>
      <w:bookmarkEnd w:id="82"/>
      <w:bookmarkEnd w:id="83"/>
    </w:p>
    <w:p w14:paraId="6E4F611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农业重点发展方向与路径。</w:t>
      </w:r>
      <w:r>
        <w:rPr>
          <w:rFonts w:hint="eastAsia" w:cs="Times New Roman"/>
          <w:color w:val="000000" w:themeColor="text1"/>
          <w:lang w:eastAsia="zh-CN"/>
          <w14:textFill>
            <w14:solidFill>
              <w14:schemeClr w14:val="tx1"/>
            </w14:solidFill>
          </w14:textFill>
        </w:rPr>
        <w:t>寿县“十四五”规划明确指出，将深化农业供给侧结构性改革，重点发展现代农业，提升粮食生产能力，培育特色农业，推动农业产业化，并通过品牌建设和标准化生产，致力于打造长三角地区的优质农产品供应基地。</w:t>
      </w:r>
      <w:r>
        <w:rPr>
          <w:rFonts w:hint="default" w:ascii="Times New Roman" w:hAnsi="Times New Roman" w:cs="Times New Roman"/>
          <w:color w:val="000000" w:themeColor="text1"/>
          <w14:textFill>
            <w14:solidFill>
              <w14:schemeClr w14:val="tx1"/>
            </w14:solidFill>
          </w14:textFill>
        </w:rPr>
        <w:t>培育壮大新型经营主体，稳妥发展多种形式适度规模经营，加快完善家庭经营为基础、合作与联合为纽带、社会化服务为支撑的立体式复合型现代农业经营体系。</w:t>
      </w:r>
      <w:r>
        <w:rPr>
          <w:rFonts w:hint="eastAsia" w:cs="Times New Roman"/>
          <w:color w:val="000000" w:themeColor="text1"/>
          <w:lang w:eastAsia="zh-CN"/>
          <w14:textFill>
            <w14:solidFill>
              <w14:schemeClr w14:val="tx1"/>
            </w14:solidFill>
          </w14:textFill>
        </w:rPr>
        <w:t>围绕数字化转型、智能化升级及融合创新三大支撑点，寿县将积极实施“新基建+”行动计划。</w:t>
      </w:r>
      <w:r>
        <w:rPr>
          <w:rFonts w:hint="default" w:ascii="Times New Roman" w:hAnsi="Times New Roman" w:cs="Times New Roman"/>
          <w:color w:val="000000" w:themeColor="text1"/>
          <w14:textFill>
            <w14:solidFill>
              <w14:schemeClr w14:val="tx1"/>
            </w14:solidFill>
          </w14:textFill>
        </w:rPr>
        <w:t>统筹推进</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多规合一</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战略，精心呵护山、水、林、田、湖等自然生态资源，既保护又利用，尊重自然原始格局，紧密结合区域发展实际态势，构建</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两核两轴三带两区</w:t>
      </w:r>
      <w:r>
        <w:rPr>
          <w:rFonts w:hint="eastAsia"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国土空间开发保护格局，增强生态系统的支撑能力。积极推广绿色低碳的发展理念，不断完善绿色发展的制度框架，探索低碳转型的新途径，实施山水林田湖系统修复工程，推动生产生活方式全面绿色转型。</w:t>
      </w:r>
    </w:p>
    <w:p w14:paraId="08C143D1">
      <w:pPr>
        <w:ind w:firstLine="600"/>
        <w:rPr>
          <w:rFonts w:hint="default" w:ascii="Times New Roman" w:hAnsi="Times New Roman" w:cs="Times New Roman"/>
          <w:color w:val="000000" w:themeColor="text1"/>
          <w14:textFill>
            <w14:solidFill>
              <w14:schemeClr w14:val="tx1"/>
            </w14:solidFill>
          </w14:textFill>
        </w:rPr>
      </w:pPr>
      <w:bookmarkStart w:id="84" w:name="_Toc380"/>
      <w:bookmarkStart w:id="85" w:name="_Toc8453"/>
      <w:r>
        <w:rPr>
          <w:rFonts w:hint="default" w:ascii="Times New Roman" w:hAnsi="Times New Roman" w:cs="Times New Roman"/>
          <w:color w:val="000000" w:themeColor="text1"/>
          <w14:textFill>
            <w14:solidFill>
              <w14:schemeClr w14:val="tx1"/>
            </w14:solidFill>
          </w14:textFill>
        </w:rPr>
        <w:t>未来发展格局分析。随着城乡居民可支配收入持续增长，我国居民膳食消费呈现显著特征：食品消费总量保持增长但增速趋于平缓，肉类消费增速明显回落，而奶制品与水产品需求进入快速扩张阶段。在供给体系日益完善与收入水平提升的双重驱动下，</w:t>
      </w:r>
      <w:r>
        <w:rPr>
          <w:rFonts w:hint="eastAsia" w:cs="Times New Roman"/>
          <w:color w:val="000000" w:themeColor="text1"/>
          <w:lang w:eastAsia="zh-CN"/>
          <w14:textFill>
            <w14:solidFill>
              <w14:schemeClr w14:val="tx1"/>
            </w14:solidFill>
          </w14:textFill>
        </w:rPr>
        <w:t>居民的膳食结构正经历从基础温饱向营养均衡的深刻转变。</w:t>
      </w:r>
      <w:r>
        <w:rPr>
          <w:rFonts w:hint="default" w:ascii="Times New Roman" w:hAnsi="Times New Roman" w:cs="Times New Roman"/>
          <w:color w:val="000000" w:themeColor="text1"/>
          <w14:textFill>
            <w14:solidFill>
              <w14:schemeClr w14:val="tx1"/>
            </w14:solidFill>
          </w14:textFill>
        </w:rPr>
        <w:t>当前及未来十年间，全国范围内（包括寿县地区）的食品消费将持续优化，</w:t>
      </w:r>
      <w:r>
        <w:rPr>
          <w:rFonts w:hint="eastAsia" w:cs="Times New Roman"/>
          <w:color w:val="000000" w:themeColor="text1"/>
          <w:lang w:eastAsia="zh-CN"/>
          <w14:textFill>
            <w14:solidFill>
              <w14:schemeClr w14:val="tx1"/>
            </w14:solidFill>
          </w14:textFill>
        </w:rPr>
        <w:t>高蛋白优质食品在饮食中的占比将显著提升。</w:t>
      </w:r>
      <w:r>
        <w:rPr>
          <w:rFonts w:hint="default" w:ascii="Times New Roman" w:hAnsi="Times New Roman" w:cs="Times New Roman"/>
          <w:color w:val="000000" w:themeColor="text1"/>
          <w14:textFill>
            <w14:solidFill>
              <w14:schemeClr w14:val="tx1"/>
            </w14:solidFill>
          </w14:textFill>
        </w:rPr>
        <w:t>值得注意的是，兼具生态价值与健康属性的水产品正成为消费市场主导品类，以生态友好、健康为导向的清洁生产方式将占据产业链核心地位。</w:t>
      </w:r>
      <w:r>
        <w:rPr>
          <w:rFonts w:hint="eastAsia" w:cs="Times New Roman"/>
          <w:color w:val="000000" w:themeColor="text1"/>
          <w:lang w:eastAsia="zh-CN"/>
          <w14:textFill>
            <w14:solidFill>
              <w14:schemeClr w14:val="tx1"/>
            </w14:solidFill>
          </w14:textFill>
        </w:rPr>
        <w:t>综合寿县2022至2023年的经济增长数据及长三角区域居民可支配收入的统计，预计至2030年，寿县及长三角区域居民人均可支配收入将以年均6-8%的速度复合增长。</w:t>
      </w:r>
      <w:r>
        <w:rPr>
          <w:rFonts w:hint="default" w:ascii="Times New Roman" w:hAnsi="Times New Roman" w:cs="Times New Roman"/>
          <w:color w:val="000000" w:themeColor="text1"/>
          <w14:textFill>
            <w14:solidFill>
              <w14:schemeClr w14:val="tx1"/>
            </w14:solidFill>
          </w14:textFill>
        </w:rPr>
        <w:t>同时，长三角区域发展指数显示，区域一体化发展取得显著进展，这将有助于恩格尔系数持续下降至更优区间。与之相应，随着居民消费结构的转变，服务型消费，如休闲旅游和健康管理等，预计将显著增长，其支出增幅有望达到当前水平的2-3倍。</w:t>
      </w:r>
    </w:p>
    <w:p w14:paraId="2071935A">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设施渔业发展前景广阔</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安徽省将设施渔业列为“十四五”渔业规划的核心方向，借鉴</w:t>
      </w:r>
      <w:r>
        <w:rPr>
          <w:rFonts w:hint="eastAsia" w:cs="Times New Roman"/>
          <w:color w:val="000000" w:themeColor="text1"/>
          <w:lang w:val="en-US" w:eastAsia="zh-CN"/>
          <w14:textFill>
            <w14:solidFill>
              <w14:schemeClr w14:val="tx1"/>
            </w14:solidFill>
          </w14:textFill>
        </w:rPr>
        <w:t>发达地区</w:t>
      </w:r>
      <w:r>
        <w:rPr>
          <w:rFonts w:hint="eastAsia" w:cs="Times New Roman"/>
          <w:color w:val="000000" w:themeColor="text1"/>
          <w:lang w:eastAsia="zh-CN"/>
          <w14:textFill>
            <w14:solidFill>
              <w14:schemeClr w14:val="tx1"/>
            </w14:solidFill>
          </w14:textFill>
        </w:rPr>
        <w:t>设施渔业的成功经验，推广工厂化循环水养殖、集约化陆基设施等模式。同时，参考现代设施渔业的发展模式，如循环水养殖、陆基桶流水养殖和高位池流水养殖，安徽省也大力推广物联网水质监测、5G智慧渔场等技术，实现溶氧、pH值等参数的远程调控。这些措施有助于显著降低人工成本，降幅高达60%，正如智慧渔业管理系统在其他地区所展现的降本增效效果。</w:t>
      </w:r>
      <w:r>
        <w:rPr>
          <w:rFonts w:hint="default" w:ascii="Times New Roman" w:hAnsi="Times New Roman" w:cs="Times New Roman"/>
          <w:color w:val="000000" w:themeColor="text1"/>
          <w14:textFill>
            <w14:solidFill>
              <w14:schemeClr w14:val="tx1"/>
            </w14:solidFill>
          </w14:textFill>
        </w:rPr>
        <w:t>预计2025-2030年</w:t>
      </w:r>
      <w:r>
        <w:rPr>
          <w:rFonts w:hint="default" w:ascii="Times New Roman" w:hAnsi="Times New Roman" w:cs="Times New Roman"/>
          <w:color w:val="000000" w:themeColor="text1"/>
          <w:lang w:val="en-US" w:eastAsia="zh-CN"/>
          <w14:textFill>
            <w14:solidFill>
              <w14:schemeClr w14:val="tx1"/>
            </w14:solidFill>
          </w14:textFill>
        </w:rPr>
        <w:t>安徽设施</w:t>
      </w:r>
      <w:r>
        <w:rPr>
          <w:rFonts w:hint="default" w:ascii="Times New Roman" w:hAnsi="Times New Roman" w:cs="Times New Roman"/>
          <w:color w:val="000000" w:themeColor="text1"/>
          <w14:textFill>
            <w14:solidFill>
              <w14:schemeClr w14:val="tx1"/>
            </w14:solidFill>
          </w14:textFill>
        </w:rPr>
        <w:t>渔业复合增长率达18%</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未来增长将聚焦智能化升级、生态韧性提升和全产业链协同</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凭借政策引导、技术创新及市场拓展的三重驱动，安徽正稳步迈向成为长三角地区绿色水产品供应的核心基地和全国设施渔业的创新引领区</w:t>
      </w:r>
    </w:p>
    <w:p w14:paraId="47166216">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休闲（观光体验）渔业是寿县渔业主要调整方向之一。渔业应积极融入生态农业旅游大产业，</w:t>
      </w:r>
      <w:r>
        <w:rPr>
          <w:rFonts w:hint="eastAsia" w:cs="Times New Roman"/>
          <w:color w:val="000000" w:themeColor="text1"/>
          <w:lang w:eastAsia="zh-CN"/>
          <w14:textFill>
            <w14:solidFill>
              <w14:schemeClr w14:val="tx1"/>
            </w14:solidFill>
          </w14:textFill>
        </w:rPr>
        <w:t>完善垂钓、露营、康养等休闲旅游活动的配套设施；同时，精心布局生态农庄、特色民宿等乡村旅游亮点，</w:t>
      </w:r>
      <w:r>
        <w:rPr>
          <w:rFonts w:hint="default" w:ascii="Times New Roman" w:hAnsi="Times New Roman" w:cs="Times New Roman"/>
          <w:color w:val="000000" w:themeColor="text1"/>
          <w14:textFill>
            <w14:solidFill>
              <w14:schemeClr w14:val="tx1"/>
            </w14:solidFill>
          </w14:textFill>
        </w:rPr>
        <w:t>加速推动渔业一、二、三产业的融合发展，逐步增加休闲观光渔业在整体产业中的比重。</w:t>
      </w:r>
    </w:p>
    <w:p w14:paraId="0130A7B1">
      <w:pPr>
        <w:pStyle w:val="4"/>
        <w:ind w:firstLine="643"/>
        <w:rPr>
          <w:rFonts w:hint="default" w:ascii="Times New Roman" w:hAnsi="Times New Roman" w:cs="Times New Roman"/>
          <w:color w:val="000000" w:themeColor="text1"/>
          <w14:textFill>
            <w14:solidFill>
              <w14:schemeClr w14:val="tx1"/>
            </w14:solidFill>
          </w14:textFill>
        </w:rPr>
      </w:pPr>
      <w:bookmarkStart w:id="86" w:name="_Toc11886"/>
      <w:r>
        <w:rPr>
          <w:rFonts w:hint="default" w:ascii="Times New Roman" w:hAnsi="Times New Roman" w:cs="Times New Roman"/>
          <w:color w:val="000000" w:themeColor="text1"/>
          <w14:textFill>
            <w14:solidFill>
              <w14:schemeClr w14:val="tx1"/>
            </w14:solidFill>
          </w14:textFill>
        </w:rPr>
        <w:t>水产养殖前景预测</w:t>
      </w:r>
      <w:bookmarkEnd w:id="84"/>
      <w:bookmarkEnd w:id="85"/>
      <w:bookmarkEnd w:id="86"/>
    </w:p>
    <w:p w14:paraId="09113888">
      <w:pPr>
        <w:spacing w:line="600" w:lineRule="exact"/>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水产品市场潜力巨大。</w:t>
      </w:r>
      <w:r>
        <w:rPr>
          <w:rFonts w:hint="eastAsia" w:cs="Times New Roman"/>
          <w:color w:val="000000" w:themeColor="text1"/>
          <w:lang w:eastAsia="zh-CN"/>
          <w14:textFill>
            <w14:solidFill>
              <w14:schemeClr w14:val="tx1"/>
            </w14:solidFill>
          </w14:textFill>
        </w:rPr>
        <w:t>根据《中国统计年鉴2024》和相关研究，当前全国人均水产品消费量存在显著差异，沿海地区如长三角地区人均消费量达到38.6kg（2024年统计），而西北五省均值仅为1.2kg，差异超过30倍。</w:t>
      </w:r>
      <w:r>
        <w:rPr>
          <w:rFonts w:hint="default" w:ascii="Times New Roman" w:hAnsi="Times New Roman" w:cs="Times New Roman"/>
          <w:color w:val="000000" w:themeColor="text1"/>
          <w14:textFill>
            <w14:solidFill>
              <w14:schemeClr w14:val="tx1"/>
            </w14:solidFill>
          </w14:textFill>
        </w:rPr>
        <w:t>根据农业农村部模型测算，中部省份的消费年均增速预计将保持在8-12%之间，预计到2025-2030年，这一增长趋势将释放约2000万吨的新增需求。</w:t>
      </w:r>
    </w:p>
    <w:p w14:paraId="03319A8E">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技术智能化与生态化升级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循环水养殖系统</w:t>
      </w:r>
      <w:r>
        <w:rPr>
          <w:rFonts w:hint="default" w:ascii="Times New Roman" w:hAnsi="Times New Roman" w:cs="Times New Roman"/>
          <w:color w:val="000000" w:themeColor="text1"/>
          <w:lang w:val="en-US" w:eastAsia="zh-CN"/>
          <w14:textFill>
            <w14:solidFill>
              <w14:schemeClr w14:val="tx1"/>
            </w14:solidFill>
          </w14:textFill>
        </w:rPr>
        <w:t>日益</w:t>
      </w:r>
      <w:r>
        <w:rPr>
          <w:rFonts w:hint="default" w:ascii="Times New Roman" w:hAnsi="Times New Roman" w:cs="Times New Roman"/>
          <w:color w:val="000000" w:themeColor="text1"/>
          <w14:textFill>
            <w14:solidFill>
              <w14:schemeClr w14:val="tx1"/>
            </w14:solidFill>
          </w14:textFill>
        </w:rPr>
        <w:t>普及，未来该技术将覆盖更多养殖场景，结合物联网和大数据分析，实现精准投喂和环境监控。</w:t>
      </w:r>
      <w:r>
        <w:rPr>
          <w:rFonts w:hint="eastAsia" w:cs="Times New Roman"/>
          <w:color w:val="000000" w:themeColor="text1"/>
          <w:lang w:eastAsia="zh-CN"/>
          <w14:textFill>
            <w14:solidFill>
              <w14:schemeClr w14:val="tx1"/>
            </w14:solidFill>
          </w14:textFill>
        </w:rPr>
        <w:t>环保政策的春风，催生了生态池塘改造的热潮，生物过滤技术得以广泛应用，不仅显著降低了药物残留与污染排放，更是对国家‘双碳’目标的积极响应，引领绿色养殖模式蔚然成风。</w:t>
      </w:r>
    </w:p>
    <w:p w14:paraId="75F0420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品类多元化与高附加值产品崛起</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特色品种养殖</w:t>
      </w:r>
      <w:r>
        <w:rPr>
          <w:rFonts w:hint="default" w:ascii="Times New Roman" w:hAnsi="Times New Roman" w:cs="Times New Roman"/>
          <w:color w:val="000000" w:themeColor="text1"/>
          <w:lang w:val="en-US" w:eastAsia="zh-CN"/>
          <w14:textFill>
            <w14:solidFill>
              <w14:schemeClr w14:val="tx1"/>
            </w14:solidFill>
          </w14:textFill>
        </w:rPr>
        <w:t>向</w:t>
      </w:r>
      <w:r>
        <w:rPr>
          <w:rFonts w:hint="default" w:ascii="Times New Roman" w:hAnsi="Times New Roman" w:cs="Times New Roman"/>
          <w:color w:val="000000" w:themeColor="text1"/>
          <w14:textFill>
            <w14:solidFill>
              <w14:schemeClr w14:val="tx1"/>
            </w14:solidFill>
          </w14:textFill>
        </w:rPr>
        <w:t>规模</w:t>
      </w:r>
      <w:r>
        <w:rPr>
          <w:rFonts w:hint="default" w:ascii="Times New Roman" w:hAnsi="Times New Roman" w:cs="Times New Roman"/>
          <w:color w:val="000000" w:themeColor="text1"/>
          <w:lang w:val="en-US" w:eastAsia="zh-CN"/>
          <w14:textFill>
            <w14:solidFill>
              <w14:schemeClr w14:val="tx1"/>
            </w14:solidFill>
          </w14:textFill>
        </w:rPr>
        <w:t>集约化方向发展，</w:t>
      </w:r>
      <w:r>
        <w:rPr>
          <w:rFonts w:hint="default" w:ascii="Times New Roman" w:hAnsi="Times New Roman" w:cs="Times New Roman"/>
          <w:color w:val="000000" w:themeColor="text1"/>
          <w14:textFill>
            <w14:solidFill>
              <w14:schemeClr w14:val="tx1"/>
            </w14:solidFill>
          </w14:textFill>
        </w:rPr>
        <w:t>小龙虾、鳜鱼</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中华鳖</w:t>
      </w:r>
      <w:r>
        <w:rPr>
          <w:rFonts w:hint="default" w:ascii="Times New Roman" w:hAnsi="Times New Roman" w:cs="Times New Roman"/>
          <w:color w:val="000000" w:themeColor="text1"/>
          <w14:textFill>
            <w14:solidFill>
              <w14:schemeClr w14:val="tx1"/>
            </w14:solidFill>
          </w14:textFill>
        </w:rPr>
        <w:t>等高价值品种占比</w:t>
      </w:r>
      <w:r>
        <w:rPr>
          <w:rFonts w:hint="default" w:ascii="Times New Roman" w:hAnsi="Times New Roman" w:cs="Times New Roman"/>
          <w:color w:val="000000" w:themeColor="text1"/>
          <w:lang w:val="en-US" w:eastAsia="zh-CN"/>
          <w14:textFill>
            <w14:solidFill>
              <w14:schemeClr w14:val="tx1"/>
            </w14:solidFill>
          </w14:textFill>
        </w:rPr>
        <w:t>较高</w:t>
      </w:r>
      <w:r>
        <w:rPr>
          <w:rFonts w:hint="default" w:ascii="Times New Roman" w:hAnsi="Times New Roman" w:cs="Times New Roman"/>
          <w:color w:val="000000" w:themeColor="text1"/>
          <w14:textFill>
            <w14:solidFill>
              <w14:schemeClr w14:val="tx1"/>
            </w14:solidFill>
          </w14:textFill>
        </w:rPr>
        <w:t>，形成区域性标志产品。</w:t>
      </w:r>
      <w:r>
        <w:rPr>
          <w:rFonts w:hint="eastAsia" w:cs="Times New Roman"/>
          <w:color w:val="000000" w:themeColor="text1"/>
          <w:lang w:eastAsia="zh-CN"/>
          <w14:textFill>
            <w14:solidFill>
              <w14:schemeClr w14:val="tx1"/>
            </w14:solidFill>
          </w14:textFill>
        </w:rPr>
        <w:t>预制菜加工与冷链物流的双重助力，进一步延长了产业链，为利润率的提升开辟了新路径。</w:t>
      </w:r>
      <w:r>
        <w:rPr>
          <w:rFonts w:hint="default" w:ascii="Times New Roman" w:hAnsi="Times New Roman" w:cs="Times New Roman"/>
          <w:color w:val="000000" w:themeColor="text1"/>
          <w14:textFill>
            <w14:solidFill>
              <w14:schemeClr w14:val="tx1"/>
            </w14:solidFill>
          </w14:textFill>
        </w:rPr>
        <w:t>随着消费者对营养强化和疾病预防需求的日益增长，富含DHA、低脂高蛋白以及抗氧化成分的水产品需求量急剧上升，这一市场需求有力地推动了消费升级，健康消费的趋势愈发显著。</w:t>
      </w:r>
    </w:p>
    <w:p w14:paraId="38576A18">
      <w:pPr>
        <w:ind w:firstLine="600"/>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渔业产业链将向二、三产业延伸。得益于寿县水域资源、旅游资源、气候条件、区位交通优势，以及城乡居民较强的消费潜力，以休闲观光体验渔业为主导的渔业第三产业将飞速发展，并成为寿县渔业产业持续增长的新引擎，传统的水产养殖场将向园林化、个性化、多元化方向迈进。</w:t>
      </w:r>
    </w:p>
    <w:p w14:paraId="30DF062A">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健康便捷化初加工产品成为主流。当前，我国社会主要矛盾已经转化为人民日益增长的美好生活需要和不平衡不充分的发展之间的矛盾。消费群体已从追求廉价水产转向注重品质、安全与便捷，绿色健康、初加工的水产食品愈发受到市场欢迎。随着新星消费群体成为主力，</w:t>
      </w:r>
      <w:r>
        <w:rPr>
          <w:rFonts w:hint="eastAsia" w:cs="Times New Roman"/>
          <w:color w:val="000000" w:themeColor="text1"/>
          <w:lang w:eastAsia="zh-CN"/>
          <w14:textFill>
            <w14:solidFill>
              <w14:schemeClr w14:val="tx1"/>
            </w14:solidFill>
          </w14:textFill>
        </w:rPr>
        <w:t>他们对水产品的便捷性、安全性及风味特色将提出更为严格的要求</w:t>
      </w:r>
      <w:r>
        <w:rPr>
          <w:rFonts w:hint="default" w:ascii="Times New Roman" w:hAnsi="Times New Roman" w:cs="Times New Roman"/>
          <w:color w:val="000000" w:themeColor="text1"/>
          <w14:textFill>
            <w14:solidFill>
              <w14:schemeClr w14:val="tx1"/>
            </w14:solidFill>
          </w14:textFill>
        </w:rPr>
        <w:t>，冷鲜初加工、风味熟制及休闲即食产品将成为主流。</w:t>
      </w:r>
    </w:p>
    <w:p w14:paraId="410EB859">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目前寿县渔业在发展模式上还没有完全摆脱重产量轻质量的粗放式生产方式，</w:t>
      </w:r>
      <w:r>
        <w:rPr>
          <w:rFonts w:hint="eastAsia" w:cs="Times New Roman"/>
          <w:color w:val="000000" w:themeColor="text1"/>
          <w:lang w:eastAsia="zh-CN"/>
          <w14:textFill>
            <w14:solidFill>
              <w14:schemeClr w14:val="tx1"/>
            </w14:solidFill>
          </w14:textFill>
        </w:rPr>
        <w:t>渔业生产与水环境保护之间的矛盾依然突出，尚未得到根本性解决</w:t>
      </w:r>
      <w:r>
        <w:rPr>
          <w:rFonts w:hint="default" w:ascii="Times New Roman" w:hAnsi="Times New Roman" w:cs="Times New Roman"/>
          <w:color w:val="000000" w:themeColor="text1"/>
          <w14:textFill>
            <w14:solidFill>
              <w14:schemeClr w14:val="tx1"/>
            </w14:solidFill>
          </w14:textFill>
        </w:rPr>
        <w:t>；渔业产业结构不尽合理，渔业二、三产业相对薄弱；产品形态与消费需求尚未有效契合。未来10</w:t>
      </w:r>
      <w:r>
        <w:rPr>
          <w:rFonts w:hint="eastAsia" w:ascii="Times New Roman" w:hAnsi="Times New Roman"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-15年，</w:t>
      </w:r>
      <w:r>
        <w:rPr>
          <w:rFonts w:hint="default" w:ascii="Times New Roman" w:hAnsi="Times New Roman" w:cs="Times New Roman"/>
          <w:color w:val="000000" w:themeColor="text1"/>
          <w:lang w:val="en-US" w:eastAsia="zh-CN"/>
          <w14:textFill>
            <w14:solidFill>
              <w14:schemeClr w14:val="tx1"/>
            </w14:solidFill>
          </w14:textFill>
        </w:rPr>
        <w:t>寿县</w:t>
      </w:r>
      <w:r>
        <w:rPr>
          <w:rFonts w:hint="default" w:ascii="Times New Roman" w:hAnsi="Times New Roman" w:cs="Times New Roman"/>
          <w:color w:val="000000" w:themeColor="text1"/>
          <w14:textFill>
            <w14:solidFill>
              <w14:schemeClr w14:val="tx1"/>
            </w14:solidFill>
          </w14:textFill>
        </w:rPr>
        <w:t>水产养殖产业将呈现智能化、绿色化、融合化三大趋势</w:t>
      </w:r>
      <w:r>
        <w:rPr>
          <w:rFonts w:hint="default" w:ascii="Times New Roman" w:hAnsi="Times New Roman" w:cs="Times New Roman"/>
          <w:color w:val="000000" w:themeColor="text1"/>
          <w:lang w:eastAsia="zh-CN"/>
          <w14:textFill>
            <w14:solidFill>
              <w14:schemeClr w14:val="tx1"/>
            </w14:solidFill>
          </w14:textFill>
        </w:rPr>
        <w:t>。</w:t>
      </w:r>
    </w:p>
    <w:p w14:paraId="192646A7">
      <w:pPr>
        <w:pStyle w:val="3"/>
        <w:ind w:firstLine="643"/>
        <w:rPr>
          <w:rFonts w:hint="default" w:ascii="Times New Roman" w:hAnsi="Times New Roman" w:cs="Times New Roman"/>
          <w:color w:val="000000" w:themeColor="text1"/>
          <w14:textFill>
            <w14:solidFill>
              <w14:schemeClr w14:val="tx1"/>
            </w14:solidFill>
          </w14:textFill>
        </w:rPr>
      </w:pPr>
      <w:bookmarkStart w:id="87" w:name="_Toc21517"/>
      <w:bookmarkStart w:id="88" w:name="_Toc9283"/>
      <w:bookmarkStart w:id="89" w:name="_Toc13359"/>
      <w:bookmarkStart w:id="90" w:name="_Toc1204"/>
      <w:bookmarkStart w:id="91" w:name="_Toc15891"/>
      <w:r>
        <w:rPr>
          <w:rFonts w:hint="default" w:ascii="Times New Roman" w:hAnsi="Times New Roman" w:cs="Times New Roman"/>
          <w:color w:val="000000" w:themeColor="text1"/>
          <w14:textFill>
            <w14:solidFill>
              <w14:schemeClr w14:val="tx1"/>
            </w14:solidFill>
          </w14:textFill>
        </w:rPr>
        <w:t>养殖水域滩涂开发总体思路</w:t>
      </w:r>
      <w:bookmarkEnd w:id="87"/>
      <w:bookmarkEnd w:id="88"/>
      <w:bookmarkEnd w:id="89"/>
      <w:bookmarkEnd w:id="90"/>
      <w:bookmarkEnd w:id="91"/>
    </w:p>
    <w:p w14:paraId="5095D643">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以习近平新时代中国特色社会主义思想为指导，全面贯彻“创新、协调、绿色、开放、共享”发展理念，为推进乡村振兴战略提供应有支撑。主动适应我国社会经济新常态下对水产品消费需求和生态环保的双重需求，依据全县水域滩涂的实际承载力，进行科学规划与合理布局，</w:t>
      </w:r>
      <w:r>
        <w:rPr>
          <w:rFonts w:hint="eastAsia" w:cs="Times New Roman"/>
          <w:color w:val="000000" w:themeColor="text1"/>
          <w:lang w:eastAsia="zh-CN"/>
          <w14:textFill>
            <w14:solidFill>
              <w14:schemeClr w14:val="tx1"/>
            </w14:solidFill>
          </w14:textFill>
        </w:rPr>
        <w:t>旨在通过提质增效、稳定产量并增加收入，推动渔业的绿色发展</w:t>
      </w:r>
      <w:r>
        <w:rPr>
          <w:rFonts w:hint="default" w:ascii="Times New Roman" w:hAnsi="Times New Roman" w:cs="Times New Roman"/>
          <w:color w:val="000000" w:themeColor="text1"/>
          <w14:textFill>
            <w14:solidFill>
              <w14:schemeClr w14:val="tx1"/>
            </w14:solidFill>
          </w14:textFill>
        </w:rPr>
        <w:t>，促进农民富裕，同时坚持健康养殖、保护资源、做强产业的发展方向，</w:t>
      </w:r>
      <w:r>
        <w:rPr>
          <w:rFonts w:hint="eastAsia" w:cs="Times New Roman"/>
          <w:color w:val="000000" w:themeColor="text1"/>
          <w:lang w:eastAsia="zh-CN"/>
          <w14:textFill>
            <w14:solidFill>
              <w14:schemeClr w14:val="tx1"/>
            </w14:solidFill>
          </w14:textFill>
        </w:rPr>
        <w:t>深入推进渔业供给侧结构性改革，积极加快渔业发展方式的转变</w:t>
      </w:r>
      <w:r>
        <w:rPr>
          <w:rFonts w:hint="default" w:ascii="Times New Roman" w:hAnsi="Times New Roman" w:cs="Times New Roman"/>
          <w:color w:val="000000" w:themeColor="text1"/>
          <w14:textFill>
            <w14:solidFill>
              <w14:schemeClr w14:val="tx1"/>
            </w14:solidFill>
          </w14:textFill>
        </w:rPr>
        <w:t>，提升渔业生产标准化、生态化和产业化水平，促进渔业可持续发展，提高渔业发展的质量效益和竞争力。</w:t>
      </w:r>
      <w:r>
        <w:rPr>
          <w:rFonts w:hint="eastAsia" w:cs="Times New Roman"/>
          <w:color w:val="000000" w:themeColor="text1"/>
          <w:lang w:eastAsia="zh-CN"/>
          <w14:textFill>
            <w14:solidFill>
              <w14:schemeClr w14:val="tx1"/>
            </w14:solidFill>
          </w14:textFill>
        </w:rPr>
        <w:t>充分发挥本规划的约束和指导作用，着力提升养殖水域滩涂的利用效率，确保全县养殖水域滩涂得到有效管理和科学规划，同时平衡好生产发展与生态环境保护的关系。</w:t>
      </w:r>
    </w:p>
    <w:p w14:paraId="7FF33FC0">
      <w:pPr>
        <w:ind w:firstLine="600"/>
        <w:rPr>
          <w:rFonts w:hint="default" w:ascii="Times New Roman" w:hAnsi="Times New Roman" w:cs="Times New Roman"/>
          <w:color w:val="000000" w:themeColor="text1"/>
          <w14:textFill>
            <w14:solidFill>
              <w14:schemeClr w14:val="tx1"/>
            </w14:solidFill>
          </w14:textFill>
        </w:rPr>
        <w:sectPr>
          <w:pgSz w:w="11850" w:h="16783"/>
          <w:pgMar w:top="1440" w:right="1800" w:bottom="1440" w:left="1800" w:header="851" w:footer="992" w:gutter="0"/>
          <w:cols w:space="425" w:num="1"/>
          <w:docGrid w:type="lines" w:linePitch="312" w:charSpace="0"/>
        </w:sectPr>
      </w:pPr>
    </w:p>
    <w:p w14:paraId="05322C60">
      <w:pPr>
        <w:pStyle w:val="2"/>
        <w:rPr>
          <w:rFonts w:hint="default" w:ascii="Times New Roman" w:hAnsi="Times New Roman" w:cs="Times New Roman"/>
          <w:color w:val="000000" w:themeColor="text1"/>
          <w14:textFill>
            <w14:solidFill>
              <w14:schemeClr w14:val="tx1"/>
            </w14:solidFill>
          </w14:textFill>
        </w:rPr>
      </w:pPr>
      <w:bookmarkStart w:id="92" w:name="_Toc32241"/>
      <w:bookmarkStart w:id="93" w:name="_Toc20871"/>
      <w:bookmarkStart w:id="94" w:name="_Toc19548"/>
      <w:bookmarkStart w:id="95" w:name="_Toc8740"/>
      <w:bookmarkStart w:id="96" w:name="_Toc11238"/>
      <w:r>
        <w:rPr>
          <w:rFonts w:hint="default" w:ascii="Times New Roman" w:hAnsi="Times New Roman" w:cs="Times New Roman"/>
          <w:color w:val="000000" w:themeColor="text1"/>
          <w14:textFill>
            <w14:solidFill>
              <w14:schemeClr w14:val="tx1"/>
            </w14:solidFill>
          </w14:textFill>
        </w:rPr>
        <w:t>养殖水域滩涂功能区</w:t>
      </w:r>
      <w:bookmarkEnd w:id="92"/>
      <w:bookmarkEnd w:id="93"/>
      <w:bookmarkEnd w:id="94"/>
      <w:r>
        <w:rPr>
          <w:rFonts w:hint="default" w:ascii="Times New Roman" w:hAnsi="Times New Roman" w:cs="Times New Roman"/>
          <w:color w:val="000000" w:themeColor="text1"/>
          <w14:textFill>
            <w14:solidFill>
              <w14:schemeClr w14:val="tx1"/>
            </w14:solidFill>
          </w14:textFill>
        </w:rPr>
        <w:t>规划</w:t>
      </w:r>
      <w:bookmarkEnd w:id="95"/>
      <w:bookmarkEnd w:id="96"/>
    </w:p>
    <w:p w14:paraId="7A2C0A40">
      <w:pPr>
        <w:pStyle w:val="3"/>
        <w:ind w:firstLine="643"/>
        <w:rPr>
          <w:rFonts w:hint="default" w:ascii="Times New Roman" w:hAnsi="Times New Roman" w:cs="Times New Roman"/>
          <w:color w:val="000000" w:themeColor="text1"/>
          <w14:textFill>
            <w14:solidFill>
              <w14:schemeClr w14:val="tx1"/>
            </w14:solidFill>
          </w14:textFill>
        </w:rPr>
      </w:pPr>
      <w:bookmarkStart w:id="97" w:name="_Toc18676"/>
      <w:bookmarkStart w:id="98" w:name="_Toc15612"/>
      <w:bookmarkStart w:id="99" w:name="_Toc8828"/>
      <w:bookmarkStart w:id="100" w:name="_Toc20812"/>
      <w:bookmarkStart w:id="101" w:name="_Toc21794"/>
      <w:r>
        <w:rPr>
          <w:rFonts w:hint="default" w:ascii="Times New Roman" w:hAnsi="Times New Roman" w:cs="Times New Roman"/>
          <w:color w:val="000000" w:themeColor="text1"/>
          <w14:textFill>
            <w14:solidFill>
              <w14:schemeClr w14:val="tx1"/>
            </w14:solidFill>
          </w14:textFill>
        </w:rPr>
        <w:t>功能区划概述</w:t>
      </w:r>
      <w:bookmarkEnd w:id="97"/>
      <w:bookmarkEnd w:id="98"/>
      <w:bookmarkEnd w:id="99"/>
      <w:bookmarkEnd w:id="100"/>
      <w:bookmarkEnd w:id="101"/>
    </w:p>
    <w:p w14:paraId="4BFA1B87">
      <w:pPr>
        <w:pStyle w:val="4"/>
        <w:numPr>
          <w:ilvl w:val="2"/>
          <w:numId w:val="14"/>
        </w:numPr>
        <w:ind w:left="0"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功能区划分方法</w:t>
      </w:r>
    </w:p>
    <w:p w14:paraId="0C25691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根据《养殖水域滩涂规划编制工作规范》（农渔发〔2016〕39号）的要求，将养殖水域滩涂划分为禁止养殖区、限制养殖区、养殖区等三类功能区。</w:t>
      </w:r>
    </w:p>
    <w:p w14:paraId="4B58093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全县养殖水域滩涂功能区范围依据《寿县国土空间总体规划（2021-2035年）》、各保护地已核准的矢量数据以及寿县最新“三调”矢量数据确定。</w:t>
      </w:r>
    </w:p>
    <w:p w14:paraId="6D14BEF1">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（一）禁止养殖区</w:t>
      </w:r>
    </w:p>
    <w:p w14:paraId="10F7FBAF">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1.饮用水水源地（含备用水源地）一级保护区、自然保护区核心区和缓冲区、水产种质资源保护区核心区等重点生态功能区。</w:t>
      </w:r>
    </w:p>
    <w:p w14:paraId="06AA80E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2.航道、行洪区、河道堤防安全保护区等公共设施安全水域。</w:t>
      </w:r>
    </w:p>
    <w:p w14:paraId="28907B97">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3.有毒有害物质超过规定标准的水体。</w:t>
      </w:r>
    </w:p>
    <w:p w14:paraId="328F078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4.法律法规规定的其他禁止从事水产养殖的区域</w:t>
      </w:r>
    </w:p>
    <w:p w14:paraId="7444EB5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（二）限制养殖区</w:t>
      </w:r>
    </w:p>
    <w:p w14:paraId="3D0912A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1.饮用水水源地（含备用水源地）二级保护区、自然保护区实验区和外围保护地带、水产种质资源保护区实验区、湿地公园、风景名胜区等生态功能区（与河道行洪区、堤防管理范围重叠的区域除外）；</w:t>
      </w:r>
    </w:p>
    <w:p w14:paraId="6D15AD8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2.重点湖泊水库等公共自然水域；</w:t>
      </w:r>
    </w:p>
    <w:p w14:paraId="3B1FB39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3.法律法规规定的其他限制养殖区。</w:t>
      </w:r>
    </w:p>
    <w:p w14:paraId="3B94720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在以上区域内进行水产养殖的应采取污染防治措施，污染物排放不得超过国家和地方规定的水产养殖业水污染物排放标准。</w:t>
      </w:r>
    </w:p>
    <w:p w14:paraId="1F775165">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（三）养殖区</w:t>
      </w:r>
    </w:p>
    <w:p w14:paraId="7A608799">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养殖区指规划范围内，除禁止养殖区、限制养殖区以外的水域滩涂，包括池塘养殖、湖泊养殖、水库养殖、内陆滩涂养殖、工厂化设施养殖等。</w:t>
      </w:r>
    </w:p>
    <w:p w14:paraId="3801B02C">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养殖水域滩涂开发和保护重点</w:t>
      </w:r>
    </w:p>
    <w:p w14:paraId="15760476">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寿县养殖水域滩涂的开发重点在于限制养殖区（特别是大水面区域）和池塘养殖区，而保护则着重于饮用水水源地、自然保护区、生态保护红线内区域以及天然河流等关键水域。</w:t>
      </w:r>
    </w:p>
    <w:p w14:paraId="6103F9AE">
      <w:pPr>
        <w:pStyle w:val="3"/>
        <w:ind w:firstLine="643"/>
        <w:rPr>
          <w:rFonts w:hint="default" w:ascii="Times New Roman" w:hAnsi="Times New Roman" w:cs="Times New Roman"/>
          <w:color w:val="000000" w:themeColor="text1"/>
          <w14:textFill>
            <w14:solidFill>
              <w14:schemeClr w14:val="tx1"/>
            </w14:solidFill>
          </w14:textFill>
        </w:rPr>
      </w:pPr>
      <w:bookmarkStart w:id="102" w:name="_Toc327"/>
      <w:bookmarkStart w:id="103" w:name="_Toc1872"/>
      <w:bookmarkStart w:id="104" w:name="_Toc12768"/>
      <w:bookmarkStart w:id="105" w:name="_Toc7580"/>
      <w:bookmarkStart w:id="106" w:name="_Toc32596"/>
      <w:r>
        <w:rPr>
          <w:rFonts w:hint="default" w:ascii="Times New Roman" w:hAnsi="Times New Roman" w:cs="Times New Roman"/>
          <w:color w:val="000000" w:themeColor="text1"/>
          <w14:textFill>
            <w14:solidFill>
              <w14:schemeClr w14:val="tx1"/>
            </w14:solidFill>
          </w14:textFill>
        </w:rPr>
        <w:t>禁止养殖区</w:t>
      </w:r>
      <w:bookmarkEnd w:id="102"/>
      <w:bookmarkEnd w:id="103"/>
      <w:bookmarkEnd w:id="104"/>
      <w:bookmarkEnd w:id="105"/>
      <w:bookmarkEnd w:id="106"/>
    </w:p>
    <w:p w14:paraId="4004D07E">
      <w:pPr>
        <w:pStyle w:val="4"/>
        <w:numPr>
          <w:ilvl w:val="2"/>
          <w:numId w:val="15"/>
        </w:numPr>
        <w:ind w:left="0" w:firstLine="643"/>
        <w:rPr>
          <w:rFonts w:hint="default" w:ascii="Times New Roman" w:hAnsi="Times New Roman" w:cs="Times New Roman"/>
          <w:color w:val="000000" w:themeColor="text1"/>
          <w14:textFill>
            <w14:solidFill>
              <w14:schemeClr w14:val="tx1"/>
            </w14:solidFill>
          </w14:textFill>
        </w:rPr>
      </w:pPr>
      <w:bookmarkStart w:id="107" w:name="_Toc21488"/>
      <w:r>
        <w:rPr>
          <w:rFonts w:hint="default" w:ascii="Times New Roman" w:hAnsi="Times New Roman" w:cs="Times New Roman"/>
          <w:color w:val="000000" w:themeColor="text1"/>
          <w14:textFill>
            <w14:solidFill>
              <w14:schemeClr w14:val="tx1"/>
            </w14:solidFill>
          </w14:textFill>
        </w:rPr>
        <w:t>禁止养殖区类型、位置及面积</w:t>
      </w:r>
      <w:bookmarkEnd w:id="107"/>
    </w:p>
    <w:p w14:paraId="2C82A7E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寿县禁止养殖区主要包括饮用水水源地（含备用水源地）一级保护区、河道行洪区等生态功能区，全县养殖水域滩涂限制养殖区详见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_Ref24108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14:paraId="484AEBCC">
      <w:pPr>
        <w:pStyle w:val="7"/>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寿县养殖水域滩涂禁止养殖区一览表（单位:公顷）</w:t>
      </w:r>
    </w:p>
    <w:tbl>
      <w:tblPr>
        <w:tblStyle w:val="17"/>
        <w:tblW w:w="8071"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143"/>
        <w:gridCol w:w="1134"/>
        <w:gridCol w:w="811"/>
        <w:gridCol w:w="790"/>
        <w:gridCol w:w="830"/>
        <w:gridCol w:w="1180"/>
        <w:gridCol w:w="1146"/>
      </w:tblGrid>
      <w:tr w14:paraId="1317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37" w:type="dxa"/>
            <w:shd w:val="clear" w:color="auto" w:fill="auto"/>
            <w:vAlign w:val="center"/>
          </w:tcPr>
          <w:p w14:paraId="67F52F2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类型</w:t>
            </w:r>
          </w:p>
        </w:tc>
        <w:tc>
          <w:tcPr>
            <w:tcW w:w="1143" w:type="dxa"/>
            <w:shd w:val="clear" w:color="auto" w:fill="auto"/>
            <w:vAlign w:val="center"/>
          </w:tcPr>
          <w:p w14:paraId="25D95A0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河流</w:t>
            </w:r>
          </w:p>
        </w:tc>
        <w:tc>
          <w:tcPr>
            <w:tcW w:w="1134" w:type="dxa"/>
            <w:shd w:val="clear" w:color="auto" w:fill="auto"/>
            <w:vAlign w:val="center"/>
          </w:tcPr>
          <w:p w14:paraId="147A661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w:t>
            </w:r>
          </w:p>
        </w:tc>
        <w:tc>
          <w:tcPr>
            <w:tcW w:w="811" w:type="dxa"/>
            <w:shd w:val="clear" w:color="auto" w:fill="auto"/>
            <w:vAlign w:val="center"/>
          </w:tcPr>
          <w:p w14:paraId="17A3440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w:t>
            </w:r>
          </w:p>
        </w:tc>
        <w:tc>
          <w:tcPr>
            <w:tcW w:w="790" w:type="dxa"/>
            <w:shd w:val="clear" w:color="auto" w:fill="auto"/>
            <w:vAlign w:val="center"/>
          </w:tcPr>
          <w:p w14:paraId="13F3B7D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养殖坑塘</w:t>
            </w:r>
          </w:p>
        </w:tc>
        <w:tc>
          <w:tcPr>
            <w:tcW w:w="830" w:type="dxa"/>
            <w:shd w:val="clear" w:color="auto" w:fill="auto"/>
            <w:vAlign w:val="center"/>
          </w:tcPr>
          <w:p w14:paraId="67283B8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坑塘</w:t>
            </w:r>
          </w:p>
        </w:tc>
        <w:tc>
          <w:tcPr>
            <w:tcW w:w="1180" w:type="dxa"/>
            <w:shd w:val="clear" w:color="auto" w:fill="auto"/>
            <w:vAlign w:val="center"/>
          </w:tcPr>
          <w:p w14:paraId="44B2B22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内陆滩涂</w:t>
            </w:r>
          </w:p>
        </w:tc>
        <w:tc>
          <w:tcPr>
            <w:tcW w:w="1146" w:type="dxa"/>
            <w:shd w:val="clear" w:color="auto" w:fill="auto"/>
            <w:vAlign w:val="center"/>
          </w:tcPr>
          <w:p w14:paraId="273EA6B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合计</w:t>
            </w:r>
          </w:p>
        </w:tc>
      </w:tr>
      <w:tr w14:paraId="6DFB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37" w:type="dxa"/>
            <w:shd w:val="clear" w:color="auto" w:fill="auto"/>
            <w:vAlign w:val="center"/>
          </w:tcPr>
          <w:p w14:paraId="6F69C93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tc>
        <w:tc>
          <w:tcPr>
            <w:tcW w:w="1143" w:type="dxa"/>
            <w:shd w:val="clear" w:color="auto" w:fill="auto"/>
            <w:vAlign w:val="center"/>
          </w:tcPr>
          <w:p w14:paraId="0596BED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4604.17</w:t>
            </w:r>
          </w:p>
        </w:tc>
        <w:tc>
          <w:tcPr>
            <w:tcW w:w="1134" w:type="dxa"/>
            <w:shd w:val="clear" w:color="auto" w:fill="auto"/>
            <w:vAlign w:val="center"/>
          </w:tcPr>
          <w:p w14:paraId="7ECF99B6">
            <w:pPr>
              <w:widowControl/>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321.03</w:t>
            </w:r>
          </w:p>
        </w:tc>
        <w:tc>
          <w:tcPr>
            <w:tcW w:w="811" w:type="dxa"/>
            <w:shd w:val="clear" w:color="auto" w:fill="auto"/>
            <w:vAlign w:val="center"/>
          </w:tcPr>
          <w:p w14:paraId="002C943A">
            <w:pPr>
              <w:widowControl/>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22.44</w:t>
            </w:r>
          </w:p>
        </w:tc>
        <w:tc>
          <w:tcPr>
            <w:tcW w:w="790" w:type="dxa"/>
            <w:shd w:val="clear" w:color="auto" w:fill="auto"/>
            <w:vAlign w:val="center"/>
          </w:tcPr>
          <w:p w14:paraId="2DF672B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0</w:t>
            </w:r>
          </w:p>
        </w:tc>
        <w:tc>
          <w:tcPr>
            <w:tcW w:w="830" w:type="dxa"/>
            <w:shd w:val="clear" w:color="auto" w:fill="auto"/>
            <w:vAlign w:val="center"/>
          </w:tcPr>
          <w:p w14:paraId="3921A654">
            <w:pPr>
              <w:widowControl/>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w:t>
            </w:r>
          </w:p>
        </w:tc>
        <w:tc>
          <w:tcPr>
            <w:tcW w:w="1180" w:type="dxa"/>
            <w:shd w:val="clear" w:color="auto" w:fill="auto"/>
            <w:vAlign w:val="center"/>
          </w:tcPr>
          <w:p w14:paraId="7F6DB3DE">
            <w:pPr>
              <w:widowControl/>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1365.57</w:t>
            </w:r>
          </w:p>
        </w:tc>
        <w:tc>
          <w:tcPr>
            <w:tcW w:w="1146" w:type="dxa"/>
            <w:shd w:val="clear" w:color="auto" w:fill="auto"/>
            <w:vAlign w:val="center"/>
          </w:tcPr>
          <w:p w14:paraId="3EC7C967">
            <w:pPr>
              <w:widowControl/>
              <w:spacing w:line="240" w:lineRule="auto"/>
              <w:ind w:firstLine="0" w:firstLineChars="0"/>
              <w:jc w:val="center"/>
              <w:textAlignment w:val="center"/>
              <w:rPr>
                <w:rFonts w:hint="default" w:ascii="Times New Roman" w:hAnsi="Times New Roman" w:eastAsia="仿宋" w:cs="Times New Roman"/>
                <w:color w:val="000000" w:themeColor="text1"/>
                <w:sz w:val="22"/>
                <w:szCs w:val="22"/>
                <w:lang w:eastAsia="zh-CN"/>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6329.21</w:t>
            </w:r>
          </w:p>
        </w:tc>
      </w:tr>
    </w:tbl>
    <w:p w14:paraId="45577861">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（一）饮用水水源地（含备用水源）一级保护区水域</w:t>
      </w:r>
    </w:p>
    <w:p w14:paraId="325B1677">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寿县现有23个集中式饮用水水源保护区，其所在水系、位置及功能区范围的具体信息，请参见附表1。</w:t>
      </w:r>
    </w:p>
    <w:p w14:paraId="2BDA31DB">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（二）河道行洪区、堤防管理范围</w:t>
      </w:r>
    </w:p>
    <w:p w14:paraId="5D44F8A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全县具有行洪功能的河流、沟渠行洪区、堤防安全保护区：包括淮河寿县段、淠河、东淝河等河流主河道及支流。</w:t>
      </w:r>
    </w:p>
    <w:p w14:paraId="0C323017">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堤防管理范围的界定，依据《安徽省水工程管理和保护条例》进行，该条例详细规定了水工程的管理和保护措施，确保了堤防的安全与正常运行。</w:t>
      </w:r>
    </w:p>
    <w:p w14:paraId="00A51F2A">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（三）航道、港口、渡口</w:t>
      </w:r>
    </w:p>
    <w:p w14:paraId="64EEE235">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全县范围内的内河航道、港区作业区及渡口的水域滩涂。</w:t>
      </w:r>
    </w:p>
    <w:p w14:paraId="642F347A">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（四）有毒有害物质超过规定标准的水域</w:t>
      </w:r>
    </w:p>
    <w:p w14:paraId="0188FD2A">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（五）法律法规规定的其他禁止养殖区</w:t>
      </w:r>
    </w:p>
    <w:p w14:paraId="382D2BEF">
      <w:pPr>
        <w:pStyle w:val="4"/>
        <w:ind w:firstLine="643"/>
        <w:rPr>
          <w:rFonts w:hint="default" w:ascii="Times New Roman" w:hAnsi="Times New Roman" w:cs="Times New Roman"/>
          <w:color w:val="000000" w:themeColor="text1"/>
          <w14:textFill>
            <w14:solidFill>
              <w14:schemeClr w14:val="tx1"/>
            </w14:solidFill>
          </w14:textFill>
        </w:rPr>
      </w:pPr>
      <w:bookmarkStart w:id="108" w:name="_Toc9417"/>
      <w:r>
        <w:rPr>
          <w:rFonts w:hint="default" w:ascii="Times New Roman" w:hAnsi="Times New Roman" w:cs="Times New Roman"/>
          <w:color w:val="000000" w:themeColor="text1"/>
          <w14:textFill>
            <w14:solidFill>
              <w14:schemeClr w14:val="tx1"/>
            </w14:solidFill>
          </w14:textFill>
        </w:rPr>
        <w:t>禁止养殖区管理措施</w:t>
      </w:r>
      <w:bookmarkEnd w:id="108"/>
    </w:p>
    <w:p w14:paraId="0C91B68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w:t>
      </w:r>
      <w:r>
        <w:rPr>
          <w:rFonts w:hint="eastAsia" w:cs="Times New Roman"/>
          <w:color w:val="000000" w:themeColor="text1"/>
          <w:lang w:eastAsia="zh-CN"/>
          <w14:textFill>
            <w14:solidFill>
              <w14:schemeClr w14:val="tx1"/>
            </w14:solidFill>
          </w14:textFill>
        </w:rPr>
        <w:t>在禁止养殖区内，严禁任何形式的水产养殖行为，并不得办理水域滩涂养殖证。</w:t>
      </w:r>
      <w:r>
        <w:rPr>
          <w:rFonts w:hint="default" w:ascii="Times New Roman" w:hAnsi="Times New Roman" w:cs="Times New Roman"/>
          <w:color w:val="000000" w:themeColor="text1"/>
          <w14:textFill>
            <w14:solidFill>
              <w14:schemeClr w14:val="tx1"/>
            </w14:solidFill>
          </w14:textFill>
        </w:rPr>
        <w:t>禁止养殖区内的水产养殖，由当地人民政府及相关部门负责限期搬迁或关停。因科学研究的需要，按照有关法律、法规、规章规定执行。</w:t>
      </w:r>
    </w:p>
    <w:p w14:paraId="33250070">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（二）加强水域滩涂管理。</w:t>
      </w:r>
      <w:r>
        <w:rPr>
          <w:rFonts w:hint="eastAsia" w:cs="Times New Roman"/>
          <w:color w:val="000000" w:themeColor="text1"/>
          <w:lang w:eastAsia="zh-CN"/>
          <w14:textFill>
            <w14:solidFill>
              <w14:schemeClr w14:val="tx1"/>
            </w14:solidFill>
          </w14:textFill>
        </w:rPr>
        <w:t>建立由农业农村、水利、生态环境、自然资源等部门组成的协调机制，全面加强水域综合管理，依法实施水生态和水生生物资源监测，加大禁止养殖区管理的宣传力度和执法监管力度，严厉惩处涉渔违法违规行为，以促进环境资源修复，切实维护重点水域的生态安全。</w:t>
      </w:r>
    </w:p>
    <w:p w14:paraId="01BD17C1">
      <w:pPr>
        <w:pStyle w:val="3"/>
        <w:ind w:firstLine="643"/>
        <w:rPr>
          <w:rFonts w:hint="default" w:ascii="Times New Roman" w:hAnsi="Times New Roman" w:cs="Times New Roman"/>
          <w:color w:val="000000" w:themeColor="text1"/>
          <w14:textFill>
            <w14:solidFill>
              <w14:schemeClr w14:val="tx1"/>
            </w14:solidFill>
          </w14:textFill>
        </w:rPr>
      </w:pPr>
      <w:bookmarkStart w:id="109" w:name="_Toc31222"/>
      <w:bookmarkStart w:id="110" w:name="_Toc30894"/>
      <w:bookmarkStart w:id="111" w:name="_Toc8564"/>
      <w:bookmarkStart w:id="112" w:name="_Toc8367"/>
      <w:bookmarkStart w:id="113" w:name="_Toc23607"/>
      <w:r>
        <w:rPr>
          <w:rFonts w:hint="default" w:ascii="Times New Roman" w:hAnsi="Times New Roman" w:cs="Times New Roman"/>
          <w:color w:val="000000" w:themeColor="text1"/>
          <w14:textFill>
            <w14:solidFill>
              <w14:schemeClr w14:val="tx1"/>
            </w14:solidFill>
          </w14:textFill>
        </w:rPr>
        <w:t>限制养殖区</w:t>
      </w:r>
      <w:bookmarkEnd w:id="109"/>
      <w:bookmarkEnd w:id="110"/>
      <w:bookmarkEnd w:id="111"/>
      <w:bookmarkEnd w:id="112"/>
      <w:bookmarkEnd w:id="113"/>
    </w:p>
    <w:p w14:paraId="64B202AF">
      <w:pPr>
        <w:pStyle w:val="4"/>
        <w:numPr>
          <w:ilvl w:val="2"/>
          <w:numId w:val="16"/>
        </w:numPr>
        <w:ind w:left="0" w:firstLine="643"/>
        <w:rPr>
          <w:rFonts w:hint="default" w:ascii="Times New Roman" w:hAnsi="Times New Roman" w:cs="Times New Roman"/>
          <w:color w:val="000000" w:themeColor="text1"/>
          <w14:textFill>
            <w14:solidFill>
              <w14:schemeClr w14:val="tx1"/>
            </w14:solidFill>
          </w14:textFill>
        </w:rPr>
      </w:pPr>
      <w:bookmarkStart w:id="114" w:name="_Toc15806"/>
      <w:bookmarkStart w:id="115" w:name="_Toc21040"/>
      <w:r>
        <w:rPr>
          <w:rFonts w:hint="default" w:ascii="Times New Roman" w:hAnsi="Times New Roman" w:cs="Times New Roman"/>
          <w:color w:val="000000" w:themeColor="text1"/>
          <w14:textFill>
            <w14:solidFill>
              <w14:schemeClr w14:val="tx1"/>
            </w14:solidFill>
          </w14:textFill>
        </w:rPr>
        <w:t>限制养殖区类型、位置及面积</w:t>
      </w:r>
      <w:bookmarkEnd w:id="114"/>
    </w:p>
    <w:p w14:paraId="625C7CB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限制养殖区包括饮用水源地（含备用水源地）二级保护区</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风景名胜区、湿地公园、重点湖泊水库（即列入安徽省湖泊保护名录）、生态保护红线内的水域滩涂（已纳入禁止养殖区的水域滩涂除外），全县养殖水域滩涂限制养殖区详见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_Ref24108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14:paraId="6F4CB18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（一）饮用水水源地（含备用水源）二级三级保护区水域</w:t>
      </w:r>
    </w:p>
    <w:p w14:paraId="1B090DDB">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现有23个集中式饮用水水源地（含备用水源）二级三级保护区内水域（已纳入禁止养殖区的水域滩涂除外）。</w:t>
      </w:r>
    </w:p>
    <w:p w14:paraId="4A919C4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（二）风景名胜区</w:t>
      </w:r>
    </w:p>
    <w:p w14:paraId="50A044AD">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八公山风景名胜区内水域滩涂（已纳入禁止养殖区的水域滩涂除外）。</w:t>
      </w:r>
    </w:p>
    <w:p w14:paraId="47411FEC">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（三）生态保护红线范围内水域滩涂（已纳入禁止养殖区的水域滩涂除外）</w:t>
      </w:r>
    </w:p>
    <w:p w14:paraId="2C7970A5">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（四）县、乡</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镇</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城镇开发边界内水域（已纳入禁止养殖区的水域滩涂除外）</w:t>
      </w:r>
    </w:p>
    <w:p w14:paraId="66DB5986">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（五）重点湖泊水库</w:t>
      </w:r>
    </w:p>
    <w:p w14:paraId="1A042C68">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列入安徽省湖泊保护名录的安丰塘、瓦埠湖、大井水库、花果水库中未纳入禁止养殖区的水域滩涂。</w:t>
      </w:r>
    </w:p>
    <w:p w14:paraId="1D57BE37">
      <w:pPr>
        <w:pStyle w:val="7"/>
        <w:ind w:firstLine="482"/>
        <w:rPr>
          <w:rFonts w:hint="default" w:ascii="Times New Roman" w:hAnsi="Times New Roman" w:cs="Times New Roman"/>
          <w:color w:val="000000" w:themeColor="text1"/>
          <w14:textFill>
            <w14:solidFill>
              <w14:schemeClr w14:val="tx1"/>
            </w14:solidFill>
          </w14:textFill>
        </w:rPr>
      </w:pPr>
      <w:bookmarkStart w:id="116" w:name="_Ref24108"/>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fldChar w:fldCharType="end"/>
      </w:r>
      <w:bookmarkEnd w:id="116"/>
      <w:r>
        <w:rPr>
          <w:rFonts w:hint="default" w:ascii="Times New Roman" w:hAnsi="Times New Roman" w:cs="Times New Roman"/>
          <w:color w:val="000000" w:themeColor="text1"/>
          <w14:textFill>
            <w14:solidFill>
              <w14:schemeClr w14:val="tx1"/>
            </w14:solidFill>
          </w14:textFill>
        </w:rPr>
        <w:t>寿县养殖水域滩涂限制养殖区一览表（单位:公顷）</w:t>
      </w:r>
    </w:p>
    <w:tbl>
      <w:tblPr>
        <w:tblStyle w:val="17"/>
        <w:tblW w:w="830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143"/>
        <w:gridCol w:w="1134"/>
        <w:gridCol w:w="1040"/>
        <w:gridCol w:w="1039"/>
        <w:gridCol w:w="1134"/>
        <w:gridCol w:w="923"/>
        <w:gridCol w:w="850"/>
      </w:tblGrid>
      <w:tr w14:paraId="7FD87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37" w:type="dxa"/>
            <w:shd w:val="clear" w:color="auto" w:fill="auto"/>
            <w:vAlign w:val="center"/>
          </w:tcPr>
          <w:p w14:paraId="72F1B55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类型</w:t>
            </w:r>
          </w:p>
        </w:tc>
        <w:tc>
          <w:tcPr>
            <w:tcW w:w="1143" w:type="dxa"/>
            <w:shd w:val="clear" w:color="auto" w:fill="auto"/>
            <w:vAlign w:val="center"/>
          </w:tcPr>
          <w:p w14:paraId="5A7D9F1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河流</w:t>
            </w:r>
          </w:p>
        </w:tc>
        <w:tc>
          <w:tcPr>
            <w:tcW w:w="1134" w:type="dxa"/>
            <w:shd w:val="clear" w:color="auto" w:fill="auto"/>
            <w:vAlign w:val="center"/>
          </w:tcPr>
          <w:p w14:paraId="3515B0F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w:t>
            </w:r>
          </w:p>
        </w:tc>
        <w:tc>
          <w:tcPr>
            <w:tcW w:w="1040" w:type="dxa"/>
            <w:shd w:val="clear" w:color="auto" w:fill="auto"/>
            <w:vAlign w:val="center"/>
          </w:tcPr>
          <w:p w14:paraId="7089A57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w:t>
            </w:r>
          </w:p>
        </w:tc>
        <w:tc>
          <w:tcPr>
            <w:tcW w:w="1039" w:type="dxa"/>
            <w:shd w:val="clear" w:color="auto" w:fill="auto"/>
            <w:vAlign w:val="center"/>
          </w:tcPr>
          <w:p w14:paraId="5CA7565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养殖坑塘</w:t>
            </w:r>
          </w:p>
        </w:tc>
        <w:tc>
          <w:tcPr>
            <w:tcW w:w="1134" w:type="dxa"/>
            <w:shd w:val="clear" w:color="auto" w:fill="auto"/>
            <w:vAlign w:val="center"/>
          </w:tcPr>
          <w:p w14:paraId="331F985B">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坑塘</w:t>
            </w:r>
          </w:p>
        </w:tc>
        <w:tc>
          <w:tcPr>
            <w:tcW w:w="923" w:type="dxa"/>
            <w:shd w:val="clear" w:color="auto" w:fill="auto"/>
            <w:vAlign w:val="center"/>
          </w:tcPr>
          <w:p w14:paraId="5A331E5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内陆滩涂</w:t>
            </w:r>
          </w:p>
        </w:tc>
        <w:tc>
          <w:tcPr>
            <w:tcW w:w="850" w:type="dxa"/>
            <w:shd w:val="clear" w:color="auto" w:fill="auto"/>
            <w:vAlign w:val="center"/>
          </w:tcPr>
          <w:p w14:paraId="7DCD108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合计</w:t>
            </w:r>
          </w:p>
        </w:tc>
      </w:tr>
      <w:tr w14:paraId="68F5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37" w:type="dxa"/>
            <w:shd w:val="clear" w:color="auto" w:fill="auto"/>
            <w:vAlign w:val="center"/>
          </w:tcPr>
          <w:p w14:paraId="0BD6073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tc>
        <w:tc>
          <w:tcPr>
            <w:tcW w:w="1143" w:type="dxa"/>
            <w:shd w:val="clear" w:color="auto" w:fill="auto"/>
            <w:vAlign w:val="center"/>
          </w:tcPr>
          <w:p w14:paraId="5FFD6A0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41.81</w:t>
            </w:r>
          </w:p>
        </w:tc>
        <w:tc>
          <w:tcPr>
            <w:tcW w:w="1134" w:type="dxa"/>
            <w:shd w:val="clear" w:color="auto" w:fill="auto"/>
            <w:vAlign w:val="center"/>
          </w:tcPr>
          <w:p w14:paraId="7CACCA8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14508.29</w:t>
            </w:r>
          </w:p>
        </w:tc>
        <w:tc>
          <w:tcPr>
            <w:tcW w:w="1040" w:type="dxa"/>
            <w:shd w:val="clear" w:color="auto" w:fill="auto"/>
            <w:vAlign w:val="center"/>
          </w:tcPr>
          <w:p w14:paraId="6EB506D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1108.25</w:t>
            </w:r>
          </w:p>
        </w:tc>
        <w:tc>
          <w:tcPr>
            <w:tcW w:w="1039" w:type="dxa"/>
            <w:shd w:val="clear" w:color="auto" w:fill="auto"/>
            <w:vAlign w:val="center"/>
          </w:tcPr>
          <w:p w14:paraId="0C4AC91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510.18</w:t>
            </w:r>
          </w:p>
        </w:tc>
        <w:tc>
          <w:tcPr>
            <w:tcW w:w="1134" w:type="dxa"/>
            <w:shd w:val="clear" w:color="auto" w:fill="auto"/>
            <w:vAlign w:val="center"/>
          </w:tcPr>
          <w:p w14:paraId="386FDF2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3025.27</w:t>
            </w:r>
          </w:p>
        </w:tc>
        <w:tc>
          <w:tcPr>
            <w:tcW w:w="923" w:type="dxa"/>
            <w:shd w:val="clear" w:color="auto" w:fill="auto"/>
            <w:vAlign w:val="center"/>
          </w:tcPr>
          <w:p w14:paraId="2FB8F37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392.2</w:t>
            </w:r>
          </w:p>
        </w:tc>
        <w:tc>
          <w:tcPr>
            <w:tcW w:w="850" w:type="dxa"/>
            <w:shd w:val="clear" w:color="auto" w:fill="auto"/>
            <w:vAlign w:val="center"/>
          </w:tcPr>
          <w:p w14:paraId="3CDE45A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19586</w:t>
            </w:r>
          </w:p>
        </w:tc>
      </w:tr>
    </w:tbl>
    <w:p w14:paraId="20D2E372">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限制养殖区管理措施</w:t>
      </w:r>
      <w:bookmarkEnd w:id="115"/>
    </w:p>
    <w:p w14:paraId="4D9E2E0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合理控制养殖规模。调优限制养殖区养殖布局，不进行高强度开发利用。科学规划限制养殖区的养殖单元，按照水域滩涂承载力，合理控制养殖规模和放养密度，采用符合限制养殖区管理要求的生产模式，严格控制水产养殖用投入品使用。</w:t>
      </w:r>
    </w:p>
    <w:p w14:paraId="6ABAD85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（二）发展绿色生态渔业。</w:t>
      </w:r>
      <w:r>
        <w:rPr>
          <w:rFonts w:hint="eastAsia" w:cs="Times New Roman"/>
          <w:color w:val="000000" w:themeColor="text1"/>
          <w:lang w:eastAsia="zh-CN"/>
          <w14:textFill>
            <w14:solidFill>
              <w14:schemeClr w14:val="tx1"/>
            </w14:solidFill>
          </w14:textFill>
        </w:rPr>
        <w:t>限制养殖区应遵循“一水一策”的原则，结合湖泊保护规划，准确理解和把握相关法律法规及政策要求，科学选择大水面生态渔业的发展模式。</w:t>
      </w:r>
      <w:r>
        <w:rPr>
          <w:rFonts w:hint="default" w:ascii="Times New Roman" w:hAnsi="Times New Roman" w:cs="Times New Roman"/>
          <w:color w:val="000000" w:themeColor="text1"/>
          <w14:textFill>
            <w14:solidFill>
              <w14:schemeClr w14:val="tx1"/>
            </w14:solidFill>
          </w14:textFill>
        </w:rPr>
        <w:t>在饮用水水源二级保护区、自然保护区的实验区，可根据资源调查结果合理投放滤食性、肉食性、草食性的当地土著品种，发挥增殖渔业的生态功能。大水面禁止投放外来种、杂交种、转基因种以及其他不符合生态要求的水生生物物种。依法可以开展网箱、围栏养殖的水域，应以科学合理为前提，严格按照《大水面增养殖容量计算方法》（SC/T1149－2020）执行，且不得污染水体和影响行蓄洪。有湖泊管理保护需要的，应禁止围网、围栏养殖。</w:t>
      </w:r>
    </w:p>
    <w:p w14:paraId="6B29FDE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加强捕捞管理。限制养殖区内湖泊、中型水库、小（一）型水库应限制捕捞强度，养殖主体应于每年年初制定当年年度捕捞方案，明确捕捞种类、数量、规格、时间及捕捞区域，年度捕捞方案应征得县渔业主管部门同意并备案。</w:t>
      </w:r>
    </w:p>
    <w:p w14:paraId="27158778">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加强水环境监管。加强限制养殖区养殖全过程的水环境监管，水产养殖污染物排放应符合国家或地方规定的污染物排放标准。对区域内超过污染物排放标准的水产养殖主体，应限期整改，整改后仍不达标的，由县相关部门负责限期搬迁或关停。限制养殖区划定前已有的水产养殖，因搬迁或关停造成养殖生产者经济损失的，应依法给予补偿并妥善安置其生产生活。</w:t>
      </w:r>
    </w:p>
    <w:p w14:paraId="2022EDB2">
      <w:pPr>
        <w:pStyle w:val="3"/>
        <w:ind w:firstLine="643"/>
        <w:rPr>
          <w:rFonts w:hint="default" w:ascii="Times New Roman" w:hAnsi="Times New Roman" w:cs="Times New Roman"/>
          <w:color w:val="000000" w:themeColor="text1"/>
          <w14:textFill>
            <w14:solidFill>
              <w14:schemeClr w14:val="tx1"/>
            </w14:solidFill>
          </w14:textFill>
        </w:rPr>
      </w:pPr>
      <w:bookmarkStart w:id="117" w:name="_Toc27651"/>
      <w:bookmarkStart w:id="118" w:name="_Toc14424"/>
      <w:bookmarkStart w:id="119" w:name="_Toc3004"/>
      <w:bookmarkStart w:id="120" w:name="_Toc4760"/>
      <w:bookmarkStart w:id="121" w:name="_Toc26718"/>
      <w:r>
        <w:rPr>
          <w:rFonts w:hint="default" w:ascii="Times New Roman" w:hAnsi="Times New Roman" w:cs="Times New Roman"/>
          <w:color w:val="000000" w:themeColor="text1"/>
          <w14:textFill>
            <w14:solidFill>
              <w14:schemeClr w14:val="tx1"/>
            </w14:solidFill>
          </w14:textFill>
        </w:rPr>
        <w:t>养殖区</w:t>
      </w:r>
      <w:bookmarkEnd w:id="117"/>
      <w:bookmarkEnd w:id="118"/>
      <w:bookmarkEnd w:id="119"/>
      <w:bookmarkEnd w:id="120"/>
      <w:bookmarkEnd w:id="121"/>
    </w:p>
    <w:p w14:paraId="1B5F07B2">
      <w:pPr>
        <w:pStyle w:val="4"/>
        <w:numPr>
          <w:ilvl w:val="2"/>
          <w:numId w:val="17"/>
        </w:numPr>
        <w:ind w:left="0" w:firstLine="643"/>
        <w:rPr>
          <w:rFonts w:hint="default" w:ascii="Times New Roman" w:hAnsi="Times New Roman" w:cs="Times New Roman"/>
          <w:color w:val="000000" w:themeColor="text1"/>
          <w14:textFill>
            <w14:solidFill>
              <w14:schemeClr w14:val="tx1"/>
            </w14:solidFill>
          </w14:textFill>
        </w:rPr>
      </w:pPr>
      <w:bookmarkStart w:id="122" w:name="_Toc25623"/>
      <w:r>
        <w:rPr>
          <w:rFonts w:hint="default" w:ascii="Times New Roman" w:hAnsi="Times New Roman" w:cs="Times New Roman"/>
          <w:color w:val="000000" w:themeColor="text1"/>
          <w14:textFill>
            <w14:solidFill>
              <w14:schemeClr w14:val="tx1"/>
            </w14:solidFill>
          </w14:textFill>
        </w:rPr>
        <w:t>养殖区类型、面积</w:t>
      </w:r>
    </w:p>
    <w:p w14:paraId="6212A7A8">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禁养区和限养区以外水域滩涂为养殖区，全县养殖水域滩涂养殖区详见</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_Ref24108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表5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w:t>
      </w:r>
    </w:p>
    <w:p w14:paraId="3C013EF8">
      <w:pPr>
        <w:pStyle w:val="7"/>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SEQ 表 \* ARABIC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寿县养殖水域滩涂禁止养殖区一览表（单位:公顷）</w:t>
      </w:r>
    </w:p>
    <w:tbl>
      <w:tblPr>
        <w:tblStyle w:val="17"/>
        <w:tblW w:w="830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143"/>
        <w:gridCol w:w="1134"/>
        <w:gridCol w:w="1040"/>
        <w:gridCol w:w="1039"/>
        <w:gridCol w:w="1134"/>
        <w:gridCol w:w="923"/>
        <w:gridCol w:w="850"/>
      </w:tblGrid>
      <w:tr w14:paraId="66C64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37" w:type="dxa"/>
            <w:shd w:val="clear" w:color="auto" w:fill="auto"/>
            <w:vAlign w:val="center"/>
          </w:tcPr>
          <w:p w14:paraId="49BBC81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类型</w:t>
            </w:r>
          </w:p>
        </w:tc>
        <w:tc>
          <w:tcPr>
            <w:tcW w:w="1143" w:type="dxa"/>
            <w:shd w:val="clear" w:color="auto" w:fill="auto"/>
            <w:vAlign w:val="center"/>
          </w:tcPr>
          <w:p w14:paraId="3953DC6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河流</w:t>
            </w:r>
          </w:p>
        </w:tc>
        <w:tc>
          <w:tcPr>
            <w:tcW w:w="1134" w:type="dxa"/>
            <w:shd w:val="clear" w:color="auto" w:fill="auto"/>
            <w:vAlign w:val="center"/>
          </w:tcPr>
          <w:p w14:paraId="4D07ED6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w:t>
            </w:r>
          </w:p>
        </w:tc>
        <w:tc>
          <w:tcPr>
            <w:tcW w:w="1040" w:type="dxa"/>
            <w:shd w:val="clear" w:color="auto" w:fill="auto"/>
            <w:vAlign w:val="center"/>
          </w:tcPr>
          <w:p w14:paraId="482FF65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w:t>
            </w:r>
          </w:p>
        </w:tc>
        <w:tc>
          <w:tcPr>
            <w:tcW w:w="1039" w:type="dxa"/>
            <w:shd w:val="clear" w:color="auto" w:fill="auto"/>
            <w:vAlign w:val="center"/>
          </w:tcPr>
          <w:p w14:paraId="65DF143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养殖坑塘</w:t>
            </w:r>
          </w:p>
        </w:tc>
        <w:tc>
          <w:tcPr>
            <w:tcW w:w="1134" w:type="dxa"/>
            <w:shd w:val="clear" w:color="auto" w:fill="auto"/>
            <w:vAlign w:val="center"/>
          </w:tcPr>
          <w:p w14:paraId="083F30D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坑塘</w:t>
            </w:r>
          </w:p>
        </w:tc>
        <w:tc>
          <w:tcPr>
            <w:tcW w:w="923" w:type="dxa"/>
            <w:shd w:val="clear" w:color="auto" w:fill="auto"/>
            <w:vAlign w:val="center"/>
          </w:tcPr>
          <w:p w14:paraId="072A9AA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内陆滩涂</w:t>
            </w:r>
          </w:p>
        </w:tc>
        <w:tc>
          <w:tcPr>
            <w:tcW w:w="850" w:type="dxa"/>
            <w:shd w:val="clear" w:color="auto" w:fill="auto"/>
            <w:vAlign w:val="center"/>
          </w:tcPr>
          <w:p w14:paraId="607ED2F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合计</w:t>
            </w:r>
          </w:p>
        </w:tc>
      </w:tr>
      <w:tr w14:paraId="4489F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37" w:type="dxa"/>
            <w:shd w:val="clear" w:color="auto" w:fill="auto"/>
            <w:vAlign w:val="center"/>
          </w:tcPr>
          <w:p w14:paraId="1FA769D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tc>
        <w:tc>
          <w:tcPr>
            <w:tcW w:w="1143" w:type="dxa"/>
            <w:shd w:val="clear" w:color="auto" w:fill="auto"/>
            <w:vAlign w:val="center"/>
          </w:tcPr>
          <w:p w14:paraId="070B282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12.49</w:t>
            </w:r>
          </w:p>
        </w:tc>
        <w:tc>
          <w:tcPr>
            <w:tcW w:w="1134" w:type="dxa"/>
            <w:shd w:val="clear" w:color="auto" w:fill="auto"/>
            <w:vAlign w:val="center"/>
          </w:tcPr>
          <w:p w14:paraId="0264C39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272.44</w:t>
            </w:r>
          </w:p>
        </w:tc>
        <w:tc>
          <w:tcPr>
            <w:tcW w:w="1040" w:type="dxa"/>
            <w:shd w:val="clear" w:color="auto" w:fill="auto"/>
            <w:vAlign w:val="center"/>
          </w:tcPr>
          <w:p w14:paraId="1992D33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860.88</w:t>
            </w:r>
          </w:p>
        </w:tc>
        <w:tc>
          <w:tcPr>
            <w:tcW w:w="1039" w:type="dxa"/>
            <w:shd w:val="clear" w:color="auto" w:fill="auto"/>
            <w:vAlign w:val="center"/>
          </w:tcPr>
          <w:p w14:paraId="4318BBFB">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597.28</w:t>
            </w:r>
          </w:p>
        </w:tc>
        <w:tc>
          <w:tcPr>
            <w:tcW w:w="1134" w:type="dxa"/>
            <w:shd w:val="clear" w:color="auto" w:fill="auto"/>
            <w:vAlign w:val="center"/>
          </w:tcPr>
          <w:p w14:paraId="0F693DB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15264.43</w:t>
            </w:r>
          </w:p>
        </w:tc>
        <w:tc>
          <w:tcPr>
            <w:tcW w:w="923" w:type="dxa"/>
            <w:shd w:val="clear" w:color="auto" w:fill="auto"/>
            <w:vAlign w:val="center"/>
          </w:tcPr>
          <w:p w14:paraId="4519600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1.48</w:t>
            </w:r>
          </w:p>
        </w:tc>
        <w:tc>
          <w:tcPr>
            <w:tcW w:w="850" w:type="dxa"/>
            <w:shd w:val="clear" w:color="auto" w:fill="auto"/>
            <w:vAlign w:val="center"/>
          </w:tcPr>
          <w:p w14:paraId="6E36C13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17009</w:t>
            </w:r>
          </w:p>
        </w:tc>
      </w:tr>
    </w:tbl>
    <w:p w14:paraId="3D7E0148">
      <w:pPr>
        <w:pStyle w:val="4"/>
        <w:ind w:firstLine="64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养殖区管理措施</w:t>
      </w:r>
      <w:bookmarkEnd w:id="122"/>
    </w:p>
    <w:p w14:paraId="5357FCA6">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（一）落实养殖水域滩涂规划制度。</w:t>
      </w:r>
      <w:r>
        <w:rPr>
          <w:rFonts w:hint="eastAsia" w:cs="Times New Roman"/>
          <w:color w:val="000000" w:themeColor="text1"/>
          <w:lang w:eastAsia="zh-CN"/>
          <w14:textFill>
            <w14:solidFill>
              <w14:schemeClr w14:val="tx1"/>
            </w14:solidFill>
          </w14:textFill>
        </w:rPr>
        <w:t>完善全民所有养殖水域滩涂的使用审批流程和管理机制，规范水域滩涂养殖的发证登记工作，并加速推进集体所有养殖水域滩涂承包经营权的确权登记颁证</w:t>
      </w:r>
      <w:r>
        <w:rPr>
          <w:rFonts w:hint="default" w:ascii="Times New Roman" w:hAnsi="Times New Roman" w:cs="Times New Roman"/>
          <w:color w:val="000000" w:themeColor="text1"/>
          <w14:textFill>
            <w14:solidFill>
              <w14:schemeClr w14:val="tx1"/>
            </w14:solidFill>
          </w14:textFill>
        </w:rPr>
        <w:t>，依法查处非法侵占养殖水域滩涂行为，依法保障养殖生产者的合法权益。新开发建设项目应严格执行环境影响评价制度。</w:t>
      </w:r>
    </w:p>
    <w:p w14:paraId="68CE9C0A">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（二）推进水产绿色健康养殖。</w:t>
      </w:r>
      <w:r>
        <w:rPr>
          <w:rFonts w:hint="eastAsia" w:cs="Times New Roman"/>
          <w:color w:val="000000" w:themeColor="text1"/>
          <w:lang w:eastAsia="zh-CN"/>
          <w14:textFill>
            <w14:solidFill>
              <w14:schemeClr w14:val="tx1"/>
            </w14:solidFill>
          </w14:textFill>
        </w:rPr>
        <w:t>推行水产绿色健康养殖技术，重点实施‘五大行动’：生态健康养殖、养殖尾水综合治理、养殖用药科学减量、配合饲料替代幼杂鱼以及种业质量全面提升</w:t>
      </w:r>
      <w:r>
        <w:rPr>
          <w:rFonts w:hint="default" w:ascii="Times New Roman" w:hAnsi="Times New Roman" w:cs="Times New Roman"/>
          <w:color w:val="000000" w:themeColor="text1"/>
          <w14:textFill>
            <w14:solidFill>
              <w14:schemeClr w14:val="tx1"/>
            </w14:solidFill>
          </w14:textFill>
        </w:rPr>
        <w:t>，推广水产优良品种，发展池塘标准化养殖和工厂化循环水养殖等生态健康养殖模式，科学合理地确定养殖密度，并严格规范水产养殖中兽药、饲料及饲料添加剂等投入品的使用，以进一步提升水产品的质量安全水平。</w:t>
      </w:r>
      <w:r>
        <w:rPr>
          <w:rFonts w:hint="eastAsia" w:cs="Times New Roman"/>
          <w:color w:val="000000" w:themeColor="text1"/>
          <w:lang w:eastAsia="zh-CN"/>
          <w14:textFill>
            <w14:solidFill>
              <w14:schemeClr w14:val="tx1"/>
            </w14:solidFill>
          </w14:textFill>
        </w:rPr>
        <w:t>加强养殖区水域的环保管理，稳步推动养殖尾水实现达标排放或循环利用，以切实保护养殖水域的生态环境</w:t>
      </w:r>
      <w:r>
        <w:rPr>
          <w:rFonts w:hint="default" w:ascii="Times New Roman" w:hAnsi="Times New Roman" w:cs="Times New Roman"/>
          <w:color w:val="000000" w:themeColor="text1"/>
          <w14:textFill>
            <w14:solidFill>
              <w14:schemeClr w14:val="tx1"/>
            </w14:solidFill>
          </w14:textFill>
        </w:rPr>
        <w:t>。</w:t>
      </w:r>
    </w:p>
    <w:p w14:paraId="56667CCE">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提高养殖设施装备水平。推进绿色养殖池塘标准化改造升级，完善循环水和尾水处理设施，探索建立养殖池塘维护和改造长效机制，提升池塘养殖稳产保供能力。鼓励发展设施渔业，提升工厂化养殖设施的机械化、智能化、现代化水平，促进渔业转型升级。</w:t>
      </w:r>
    </w:p>
    <w:p w14:paraId="669B7565">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四）加强水产养殖物种管理。养殖可育杂交个体、通过生物工程等技术改变遗传性状的个体及后代、外来物种的，其场所应依法建立严格的隔离和防逃措施，避免养殖物种逃离，并禁止投放于河流、湖泊、水库等自然水域。外来物种名录参考农业农村部《常见水生生物外来种、杂交种和选育种名录》（农渔发〔2022〕1号）。</w:t>
      </w:r>
    </w:p>
    <w:p w14:paraId="091FEB7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（五）</w:t>
      </w:r>
      <w:r>
        <w:rPr>
          <w:rFonts w:hint="eastAsia" w:cs="Times New Roman"/>
          <w:color w:val="000000" w:themeColor="text1"/>
          <w:lang w:eastAsia="zh-CN"/>
          <w14:textFill>
            <w14:solidFill>
              <w14:schemeClr w14:val="tx1"/>
            </w14:solidFill>
          </w14:textFill>
        </w:rPr>
        <w:t>强化对涉渔入河排污口的管控力度。需综合考虑岸上与水域环境，依据受纳水体的生态环境功能区划，精准制定涉渔排污口的设置规范与管理要求，确保实现‘受纳水体—排污口—排污通道—排污单位’的全过程有效监管。</w:t>
      </w:r>
      <w:r>
        <w:rPr>
          <w:rFonts w:hint="default" w:ascii="Times New Roman" w:hAnsi="Times New Roman" w:cs="Times New Roman"/>
          <w:color w:val="000000" w:themeColor="text1"/>
          <w14:textFill>
            <w14:solidFill>
              <w14:schemeClr w14:val="tx1"/>
            </w14:solidFill>
          </w14:textFill>
        </w:rPr>
        <w:t>农业农村部门需协同水利部门及生态环境部门，共同开展排污口的摸查与规范化设置工作，并精确测定各排污口的地理位置。明确每个排污口责任主体，确保事有人管、责有人负。生态环境部门统一行使排污口污染排放监督管理和行政执法职责，水利和农业农村等相关部门按职责分工协作。</w:t>
      </w:r>
    </w:p>
    <w:p w14:paraId="1F5ADFC3">
      <w:pPr>
        <w:ind w:firstLine="600"/>
        <w:rPr>
          <w:rFonts w:hint="default" w:ascii="Times New Roman" w:hAnsi="Times New Roman" w:cs="Times New Roman"/>
          <w:color w:val="000000" w:themeColor="text1"/>
          <w14:textFill>
            <w14:solidFill>
              <w14:schemeClr w14:val="tx1"/>
            </w14:solidFill>
          </w14:textFill>
        </w:rPr>
        <w:sectPr>
          <w:pgSz w:w="11850" w:h="16783"/>
          <w:pgMar w:top="1440" w:right="1800" w:bottom="1440" w:left="1800" w:header="851" w:footer="992" w:gutter="0"/>
          <w:cols w:space="425" w:num="1"/>
          <w:docGrid w:type="lines" w:linePitch="312" w:charSpace="0"/>
        </w:sectPr>
      </w:pPr>
    </w:p>
    <w:p w14:paraId="69263856">
      <w:pPr>
        <w:pStyle w:val="2"/>
        <w:rPr>
          <w:rFonts w:hint="default" w:ascii="Times New Roman" w:hAnsi="Times New Roman" w:cs="Times New Roman"/>
          <w:color w:val="000000" w:themeColor="text1"/>
          <w14:textFill>
            <w14:solidFill>
              <w14:schemeClr w14:val="tx1"/>
            </w14:solidFill>
          </w14:textFill>
        </w:rPr>
      </w:pPr>
      <w:bookmarkStart w:id="123" w:name="_Toc16909"/>
      <w:bookmarkStart w:id="124" w:name="_Toc31688"/>
      <w:bookmarkStart w:id="125" w:name="_Toc17742"/>
      <w:bookmarkStart w:id="126" w:name="_Toc29138"/>
      <w:bookmarkStart w:id="127" w:name="_Toc13160"/>
      <w:r>
        <w:rPr>
          <w:rFonts w:hint="default" w:ascii="Times New Roman" w:hAnsi="Times New Roman" w:cs="Times New Roman"/>
          <w:color w:val="000000" w:themeColor="text1"/>
          <w14:textFill>
            <w14:solidFill>
              <w14:schemeClr w14:val="tx1"/>
            </w14:solidFill>
          </w14:textFill>
        </w:rPr>
        <w:t>保障措施</w:t>
      </w:r>
      <w:bookmarkEnd w:id="123"/>
      <w:bookmarkEnd w:id="124"/>
      <w:bookmarkEnd w:id="125"/>
      <w:bookmarkEnd w:id="126"/>
      <w:bookmarkEnd w:id="127"/>
    </w:p>
    <w:p w14:paraId="266B088F">
      <w:pPr>
        <w:pStyle w:val="3"/>
        <w:ind w:firstLine="643"/>
        <w:rPr>
          <w:rFonts w:hint="default" w:ascii="Times New Roman" w:hAnsi="Times New Roman" w:cs="Times New Roman"/>
          <w:color w:val="000000" w:themeColor="text1"/>
          <w14:textFill>
            <w14:solidFill>
              <w14:schemeClr w14:val="tx1"/>
            </w14:solidFill>
          </w14:textFill>
        </w:rPr>
      </w:pPr>
      <w:bookmarkStart w:id="128" w:name="_Toc8134"/>
      <w:bookmarkStart w:id="129" w:name="_Toc19465"/>
      <w:bookmarkStart w:id="130" w:name="_Toc20640"/>
      <w:bookmarkStart w:id="131" w:name="_Toc9093"/>
      <w:r>
        <w:rPr>
          <w:rFonts w:hint="default" w:ascii="Times New Roman" w:hAnsi="Times New Roman" w:cs="Times New Roman"/>
          <w:color w:val="000000" w:themeColor="text1"/>
          <w14:textFill>
            <w14:solidFill>
              <w14:schemeClr w14:val="tx1"/>
            </w14:solidFill>
          </w14:textFill>
        </w:rPr>
        <w:t>加强组织领导</w:t>
      </w:r>
      <w:bookmarkEnd w:id="128"/>
      <w:bookmarkEnd w:id="129"/>
      <w:bookmarkEnd w:id="130"/>
      <w:bookmarkEnd w:id="131"/>
    </w:p>
    <w:p w14:paraId="3F2576B9">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县</w:t>
      </w:r>
      <w:r>
        <w:rPr>
          <w:rFonts w:hint="default" w:ascii="Times New Roman" w:hAnsi="Times New Roman" w:cs="Times New Roman"/>
          <w:color w:val="000000" w:themeColor="text1"/>
          <w:lang w:val="en-US" w:eastAsia="zh-CN"/>
          <w14:textFill>
            <w14:solidFill>
              <w14:schemeClr w14:val="tx1"/>
            </w14:solidFill>
          </w14:textFill>
        </w:rPr>
        <w:t>渔业行政主管部门</w:t>
      </w:r>
      <w:r>
        <w:rPr>
          <w:rFonts w:hint="default" w:ascii="Times New Roman" w:hAnsi="Times New Roman" w:cs="Times New Roman"/>
          <w:color w:val="000000" w:themeColor="text1"/>
          <w14:textFill>
            <w14:solidFill>
              <w14:schemeClr w14:val="tx1"/>
            </w14:solidFill>
          </w14:textFill>
        </w:rPr>
        <w:t>牵头，强化养殖水域滩涂规划实施的组织与领导力，</w:t>
      </w:r>
      <w:r>
        <w:rPr>
          <w:rFonts w:hint="eastAsia" w:cs="Times New Roman"/>
          <w:color w:val="000000" w:themeColor="text1"/>
          <w:lang w:eastAsia="zh-CN"/>
          <w14:textFill>
            <w14:solidFill>
              <w14:schemeClr w14:val="tx1"/>
            </w14:solidFill>
          </w14:textFill>
        </w:rPr>
        <w:t>农业农村部门、水产中心、自然资源和规划（林业）部门、生态环境部门、水利部门、交通运输部门等需协同合作，明确职责分工，加强协作配合</w:t>
      </w:r>
      <w:r>
        <w:rPr>
          <w:rFonts w:hint="default" w:ascii="Times New Roman" w:hAnsi="Times New Roman" w:cs="Times New Roman"/>
          <w:color w:val="000000" w:themeColor="text1"/>
          <w14:textFill>
            <w14:solidFill>
              <w14:schemeClr w14:val="tx1"/>
            </w14:solidFill>
          </w14:textFill>
        </w:rPr>
        <w:t>，严格落实辖区内禁止养殖区、限制养殖区和养殖区属地管理责任。需确保养殖水域滩涂规划实施的有序推进，同时加强指导服务及监督管理工作，</w:t>
      </w:r>
      <w:r>
        <w:rPr>
          <w:rFonts w:hint="eastAsia" w:cs="Times New Roman"/>
          <w:color w:val="000000" w:themeColor="text1"/>
          <w:lang w:eastAsia="zh-CN"/>
          <w14:textFill>
            <w14:solidFill>
              <w14:schemeClr w14:val="tx1"/>
            </w14:solidFill>
          </w14:textFill>
        </w:rPr>
        <w:t>科学规划渔业产业发展路径，加强水域滩涂生态环境保护，确保水产养殖业的可持续发展，保障水产品的安全有效供应。</w:t>
      </w:r>
    </w:p>
    <w:p w14:paraId="19A25F7B">
      <w:pPr>
        <w:pStyle w:val="3"/>
        <w:ind w:firstLine="643"/>
        <w:rPr>
          <w:rFonts w:hint="default" w:ascii="Times New Roman" w:hAnsi="Times New Roman" w:cs="Times New Roman"/>
          <w:color w:val="000000" w:themeColor="text1"/>
          <w14:textFill>
            <w14:solidFill>
              <w14:schemeClr w14:val="tx1"/>
            </w14:solidFill>
          </w14:textFill>
        </w:rPr>
      </w:pPr>
      <w:bookmarkStart w:id="132" w:name="_Toc15341"/>
      <w:bookmarkStart w:id="133" w:name="_Toc14664"/>
      <w:r>
        <w:rPr>
          <w:rFonts w:hint="default" w:ascii="Times New Roman" w:hAnsi="Times New Roman" w:cs="Times New Roman"/>
          <w:color w:val="000000" w:themeColor="text1"/>
          <w14:textFill>
            <w14:solidFill>
              <w14:schemeClr w14:val="tx1"/>
            </w14:solidFill>
          </w14:textFill>
        </w:rPr>
        <w:t>强化监督检查</w:t>
      </w:r>
      <w:bookmarkEnd w:id="132"/>
      <w:bookmarkEnd w:id="133"/>
    </w:p>
    <w:p w14:paraId="1A726506">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强对养殖水域滩涂不同功能区的管制，确保禁止养殖区、限制养殖区和养殖区相关管理措施落实，保证规划实施效果。依法保障养殖生产经营者合法权益，充分调动养殖主体发展水产养殖的积极性。按照《水域滩涂养殖发证登记办法》等规定，规范水域滩涂养殖发证登记工作，优化调整养殖生产力布局。充分利用养殖信息管理系统，实现养殖证的动态管理，并强化水域滩涂开发利用与保护的动态监管及信息反馈机制。</w:t>
      </w:r>
    </w:p>
    <w:p w14:paraId="64C82F82">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强化水产养殖执法监管，规范渔业生产秩序，依法查处未依法取得养殖证或者超越养殖证许可范围在全民所有的水域从事养殖生产、妨碍航运、行洪等非法养殖行为。致力于维护良好的养殖水域环境，</w:t>
      </w:r>
      <w:r>
        <w:rPr>
          <w:rFonts w:hint="eastAsia" w:cs="Times New Roman"/>
          <w:color w:val="000000" w:themeColor="text1"/>
          <w:lang w:eastAsia="zh-CN"/>
          <w14:textFill>
            <w14:solidFill>
              <w14:schemeClr w14:val="tx1"/>
            </w14:solidFill>
          </w14:textFill>
        </w:rPr>
        <w:t>努力提升水产品质量安全，保障养殖水域滩涂的持续、合理利用。</w:t>
      </w:r>
      <w:r>
        <w:rPr>
          <w:rFonts w:hint="default" w:ascii="Times New Roman" w:hAnsi="Times New Roman" w:cs="Times New Roman"/>
          <w:color w:val="000000" w:themeColor="text1"/>
          <w14:textFill>
            <w14:solidFill>
              <w14:schemeClr w14:val="tx1"/>
            </w14:solidFill>
          </w14:textFill>
        </w:rPr>
        <w:t>加大渔业、环保等法律法规和政策宣传普及力度，提高养殖生产经营主体依法养殖和保护资源环境意识和能力。</w:t>
      </w:r>
    </w:p>
    <w:p w14:paraId="17FF081B">
      <w:pPr>
        <w:pStyle w:val="3"/>
        <w:ind w:firstLine="643"/>
        <w:rPr>
          <w:rFonts w:hint="default" w:ascii="Times New Roman" w:hAnsi="Times New Roman" w:cs="Times New Roman"/>
          <w:color w:val="000000" w:themeColor="text1"/>
          <w14:textFill>
            <w14:solidFill>
              <w14:schemeClr w14:val="tx1"/>
            </w14:solidFill>
          </w14:textFill>
        </w:rPr>
      </w:pPr>
      <w:bookmarkStart w:id="134" w:name="_Toc22433"/>
      <w:bookmarkStart w:id="135" w:name="_Toc16950"/>
      <w:bookmarkStart w:id="136" w:name="_Toc4223"/>
      <w:bookmarkStart w:id="137" w:name="_Toc27755"/>
      <w:bookmarkStart w:id="138" w:name="_Toc17627"/>
      <w:r>
        <w:rPr>
          <w:rFonts w:hint="default" w:ascii="Times New Roman" w:hAnsi="Times New Roman" w:cs="Times New Roman"/>
          <w:color w:val="000000" w:themeColor="text1"/>
          <w14:textFill>
            <w14:solidFill>
              <w14:schemeClr w14:val="tx1"/>
            </w14:solidFill>
          </w14:textFill>
        </w:rPr>
        <w:t>强化</w:t>
      </w:r>
      <w:bookmarkEnd w:id="134"/>
      <w:r>
        <w:rPr>
          <w:rFonts w:hint="default" w:ascii="Times New Roman" w:hAnsi="Times New Roman" w:cs="Times New Roman"/>
          <w:color w:val="000000" w:themeColor="text1"/>
          <w14:textFill>
            <w14:solidFill>
              <w14:schemeClr w14:val="tx1"/>
            </w14:solidFill>
          </w14:textFill>
        </w:rPr>
        <w:t>养殖水域滩涂保护与管理</w:t>
      </w:r>
      <w:bookmarkEnd w:id="135"/>
      <w:bookmarkEnd w:id="136"/>
      <w:bookmarkEnd w:id="137"/>
      <w:bookmarkEnd w:id="138"/>
    </w:p>
    <w:p w14:paraId="739EB1D2">
      <w:pPr>
        <w:spacing w:line="600" w:lineRule="exact"/>
        <w:ind w:firstLine="600"/>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养殖水域滩涂使用管理要严格依据本规划开展，严格限制擅自改变养殖水域滩涂使用用途，及时发现并纠正非法侵占养殖水域滩涂行为。对于规划范围外的区域，一律禁止新建及改扩建水产养殖项目。其他生态保护或工程建设项目等占用规划内养殖水域滩涂的，必须征求渔业行政主管部门意见，并按照有关要求对规划进行修订后实施，造成养殖生产者经济损失的应当依法给予补偿。</w:t>
      </w:r>
    </w:p>
    <w:p w14:paraId="452C50D8">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健全水域滩涂使用权的招、拍、挂等交易制度，推进集体所有养殖水域滩涂承包经营权的确权工作。在规划范围外，不得办理水域滩涂养殖证。在规划范围内，已从事水产养殖但尚未办理水域滩涂养殖证的，要及时补办有关手续，实行持证养殖。</w:t>
      </w:r>
    </w:p>
    <w:p w14:paraId="1ECFD8BF">
      <w:pPr>
        <w:pStyle w:val="3"/>
        <w:ind w:firstLine="643"/>
        <w:rPr>
          <w:rFonts w:hint="eastAsia" w:ascii="Times New Roman" w:hAnsi="Times New Roman" w:cs="Times New Roman"/>
          <w:color w:val="000000" w:themeColor="text1"/>
          <w:lang w:eastAsia="zh-CN"/>
          <w14:textFill>
            <w14:solidFill>
              <w14:schemeClr w14:val="tx1"/>
            </w14:solidFill>
          </w14:textFill>
        </w:rPr>
      </w:pPr>
      <w:bookmarkStart w:id="139" w:name="_Toc19695"/>
      <w:r>
        <w:rPr>
          <w:rFonts w:hint="eastAsia" w:ascii="Times New Roman" w:hAnsi="Times New Roman" w:cs="Times New Roman"/>
          <w:color w:val="000000" w:themeColor="text1"/>
          <w:lang w:eastAsia="zh-CN"/>
          <w14:textFill>
            <w14:solidFill>
              <w14:schemeClr w14:val="tx1"/>
            </w14:solidFill>
          </w14:textFill>
        </w:rPr>
        <w:t>加强渔业环境保护</w:t>
      </w:r>
      <w:bookmarkEnd w:id="139"/>
    </w:p>
    <w:p w14:paraId="08B8C91A">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加强养殖污染防控。通过合理的养殖密度、放养结构以及科学投饵，优化养殖水质，维持水体生态平衡，从而有效控制养殖内源污染。</w:t>
      </w:r>
    </w:p>
    <w:p w14:paraId="6379BE48">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强化投入品管理。加强水产养殖用饲料、渔药等投入品使用管理。</w:t>
      </w:r>
      <w:r>
        <w:rPr>
          <w:rFonts w:hint="eastAsia" w:cs="Times New Roman"/>
          <w:color w:val="000000" w:themeColor="text1"/>
          <w:lang w:eastAsia="zh-CN"/>
          <w14:textFill>
            <w14:solidFill>
              <w14:schemeClr w14:val="tx1"/>
            </w14:solidFill>
          </w14:textFill>
        </w:rPr>
        <w:t>积极推广应用安全、高效、低毒、低残留的绿色水产药品和环保饲料，以满足市场对高品质、无污染饲料的需求，并严厉打击非法使用水产养殖投入品的行为。</w:t>
      </w:r>
    </w:p>
    <w:p w14:paraId="33EFAB4A">
      <w:pPr>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加强养殖尾水治理。落实养殖尾水排放属地监管职责和生产者环境保护主体责任。引导养殖生产者通过改造进排水、循环利用、生物净化等方式治理养殖尾水，推动尾水达标排放。</w:t>
      </w:r>
      <w:r>
        <w:rPr>
          <w:rFonts w:hint="eastAsia" w:cs="Times New Roman"/>
          <w:color w:val="000000" w:themeColor="text1"/>
          <w:lang w:eastAsia="zh-CN"/>
          <w14:textFill>
            <w14:solidFill>
              <w14:schemeClr w14:val="tx1"/>
            </w14:solidFill>
          </w14:textFill>
        </w:rPr>
        <w:t>生态环境部门需定期执行尾水排放监测点的抽样检测，确保水产养殖尾水排放符合标准，并对水质指标超标的养殖主体实施处罚和限期整改，以保护水生态环境。</w:t>
      </w:r>
    </w:p>
    <w:p w14:paraId="47ABE924">
      <w:pPr>
        <w:ind w:firstLine="600"/>
        <w:rPr>
          <w:rFonts w:hint="default" w:ascii="Times New Roman" w:hAnsi="Times New Roman" w:cs="Times New Roman"/>
          <w:color w:val="000000" w:themeColor="text1"/>
          <w14:textFill>
            <w14:solidFill>
              <w14:schemeClr w14:val="tx1"/>
            </w14:solidFill>
          </w14:textFill>
        </w:rPr>
        <w:sectPr>
          <w:pgSz w:w="11850" w:h="16783"/>
          <w:pgMar w:top="1440" w:right="1800" w:bottom="1440" w:left="1800" w:header="851" w:footer="992" w:gutter="0"/>
          <w:cols w:space="425" w:num="1"/>
          <w:docGrid w:type="lines" w:linePitch="312" w:charSpace="0"/>
        </w:sectPr>
      </w:pPr>
    </w:p>
    <w:p w14:paraId="17A44A39">
      <w:pPr>
        <w:pStyle w:val="2"/>
        <w:rPr>
          <w:rFonts w:hint="default" w:ascii="Times New Roman" w:hAnsi="Times New Roman" w:cs="Times New Roman"/>
          <w:color w:val="000000" w:themeColor="text1"/>
          <w14:textFill>
            <w14:solidFill>
              <w14:schemeClr w14:val="tx1"/>
            </w14:solidFill>
          </w14:textFill>
        </w:rPr>
      </w:pPr>
      <w:bookmarkStart w:id="140" w:name="_Toc20476"/>
      <w:bookmarkStart w:id="141" w:name="_Toc30734"/>
      <w:r>
        <w:rPr>
          <w:rFonts w:hint="default" w:ascii="Times New Roman" w:hAnsi="Times New Roman" w:cs="Times New Roman"/>
          <w:color w:val="000000" w:themeColor="text1"/>
          <w14:textFill>
            <w14:solidFill>
              <w14:schemeClr w14:val="tx1"/>
            </w14:solidFill>
          </w14:textFill>
        </w:rPr>
        <w:t>规划实施环境影响分析</w:t>
      </w:r>
      <w:bookmarkEnd w:id="140"/>
      <w:bookmarkEnd w:id="141"/>
    </w:p>
    <w:p w14:paraId="15649627">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规划环境影响评价条例》《规划环境影响评价技术导则总纲》（HJ130－2019）等相关法律法规和技术规范的要求，从环境保护的角度对规划实施的环境影响和规划的协调性进行分析，并有针对性地提出环境保护措施。</w:t>
      </w:r>
    </w:p>
    <w:p w14:paraId="4B058D6B">
      <w:pPr>
        <w:pStyle w:val="3"/>
        <w:ind w:firstLine="643"/>
        <w:rPr>
          <w:rFonts w:hint="default" w:ascii="Times New Roman" w:hAnsi="Times New Roman" w:cs="Times New Roman"/>
          <w:color w:val="000000" w:themeColor="text1"/>
          <w:lang w:val="zh-CN"/>
          <w14:textFill>
            <w14:solidFill>
              <w14:schemeClr w14:val="tx1"/>
            </w14:solidFill>
          </w14:textFill>
        </w:rPr>
      </w:pPr>
      <w:bookmarkStart w:id="142" w:name="_Toc4010"/>
      <w:bookmarkStart w:id="143" w:name="_Toc10693"/>
      <w:bookmarkStart w:id="144" w:name="_Toc1075205041"/>
      <w:bookmarkStart w:id="145" w:name="_Toc8540"/>
      <w:bookmarkStart w:id="146" w:name="_Toc1927590167"/>
      <w:bookmarkStart w:id="147" w:name="_Toc130907275"/>
      <w:bookmarkStart w:id="148" w:name="_Toc9762"/>
      <w:r>
        <w:rPr>
          <w:rFonts w:hint="default" w:ascii="Times New Roman" w:hAnsi="Times New Roman" w:cs="Times New Roman"/>
          <w:color w:val="000000" w:themeColor="text1"/>
          <w:lang w:val="zh-CN"/>
          <w14:textFill>
            <w14:solidFill>
              <w14:schemeClr w14:val="tx1"/>
            </w14:solidFill>
          </w14:textFill>
        </w:rPr>
        <w:t>环境影响分析、预测和评估</w:t>
      </w:r>
      <w:bookmarkEnd w:id="142"/>
      <w:bookmarkEnd w:id="143"/>
      <w:bookmarkEnd w:id="144"/>
      <w:bookmarkEnd w:id="145"/>
      <w:bookmarkEnd w:id="146"/>
      <w:bookmarkEnd w:id="147"/>
      <w:bookmarkEnd w:id="148"/>
    </w:p>
    <w:p w14:paraId="40A8A29B">
      <w:pPr>
        <w:pStyle w:val="4"/>
        <w:numPr>
          <w:ilvl w:val="2"/>
          <w:numId w:val="18"/>
        </w:numPr>
        <w:ind w:left="0" w:firstLine="643"/>
        <w:rPr>
          <w:rFonts w:hint="default" w:ascii="Times New Roman" w:hAnsi="Times New Roman" w:cs="Times New Roman"/>
          <w:color w:val="000000" w:themeColor="text1"/>
          <w14:textFill>
            <w14:solidFill>
              <w14:schemeClr w14:val="tx1"/>
            </w14:solidFill>
          </w14:textFill>
        </w:rPr>
      </w:pPr>
      <w:bookmarkStart w:id="149" w:name="_Toc32643"/>
      <w:r>
        <w:rPr>
          <w:rFonts w:hint="default" w:ascii="Times New Roman" w:hAnsi="Times New Roman" w:cs="Times New Roman"/>
          <w:color w:val="000000" w:themeColor="text1"/>
          <w14:textFill>
            <w14:solidFill>
              <w14:schemeClr w14:val="tx1"/>
            </w14:solidFill>
          </w14:textFill>
        </w:rPr>
        <w:t>环境影响分析和预测</w:t>
      </w:r>
      <w:bookmarkEnd w:id="149"/>
    </w:p>
    <w:p w14:paraId="1D57D048">
      <w:pPr>
        <w:adjustRightInd w:val="0"/>
        <w:snapToGrid w:val="0"/>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为贯彻落实党中央、国务院和省委、省政府关于生态文明建设的方针政策，</w:t>
      </w:r>
      <w:r>
        <w:rPr>
          <w:rFonts w:hint="eastAsia" w:cs="Times New Roman"/>
          <w:color w:val="000000" w:themeColor="text1"/>
          <w:lang w:eastAsia="zh-CN"/>
          <w14:textFill>
            <w14:solidFill>
              <w14:schemeClr w14:val="tx1"/>
            </w14:solidFill>
          </w14:textFill>
        </w:rPr>
        <w:t>强化寿县养殖水域滩涂的规划分类管理，以推动寿县水产养殖业稳健而持续地向前发展</w:t>
      </w:r>
      <w:r>
        <w:rPr>
          <w:rFonts w:hint="default" w:ascii="Times New Roman" w:hAnsi="Times New Roman" w:cs="Times New Roman"/>
          <w:color w:val="000000" w:themeColor="text1"/>
          <w14:textFill>
            <w14:solidFill>
              <w14:schemeClr w14:val="tx1"/>
            </w14:solidFill>
          </w14:textFill>
        </w:rPr>
        <w:t>，加快推进水产养殖业转方式调结构，本规划根据原农业部《养殖水域滩涂规划编制工作规范》，对寿县辖区内已经进行水产养殖开发利用和目前尚未开发但适于水产养殖开发利用的所有（全民、集体）水域和滩涂进行了空间布局规划，将辖区内养殖水域滩涂划设为禁止养殖区、限制养殖区和养殖区三个功能区。</w:t>
      </w:r>
    </w:p>
    <w:p w14:paraId="434EBC7A">
      <w:pPr>
        <w:adjustRightInd w:val="0"/>
        <w:snapToGrid w:val="0"/>
        <w:ind w:firstLine="600"/>
        <w:rPr>
          <w:rFonts w:hint="eastAsia" w:ascii="Times New Roman" w:hAnsi="Times New Roman" w:eastAsia="仿宋"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规划深入剖析了寿县的水域滩涂资源状况、水文气候条件、水生生物资源分布以及水域环境质量</w:t>
      </w:r>
      <w:r>
        <w:rPr>
          <w:rFonts w:hint="default" w:ascii="Times New Roman" w:hAnsi="Times New Roman" w:cs="Times New Roman"/>
          <w:color w:val="000000" w:themeColor="text1"/>
          <w14:textFill>
            <w14:solidFill>
              <w14:schemeClr w14:val="tx1"/>
            </w14:solidFill>
          </w14:textFill>
        </w:rPr>
        <w:t>，根据天然水域初级生产力水平，确定了寿县地区湖泊水库渔业承载力上限；</w:t>
      </w:r>
      <w:r>
        <w:rPr>
          <w:rFonts w:hint="eastAsia" w:cs="Times New Roman"/>
          <w:color w:val="000000" w:themeColor="text1"/>
          <w:lang w:eastAsia="zh-CN"/>
          <w14:textFill>
            <w14:solidFill>
              <w14:schemeClr w14:val="tx1"/>
            </w14:solidFill>
          </w14:textFill>
        </w:rPr>
        <w:t>结合寿县养殖池塘的平均投入强度、管理水平以及当地气候条件，科学测算了寿县养殖池塘在主要大宗鱼类、特色鱼类以及虾蟹等方面的养殖容量上限。</w:t>
      </w:r>
    </w:p>
    <w:p w14:paraId="04125312">
      <w:pPr>
        <w:adjustRightInd w:val="0"/>
        <w:snapToGrid w:val="0"/>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规划实施后，禁养区内历史已有的水产养殖依法采取搬迁或关停，有利于促进渔业资源和水域环境修复，强化水生生物资源养护和多样性保护，保障重要公共设施正常运行和社会安全，保障水产品质量安全。</w:t>
      </w:r>
    </w:p>
    <w:p w14:paraId="019DE436">
      <w:pPr>
        <w:adjustRightInd w:val="0"/>
        <w:snapToGrid w:val="0"/>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限制养殖区，将引领该功能区科学控制开发强度，推进大水面生态渔业发展，有利于强化渔业生态功能，优化养殖生产力布局和渔业水域生态环境，实现水质达标。</w:t>
      </w:r>
    </w:p>
    <w:p w14:paraId="61DFACE9">
      <w:pPr>
        <w:adjustRightInd w:val="0"/>
        <w:snapToGrid w:val="0"/>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养殖区，将引领该功能区内水域滩涂发展绿色健康养殖，在合理养殖承载力范围内科学确定养殖密度，实施精准投饵，严格规范用药，</w:t>
      </w:r>
      <w:r>
        <w:rPr>
          <w:rFonts w:hint="eastAsia" w:cs="Times New Roman"/>
          <w:color w:val="000000" w:themeColor="text1"/>
          <w:lang w:eastAsia="zh-CN"/>
          <w14:textFill>
            <w14:solidFill>
              <w14:schemeClr w14:val="tx1"/>
            </w14:solidFill>
          </w14:textFill>
        </w:rPr>
        <w:t>全面提升养殖产品的质量安全水平，同时强化养殖水域生态环境的保护工作</w:t>
      </w:r>
      <w:r>
        <w:rPr>
          <w:rFonts w:hint="default" w:ascii="Times New Roman" w:hAnsi="Times New Roman" w:cs="Times New Roman"/>
          <w:color w:val="000000" w:themeColor="text1"/>
          <w14:textFill>
            <w14:solidFill>
              <w14:schemeClr w14:val="tx1"/>
            </w14:solidFill>
          </w14:textFill>
        </w:rPr>
        <w:t>，开展养殖池塘标准化改造，推进养殖尾水循环利用或达标排放，促进渔业转型升级。</w:t>
      </w:r>
    </w:p>
    <w:p w14:paraId="02D2B3BE">
      <w:pPr>
        <w:pStyle w:val="4"/>
        <w:ind w:firstLine="643"/>
        <w:rPr>
          <w:rFonts w:hint="default" w:ascii="Times New Roman" w:hAnsi="Times New Roman" w:cs="Times New Roman"/>
          <w:color w:val="000000" w:themeColor="text1"/>
          <w14:textFill>
            <w14:solidFill>
              <w14:schemeClr w14:val="tx1"/>
            </w14:solidFill>
          </w14:textFill>
        </w:rPr>
      </w:pPr>
      <w:bookmarkStart w:id="150" w:name="_Toc8421"/>
      <w:r>
        <w:rPr>
          <w:rFonts w:hint="default" w:ascii="Times New Roman" w:hAnsi="Times New Roman" w:cs="Times New Roman"/>
          <w:color w:val="000000" w:themeColor="text1"/>
          <w14:textFill>
            <w14:solidFill>
              <w14:schemeClr w14:val="tx1"/>
            </w14:solidFill>
          </w14:textFill>
        </w:rPr>
        <w:t>规划协调性分析</w:t>
      </w:r>
      <w:bookmarkEnd w:id="150"/>
    </w:p>
    <w:p w14:paraId="466317B2">
      <w:pPr>
        <w:adjustRightInd w:val="0"/>
        <w:snapToGrid w:val="0"/>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本规划严格执行环境保护相关法律法规，贯彻落实党中央、国务院和省委、省政府关于生态文明建设的方针政策，以2020年国土变更调查成果和“三区三线”划定成果为底图，加强与生态环境、交通运输、水利、农业农村等其他相关专项规划衔接，纳入寿县国土空间规划体系。坚持水域滩涂生态环境保护优先，严格用途导向和监管，确保养殖水域滩涂资源有效保护、合理利用和依法管理，</w:t>
      </w:r>
      <w:r>
        <w:rPr>
          <w:rFonts w:hint="eastAsia" w:cs="Times New Roman"/>
          <w:color w:val="000000" w:themeColor="text1"/>
          <w:lang w:eastAsia="zh-CN"/>
          <w14:textFill>
            <w14:solidFill>
              <w14:schemeClr w14:val="tx1"/>
            </w14:solidFill>
          </w14:textFill>
        </w:rPr>
        <w:t>积极推动生态环境保护措施的实施，促进渔业向绿色发展方向转型</w:t>
      </w:r>
      <w:r>
        <w:rPr>
          <w:rFonts w:hint="default" w:ascii="Times New Roman" w:hAnsi="Times New Roman" w:cs="Times New Roman"/>
          <w:color w:val="000000" w:themeColor="text1"/>
          <w14:textFill>
            <w14:solidFill>
              <w14:schemeClr w14:val="tx1"/>
            </w14:solidFill>
          </w14:textFill>
        </w:rPr>
        <w:t>。</w:t>
      </w:r>
    </w:p>
    <w:p w14:paraId="40D4F45C">
      <w:pPr>
        <w:adjustRightInd w:val="0"/>
        <w:snapToGrid w:val="0"/>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在确保水体承载力范围内合理开展养殖活动，集约高效地利用水域资源，推动大水面生态渔业、池塘标准化养殖、工厂化循环水养殖等生态健康养殖模式的发展，并加强池塘标准化改造，实施养殖尾水治理，以全面提升水产养殖的规模化、集约化、机械化、智能化及清洁化水平，推动形成科技含量高、资源消耗低、环境污染少的水产养殖产业结构，有助于加强水域生态保护修复，改善生态环境质量，符合国家十部委《关于加快推进水产养殖业绿色发展的若干意见》《农业农村部生态环境部国家林草局关于推进大水面生态渔业发展的指导意见》等相关文件要求，环境协调性良好。</w:t>
      </w:r>
    </w:p>
    <w:p w14:paraId="7E8AB5D3">
      <w:pPr>
        <w:pStyle w:val="3"/>
        <w:ind w:firstLine="643"/>
        <w:rPr>
          <w:rFonts w:hint="default" w:ascii="Times New Roman" w:hAnsi="Times New Roman" w:cs="Times New Roman"/>
          <w:color w:val="000000" w:themeColor="text1"/>
          <w:lang w:val="zh-CN"/>
          <w14:textFill>
            <w14:solidFill>
              <w14:schemeClr w14:val="tx1"/>
            </w14:solidFill>
          </w14:textFill>
        </w:rPr>
      </w:pPr>
      <w:bookmarkStart w:id="151" w:name="_Toc171643342"/>
      <w:bookmarkStart w:id="152" w:name="_Toc26146"/>
      <w:bookmarkStart w:id="153" w:name="_Toc130907276"/>
      <w:bookmarkStart w:id="154" w:name="_Toc18241"/>
      <w:bookmarkStart w:id="155" w:name="_Toc1134405923"/>
      <w:bookmarkStart w:id="156" w:name="_Toc13153"/>
      <w:bookmarkStart w:id="157" w:name="_Toc9556"/>
      <w:r>
        <w:rPr>
          <w:rFonts w:hint="default" w:ascii="Times New Roman" w:hAnsi="Times New Roman" w:cs="Times New Roman"/>
          <w:color w:val="000000" w:themeColor="text1"/>
          <w:lang w:val="zh-CN"/>
          <w14:textFill>
            <w14:solidFill>
              <w14:schemeClr w14:val="tx1"/>
            </w14:solidFill>
          </w14:textFill>
        </w:rPr>
        <w:t>环境保护措施</w:t>
      </w:r>
      <w:bookmarkEnd w:id="151"/>
      <w:bookmarkEnd w:id="152"/>
      <w:bookmarkEnd w:id="153"/>
      <w:bookmarkEnd w:id="154"/>
      <w:bookmarkEnd w:id="155"/>
      <w:bookmarkEnd w:id="156"/>
      <w:bookmarkEnd w:id="157"/>
    </w:p>
    <w:p w14:paraId="42B30839">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加强渔业水域环境保护和水生生物资源养护。充分发挥生态渔业对水域环境的修复功能，鼓励发展湖泊、水库等大水面生态增养殖。根据资源调查结果，保护增殖滤食性、草食性、肉食性土著鱼类，实现以渔抑藻、以渔净水。开展水生生物资源和渔业水域生态环境监测，动态掌握水生生物资源和渔业水域环境状况，加强水生生物及其栖息地保护，严防外来物种，养护水生生物资源，改善水域生态环境。</w:t>
      </w:r>
    </w:p>
    <w:p w14:paraId="6B32271D">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（二）推动水产养殖业绿色发展。</w:t>
      </w:r>
      <w:r>
        <w:rPr>
          <w:rFonts w:hint="eastAsia" w:cs="Times New Roman"/>
          <w:color w:val="000000" w:themeColor="text1"/>
          <w:lang w:eastAsia="zh-CN"/>
          <w14:textFill>
            <w14:solidFill>
              <w14:schemeClr w14:val="tx1"/>
            </w14:solidFill>
          </w14:textFill>
        </w:rPr>
        <w:t>将绿色发展理念全面融入水产养殖生产的各个层面，科学合理地开发和利用水域滩涂资源，优化养殖空间布局，合理调整产业结构，积极推广生态健康养殖技术模式和养殖尾水治理模式，实施水产养殖用药减量行动，推广配合饲料替代幼杂鱼养殖技术，提升水产种业质量等‘五大行动’，</w:t>
      </w:r>
      <w:r>
        <w:rPr>
          <w:rFonts w:hint="default" w:ascii="Times New Roman" w:hAnsi="Times New Roman" w:cs="Times New Roman"/>
          <w:color w:val="000000" w:themeColor="text1"/>
          <w14:textFill>
            <w14:solidFill>
              <w14:schemeClr w14:val="tx1"/>
            </w14:solidFill>
          </w14:textFill>
        </w:rPr>
        <w:t>发挥水产养殖业在山水林田湖系统治理中的生态服务功能，促进水产养殖业转型升级，保护水域生态环境。</w:t>
      </w:r>
    </w:p>
    <w:p w14:paraId="707BA534">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落实生态管控措施。坚持生态优先、底线约束原则，依法科学有序利用自然资源，明确功能分区，该禁必禁，应限尽限，宜渔则渔，保障水域资源的合理开发与可持续利用。依法开展水产养殖新建项目环境影响评价，实施绿色养殖池塘标准化改造，开展池塘和工厂化等集约化养殖尾水治理，实现养殖尾水达标排放或循环利用。</w:t>
      </w:r>
    </w:p>
    <w:p w14:paraId="3AB626F5">
      <w:pPr>
        <w:pStyle w:val="3"/>
        <w:ind w:firstLine="643"/>
        <w:rPr>
          <w:rFonts w:hint="default" w:ascii="Times New Roman" w:hAnsi="Times New Roman" w:cs="Times New Roman"/>
          <w:color w:val="000000" w:themeColor="text1"/>
          <w:lang w:val="zh-CN"/>
          <w14:textFill>
            <w14:solidFill>
              <w14:schemeClr w14:val="tx1"/>
            </w14:solidFill>
          </w14:textFill>
        </w:rPr>
      </w:pPr>
      <w:bookmarkStart w:id="158" w:name="_Toc30882"/>
      <w:bookmarkStart w:id="159" w:name="_Toc130907277"/>
      <w:bookmarkStart w:id="160" w:name="_Toc24866"/>
      <w:bookmarkStart w:id="161" w:name="_Toc14869"/>
      <w:bookmarkStart w:id="162" w:name="_Toc868340011"/>
      <w:bookmarkStart w:id="163" w:name="_Toc22054275"/>
      <w:bookmarkStart w:id="164" w:name="_Toc27059"/>
      <w:r>
        <w:rPr>
          <w:rFonts w:hint="default" w:ascii="Times New Roman" w:hAnsi="Times New Roman" w:cs="Times New Roman"/>
          <w:color w:val="000000" w:themeColor="text1"/>
          <w:lang w:val="zh-CN"/>
          <w14:textFill>
            <w14:solidFill>
              <w14:schemeClr w14:val="tx1"/>
            </w14:solidFill>
          </w14:textFill>
        </w:rPr>
        <w:t>环境影响评价结论</w:t>
      </w:r>
      <w:bookmarkEnd w:id="158"/>
      <w:bookmarkEnd w:id="159"/>
      <w:bookmarkEnd w:id="160"/>
      <w:bookmarkEnd w:id="161"/>
      <w:bookmarkEnd w:id="162"/>
      <w:bookmarkEnd w:id="163"/>
      <w:bookmarkEnd w:id="164"/>
    </w:p>
    <w:p w14:paraId="081D46C0">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规划根据寿县水域滩涂资源、水文气候条件、水生生物资源、水域环境状况，开展了水域滩涂承载力评价和水产养殖业发展分析，科学划定禁止养殖区、限制养殖区和养殖区，与相关规划文件的环境协调性良好。借助严格的生产监管、养殖权益的全方位保护、发展模式的积极转变、养殖环境的持续优化、资金的充裕投入以及宣传引导力度的加强等措施，这些举措总体上对寿县环境保护产生了显著的积极作用与正面效应，有助于养护水生生物资源，改善水域生态环境，有效防控水产养殖污染，促进水产养殖业转型升级和绿色高质量发展，具备显著的经济、生态和社会效益。</w:t>
      </w:r>
    </w:p>
    <w:p w14:paraId="18EA6B3F">
      <w:pPr>
        <w:ind w:firstLine="600"/>
        <w:rPr>
          <w:rFonts w:hint="default" w:ascii="Times New Roman" w:hAnsi="Times New Roman" w:cs="Times New Roman"/>
          <w:color w:val="000000" w:themeColor="text1"/>
          <w14:textFill>
            <w14:solidFill>
              <w14:schemeClr w14:val="tx1"/>
            </w14:solidFill>
          </w14:textFill>
        </w:rPr>
      </w:pPr>
    </w:p>
    <w:p w14:paraId="1093C8F3">
      <w:pPr>
        <w:spacing w:line="600" w:lineRule="exact"/>
        <w:ind w:firstLine="640"/>
        <w:rPr>
          <w:rFonts w:hint="default" w:ascii="Times New Roman" w:hAnsi="Times New Roman" w:cs="Times New Roman"/>
          <w:color w:val="000000" w:themeColor="text1"/>
          <w:sz w:val="32"/>
          <w:szCs w:val="32"/>
          <w14:textFill>
            <w14:solidFill>
              <w14:schemeClr w14:val="tx1"/>
            </w14:solidFill>
          </w14:textFill>
        </w:rPr>
        <w:sectPr>
          <w:pgSz w:w="11850" w:h="16783"/>
          <w:pgMar w:top="1440" w:right="1800" w:bottom="1440" w:left="1800" w:header="851" w:footer="992" w:gutter="0"/>
          <w:cols w:space="425" w:num="1"/>
          <w:docGrid w:type="lines" w:linePitch="312" w:charSpace="0"/>
        </w:sectPr>
      </w:pPr>
    </w:p>
    <w:p w14:paraId="086A953C">
      <w:pPr>
        <w:pStyle w:val="2"/>
        <w:rPr>
          <w:rFonts w:hint="default" w:ascii="Times New Roman" w:hAnsi="Times New Roman" w:cs="Times New Roman"/>
          <w:color w:val="000000" w:themeColor="text1"/>
          <w14:textFill>
            <w14:solidFill>
              <w14:schemeClr w14:val="tx1"/>
            </w14:solidFill>
          </w14:textFill>
        </w:rPr>
      </w:pPr>
      <w:bookmarkStart w:id="165" w:name="_Toc29669"/>
      <w:bookmarkStart w:id="166" w:name="_Toc13756"/>
      <w:bookmarkStart w:id="167" w:name="_Toc32524"/>
      <w:bookmarkStart w:id="168" w:name="_Toc13798"/>
      <w:bookmarkStart w:id="169" w:name="_Toc15386"/>
      <w:r>
        <w:rPr>
          <w:rFonts w:hint="default" w:ascii="Times New Roman" w:hAnsi="Times New Roman" w:cs="Times New Roman"/>
          <w:color w:val="000000" w:themeColor="text1"/>
          <w14:textFill>
            <w14:solidFill>
              <w14:schemeClr w14:val="tx1"/>
            </w14:solidFill>
          </w14:textFill>
        </w:rPr>
        <w:t>附则</w:t>
      </w:r>
      <w:bookmarkEnd w:id="165"/>
      <w:bookmarkEnd w:id="166"/>
      <w:bookmarkEnd w:id="167"/>
      <w:bookmarkEnd w:id="168"/>
      <w:bookmarkEnd w:id="169"/>
    </w:p>
    <w:p w14:paraId="48681639">
      <w:pPr>
        <w:pStyle w:val="3"/>
        <w:ind w:firstLine="643"/>
        <w:rPr>
          <w:rFonts w:hint="default" w:ascii="Times New Roman" w:hAnsi="Times New Roman" w:cs="Times New Roman"/>
          <w:color w:val="000000" w:themeColor="text1"/>
          <w14:textFill>
            <w14:solidFill>
              <w14:schemeClr w14:val="tx1"/>
            </w14:solidFill>
          </w14:textFill>
        </w:rPr>
      </w:pPr>
      <w:bookmarkStart w:id="170" w:name="_Toc1530"/>
      <w:bookmarkStart w:id="171" w:name="_Toc26312"/>
      <w:bookmarkStart w:id="172" w:name="_Toc31305"/>
      <w:bookmarkStart w:id="173" w:name="_Toc2741"/>
      <w:bookmarkStart w:id="174" w:name="_Toc24005"/>
      <w:r>
        <w:rPr>
          <w:rFonts w:hint="default" w:ascii="Times New Roman" w:hAnsi="Times New Roman" w:cs="Times New Roman"/>
          <w:color w:val="000000" w:themeColor="text1"/>
          <w14:textFill>
            <w14:solidFill>
              <w14:schemeClr w14:val="tx1"/>
            </w14:solidFill>
          </w14:textFill>
        </w:rPr>
        <w:t>关于规划图件</w:t>
      </w:r>
      <w:bookmarkEnd w:id="170"/>
      <w:bookmarkEnd w:id="171"/>
      <w:bookmarkEnd w:id="172"/>
      <w:bookmarkEnd w:id="173"/>
      <w:bookmarkEnd w:id="174"/>
    </w:p>
    <w:p w14:paraId="4FBE4AA3">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规划图为规划文本附件，具有与文本同等的效力。</w:t>
      </w:r>
    </w:p>
    <w:p w14:paraId="559C5696">
      <w:pPr>
        <w:pStyle w:val="3"/>
        <w:ind w:firstLine="643"/>
        <w:rPr>
          <w:rFonts w:hint="default" w:ascii="Times New Roman" w:hAnsi="Times New Roman" w:cs="Times New Roman"/>
          <w:color w:val="000000" w:themeColor="text1"/>
          <w14:textFill>
            <w14:solidFill>
              <w14:schemeClr w14:val="tx1"/>
            </w14:solidFill>
          </w14:textFill>
        </w:rPr>
      </w:pPr>
      <w:bookmarkStart w:id="175" w:name="_Toc8015"/>
      <w:bookmarkStart w:id="176" w:name="_Toc29273"/>
      <w:bookmarkStart w:id="177" w:name="_Toc30220"/>
      <w:bookmarkStart w:id="178" w:name="_Toc25593"/>
      <w:bookmarkStart w:id="179" w:name="_Toc20027"/>
      <w:bookmarkStart w:id="180" w:name="_Toc25863"/>
      <w:r>
        <w:rPr>
          <w:rFonts w:hint="default" w:ascii="Times New Roman" w:hAnsi="Times New Roman" w:cs="Times New Roman"/>
          <w:color w:val="000000" w:themeColor="text1"/>
          <w14:textFill>
            <w14:solidFill>
              <w14:schemeClr w14:val="tx1"/>
            </w14:solidFill>
          </w14:textFill>
        </w:rPr>
        <w:t>关于规划实施的补充说明</w:t>
      </w:r>
      <w:bookmarkEnd w:id="175"/>
      <w:bookmarkEnd w:id="176"/>
      <w:bookmarkEnd w:id="177"/>
      <w:bookmarkEnd w:id="178"/>
      <w:bookmarkEnd w:id="179"/>
      <w:bookmarkEnd w:id="180"/>
    </w:p>
    <w:p w14:paraId="3328CBBA">
      <w:pPr>
        <w:ind w:firstLine="600"/>
        <w:rPr>
          <w:rFonts w:hint="default" w:ascii="Times New Roman" w:hAnsi="Times New Roman" w:cs="Times New Roman"/>
          <w:color w:val="000000" w:themeColor="text1"/>
          <w14:textFill>
            <w14:solidFill>
              <w14:schemeClr w14:val="tx1"/>
            </w14:solidFill>
          </w14:textFill>
        </w:rPr>
      </w:pPr>
      <w:bookmarkStart w:id="181" w:name="_Toc694"/>
      <w:r>
        <w:rPr>
          <w:rFonts w:hint="default" w:ascii="Times New Roman" w:hAnsi="Times New Roman" w:cs="Times New Roman"/>
          <w:color w:val="000000" w:themeColor="text1"/>
          <w14:textFill>
            <w14:solidFill>
              <w14:schemeClr w14:val="tx1"/>
            </w14:solidFill>
          </w14:textFill>
        </w:rPr>
        <w:t>本规划所确定的水域滩涂功能区范围如与现行相关上位规划、文件有相冲突之处，从其规定。</w:t>
      </w:r>
    </w:p>
    <w:p w14:paraId="3AA3D61F">
      <w:pPr>
        <w:ind w:firstLine="6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期内，若因自然保护地、水产种质资源保护区、生态保护红线、重大项目建设等调整导致养殖水域滩涂功能区发生改变，确需对规划进行修改时，将依照既定程序和相关规则，对本规划进行相应的调整或修订。</w:t>
      </w:r>
    </w:p>
    <w:p w14:paraId="57426D29">
      <w:pPr>
        <w:pStyle w:val="3"/>
        <w:ind w:firstLine="643"/>
        <w:rPr>
          <w:rFonts w:hint="default" w:ascii="Times New Roman" w:hAnsi="Times New Roman" w:cs="Times New Roman"/>
          <w:color w:val="000000" w:themeColor="text1"/>
          <w14:textFill>
            <w14:solidFill>
              <w14:schemeClr w14:val="tx1"/>
            </w14:solidFill>
          </w14:textFill>
        </w:rPr>
      </w:pPr>
      <w:bookmarkStart w:id="182" w:name="_Toc10519"/>
      <w:bookmarkStart w:id="183" w:name="_Toc7676"/>
      <w:bookmarkStart w:id="184" w:name="_Toc30624"/>
      <w:bookmarkStart w:id="185" w:name="_Toc2050"/>
      <w:bookmarkStart w:id="186" w:name="_Toc23595"/>
      <w:r>
        <w:rPr>
          <w:rFonts w:hint="default" w:ascii="Times New Roman" w:hAnsi="Times New Roman" w:cs="Times New Roman"/>
          <w:color w:val="000000" w:themeColor="text1"/>
          <w14:textFill>
            <w14:solidFill>
              <w14:schemeClr w14:val="tx1"/>
            </w14:solidFill>
          </w14:textFill>
        </w:rPr>
        <w:t>关于规划修订</w:t>
      </w:r>
      <w:bookmarkEnd w:id="181"/>
      <w:bookmarkEnd w:id="182"/>
      <w:bookmarkEnd w:id="183"/>
      <w:bookmarkEnd w:id="184"/>
      <w:bookmarkEnd w:id="185"/>
      <w:bookmarkEnd w:id="186"/>
    </w:p>
    <w:p w14:paraId="59DDFC62">
      <w:pPr>
        <w:ind w:firstLine="600"/>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规划批准后，未经规定程序任何单位和个人不得随意更改，</w:t>
      </w:r>
      <w:r>
        <w:rPr>
          <w:rFonts w:hint="default" w:ascii="Times New Roman" w:hAnsi="Times New Roman" w:cs="Times New Roman"/>
          <w:color w:val="000000" w:themeColor="text1"/>
          <w:lang w:val="en-US" w:eastAsia="zh-CN"/>
          <w14:textFill>
            <w14:solidFill>
              <w14:schemeClr w14:val="tx1"/>
            </w14:solidFill>
          </w14:textFill>
        </w:rPr>
        <w:t>县</w:t>
      </w:r>
      <w:r>
        <w:rPr>
          <w:rFonts w:hint="default" w:ascii="Times New Roman" w:hAnsi="Times New Roman" w:cs="Times New Roman"/>
          <w:color w:val="000000" w:themeColor="text1"/>
          <w14:textFill>
            <w14:solidFill>
              <w14:schemeClr w14:val="tx1"/>
            </w14:solidFill>
          </w14:textFill>
        </w:rPr>
        <w:t>渔业行政主管部门应定期对规划实施情况开展评估，因生态安全或重大民生工程建设等原因，养殖水域滩涂环境发生重大改变确需修改的，由</w:t>
      </w:r>
      <w:r>
        <w:rPr>
          <w:rFonts w:hint="default" w:ascii="Times New Roman" w:hAnsi="Times New Roman" w:cs="Times New Roman"/>
          <w:color w:val="000000" w:themeColor="text1"/>
          <w:lang w:val="en-US" w:eastAsia="zh-CN"/>
          <w14:textFill>
            <w14:solidFill>
              <w14:schemeClr w14:val="tx1"/>
            </w14:solidFill>
          </w14:textFill>
        </w:rPr>
        <w:t>县</w:t>
      </w:r>
      <w:r>
        <w:rPr>
          <w:rFonts w:hint="default" w:ascii="Times New Roman" w:hAnsi="Times New Roman" w:cs="Times New Roman"/>
          <w:color w:val="000000" w:themeColor="text1"/>
          <w14:textFill>
            <w14:solidFill>
              <w14:schemeClr w14:val="tx1"/>
            </w14:solidFill>
          </w14:textFill>
        </w:rPr>
        <w:t>渔业行政主管部门提出修改建议。</w:t>
      </w:r>
      <w:r>
        <w:rPr>
          <w:rFonts w:hint="eastAsia" w:cs="Times New Roman"/>
          <w:color w:val="000000" w:themeColor="text1"/>
          <w:lang w:eastAsia="zh-CN"/>
          <w14:textFill>
            <w14:solidFill>
              <w14:schemeClr w14:val="tx1"/>
            </w14:solidFill>
          </w14:textFill>
        </w:rPr>
        <w:t>一般性修改指的是在特定区域内进行且不影响一级养殖水域滩涂类型调整的修改，此类修改可由县渔业行政主管部门拟定方案，并报请县人民政府核准后实施。</w:t>
      </w:r>
      <w:r>
        <w:rPr>
          <w:rFonts w:hint="default" w:ascii="Times New Roman" w:hAnsi="Times New Roman" w:cs="Times New Roman"/>
          <w:color w:val="000000" w:themeColor="text1"/>
          <w14:textFill>
            <w14:solidFill>
              <w14:schemeClr w14:val="tx1"/>
            </w14:solidFill>
          </w14:textFill>
        </w:rPr>
        <w:t>重大修改是指涉及一级养殖水域滩涂类型调整的，应报</w:t>
      </w:r>
      <w:r>
        <w:rPr>
          <w:rFonts w:hint="default" w:ascii="Times New Roman" w:hAnsi="Times New Roman" w:cs="Times New Roman"/>
          <w:color w:val="000000" w:themeColor="text1"/>
          <w:lang w:val="en-US" w:eastAsia="zh-CN"/>
          <w14:textFill>
            <w14:solidFill>
              <w14:schemeClr w14:val="tx1"/>
            </w14:solidFill>
          </w14:textFill>
        </w:rPr>
        <w:t>淮南市</w:t>
      </w:r>
      <w:r>
        <w:rPr>
          <w:rFonts w:hint="default" w:ascii="Times New Roman" w:hAnsi="Times New Roman" w:cs="Times New Roman"/>
          <w:color w:val="000000" w:themeColor="text1"/>
          <w14:textFill>
            <w14:solidFill>
              <w14:schemeClr w14:val="tx1"/>
            </w14:solidFill>
          </w14:textFill>
        </w:rPr>
        <w:t>渔业行政主管部门审核同意，由</w:t>
      </w:r>
      <w:r>
        <w:rPr>
          <w:rFonts w:hint="default" w:ascii="Times New Roman" w:hAnsi="Times New Roman" w:cs="Times New Roman"/>
          <w:color w:val="000000" w:themeColor="text1"/>
          <w:lang w:eastAsia="zh-CN"/>
          <w14:textFill>
            <w14:solidFill>
              <w14:schemeClr w14:val="tx1"/>
            </w14:solidFill>
          </w14:textFill>
        </w:rPr>
        <w:t>县</w:t>
      </w:r>
      <w:r>
        <w:rPr>
          <w:rFonts w:hint="default" w:ascii="Times New Roman" w:hAnsi="Times New Roman" w:cs="Times New Roman"/>
          <w:color w:val="000000" w:themeColor="text1"/>
          <w14:textFill>
            <w14:solidFill>
              <w14:schemeClr w14:val="tx1"/>
            </w14:solidFill>
          </w14:textFill>
        </w:rPr>
        <w:t>渔业行政主管部门组织论证，报</w:t>
      </w:r>
      <w:r>
        <w:rPr>
          <w:rFonts w:hint="default" w:ascii="Times New Roman" w:hAnsi="Times New Roman" w:cs="Times New Roman"/>
          <w:color w:val="000000" w:themeColor="text1"/>
          <w:lang w:eastAsia="zh-CN"/>
          <w14:textFill>
            <w14:solidFill>
              <w14:schemeClr w14:val="tx1"/>
            </w14:solidFill>
          </w14:textFill>
        </w:rPr>
        <w:t>县</w:t>
      </w:r>
      <w:r>
        <w:rPr>
          <w:rFonts w:hint="default" w:ascii="Times New Roman" w:hAnsi="Times New Roman" w:cs="Times New Roman"/>
          <w:color w:val="000000" w:themeColor="text1"/>
          <w14:textFill>
            <w14:solidFill>
              <w14:schemeClr w14:val="tx1"/>
            </w14:solidFill>
          </w14:textFill>
        </w:rPr>
        <w:t>人民政府批准后修改实施。</w:t>
      </w:r>
    </w:p>
    <w:p w14:paraId="4F821BE1">
      <w:pPr>
        <w:spacing w:line="600" w:lineRule="exact"/>
        <w:ind w:firstLine="640"/>
        <w:rPr>
          <w:rFonts w:hint="default" w:ascii="Times New Roman" w:hAnsi="Times New Roman" w:cs="Times New Roman"/>
          <w:color w:val="000000" w:themeColor="text1"/>
          <w:sz w:val="32"/>
          <w:szCs w:val="32"/>
          <w14:textFill>
            <w14:solidFill>
              <w14:schemeClr w14:val="tx1"/>
            </w14:solidFill>
          </w14:textFill>
        </w:rPr>
        <w:sectPr>
          <w:pgSz w:w="11850" w:h="16783"/>
          <w:pgMar w:top="1440" w:right="1800" w:bottom="1440" w:left="1800" w:header="851" w:footer="992" w:gutter="0"/>
          <w:cols w:space="425" w:num="1"/>
          <w:docGrid w:type="lines" w:linePitch="312" w:charSpace="0"/>
        </w:sectPr>
      </w:pPr>
    </w:p>
    <w:p w14:paraId="1512CEC8">
      <w:pPr>
        <w:pStyle w:val="2"/>
        <w:numPr>
          <w:ilvl w:val="0"/>
          <w:numId w:val="0"/>
        </w:numPr>
        <w:jc w:val="left"/>
        <w:rPr>
          <w:rFonts w:hint="default" w:ascii="Times New Roman" w:hAnsi="Times New Roman" w:cs="Times New Roman"/>
          <w:color w:val="000000" w:themeColor="text1"/>
          <w14:textFill>
            <w14:solidFill>
              <w14:schemeClr w14:val="tx1"/>
            </w14:solidFill>
          </w14:textFill>
        </w:rPr>
      </w:pPr>
      <w:bookmarkStart w:id="187" w:name="_Toc17621"/>
      <w:bookmarkStart w:id="188" w:name="_Toc2533"/>
      <w:bookmarkStart w:id="189" w:name="_Toc12798"/>
      <w:bookmarkStart w:id="190" w:name="_Toc32432"/>
      <w:bookmarkStart w:id="191" w:name="_Toc27615"/>
      <w:bookmarkStart w:id="192" w:name="_Toc16110"/>
      <w:r>
        <w:rPr>
          <w:rFonts w:hint="default" w:ascii="Times New Roman" w:hAnsi="Times New Roman" w:cs="Times New Roman"/>
          <w:color w:val="000000" w:themeColor="text1"/>
          <w14:textFill>
            <w14:solidFill>
              <w14:schemeClr w14:val="tx1"/>
            </w14:solidFill>
          </w14:textFill>
        </w:rPr>
        <w:t>附表</w:t>
      </w:r>
      <w:bookmarkEnd w:id="187"/>
      <w:bookmarkEnd w:id="188"/>
      <w:bookmarkEnd w:id="189"/>
      <w:bookmarkEnd w:id="190"/>
    </w:p>
    <w:p w14:paraId="051EA0F0">
      <w:pPr>
        <w:ind w:firstLine="600"/>
        <w:rPr>
          <w:rFonts w:hint="default" w:ascii="Times New Roman" w:hAnsi="Times New Roman" w:cs="Times New Roman"/>
          <w:color w:val="000000" w:themeColor="text1"/>
          <w14:textFill>
            <w14:solidFill>
              <w14:schemeClr w14:val="tx1"/>
            </w14:solidFill>
          </w14:textFill>
        </w:rPr>
      </w:pPr>
      <w:bookmarkStart w:id="193" w:name="_Toc27501"/>
    </w:p>
    <w:p w14:paraId="26D2BE94">
      <w:pPr>
        <w:pStyle w:val="57"/>
        <w:tabs>
          <w:tab w:val="right" w:leader="dot" w:pos="8250"/>
        </w:tabs>
        <w:spacing w:line="360" w:lineRule="auto"/>
        <w:ind w:left="60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"_Toc18147"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14:textFill>
            <w14:solidFill>
              <w14:schemeClr w14:val="tx1"/>
            </w14:solidFill>
          </w14:textFill>
        </w:rPr>
        <w:t>附表1养殖水域滩涂功能区划表</w:t>
      </w:r>
      <w:r>
        <w:rPr>
          <w:rFonts w:hint="default" w:ascii="Times New Roman" w:hAnsi="Times New Roman" w:eastAsia="仿宋" w:cs="Times New Roman"/>
          <w:color w:val="000000" w:themeColor="text1"/>
          <w:sz w:val="28"/>
          <w:szCs w:val="28"/>
          <w14:textFill>
            <w14:solidFill>
              <w14:schemeClr w14:val="tx1"/>
            </w14:solidFill>
          </w14:textFill>
        </w:rPr>
        <w:tab/>
      </w:r>
      <w:r>
        <w:rPr>
          <w:rFonts w:hint="default" w:ascii="Times New Roman" w:hAnsi="Times New Roman" w:eastAsia="仿宋" w:cs="Times New Roman"/>
          <w:color w:val="000000" w:themeColor="text1"/>
          <w:sz w:val="28"/>
          <w:szCs w:val="28"/>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fldChar w:fldCharType="end"/>
      </w:r>
      <w:r>
        <w:rPr>
          <w:rFonts w:hint="default" w:ascii="Times New Roman" w:hAnsi="Times New Roman" w:eastAsia="仿宋" w:cs="Times New Roman"/>
          <w:color w:val="000000" w:themeColor="text1"/>
          <w:sz w:val="28"/>
          <w:szCs w:val="28"/>
          <w14:textFill>
            <w14:solidFill>
              <w14:schemeClr w14:val="tx1"/>
            </w14:solidFill>
          </w14:textFill>
        </w:rPr>
        <w:t>2</w:t>
      </w:r>
    </w:p>
    <w:p w14:paraId="3FC4C53D">
      <w:pPr>
        <w:pStyle w:val="57"/>
        <w:tabs>
          <w:tab w:val="right" w:leader="dot" w:pos="8250"/>
        </w:tabs>
        <w:spacing w:line="360" w:lineRule="auto"/>
        <w:ind w:left="60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"_Toc28116"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14:textFill>
            <w14:solidFill>
              <w14:schemeClr w14:val="tx1"/>
            </w14:solidFill>
          </w14:textFill>
        </w:rPr>
        <w:t>附表2-1寿县禁止养殖区水域滩涂汇总表（湖泊水面）</w:t>
      </w:r>
      <w:r>
        <w:rPr>
          <w:rFonts w:hint="default" w:ascii="Times New Roman" w:hAnsi="Times New Roman" w:eastAsia="仿宋" w:cs="Times New Roman"/>
          <w:color w:val="000000" w:themeColor="text1"/>
          <w:sz w:val="28"/>
          <w:szCs w:val="28"/>
          <w14:textFill>
            <w14:solidFill>
              <w14:schemeClr w14:val="tx1"/>
            </w14:solidFill>
          </w14:textFill>
        </w:rPr>
        <w:tab/>
      </w:r>
      <w:r>
        <w:rPr>
          <w:rFonts w:hint="default" w:ascii="Times New Roman" w:hAnsi="Times New Roman" w:eastAsia="仿宋" w:cs="Times New Roman"/>
          <w:color w:val="000000" w:themeColor="text1"/>
          <w:sz w:val="28"/>
          <w:szCs w:val="28"/>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fldChar w:fldCharType="end"/>
      </w:r>
      <w:r>
        <w:rPr>
          <w:rFonts w:hint="default" w:ascii="Times New Roman" w:hAnsi="Times New Roman" w:eastAsia="仿宋" w:cs="Times New Roman"/>
          <w:color w:val="000000" w:themeColor="text1"/>
          <w:sz w:val="28"/>
          <w:szCs w:val="28"/>
          <w14:textFill>
            <w14:solidFill>
              <w14:schemeClr w14:val="tx1"/>
            </w14:solidFill>
          </w14:textFill>
        </w:rPr>
        <w:t>3</w:t>
      </w:r>
    </w:p>
    <w:p w14:paraId="489D98B1">
      <w:pPr>
        <w:pStyle w:val="57"/>
        <w:tabs>
          <w:tab w:val="right" w:leader="dot" w:pos="8250"/>
        </w:tabs>
        <w:spacing w:line="360" w:lineRule="auto"/>
        <w:ind w:left="60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"_Toc29526"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14:textFill>
            <w14:solidFill>
              <w14:schemeClr w14:val="tx1"/>
            </w14:solidFill>
          </w14:textFill>
        </w:rPr>
        <w:t>附表2-2寿县禁止养殖区水域滩涂汇总表（水库水面）</w:t>
      </w:r>
      <w:r>
        <w:rPr>
          <w:rFonts w:hint="default" w:ascii="Times New Roman" w:hAnsi="Times New Roman" w:eastAsia="仿宋" w:cs="Times New Roman"/>
          <w:color w:val="000000" w:themeColor="text1"/>
          <w:sz w:val="28"/>
          <w:szCs w:val="28"/>
          <w14:textFill>
            <w14:solidFill>
              <w14:schemeClr w14:val="tx1"/>
            </w14:solidFill>
          </w14:textFill>
        </w:rPr>
        <w:tab/>
      </w:r>
      <w:r>
        <w:rPr>
          <w:rFonts w:hint="default" w:ascii="Times New Roman" w:hAnsi="Times New Roman" w:eastAsia="仿宋" w:cs="Times New Roman"/>
          <w:color w:val="000000" w:themeColor="text1"/>
          <w:sz w:val="28"/>
          <w:szCs w:val="28"/>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fldChar w:fldCharType="end"/>
      </w:r>
      <w:r>
        <w:rPr>
          <w:rFonts w:hint="default" w:ascii="Times New Roman" w:hAnsi="Times New Roman" w:eastAsia="仿宋" w:cs="Times New Roman"/>
          <w:color w:val="000000" w:themeColor="text1"/>
          <w:sz w:val="28"/>
          <w:szCs w:val="28"/>
          <w14:textFill>
            <w14:solidFill>
              <w14:schemeClr w14:val="tx1"/>
            </w14:solidFill>
          </w14:textFill>
        </w:rPr>
        <w:t>3</w:t>
      </w:r>
    </w:p>
    <w:p w14:paraId="001D03E0">
      <w:pPr>
        <w:pStyle w:val="57"/>
        <w:tabs>
          <w:tab w:val="right" w:leader="dot" w:pos="8250"/>
        </w:tabs>
        <w:spacing w:line="360" w:lineRule="auto"/>
        <w:ind w:left="60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"_Toc29526"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14:textFill>
            <w14:solidFill>
              <w14:schemeClr w14:val="tx1"/>
            </w14:solidFill>
          </w14:textFill>
        </w:rPr>
        <w:t>附表2-3寿县水域滩涂禁止养殖区汇总表（坑塘水面）</w:t>
      </w:r>
      <w:r>
        <w:rPr>
          <w:rFonts w:hint="default" w:ascii="Times New Roman" w:hAnsi="Times New Roman" w:eastAsia="仿宋" w:cs="Times New Roman"/>
          <w:color w:val="000000" w:themeColor="text1"/>
          <w:sz w:val="28"/>
          <w:szCs w:val="28"/>
          <w14:textFill>
            <w14:solidFill>
              <w14:schemeClr w14:val="tx1"/>
            </w14:solidFill>
          </w14:textFill>
        </w:rPr>
        <w:tab/>
      </w:r>
      <w:r>
        <w:rPr>
          <w:rFonts w:hint="default" w:ascii="Times New Roman" w:hAnsi="Times New Roman" w:eastAsia="仿宋" w:cs="Times New Roman"/>
          <w:color w:val="000000" w:themeColor="text1"/>
          <w:sz w:val="28"/>
          <w:szCs w:val="28"/>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fldChar w:fldCharType="end"/>
      </w:r>
      <w:r>
        <w:rPr>
          <w:rFonts w:hint="default" w:ascii="Times New Roman" w:hAnsi="Times New Roman" w:eastAsia="仿宋" w:cs="Times New Roman"/>
          <w:color w:val="000000" w:themeColor="text1"/>
          <w:sz w:val="28"/>
          <w:szCs w:val="28"/>
          <w14:textFill>
            <w14:solidFill>
              <w14:schemeClr w14:val="tx1"/>
            </w14:solidFill>
          </w14:textFill>
        </w:rPr>
        <w:t>3</w:t>
      </w:r>
    </w:p>
    <w:p w14:paraId="233DABB2">
      <w:pPr>
        <w:pStyle w:val="57"/>
        <w:tabs>
          <w:tab w:val="right" w:leader="dot" w:pos="8250"/>
        </w:tabs>
        <w:spacing w:line="360" w:lineRule="auto"/>
        <w:ind w:left="60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"_Toc29526"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14:textFill>
            <w14:solidFill>
              <w14:schemeClr w14:val="tx1"/>
            </w14:solidFill>
          </w14:textFill>
        </w:rPr>
        <w:t>附表3-1寿县水域滩涂限制养殖区汇总表（湖泊水面）</w:t>
      </w:r>
      <w:r>
        <w:rPr>
          <w:rFonts w:hint="default" w:ascii="Times New Roman" w:hAnsi="Times New Roman" w:eastAsia="仿宋" w:cs="Times New Roman"/>
          <w:color w:val="000000" w:themeColor="text1"/>
          <w:sz w:val="28"/>
          <w:szCs w:val="28"/>
          <w14:textFill>
            <w14:solidFill>
              <w14:schemeClr w14:val="tx1"/>
            </w14:solidFill>
          </w14:textFill>
        </w:rPr>
        <w:tab/>
      </w:r>
      <w:r>
        <w:rPr>
          <w:rFonts w:hint="default" w:ascii="Times New Roman" w:hAnsi="Times New Roman" w:eastAsia="仿宋" w:cs="Times New Roman"/>
          <w:color w:val="000000" w:themeColor="text1"/>
          <w:sz w:val="28"/>
          <w:szCs w:val="28"/>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fldChar w:fldCharType="end"/>
      </w:r>
      <w:r>
        <w:rPr>
          <w:rFonts w:hint="default" w:ascii="Times New Roman" w:hAnsi="Times New Roman" w:eastAsia="仿宋" w:cs="Times New Roman"/>
          <w:color w:val="000000" w:themeColor="text1"/>
          <w:sz w:val="28"/>
          <w:szCs w:val="28"/>
          <w14:textFill>
            <w14:solidFill>
              <w14:schemeClr w14:val="tx1"/>
            </w14:solidFill>
          </w14:textFill>
        </w:rPr>
        <w:t>4</w:t>
      </w:r>
    </w:p>
    <w:p w14:paraId="29B9A66F">
      <w:pPr>
        <w:pStyle w:val="57"/>
        <w:tabs>
          <w:tab w:val="right" w:leader="dot" w:pos="8250"/>
        </w:tabs>
        <w:spacing w:line="360" w:lineRule="auto"/>
        <w:ind w:left="600"/>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"_Toc29526"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8"/>
          <w:szCs w:val="28"/>
          <w14:textFill>
            <w14:solidFill>
              <w14:schemeClr w14:val="tx1"/>
            </w14:solidFill>
          </w14:textFill>
        </w:rPr>
        <w:t>附表3-2寿县水域滩涂限制养殖区汇总表（水库水面）</w:t>
      </w:r>
      <w:r>
        <w:rPr>
          <w:rFonts w:hint="default" w:ascii="Times New Roman" w:hAnsi="Times New Roman" w:eastAsia="仿宋" w:cs="Times New Roman"/>
          <w:color w:val="000000" w:themeColor="text1"/>
          <w:sz w:val="28"/>
          <w:szCs w:val="28"/>
          <w14:textFill>
            <w14:solidFill>
              <w14:schemeClr w14:val="tx1"/>
            </w14:solidFill>
          </w14:textFill>
        </w:rPr>
        <w:tab/>
      </w:r>
      <w:r>
        <w:rPr>
          <w:rFonts w:hint="default" w:ascii="Times New Roman" w:hAnsi="Times New Roman" w:eastAsia="仿宋" w:cs="Times New Roman"/>
          <w:color w:val="000000" w:themeColor="text1"/>
          <w:sz w:val="28"/>
          <w:szCs w:val="28"/>
          <w14:textFill>
            <w14:solidFill>
              <w14:schemeClr w14:val="tx1"/>
            </w14:solidFill>
          </w14:textFill>
        </w:rPr>
        <w:t>4</w:t>
      </w:r>
      <w:r>
        <w:rPr>
          <w:rFonts w:hint="default" w:ascii="Times New Roman" w:hAnsi="Times New Roman" w:eastAsia="仿宋" w:cs="Times New Roman"/>
          <w:color w:val="000000" w:themeColor="text1"/>
          <w:sz w:val="28"/>
          <w:szCs w:val="28"/>
          <w14:textFill>
            <w14:solidFill>
              <w14:schemeClr w14:val="tx1"/>
            </w14:solidFill>
          </w14:textFill>
        </w:rPr>
        <w:fldChar w:fldCharType="end"/>
      </w:r>
      <w:r>
        <w:rPr>
          <w:rFonts w:hint="default" w:ascii="Times New Roman" w:hAnsi="Times New Roman" w:eastAsia="仿宋" w:cs="Times New Roman"/>
          <w:color w:val="000000" w:themeColor="text1"/>
          <w:sz w:val="28"/>
          <w:szCs w:val="28"/>
          <w14:textFill>
            <w14:solidFill>
              <w14:schemeClr w14:val="tx1"/>
            </w14:solidFill>
          </w14:textFill>
        </w:rPr>
        <w:t>4</w:t>
      </w:r>
    </w:p>
    <w:p w14:paraId="0C42F2EA">
      <w:pPr>
        <w:ind w:firstLine="600"/>
        <w:rPr>
          <w:rFonts w:hint="default" w:ascii="Times New Roman" w:hAnsi="Times New Roman" w:cs="Times New Roman"/>
          <w:color w:val="000000" w:themeColor="text1"/>
          <w14:textFill>
            <w14:solidFill>
              <w14:schemeClr w14:val="tx1"/>
            </w14:solidFill>
          </w14:textFill>
        </w:rPr>
      </w:pPr>
    </w:p>
    <w:p w14:paraId="44AAB3A3">
      <w:pPr>
        <w:ind w:firstLine="600"/>
        <w:rPr>
          <w:rFonts w:hint="default" w:ascii="Times New Roman" w:hAnsi="Times New Roman" w:cs="Times New Roman"/>
          <w:color w:val="000000" w:themeColor="text1"/>
          <w14:textFill>
            <w14:solidFill>
              <w14:schemeClr w14:val="tx1"/>
            </w14:solidFill>
          </w14:textFill>
        </w:rPr>
        <w:sectPr>
          <w:headerReference r:id="rId15" w:type="default"/>
          <w:footerReference r:id="rId16" w:type="default"/>
          <w:pgSz w:w="11850" w:h="16783"/>
          <w:pgMar w:top="1440" w:right="1800" w:bottom="1440" w:left="1800" w:header="851" w:footer="992" w:gutter="0"/>
          <w:cols w:space="720" w:num="1"/>
          <w:docGrid w:type="lines" w:linePitch="312" w:charSpace="0"/>
        </w:sectPr>
      </w:pPr>
    </w:p>
    <w:p w14:paraId="1C0FC401">
      <w:pPr>
        <w:pStyle w:val="3"/>
        <w:numPr>
          <w:ilvl w:val="0"/>
          <w:numId w:val="0"/>
        </w:numPr>
        <w:ind w:left="600" w:leftChars="200"/>
        <w:jc w:val="center"/>
        <w:outlineLvl w:val="0"/>
        <w:rPr>
          <w:rFonts w:hint="default" w:ascii="Times New Roman" w:hAnsi="Times New Roman" w:eastAsia="仿宋" w:cs="Times New Roman"/>
          <w:b w:val="0"/>
          <w:color w:val="000000" w:themeColor="text1"/>
          <w14:textFill>
            <w14:solidFill>
              <w14:schemeClr w14:val="tx1"/>
            </w14:solidFill>
          </w14:textFill>
        </w:rPr>
      </w:pPr>
      <w:bookmarkStart w:id="194" w:name="_Toc532"/>
      <w:bookmarkStart w:id="195" w:name="_Toc478"/>
      <w:r>
        <w:rPr>
          <w:rFonts w:hint="default" w:ascii="Times New Roman" w:hAnsi="Times New Roman" w:eastAsia="仿宋" w:cs="Times New Roman"/>
          <w:b w:val="0"/>
          <w:color w:val="000000" w:themeColor="text1"/>
          <w14:textFill>
            <w14:solidFill>
              <w14:schemeClr w14:val="tx1"/>
            </w14:solidFill>
          </w14:textFill>
        </w:rPr>
        <w:t>附表1养殖水域滩涂功能区划表</w:t>
      </w:r>
      <w:bookmarkEnd w:id="191"/>
      <w:bookmarkEnd w:id="192"/>
      <w:bookmarkEnd w:id="193"/>
      <w:bookmarkEnd w:id="194"/>
      <w:bookmarkEnd w:id="195"/>
    </w:p>
    <w:tbl>
      <w:tblPr>
        <w:tblStyle w:val="17"/>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074"/>
        <w:gridCol w:w="981"/>
        <w:gridCol w:w="3401"/>
        <w:gridCol w:w="1121"/>
        <w:gridCol w:w="2109"/>
      </w:tblGrid>
      <w:tr w14:paraId="54C6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056" w:type="dxa"/>
            <w:gridSpan w:val="2"/>
            <w:noWrap/>
            <w:vAlign w:val="center"/>
          </w:tcPr>
          <w:p w14:paraId="4BD87B33">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bookmarkStart w:id="196" w:name="_Toc18840"/>
            <w:r>
              <w:rPr>
                <w:rFonts w:hint="default" w:ascii="Times New Roman" w:hAnsi="Times New Roman" w:cs="Times New Roman"/>
                <w:color w:val="000000" w:themeColor="text1"/>
                <w:szCs w:val="21"/>
                <w14:textFill>
                  <w14:solidFill>
                    <w14:schemeClr w14:val="tx1"/>
                  </w14:solidFill>
                </w14:textFill>
              </w:rPr>
              <w:t>一级</w:t>
            </w:r>
          </w:p>
        </w:tc>
        <w:tc>
          <w:tcPr>
            <w:tcW w:w="4382" w:type="dxa"/>
            <w:gridSpan w:val="2"/>
            <w:noWrap/>
            <w:vAlign w:val="center"/>
          </w:tcPr>
          <w:p w14:paraId="477C98B1">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二级</w:t>
            </w:r>
          </w:p>
        </w:tc>
        <w:tc>
          <w:tcPr>
            <w:tcW w:w="3230" w:type="dxa"/>
            <w:gridSpan w:val="2"/>
            <w:noWrap/>
            <w:vAlign w:val="center"/>
          </w:tcPr>
          <w:p w14:paraId="42F36B56">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三级</w:t>
            </w:r>
          </w:p>
        </w:tc>
      </w:tr>
      <w:tr w14:paraId="7863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82" w:type="dxa"/>
            <w:noWrap/>
            <w:vAlign w:val="center"/>
          </w:tcPr>
          <w:p w14:paraId="2A3761A1">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代码</w:t>
            </w:r>
          </w:p>
        </w:tc>
        <w:tc>
          <w:tcPr>
            <w:tcW w:w="1074" w:type="dxa"/>
            <w:noWrap/>
            <w:vAlign w:val="center"/>
          </w:tcPr>
          <w:p w14:paraId="3D98F191">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981" w:type="dxa"/>
            <w:noWrap/>
            <w:vAlign w:val="center"/>
          </w:tcPr>
          <w:p w14:paraId="20A91767">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代码</w:t>
            </w:r>
          </w:p>
        </w:tc>
        <w:tc>
          <w:tcPr>
            <w:tcW w:w="3401" w:type="dxa"/>
            <w:tcBorders>
              <w:bottom w:val="single" w:color="auto" w:sz="4" w:space="0"/>
            </w:tcBorders>
            <w:noWrap/>
            <w:vAlign w:val="center"/>
          </w:tcPr>
          <w:p w14:paraId="4A8E45D2">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c>
          <w:tcPr>
            <w:tcW w:w="1121" w:type="dxa"/>
            <w:tcBorders>
              <w:bottom w:val="single" w:color="auto" w:sz="4" w:space="0"/>
            </w:tcBorders>
            <w:noWrap/>
            <w:vAlign w:val="center"/>
          </w:tcPr>
          <w:p w14:paraId="6B0DB483">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代码</w:t>
            </w:r>
          </w:p>
        </w:tc>
        <w:tc>
          <w:tcPr>
            <w:tcW w:w="2109" w:type="dxa"/>
            <w:tcBorders>
              <w:bottom w:val="single" w:color="auto" w:sz="4" w:space="0"/>
            </w:tcBorders>
            <w:noWrap/>
            <w:vAlign w:val="center"/>
          </w:tcPr>
          <w:p w14:paraId="002E6430">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名称</w:t>
            </w:r>
          </w:p>
        </w:tc>
      </w:tr>
      <w:tr w14:paraId="1DA5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982" w:type="dxa"/>
            <w:vMerge w:val="restart"/>
            <w:noWrap/>
            <w:vAlign w:val="center"/>
          </w:tcPr>
          <w:p w14:paraId="1186A769">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074" w:type="dxa"/>
            <w:vMerge w:val="restart"/>
            <w:noWrap/>
            <w:vAlign w:val="center"/>
          </w:tcPr>
          <w:p w14:paraId="1AC95DBF">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禁止养殖区</w:t>
            </w:r>
          </w:p>
        </w:tc>
        <w:tc>
          <w:tcPr>
            <w:tcW w:w="981" w:type="dxa"/>
            <w:noWrap/>
            <w:vAlign w:val="center"/>
          </w:tcPr>
          <w:p w14:paraId="5CB406D0">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6631" w:type="dxa"/>
            <w:gridSpan w:val="3"/>
            <w:tcBorders>
              <w:bottom w:val="single" w:color="auto" w:sz="4" w:space="0"/>
            </w:tcBorders>
            <w:noWrap/>
            <w:vAlign w:val="center"/>
          </w:tcPr>
          <w:p w14:paraId="14068152">
            <w:pPr>
              <w:snapToGrid w:val="0"/>
              <w:spacing w:line="360" w:lineRule="exact"/>
              <w:ind w:firstLine="0" w:firstLine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饮用水水源地一级保护区等重点生态功能区</w:t>
            </w:r>
          </w:p>
        </w:tc>
      </w:tr>
      <w:tr w14:paraId="0406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982" w:type="dxa"/>
            <w:vMerge w:val="continue"/>
            <w:noWrap/>
            <w:vAlign w:val="center"/>
          </w:tcPr>
          <w:p w14:paraId="6D8E5BFE">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04148083">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noWrap/>
            <w:vAlign w:val="center"/>
          </w:tcPr>
          <w:p w14:paraId="396B98A6">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6631" w:type="dxa"/>
            <w:gridSpan w:val="3"/>
            <w:tcBorders>
              <w:bottom w:val="single" w:color="auto" w:sz="4" w:space="0"/>
            </w:tcBorders>
            <w:noWrap/>
            <w:vAlign w:val="center"/>
          </w:tcPr>
          <w:p w14:paraId="2341D852">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港口、航道、行洪区、河道堤防管理范围内水域滩涂</w:t>
            </w:r>
          </w:p>
        </w:tc>
      </w:tr>
      <w:tr w14:paraId="2B052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82" w:type="dxa"/>
            <w:vMerge w:val="continue"/>
            <w:noWrap/>
            <w:vAlign w:val="center"/>
          </w:tcPr>
          <w:p w14:paraId="1F3918B0">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1B21E900">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noWrap/>
            <w:vAlign w:val="center"/>
          </w:tcPr>
          <w:p w14:paraId="7278D245">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w:t>
            </w:r>
          </w:p>
        </w:tc>
        <w:tc>
          <w:tcPr>
            <w:tcW w:w="6631" w:type="dxa"/>
            <w:gridSpan w:val="3"/>
            <w:tcBorders>
              <w:top w:val="single" w:color="auto" w:sz="4" w:space="0"/>
            </w:tcBorders>
            <w:noWrap/>
            <w:vAlign w:val="center"/>
          </w:tcPr>
          <w:p w14:paraId="1F3B7208">
            <w:pPr>
              <w:snapToGrid w:val="0"/>
              <w:spacing w:line="360" w:lineRule="exact"/>
              <w:ind w:firstLine="0" w:firstLine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有毒有害物质超过规定标准的水体，法律法规规定的其他禁止养殖区</w:t>
            </w:r>
          </w:p>
        </w:tc>
      </w:tr>
      <w:tr w14:paraId="2368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982" w:type="dxa"/>
            <w:vMerge w:val="restart"/>
            <w:noWrap/>
            <w:vAlign w:val="center"/>
          </w:tcPr>
          <w:p w14:paraId="0CF91D5C">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74" w:type="dxa"/>
            <w:vMerge w:val="restart"/>
            <w:noWrap/>
            <w:vAlign w:val="center"/>
          </w:tcPr>
          <w:p w14:paraId="0ED074BC">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限制养殖区</w:t>
            </w:r>
          </w:p>
        </w:tc>
        <w:tc>
          <w:tcPr>
            <w:tcW w:w="981" w:type="dxa"/>
            <w:noWrap/>
            <w:vAlign w:val="center"/>
          </w:tcPr>
          <w:p w14:paraId="31751592">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6631" w:type="dxa"/>
            <w:gridSpan w:val="3"/>
            <w:noWrap/>
            <w:vAlign w:val="center"/>
          </w:tcPr>
          <w:p w14:paraId="54577E43">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饮用水水源二级保护区湿地公园、风景名胜区等生态功能区（已纳入禁止养殖区的水域滩涂除外）</w:t>
            </w:r>
          </w:p>
        </w:tc>
      </w:tr>
      <w:tr w14:paraId="7C81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982" w:type="dxa"/>
            <w:vMerge w:val="continue"/>
            <w:noWrap/>
            <w:vAlign w:val="center"/>
          </w:tcPr>
          <w:p w14:paraId="632E6ECB">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112C86FE">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noWrap/>
            <w:vAlign w:val="center"/>
          </w:tcPr>
          <w:p w14:paraId="56482B84">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w:t>
            </w:r>
          </w:p>
        </w:tc>
        <w:tc>
          <w:tcPr>
            <w:tcW w:w="6631" w:type="dxa"/>
            <w:gridSpan w:val="3"/>
            <w:noWrap/>
            <w:vAlign w:val="center"/>
          </w:tcPr>
          <w:p w14:paraId="50AA74EA">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县、镇、乡城镇开发边界范围内的水域滩涂（已纳入禁止养殖区的水域滩涂除外）；生态保护红线区范围内的水域滩涂（已纳入禁止养殖区的水域滩涂除外）</w:t>
            </w:r>
          </w:p>
        </w:tc>
      </w:tr>
      <w:tr w14:paraId="2DB6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2" w:type="dxa"/>
            <w:vMerge w:val="continue"/>
            <w:noWrap/>
            <w:vAlign w:val="center"/>
          </w:tcPr>
          <w:p w14:paraId="2346B8E1">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0924F0E2">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noWrap/>
            <w:vAlign w:val="center"/>
          </w:tcPr>
          <w:p w14:paraId="7C115563">
            <w:pPr>
              <w:snapToGrid w:val="0"/>
              <w:spacing w:line="360" w:lineRule="exact"/>
              <w:ind w:firstLine="0" w:firstLineChars="0"/>
              <w:jc w:val="center"/>
              <w:rPr>
                <w:rFonts w:hint="default" w:ascii="Times New Roman" w:hAnsi="Times New Roman" w:cs="Times New Roman"/>
                <w:color w:val="000000" w:themeColor="text1"/>
                <w:sz w:val="28"/>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w:t>
            </w:r>
          </w:p>
        </w:tc>
        <w:tc>
          <w:tcPr>
            <w:tcW w:w="3401" w:type="dxa"/>
            <w:noWrap/>
            <w:vAlign w:val="center"/>
          </w:tcPr>
          <w:p w14:paraId="67928E22">
            <w:pPr>
              <w:snapToGrid w:val="0"/>
              <w:spacing w:line="360" w:lineRule="exact"/>
              <w:ind w:firstLine="0" w:firstLineChars="0"/>
              <w:jc w:val="left"/>
              <w:rPr>
                <w:rFonts w:hint="default" w:ascii="Times New Roman" w:hAnsi="Times New Roman" w:cs="Times New Roman"/>
                <w:color w:val="000000" w:themeColor="text1"/>
                <w:kern w:val="0"/>
                <w:sz w:val="28"/>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重点湖泊水库等公共自然水域</w:t>
            </w:r>
          </w:p>
        </w:tc>
        <w:tc>
          <w:tcPr>
            <w:tcW w:w="1121" w:type="dxa"/>
            <w:noWrap/>
            <w:vAlign w:val="center"/>
          </w:tcPr>
          <w:p w14:paraId="7D10AD06">
            <w:pPr>
              <w:snapToGrid w:val="0"/>
              <w:spacing w:line="360" w:lineRule="exact"/>
              <w:ind w:firstLine="0" w:firstLineChars="0"/>
              <w:jc w:val="left"/>
              <w:rPr>
                <w:rFonts w:hint="default" w:ascii="Times New Roman" w:hAnsi="Times New Roman" w:cs="Times New Roman"/>
                <w:color w:val="000000" w:themeColor="text1"/>
                <w:kern w:val="0"/>
                <w:sz w:val="28"/>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2-2-1</w:t>
            </w:r>
          </w:p>
        </w:tc>
        <w:tc>
          <w:tcPr>
            <w:tcW w:w="2109" w:type="dxa"/>
            <w:noWrap/>
            <w:vAlign w:val="center"/>
          </w:tcPr>
          <w:p w14:paraId="0BE47691">
            <w:pPr>
              <w:snapToGrid w:val="0"/>
              <w:spacing w:line="360" w:lineRule="exact"/>
              <w:ind w:firstLine="0" w:firstLineChars="0"/>
              <w:jc w:val="left"/>
              <w:rPr>
                <w:rFonts w:hint="default" w:ascii="Times New Roman" w:hAnsi="Times New Roman" w:cs="Times New Roman"/>
                <w:color w:val="000000" w:themeColor="text1"/>
                <w:kern w:val="0"/>
                <w:sz w:val="28"/>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重点湖泊水库增养殖区</w:t>
            </w:r>
          </w:p>
        </w:tc>
      </w:tr>
      <w:tr w14:paraId="1369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2" w:type="dxa"/>
            <w:vMerge w:val="restart"/>
            <w:noWrap/>
            <w:vAlign w:val="center"/>
          </w:tcPr>
          <w:p w14:paraId="5BC5AF82">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074" w:type="dxa"/>
            <w:vMerge w:val="restart"/>
            <w:noWrap/>
            <w:vAlign w:val="center"/>
          </w:tcPr>
          <w:p w14:paraId="774C05B9">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养殖区</w:t>
            </w:r>
          </w:p>
        </w:tc>
        <w:tc>
          <w:tcPr>
            <w:tcW w:w="981" w:type="dxa"/>
            <w:vMerge w:val="restart"/>
            <w:noWrap/>
            <w:vAlign w:val="center"/>
          </w:tcPr>
          <w:p w14:paraId="75D3C0A3">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c>
          <w:tcPr>
            <w:tcW w:w="3401" w:type="dxa"/>
            <w:vMerge w:val="restart"/>
            <w:noWrap/>
            <w:vAlign w:val="center"/>
          </w:tcPr>
          <w:p w14:paraId="25DF7216">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淡水养殖区</w:t>
            </w:r>
          </w:p>
        </w:tc>
        <w:tc>
          <w:tcPr>
            <w:tcW w:w="1121" w:type="dxa"/>
            <w:noWrap/>
            <w:vAlign w:val="center"/>
          </w:tcPr>
          <w:p w14:paraId="7EF16429">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3-2-1</w:t>
            </w:r>
          </w:p>
        </w:tc>
        <w:tc>
          <w:tcPr>
            <w:tcW w:w="2109" w:type="dxa"/>
            <w:noWrap/>
            <w:vAlign w:val="center"/>
          </w:tcPr>
          <w:p w14:paraId="22E10F20">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池塘养殖区</w:t>
            </w:r>
          </w:p>
        </w:tc>
      </w:tr>
      <w:tr w14:paraId="2CD4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2" w:type="dxa"/>
            <w:vMerge w:val="continue"/>
            <w:noWrap/>
            <w:vAlign w:val="center"/>
          </w:tcPr>
          <w:p w14:paraId="12F3DDCA">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3CB488F2">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vMerge w:val="continue"/>
            <w:noWrap/>
            <w:vAlign w:val="center"/>
          </w:tcPr>
          <w:p w14:paraId="5F162885">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3401" w:type="dxa"/>
            <w:vMerge w:val="continue"/>
            <w:noWrap/>
            <w:vAlign w:val="center"/>
          </w:tcPr>
          <w:p w14:paraId="1714A2D7">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p>
        </w:tc>
        <w:tc>
          <w:tcPr>
            <w:tcW w:w="1121" w:type="dxa"/>
            <w:noWrap/>
            <w:vAlign w:val="center"/>
          </w:tcPr>
          <w:p w14:paraId="4C982933">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3-2-2</w:t>
            </w:r>
          </w:p>
        </w:tc>
        <w:tc>
          <w:tcPr>
            <w:tcW w:w="2109" w:type="dxa"/>
            <w:noWrap/>
            <w:vAlign w:val="center"/>
          </w:tcPr>
          <w:p w14:paraId="2AF80953">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湖泊养殖区</w:t>
            </w:r>
          </w:p>
        </w:tc>
      </w:tr>
      <w:tr w14:paraId="6078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2" w:type="dxa"/>
            <w:vMerge w:val="continue"/>
            <w:noWrap/>
            <w:vAlign w:val="center"/>
          </w:tcPr>
          <w:p w14:paraId="6FE2A3F4">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3310F3EE">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vMerge w:val="continue"/>
            <w:noWrap/>
            <w:vAlign w:val="center"/>
          </w:tcPr>
          <w:p w14:paraId="6ABA7406">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3401" w:type="dxa"/>
            <w:vMerge w:val="continue"/>
            <w:noWrap/>
            <w:vAlign w:val="center"/>
          </w:tcPr>
          <w:p w14:paraId="66C81BE0">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p>
        </w:tc>
        <w:tc>
          <w:tcPr>
            <w:tcW w:w="1121" w:type="dxa"/>
            <w:noWrap/>
            <w:vAlign w:val="center"/>
          </w:tcPr>
          <w:p w14:paraId="6CFB2E6D">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3-2-3</w:t>
            </w:r>
          </w:p>
        </w:tc>
        <w:tc>
          <w:tcPr>
            <w:tcW w:w="2109" w:type="dxa"/>
            <w:noWrap/>
            <w:vAlign w:val="center"/>
          </w:tcPr>
          <w:p w14:paraId="6F5D776B">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水库养殖区</w:t>
            </w:r>
          </w:p>
        </w:tc>
      </w:tr>
      <w:tr w14:paraId="5850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82" w:type="dxa"/>
            <w:vMerge w:val="continue"/>
            <w:noWrap/>
            <w:vAlign w:val="center"/>
          </w:tcPr>
          <w:p w14:paraId="09F84DA7">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074" w:type="dxa"/>
            <w:vMerge w:val="continue"/>
            <w:noWrap/>
            <w:vAlign w:val="center"/>
          </w:tcPr>
          <w:p w14:paraId="452C666C">
            <w:pPr>
              <w:snapToGrid w:val="0"/>
              <w:spacing w:line="360" w:lineRule="exact"/>
              <w:ind w:firstLine="0" w:firstLineChars="0"/>
              <w:rPr>
                <w:rFonts w:hint="default" w:ascii="Times New Roman" w:hAnsi="Times New Roman" w:cs="Times New Roman"/>
                <w:color w:val="000000" w:themeColor="text1"/>
                <w:szCs w:val="21"/>
                <w14:textFill>
                  <w14:solidFill>
                    <w14:schemeClr w14:val="tx1"/>
                  </w14:solidFill>
                </w14:textFill>
              </w:rPr>
            </w:pPr>
          </w:p>
        </w:tc>
        <w:tc>
          <w:tcPr>
            <w:tcW w:w="981" w:type="dxa"/>
            <w:vMerge w:val="continue"/>
            <w:noWrap/>
            <w:vAlign w:val="center"/>
          </w:tcPr>
          <w:p w14:paraId="70EE2E91">
            <w:pPr>
              <w:snapToGrid w:val="0"/>
              <w:spacing w:line="360" w:lineRule="exact"/>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3401" w:type="dxa"/>
            <w:vMerge w:val="continue"/>
            <w:noWrap/>
            <w:vAlign w:val="center"/>
          </w:tcPr>
          <w:p w14:paraId="625F19A4">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p>
        </w:tc>
        <w:tc>
          <w:tcPr>
            <w:tcW w:w="1121" w:type="dxa"/>
            <w:noWrap/>
            <w:vAlign w:val="center"/>
          </w:tcPr>
          <w:p w14:paraId="3AB1C993">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3-2-4</w:t>
            </w:r>
          </w:p>
        </w:tc>
        <w:tc>
          <w:tcPr>
            <w:tcW w:w="2109" w:type="dxa"/>
            <w:noWrap/>
            <w:vAlign w:val="center"/>
          </w:tcPr>
          <w:p w14:paraId="2E62C603">
            <w:pPr>
              <w:snapToGrid w:val="0"/>
              <w:spacing w:line="360" w:lineRule="exact"/>
              <w:ind w:firstLine="0" w:firstLineChars="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其他养殖区</w:t>
            </w:r>
          </w:p>
        </w:tc>
      </w:tr>
    </w:tbl>
    <w:p w14:paraId="73091BD8">
      <w:pPr>
        <w:pStyle w:val="34"/>
        <w:ind w:firstLine="440"/>
        <w:rPr>
          <w:rFonts w:hint="default" w:ascii="Times New Roman" w:hAnsi="Times New Roman" w:cs="Times New Roman"/>
          <w:color w:val="000000" w:themeColor="text1"/>
          <w14:textFill>
            <w14:solidFill>
              <w14:schemeClr w14:val="tx1"/>
            </w14:solidFill>
          </w14:textFill>
        </w:rPr>
        <w:sectPr>
          <w:pgSz w:w="11850" w:h="16783"/>
          <w:pgMar w:top="1440" w:right="1800" w:bottom="1440" w:left="1800" w:header="851" w:footer="992" w:gutter="0"/>
          <w:cols w:space="720" w:num="1"/>
          <w:docGrid w:type="lines" w:linePitch="312" w:charSpace="0"/>
        </w:sectPr>
      </w:pPr>
    </w:p>
    <w:p w14:paraId="73A29E8B">
      <w:pPr>
        <w:pStyle w:val="3"/>
        <w:numPr>
          <w:ilvl w:val="0"/>
          <w:numId w:val="0"/>
        </w:numPr>
        <w:spacing w:before="0" w:after="0"/>
        <w:ind w:left="600" w:leftChars="200"/>
        <w:jc w:val="center"/>
        <w:outlineLvl w:val="0"/>
        <w:rPr>
          <w:rFonts w:hint="default" w:ascii="Times New Roman" w:hAnsi="Times New Roman" w:eastAsia="仿宋" w:cs="Times New Roman"/>
          <w:b w:val="0"/>
          <w:color w:val="000000" w:themeColor="text1"/>
          <w14:textFill>
            <w14:solidFill>
              <w14:schemeClr w14:val="tx1"/>
            </w14:solidFill>
          </w14:textFill>
        </w:rPr>
      </w:pPr>
      <w:bookmarkStart w:id="197" w:name="_Toc29242"/>
      <w:bookmarkStart w:id="198" w:name="_Toc6291"/>
      <w:r>
        <w:rPr>
          <w:rFonts w:hint="default" w:ascii="Times New Roman" w:hAnsi="Times New Roman" w:eastAsia="仿宋" w:cs="Times New Roman"/>
          <w:b w:val="0"/>
          <w:color w:val="000000" w:themeColor="text1"/>
          <w14:textFill>
            <w14:solidFill>
              <w14:schemeClr w14:val="tx1"/>
            </w14:solidFill>
          </w14:textFill>
        </w:rPr>
        <w:t>附表2-1寿县水域滩涂禁止养殖区汇总表</w:t>
      </w:r>
      <w:bookmarkEnd w:id="197"/>
      <w:bookmarkEnd w:id="198"/>
    </w:p>
    <w:p w14:paraId="15B7ACA7">
      <w:pPr>
        <w:pStyle w:val="34"/>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（湖泊水面）</w:t>
      </w:r>
    </w:p>
    <w:tbl>
      <w:tblPr>
        <w:tblStyle w:val="17"/>
        <w:tblW w:w="8280" w:type="dxa"/>
        <w:tblInd w:w="98" w:type="dxa"/>
        <w:tblLayout w:type="autofit"/>
        <w:tblCellMar>
          <w:top w:w="0" w:type="dxa"/>
          <w:left w:w="108" w:type="dxa"/>
          <w:bottom w:w="0" w:type="dxa"/>
          <w:right w:w="108" w:type="dxa"/>
        </w:tblCellMar>
      </w:tblPr>
      <w:tblGrid>
        <w:gridCol w:w="1240"/>
        <w:gridCol w:w="1170"/>
        <w:gridCol w:w="1096"/>
        <w:gridCol w:w="1294"/>
        <w:gridCol w:w="1710"/>
        <w:gridCol w:w="1770"/>
      </w:tblGrid>
      <w:tr w14:paraId="2DACDAED">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D360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图斑编号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2D57B">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地类编码</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8127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地类名称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6E0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权属性质</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6849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宗类地物名称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5B19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tc>
      </w:tr>
      <w:tr w14:paraId="5B0CE1C4">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465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41</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FE64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6999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6203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DC39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安丰塘</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70E0">
            <w:pPr>
              <w:widowControl/>
              <w:spacing w:line="240" w:lineRule="auto"/>
              <w:ind w:firstLine="0" w:firstLineChars="0"/>
              <w:jc w:val="right"/>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147193</w:t>
            </w:r>
          </w:p>
        </w:tc>
      </w:tr>
      <w:tr w14:paraId="33BB86CF">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1FC9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164</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7A1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020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0AA0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17D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E6A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536124</w:t>
            </w:r>
          </w:p>
        </w:tc>
      </w:tr>
      <w:tr w14:paraId="6BE073A0">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0968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164</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9EF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8E69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3BE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D01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5D3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398703</w:t>
            </w:r>
          </w:p>
        </w:tc>
      </w:tr>
      <w:tr w14:paraId="062AE682">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4C62B">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164</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E927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9D23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B7B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5EF3B">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A0F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401071</w:t>
            </w:r>
          </w:p>
        </w:tc>
      </w:tr>
      <w:tr w14:paraId="7E9D7E7C">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C14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164</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19B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E16E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7FB0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C255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7EAA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477251</w:t>
            </w:r>
          </w:p>
        </w:tc>
      </w:tr>
      <w:tr w14:paraId="2927E3AD">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688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172</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195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CE8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6F11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54A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897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656871</w:t>
            </w:r>
          </w:p>
        </w:tc>
      </w:tr>
      <w:tr w14:paraId="79006BA4">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BAF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172</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4CB3">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799E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2A8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CEB6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574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80997</w:t>
            </w:r>
          </w:p>
        </w:tc>
      </w:tr>
      <w:tr w14:paraId="29F2C26A">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13E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172</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0DC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2F3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湖泊水面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3FEB">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F9C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A7DE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488912</w:t>
            </w:r>
          </w:p>
        </w:tc>
      </w:tr>
      <w:tr w14:paraId="6408467F">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5C5C3">
            <w:pPr>
              <w:widowControl/>
              <w:ind w:firstLine="44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合计</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EC8D6">
            <w:pPr>
              <w:widowControl/>
              <w:ind w:firstLine="44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07AFD">
            <w:pPr>
              <w:widowControl/>
              <w:ind w:firstLine="44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64CC7">
            <w:pPr>
              <w:widowControl/>
              <w:ind w:firstLine="44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F45D">
            <w:pPr>
              <w:widowControl/>
              <w:ind w:firstLine="44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C715">
            <w:pPr>
              <w:widowControl/>
              <w:ind w:firstLine="44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3187127</w:t>
            </w:r>
          </w:p>
        </w:tc>
      </w:tr>
    </w:tbl>
    <w:p w14:paraId="6791162F">
      <w:pPr>
        <w:pStyle w:val="34"/>
        <w:ind w:firstLine="0" w:firstLineChars="0"/>
        <w:rPr>
          <w:rFonts w:hint="default" w:ascii="Times New Roman" w:hAnsi="Times New Roman" w:cs="Times New Roman"/>
          <w:color w:val="000000" w:themeColor="text1"/>
          <w14:textFill>
            <w14:solidFill>
              <w14:schemeClr w14:val="tx1"/>
            </w14:solidFill>
          </w14:textFill>
        </w:rPr>
      </w:pPr>
    </w:p>
    <w:p w14:paraId="5103E92B">
      <w:pPr>
        <w:pStyle w:val="3"/>
        <w:numPr>
          <w:ilvl w:val="0"/>
          <w:numId w:val="0"/>
        </w:numPr>
        <w:spacing w:before="0" w:after="0"/>
        <w:ind w:left="600" w:leftChars="200"/>
        <w:jc w:val="center"/>
        <w:outlineLvl w:val="0"/>
        <w:rPr>
          <w:rFonts w:hint="default" w:ascii="Times New Roman" w:hAnsi="Times New Roman" w:eastAsia="仿宋" w:cs="Times New Roman"/>
          <w:b w:val="0"/>
          <w:color w:val="000000" w:themeColor="text1"/>
          <w14:textFill>
            <w14:solidFill>
              <w14:schemeClr w14:val="tx1"/>
            </w14:solidFill>
          </w14:textFill>
        </w:rPr>
      </w:pPr>
      <w:bookmarkStart w:id="199" w:name="_Toc25788"/>
      <w:bookmarkStart w:id="200" w:name="_Toc3733"/>
      <w:r>
        <w:rPr>
          <w:rFonts w:hint="default" w:ascii="Times New Roman" w:hAnsi="Times New Roman" w:eastAsia="仿宋" w:cs="Times New Roman"/>
          <w:b w:val="0"/>
          <w:color w:val="000000" w:themeColor="text1"/>
          <w14:textFill>
            <w14:solidFill>
              <w14:schemeClr w14:val="tx1"/>
            </w14:solidFill>
          </w14:textFill>
        </w:rPr>
        <w:t>附表2-2寿县水域滩涂禁止养殖区汇总表</w:t>
      </w:r>
      <w:bookmarkEnd w:id="199"/>
      <w:bookmarkEnd w:id="200"/>
    </w:p>
    <w:p w14:paraId="7B5C26DC">
      <w:pPr>
        <w:pStyle w:val="34"/>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（水库水面）</w:t>
      </w:r>
    </w:p>
    <w:tbl>
      <w:tblPr>
        <w:tblStyle w:val="17"/>
        <w:tblW w:w="8280" w:type="dxa"/>
        <w:tblInd w:w="98" w:type="dxa"/>
        <w:tblLayout w:type="autofit"/>
        <w:tblCellMar>
          <w:top w:w="0" w:type="dxa"/>
          <w:left w:w="108" w:type="dxa"/>
          <w:bottom w:w="0" w:type="dxa"/>
          <w:right w:w="108" w:type="dxa"/>
        </w:tblCellMar>
      </w:tblPr>
      <w:tblGrid>
        <w:gridCol w:w="1240"/>
        <w:gridCol w:w="1170"/>
        <w:gridCol w:w="1096"/>
        <w:gridCol w:w="1294"/>
        <w:gridCol w:w="1710"/>
        <w:gridCol w:w="1770"/>
      </w:tblGrid>
      <w:tr w14:paraId="0535CFC9">
        <w:tblPrEx>
          <w:tblCellMar>
            <w:top w:w="0" w:type="dxa"/>
            <w:left w:w="108" w:type="dxa"/>
            <w:bottom w:w="0" w:type="dxa"/>
            <w:right w:w="108" w:type="dxa"/>
          </w:tblCellMar>
        </w:tblPrEx>
        <w:trPr>
          <w:trHeight w:val="562"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97BD4">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图斑编号</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6D3D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地类编码</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F0E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水库名称</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F09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权属性质</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96B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宗类地物名称</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B97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tc>
      </w:tr>
      <w:tr w14:paraId="229C56A5">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6330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763</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DC67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36E4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2FD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2708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龙楼村</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669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217555</w:t>
            </w:r>
          </w:p>
        </w:tc>
      </w:tr>
      <w:tr w14:paraId="082F536B">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F4B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850</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1D7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B11E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F171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ED9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龙楼村</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8CC1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6142</w:t>
            </w:r>
          </w:p>
        </w:tc>
      </w:tr>
      <w:tr w14:paraId="7E56D6D5">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5454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196</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A44C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121F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水库水面</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2F5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47F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圣井村</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992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744</w:t>
            </w:r>
          </w:p>
        </w:tc>
      </w:tr>
      <w:tr w14:paraId="4BEFC34D">
        <w:tblPrEx>
          <w:tblCellMar>
            <w:top w:w="0" w:type="dxa"/>
            <w:left w:w="108" w:type="dxa"/>
            <w:bottom w:w="0" w:type="dxa"/>
            <w:right w:w="108" w:type="dxa"/>
          </w:tblCellMar>
        </w:tblPrEx>
        <w:trPr>
          <w:trHeight w:val="280" w:hRule="atLeast"/>
        </w:trPr>
        <w:tc>
          <w:tcPr>
            <w:tcW w:w="1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9109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合计</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725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D41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888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1B4D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E2F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224442</w:t>
            </w:r>
          </w:p>
        </w:tc>
      </w:tr>
    </w:tbl>
    <w:p w14:paraId="3D735A20">
      <w:pPr>
        <w:pStyle w:val="34"/>
        <w:ind w:firstLine="0" w:firstLineChars="0"/>
        <w:rPr>
          <w:rFonts w:hint="default" w:ascii="Times New Roman" w:hAnsi="Times New Roman" w:cs="Times New Roman"/>
          <w:color w:val="000000" w:themeColor="text1"/>
          <w14:textFill>
            <w14:solidFill>
              <w14:schemeClr w14:val="tx1"/>
            </w14:solidFill>
          </w14:textFill>
        </w:rPr>
      </w:pPr>
    </w:p>
    <w:p w14:paraId="722D8AE7">
      <w:pPr>
        <w:pStyle w:val="3"/>
        <w:numPr>
          <w:ilvl w:val="0"/>
          <w:numId w:val="0"/>
        </w:numPr>
        <w:spacing w:before="0" w:after="0"/>
        <w:ind w:left="600" w:leftChars="200"/>
        <w:jc w:val="center"/>
        <w:outlineLvl w:val="0"/>
        <w:rPr>
          <w:rFonts w:hint="default" w:ascii="Times New Roman" w:hAnsi="Times New Roman" w:eastAsia="仿宋" w:cs="Times New Roman"/>
          <w:b w:val="0"/>
          <w:color w:val="000000" w:themeColor="text1"/>
          <w14:textFill>
            <w14:solidFill>
              <w14:schemeClr w14:val="tx1"/>
            </w14:solidFill>
          </w14:textFill>
        </w:rPr>
      </w:pPr>
      <w:bookmarkStart w:id="201" w:name="_Toc7457"/>
      <w:bookmarkStart w:id="202" w:name="_Toc21380"/>
      <w:r>
        <w:rPr>
          <w:rFonts w:hint="default" w:ascii="Times New Roman" w:hAnsi="Times New Roman" w:eastAsia="仿宋" w:cs="Times New Roman"/>
          <w:b w:val="0"/>
          <w:color w:val="000000" w:themeColor="text1"/>
          <w14:textFill>
            <w14:solidFill>
              <w14:schemeClr w14:val="tx1"/>
            </w14:solidFill>
          </w14:textFill>
        </w:rPr>
        <w:t>附表2-3寿县水域滩涂禁止养殖区汇总表</w:t>
      </w:r>
      <w:bookmarkEnd w:id="201"/>
      <w:bookmarkEnd w:id="202"/>
    </w:p>
    <w:p w14:paraId="06F9C2BE">
      <w:pPr>
        <w:pStyle w:val="34"/>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（坑塘水面）</w:t>
      </w:r>
    </w:p>
    <w:tbl>
      <w:tblPr>
        <w:tblStyle w:val="17"/>
        <w:tblW w:w="8760" w:type="dxa"/>
        <w:tblInd w:w="98" w:type="dxa"/>
        <w:tblLayout w:type="autofit"/>
        <w:tblCellMar>
          <w:top w:w="0" w:type="dxa"/>
          <w:left w:w="108" w:type="dxa"/>
          <w:bottom w:w="0" w:type="dxa"/>
          <w:right w:w="108" w:type="dxa"/>
        </w:tblCellMar>
      </w:tblPr>
      <w:tblGrid>
        <w:gridCol w:w="1420"/>
        <w:gridCol w:w="1160"/>
        <w:gridCol w:w="1330"/>
        <w:gridCol w:w="1250"/>
        <w:gridCol w:w="1976"/>
        <w:gridCol w:w="1624"/>
      </w:tblGrid>
      <w:tr w14:paraId="1C8B0040">
        <w:tblPrEx>
          <w:tblCellMar>
            <w:top w:w="0" w:type="dxa"/>
            <w:left w:w="108" w:type="dxa"/>
            <w:bottom w:w="0" w:type="dxa"/>
            <w:right w:w="108" w:type="dxa"/>
          </w:tblCellMar>
        </w:tblPrEx>
        <w:trPr>
          <w:trHeight w:val="280" w:hRule="atLeast"/>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A4048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乡镇</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CE5D4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图斑编号</w:t>
            </w:r>
          </w:p>
        </w:tc>
        <w:tc>
          <w:tcPr>
            <w:tcW w:w="13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69856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地类编码</w:t>
            </w:r>
          </w:p>
        </w:tc>
        <w:tc>
          <w:tcPr>
            <w:tcW w:w="12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239B5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权属性质</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9CADA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权属地物名称</w:t>
            </w:r>
          </w:p>
        </w:tc>
        <w:tc>
          <w:tcPr>
            <w:tcW w:w="16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76258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tc>
      </w:tr>
      <w:tr w14:paraId="346CCE97">
        <w:tblPrEx>
          <w:tblCellMar>
            <w:top w:w="0" w:type="dxa"/>
            <w:left w:w="108" w:type="dxa"/>
            <w:bottom w:w="0" w:type="dxa"/>
            <w:right w:w="108" w:type="dxa"/>
          </w:tblCellMar>
        </w:tblPrEx>
        <w:trPr>
          <w:trHeight w:val="280" w:hRule="atLeast"/>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FA16A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寿春镇</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08786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394</w:t>
            </w:r>
          </w:p>
        </w:tc>
        <w:tc>
          <w:tcPr>
            <w:tcW w:w="13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AB1AD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1104</w:t>
            </w:r>
          </w:p>
        </w:tc>
        <w:tc>
          <w:tcPr>
            <w:tcW w:w="12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3E0C1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B683F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团结村</w:t>
            </w:r>
          </w:p>
        </w:tc>
        <w:tc>
          <w:tcPr>
            <w:tcW w:w="16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1B4FA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106237</w:t>
            </w:r>
          </w:p>
        </w:tc>
      </w:tr>
      <w:tr w14:paraId="4D338639">
        <w:tblPrEx>
          <w:tblCellMar>
            <w:top w:w="0" w:type="dxa"/>
            <w:left w:w="108" w:type="dxa"/>
            <w:bottom w:w="0" w:type="dxa"/>
            <w:right w:w="108" w:type="dxa"/>
          </w:tblCellMar>
        </w:tblPrEx>
        <w:trPr>
          <w:trHeight w:val="280" w:hRule="atLeast"/>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2B1EB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寿春镇</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D92A2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339</w:t>
            </w:r>
          </w:p>
        </w:tc>
        <w:tc>
          <w:tcPr>
            <w:tcW w:w="13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CD146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1104</w:t>
            </w:r>
          </w:p>
        </w:tc>
        <w:tc>
          <w:tcPr>
            <w:tcW w:w="12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4597E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4CC69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大泉村</w:t>
            </w:r>
          </w:p>
        </w:tc>
        <w:tc>
          <w:tcPr>
            <w:tcW w:w="16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E7E31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53755</w:t>
            </w:r>
          </w:p>
        </w:tc>
      </w:tr>
      <w:tr w14:paraId="2704A7A0">
        <w:tblPrEx>
          <w:tblCellMar>
            <w:top w:w="0" w:type="dxa"/>
            <w:left w:w="108" w:type="dxa"/>
            <w:bottom w:w="0" w:type="dxa"/>
            <w:right w:w="108" w:type="dxa"/>
          </w:tblCellMar>
        </w:tblPrEx>
        <w:trPr>
          <w:trHeight w:val="280" w:hRule="atLeast"/>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86E83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合计</w:t>
            </w:r>
          </w:p>
        </w:tc>
        <w:tc>
          <w:tcPr>
            <w:tcW w:w="116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AD429">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3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3677A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2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23668A">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62E42F">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6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E627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159993</w:t>
            </w:r>
          </w:p>
        </w:tc>
      </w:tr>
    </w:tbl>
    <w:p w14:paraId="0AEBD822">
      <w:pPr>
        <w:pStyle w:val="34"/>
        <w:ind w:firstLine="0" w:firstLineChars="0"/>
        <w:rPr>
          <w:rFonts w:hint="default" w:ascii="Times New Roman" w:hAnsi="Times New Roman" w:cs="Times New Roman"/>
          <w:color w:val="000000" w:themeColor="text1"/>
          <w14:textFill>
            <w14:solidFill>
              <w14:schemeClr w14:val="tx1"/>
            </w14:solidFill>
          </w14:textFill>
        </w:rPr>
      </w:pPr>
    </w:p>
    <w:p w14:paraId="586F7D57">
      <w:pPr>
        <w:pStyle w:val="34"/>
        <w:ind w:firstLine="0" w:firstLineChars="0"/>
        <w:rPr>
          <w:rFonts w:hint="default" w:ascii="Times New Roman" w:hAnsi="Times New Roman" w:cs="Times New Roman"/>
          <w:color w:val="000000" w:themeColor="text1"/>
          <w14:textFill>
            <w14:solidFill>
              <w14:schemeClr w14:val="tx1"/>
            </w14:solidFill>
          </w14:textFill>
        </w:rPr>
        <w:sectPr>
          <w:pgSz w:w="11850" w:h="16783"/>
          <w:pgMar w:top="1440" w:right="1800" w:bottom="1440" w:left="1800" w:header="851" w:footer="992" w:gutter="0"/>
          <w:cols w:space="720" w:num="1"/>
          <w:docGrid w:type="lines" w:linePitch="312" w:charSpace="0"/>
        </w:sectPr>
      </w:pPr>
    </w:p>
    <w:p w14:paraId="45DB5055">
      <w:pPr>
        <w:pStyle w:val="3"/>
        <w:numPr>
          <w:ilvl w:val="0"/>
          <w:numId w:val="0"/>
        </w:numPr>
        <w:spacing w:before="0" w:after="0"/>
        <w:ind w:left="600" w:leftChars="200"/>
        <w:jc w:val="center"/>
        <w:outlineLvl w:val="0"/>
        <w:rPr>
          <w:rFonts w:hint="default" w:ascii="Times New Roman" w:hAnsi="Times New Roman" w:eastAsia="仿宋" w:cs="Times New Roman"/>
          <w:b w:val="0"/>
          <w:color w:val="000000" w:themeColor="text1"/>
          <w14:textFill>
            <w14:solidFill>
              <w14:schemeClr w14:val="tx1"/>
            </w14:solidFill>
          </w14:textFill>
        </w:rPr>
      </w:pPr>
      <w:bookmarkStart w:id="203" w:name="_Toc29729"/>
      <w:bookmarkStart w:id="204" w:name="_Toc21892"/>
      <w:r>
        <w:rPr>
          <w:rFonts w:hint="default" w:ascii="Times New Roman" w:hAnsi="Times New Roman" w:eastAsia="仿宋" w:cs="Times New Roman"/>
          <w:b w:val="0"/>
          <w:color w:val="000000" w:themeColor="text1"/>
          <w14:textFill>
            <w14:solidFill>
              <w14:schemeClr w14:val="tx1"/>
            </w14:solidFill>
          </w14:textFill>
        </w:rPr>
        <w:t>附表3-1寿县水域滩涂限制养殖区汇总表</w:t>
      </w:r>
      <w:bookmarkEnd w:id="203"/>
      <w:bookmarkEnd w:id="204"/>
    </w:p>
    <w:p w14:paraId="78784926">
      <w:pPr>
        <w:pStyle w:val="34"/>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（湖泊水面）</w:t>
      </w:r>
    </w:p>
    <w:tbl>
      <w:tblPr>
        <w:tblStyle w:val="17"/>
        <w:tblW w:w="8520" w:type="dxa"/>
        <w:tblInd w:w="-152" w:type="dxa"/>
        <w:tblLayout w:type="autofit"/>
        <w:tblCellMar>
          <w:top w:w="0" w:type="dxa"/>
          <w:left w:w="108" w:type="dxa"/>
          <w:bottom w:w="0" w:type="dxa"/>
          <w:right w:w="108" w:type="dxa"/>
        </w:tblCellMar>
      </w:tblPr>
      <w:tblGrid>
        <w:gridCol w:w="1146"/>
        <w:gridCol w:w="896"/>
        <w:gridCol w:w="896"/>
        <w:gridCol w:w="896"/>
        <w:gridCol w:w="1826"/>
        <w:gridCol w:w="1096"/>
        <w:gridCol w:w="1764"/>
      </w:tblGrid>
      <w:tr w14:paraId="20C6AD0F">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B2D6F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乡镇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269CD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图斑</w:t>
            </w:r>
          </w:p>
          <w:p w14:paraId="257403D5">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编号</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EDDAB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地类</w:t>
            </w:r>
          </w:p>
          <w:p w14:paraId="7DCE311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编码</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42A80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权属</w:t>
            </w:r>
          </w:p>
          <w:p w14:paraId="1C7374C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性质</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2EDD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权属地物</w:t>
            </w:r>
          </w:p>
          <w:p w14:paraId="501E1F6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名称</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0467CE">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湖泊</w:t>
            </w:r>
          </w:p>
          <w:p w14:paraId="7C37D1CC">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名称</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1AD00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面积</w:t>
            </w:r>
          </w:p>
          <w:p w14:paraId="4E06AF8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w:t>
            </w:r>
          </w:p>
        </w:tc>
      </w:tr>
      <w:tr w14:paraId="559B1797">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45EC3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小甸镇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F2CC6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154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D65D8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915A3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2E4BA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邵店村</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E5CF8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0E6ED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42430</w:t>
            </w:r>
          </w:p>
        </w:tc>
      </w:tr>
      <w:tr w14:paraId="150C07A6">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C92F4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小甸镇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2AE50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179</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DFD93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30EFF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429B9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邵店村</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3F527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94FDE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83985</w:t>
            </w:r>
          </w:p>
        </w:tc>
      </w:tr>
      <w:tr w14:paraId="2FF57072">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B36A2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双庙集镇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E228F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476</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A87FD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5F5B0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790CB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邢铺村</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B96DE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2B6EE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88773</w:t>
            </w:r>
          </w:p>
        </w:tc>
      </w:tr>
      <w:tr w14:paraId="11C79006">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0B392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安丰镇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C3665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41</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8916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FF5A9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33C85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安丰塘</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C5E58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安丰塘</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1A614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34153971</w:t>
            </w:r>
          </w:p>
        </w:tc>
      </w:tr>
      <w:tr w14:paraId="723FB67A">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B1A93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堰口镇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5EA2A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1122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48A92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EC7EE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75FA9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八沟村</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3F6EC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AE059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43878</w:t>
            </w:r>
          </w:p>
        </w:tc>
      </w:tr>
      <w:tr w14:paraId="448CB239">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D8F4A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小甸镇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5BAE0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1682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FFC61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CE4DD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A726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邵店村</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01CF1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170CA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106235</w:t>
            </w:r>
          </w:p>
        </w:tc>
      </w:tr>
      <w:tr w14:paraId="51E69401">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85CE8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大顺镇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D29D7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164</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C99EA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661C3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33B3B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00E9B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C02AE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36930066</w:t>
            </w:r>
          </w:p>
        </w:tc>
      </w:tr>
      <w:tr w14:paraId="64C2DD46">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1E6E8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窑口镇</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6C364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172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65123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1102</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C4A58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0CEB6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1A565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瓦埠湖</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B545D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73634718</w:t>
            </w:r>
          </w:p>
        </w:tc>
      </w:tr>
      <w:tr w14:paraId="267B666F">
        <w:tblPrEx>
          <w:tblCellMar>
            <w:top w:w="0" w:type="dxa"/>
            <w:left w:w="108" w:type="dxa"/>
            <w:bottom w:w="0" w:type="dxa"/>
            <w:right w:w="108" w:type="dxa"/>
          </w:tblCellMar>
        </w:tblPrEx>
        <w:trPr>
          <w:trHeight w:val="280" w:hRule="atLeast"/>
        </w:trPr>
        <w:tc>
          <w:tcPr>
            <w:tcW w:w="114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016BA7">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合计</w:t>
            </w: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C10762">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938E88">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5E53ED">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82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11B26">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0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994461">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F54BC0">
            <w:pPr>
              <w:widowControl/>
              <w:spacing w:line="240" w:lineRule="auto"/>
              <w:ind w:firstLine="0" w:firstLineChars="0"/>
              <w:jc w:val="center"/>
              <w:textAlignment w:val="center"/>
              <w:rPr>
                <w:rFonts w:hint="default" w:ascii="Times New Roman" w:hAnsi="Times New Roman" w:cs="Times New Roman"/>
                <w:color w:val="000000" w:themeColor="text1"/>
                <w:sz w:val="22"/>
                <w:szCs w:val="22"/>
                <w14:textFill>
                  <w14:solidFill>
                    <w14:schemeClr w14:val="tx1"/>
                  </w14:solidFill>
                </w14:textFill>
              </w:rPr>
            </w:pPr>
            <w:r>
              <w:rPr>
                <w:rFonts w:hint="default" w:ascii="Times New Roman" w:hAnsi="Times New Roman" w:cs="Times New Roman"/>
                <w:color w:val="000000" w:themeColor="text1"/>
                <w:sz w:val="22"/>
                <w:szCs w:val="22"/>
                <w14:textFill>
                  <w14:solidFill>
                    <w14:schemeClr w14:val="tx1"/>
                  </w14:solidFill>
                </w14:textFill>
              </w:rPr>
              <w:t>145084060</w:t>
            </w:r>
          </w:p>
        </w:tc>
      </w:tr>
    </w:tbl>
    <w:p w14:paraId="49CCACDA">
      <w:pPr>
        <w:ind w:firstLine="420"/>
        <w:rPr>
          <w:rFonts w:hint="default" w:ascii="Times New Roman" w:hAnsi="Times New Roman" w:cs="Times New Roman"/>
          <w:color w:val="000000" w:themeColor="text1"/>
          <w:sz w:val="21"/>
          <w:szCs w:val="21"/>
          <w14:textFill>
            <w14:solidFill>
              <w14:schemeClr w14:val="tx1"/>
            </w14:solidFill>
          </w14:textFill>
        </w:rPr>
      </w:pPr>
      <w:bookmarkStart w:id="205" w:name="_Toc7878"/>
    </w:p>
    <w:p w14:paraId="257CC5E1">
      <w:pPr>
        <w:pStyle w:val="3"/>
        <w:numPr>
          <w:ilvl w:val="0"/>
          <w:numId w:val="0"/>
        </w:numPr>
        <w:spacing w:before="0" w:after="0"/>
        <w:ind w:left="600" w:leftChars="200"/>
        <w:jc w:val="center"/>
        <w:outlineLvl w:val="0"/>
        <w:rPr>
          <w:rFonts w:hint="default" w:ascii="Times New Roman" w:hAnsi="Times New Roman" w:eastAsia="仿宋" w:cs="Times New Roman"/>
          <w:b w:val="0"/>
          <w:color w:val="000000" w:themeColor="text1"/>
          <w14:textFill>
            <w14:solidFill>
              <w14:schemeClr w14:val="tx1"/>
            </w14:solidFill>
          </w14:textFill>
        </w:rPr>
      </w:pPr>
      <w:bookmarkStart w:id="206" w:name="_Toc19463"/>
      <w:r>
        <w:rPr>
          <w:rFonts w:hint="default" w:ascii="Times New Roman" w:hAnsi="Times New Roman" w:eastAsia="仿宋" w:cs="Times New Roman"/>
          <w:b w:val="0"/>
          <w:color w:val="000000" w:themeColor="text1"/>
          <w14:textFill>
            <w14:solidFill>
              <w14:schemeClr w14:val="tx1"/>
            </w14:solidFill>
          </w14:textFill>
        </w:rPr>
        <w:t>附表3-2寿县水域滩涂限制养殖区汇总表</w:t>
      </w:r>
      <w:bookmarkEnd w:id="205"/>
      <w:bookmarkEnd w:id="206"/>
    </w:p>
    <w:p w14:paraId="7B543C18">
      <w:pPr>
        <w:pStyle w:val="34"/>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（水库水面）</w:t>
      </w:r>
    </w:p>
    <w:tbl>
      <w:tblPr>
        <w:tblStyle w:val="17"/>
        <w:tblW w:w="8020" w:type="dxa"/>
        <w:tblInd w:w="98" w:type="dxa"/>
        <w:tblLayout w:type="fixed"/>
        <w:tblCellMar>
          <w:top w:w="0" w:type="dxa"/>
          <w:left w:w="108" w:type="dxa"/>
          <w:bottom w:w="0" w:type="dxa"/>
          <w:right w:w="108" w:type="dxa"/>
        </w:tblCellMar>
      </w:tblPr>
      <w:tblGrid>
        <w:gridCol w:w="1604"/>
        <w:gridCol w:w="1604"/>
        <w:gridCol w:w="1604"/>
        <w:gridCol w:w="1604"/>
        <w:gridCol w:w="1604"/>
      </w:tblGrid>
      <w:tr w14:paraId="40F945F1">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21B225">
            <w:pPr>
              <w:widowControl/>
              <w:spacing w:line="240" w:lineRule="auto"/>
              <w:ind w:firstLine="0" w:firstLineChars="0"/>
              <w:jc w:val="center"/>
              <w:textAlignment w:val="center"/>
              <w:rPr>
                <w:rFonts w:hint="default" w:ascii="Times New Roman" w:hAnsi="Times New Roman" w:cs="Times New Roman"/>
                <w:b/>
                <w:bCs/>
                <w:color w:val="000000" w:themeColor="text1"/>
                <w:kern w:val="0"/>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图斑</w:t>
            </w:r>
          </w:p>
          <w:p w14:paraId="56A40AEC">
            <w:pPr>
              <w:widowControl/>
              <w:spacing w:line="240" w:lineRule="auto"/>
              <w:ind w:firstLine="0" w:firstLineChars="0"/>
              <w:jc w:val="center"/>
              <w:textAlignment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编号</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609122">
            <w:pPr>
              <w:widowControl/>
              <w:spacing w:line="240" w:lineRule="auto"/>
              <w:ind w:firstLine="0" w:firstLineChars="0"/>
              <w:jc w:val="center"/>
              <w:textAlignment w:val="center"/>
              <w:rPr>
                <w:rFonts w:hint="default" w:ascii="Times New Roman" w:hAnsi="Times New Roman" w:cs="Times New Roman"/>
                <w:b/>
                <w:bCs/>
                <w:color w:val="000000" w:themeColor="text1"/>
                <w:kern w:val="0"/>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地类</w:t>
            </w:r>
          </w:p>
          <w:p w14:paraId="784C2726">
            <w:pPr>
              <w:widowControl/>
              <w:spacing w:line="240" w:lineRule="auto"/>
              <w:ind w:firstLine="0" w:firstLineChars="0"/>
              <w:jc w:val="center"/>
              <w:textAlignment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编码</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24D6B9">
            <w:pPr>
              <w:widowControl/>
              <w:spacing w:line="240" w:lineRule="auto"/>
              <w:ind w:firstLine="0" w:firstLineChars="0"/>
              <w:jc w:val="center"/>
              <w:textAlignment w:val="center"/>
              <w:rPr>
                <w:rFonts w:hint="default" w:ascii="Times New Roman" w:hAnsi="Times New Roman" w:cs="Times New Roman"/>
                <w:b/>
                <w:bCs/>
                <w:color w:val="000000" w:themeColor="text1"/>
                <w:kern w:val="0"/>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权属</w:t>
            </w:r>
          </w:p>
          <w:p w14:paraId="257DC59F">
            <w:pPr>
              <w:widowControl/>
              <w:spacing w:line="240" w:lineRule="auto"/>
              <w:ind w:firstLine="0" w:firstLineChars="0"/>
              <w:jc w:val="center"/>
              <w:textAlignment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性质</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99C2AE">
            <w:pPr>
              <w:widowControl/>
              <w:spacing w:line="240" w:lineRule="auto"/>
              <w:ind w:firstLine="0" w:firstLineChars="0"/>
              <w:jc w:val="center"/>
              <w:textAlignment w:val="center"/>
              <w:rPr>
                <w:rFonts w:hint="default" w:ascii="Times New Roman" w:hAnsi="Times New Roman" w:cs="Times New Roman"/>
                <w:b/>
                <w:bCs/>
                <w:color w:val="000000" w:themeColor="text1"/>
                <w:kern w:val="0"/>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权属地物</w:t>
            </w:r>
          </w:p>
          <w:p w14:paraId="7D6951F4">
            <w:pPr>
              <w:widowControl/>
              <w:spacing w:line="240" w:lineRule="auto"/>
              <w:ind w:firstLine="0" w:firstLineChars="0"/>
              <w:jc w:val="center"/>
              <w:textAlignment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名称</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85694">
            <w:pPr>
              <w:widowControl/>
              <w:spacing w:line="240" w:lineRule="auto"/>
              <w:ind w:firstLine="0" w:firstLineChars="0"/>
              <w:jc w:val="center"/>
              <w:textAlignment w:val="center"/>
              <w:rPr>
                <w:rFonts w:hint="default" w:ascii="Times New Roman" w:hAnsi="Times New Roman" w:cs="Times New Roman"/>
                <w:b/>
                <w:bCs/>
                <w:color w:val="000000" w:themeColor="text1"/>
                <w:kern w:val="0"/>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面积</w:t>
            </w:r>
          </w:p>
          <w:p w14:paraId="0714A869">
            <w:pPr>
              <w:widowControl/>
              <w:spacing w:line="240" w:lineRule="auto"/>
              <w:ind w:firstLine="0" w:firstLineChars="0"/>
              <w:jc w:val="center"/>
              <w:textAlignment w:val="center"/>
              <w:rPr>
                <w:rFonts w:hint="default" w:ascii="Times New Roman" w:hAnsi="Times New Roman" w:cs="Times New Roman"/>
                <w:b/>
                <w:bCs/>
                <w:color w:val="000000" w:themeColor="text1"/>
                <w:sz w:val="22"/>
                <w:szCs w:val="22"/>
                <w14:textFill>
                  <w14:solidFill>
                    <w14:schemeClr w14:val="tx1"/>
                  </w14:solidFill>
                </w14:textFill>
              </w:rPr>
            </w:pPr>
            <w:r>
              <w:rPr>
                <w:rFonts w:hint="default" w:ascii="Times New Roman" w:hAnsi="Times New Roman" w:cs="Times New Roman"/>
                <w:b/>
                <w:bCs/>
                <w:color w:val="000000" w:themeColor="text1"/>
                <w:kern w:val="0"/>
                <w:sz w:val="22"/>
                <w:szCs w:val="22"/>
                <w14:textFill>
                  <w14:solidFill>
                    <w14:schemeClr w14:val="tx1"/>
                  </w14:solidFill>
                </w14:textFill>
              </w:rPr>
              <w:t>(㎡)</w:t>
            </w:r>
          </w:p>
        </w:tc>
      </w:tr>
      <w:tr w14:paraId="4CFEB17E">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8D86E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1124</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56D81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E63E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9026D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九井村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C3B2E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2041718</w:t>
            </w:r>
          </w:p>
        </w:tc>
      </w:tr>
      <w:tr w14:paraId="3F7376C1">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ABA99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410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F425F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A86DE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CD26D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江黄村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2ADE1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490499</w:t>
            </w:r>
          </w:p>
        </w:tc>
      </w:tr>
      <w:tr w14:paraId="104F86AD">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99344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392</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E116F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6097D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12FFE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邢铺村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6D003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18024</w:t>
            </w:r>
          </w:p>
        </w:tc>
      </w:tr>
      <w:tr w14:paraId="3ADAFA67">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7C203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376</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50F6C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C74C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3DB1E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邢铺村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FBC88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70266</w:t>
            </w:r>
          </w:p>
        </w:tc>
      </w:tr>
      <w:tr w14:paraId="3D09FF74">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4CED6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108</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D650E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430E7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F6863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双枣村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E27CC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2688</w:t>
            </w:r>
          </w:p>
        </w:tc>
      </w:tr>
      <w:tr w14:paraId="6518E828">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2E12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354</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FD134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F6C71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70C58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黄楼村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AAD64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155289</w:t>
            </w:r>
          </w:p>
        </w:tc>
      </w:tr>
      <w:tr w14:paraId="38234FB9">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8F5CC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873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40D9E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F69A3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5A83F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龙楼村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B6EF8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7169</w:t>
            </w:r>
          </w:p>
        </w:tc>
      </w:tr>
      <w:tr w14:paraId="30AB76ED">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30C9F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137</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71A76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6F4D7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53864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磨湾村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D6F0D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120009</w:t>
            </w:r>
          </w:p>
        </w:tc>
      </w:tr>
      <w:tr w14:paraId="511A0E87">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706B5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555</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2A78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A54D02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0D534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陈岗村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F104C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149737</w:t>
            </w:r>
          </w:p>
        </w:tc>
      </w:tr>
      <w:tr w14:paraId="71A6C279">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EB7B4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AC787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4A17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FACCB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甲贝村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64F07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28271</w:t>
            </w:r>
          </w:p>
        </w:tc>
      </w:tr>
      <w:tr w14:paraId="3351F27D">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68D0C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914</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CBB03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337D6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19551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梧桐村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3AB55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63877</w:t>
            </w:r>
          </w:p>
        </w:tc>
      </w:tr>
      <w:tr w14:paraId="41B81D92">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36483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21</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05F4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1603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EA5AF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六冲村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B61098">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543570</w:t>
            </w:r>
          </w:p>
        </w:tc>
      </w:tr>
      <w:tr w14:paraId="0FB1F65F">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2A8BB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749</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1CE49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2E27F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AB574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桥湾村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D801F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186374</w:t>
            </w:r>
          </w:p>
        </w:tc>
      </w:tr>
      <w:tr w14:paraId="137A0646">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E8327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588</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D136C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8BE0B7">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C0A17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桥湾村</w:t>
            </w:r>
          </w:p>
        </w:tc>
        <w:tc>
          <w:tcPr>
            <w:tcW w:w="160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35D6A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327686</w:t>
            </w:r>
          </w:p>
        </w:tc>
      </w:tr>
      <w:tr w14:paraId="369716CF">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140258C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848</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323B2E6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401EDCE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0E80880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花果村</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07E0472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985849</w:t>
            </w:r>
          </w:p>
        </w:tc>
      </w:tr>
      <w:tr w14:paraId="44424E6A">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5C8231D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117</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059272E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2C30BAB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62A786C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双湾村</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2452C4B2">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1633598</w:t>
            </w:r>
          </w:p>
        </w:tc>
      </w:tr>
      <w:tr w14:paraId="46ED66E7">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221BA36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845</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6E6DEFC9">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1C5BF57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339203A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大井村</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7E88EF2F">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1397680</w:t>
            </w:r>
          </w:p>
        </w:tc>
      </w:tr>
      <w:tr w14:paraId="7BEA8F95">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606A9E0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846</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1CAABF8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67089A8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4AC2BB0B">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大井村</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2F3BF57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360918</w:t>
            </w:r>
          </w:p>
        </w:tc>
      </w:tr>
      <w:tr w14:paraId="690A5C69">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08E1F7EE">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686</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6580CF6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6F2912D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7C1D0CB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贾庄村</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39D5DDC5">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2075003</w:t>
            </w:r>
          </w:p>
        </w:tc>
      </w:tr>
      <w:tr w14:paraId="3046C6AD">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4C6B2F2D">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687</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1ECD18E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1103</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75C591B4">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20</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0E4F0790">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贾庄村</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4963450C">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424257</w:t>
            </w:r>
          </w:p>
        </w:tc>
      </w:tr>
      <w:tr w14:paraId="0056D6A2">
        <w:tblPrEx>
          <w:tblCellMar>
            <w:top w:w="0" w:type="dxa"/>
            <w:left w:w="108" w:type="dxa"/>
            <w:bottom w:w="0" w:type="dxa"/>
            <w:right w:w="108" w:type="dxa"/>
          </w:tblCellMar>
        </w:tblPrEx>
        <w:trPr>
          <w:trHeight w:val="280" w:hRule="atLeast"/>
        </w:trPr>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17D55093">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合计</w:t>
            </w: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7117AAB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08B7B181">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3E7E2876">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p>
        </w:tc>
        <w:tc>
          <w:tcPr>
            <w:tcW w:w="1604" w:type="dxa"/>
            <w:tcBorders>
              <w:top w:val="single" w:color="auto" w:sz="4" w:space="0"/>
              <w:left w:val="single" w:color="auto" w:sz="4" w:space="0"/>
              <w:bottom w:val="single" w:color="auto" w:sz="4" w:space="0"/>
              <w:right w:val="single" w:color="auto" w:sz="4" w:space="0"/>
            </w:tcBorders>
            <w:shd w:val="clear" w:color="auto" w:fill="auto"/>
            <w:vAlign w:val="center"/>
          </w:tcPr>
          <w:p w14:paraId="7F70792A">
            <w:pPr>
              <w:widowControl/>
              <w:spacing w:line="240" w:lineRule="auto"/>
              <w:ind w:firstLine="0" w:firstLineChars="0"/>
              <w:jc w:val="center"/>
              <w:textAlignment w:val="center"/>
              <w:rPr>
                <w:rFonts w:hint="default" w:ascii="Times New Roman" w:hAnsi="Times New Roman" w:cs="Times New Roman"/>
                <w:color w:val="000000" w:themeColor="text1"/>
                <w:kern w:val="0"/>
                <w:sz w:val="22"/>
                <w:szCs w:val="22"/>
                <w14:textFill>
                  <w14:solidFill>
                    <w14:schemeClr w14:val="tx1"/>
                  </w14:solidFill>
                </w14:textFill>
              </w:rPr>
            </w:pPr>
            <w:r>
              <w:rPr>
                <w:rFonts w:hint="default" w:ascii="Times New Roman" w:hAnsi="Times New Roman" w:cs="Times New Roman"/>
                <w:color w:val="000000" w:themeColor="text1"/>
                <w:kern w:val="0"/>
                <w:sz w:val="22"/>
                <w:szCs w:val="22"/>
                <w14:textFill>
                  <w14:solidFill>
                    <w14:schemeClr w14:val="tx1"/>
                  </w14:solidFill>
                </w14:textFill>
              </w:rPr>
              <w:t>11082490</w:t>
            </w:r>
          </w:p>
        </w:tc>
      </w:tr>
    </w:tbl>
    <w:p w14:paraId="226631EF">
      <w:pPr>
        <w:pStyle w:val="34"/>
        <w:ind w:firstLine="440"/>
        <w:rPr>
          <w:rFonts w:hint="default" w:ascii="Times New Roman" w:hAnsi="Times New Roman" w:cs="Times New Roman"/>
          <w:color w:val="000000" w:themeColor="text1"/>
          <w14:textFill>
            <w14:solidFill>
              <w14:schemeClr w14:val="tx1"/>
            </w14:solidFill>
          </w14:textFill>
        </w:rPr>
      </w:pPr>
    </w:p>
    <w:p w14:paraId="07CA6CE0">
      <w:pPr>
        <w:pStyle w:val="34"/>
        <w:ind w:firstLine="440"/>
        <w:rPr>
          <w:rFonts w:hint="default" w:ascii="Times New Roman" w:hAnsi="Times New Roman" w:cs="Times New Roman"/>
          <w:color w:val="000000" w:themeColor="text1"/>
          <w14:textFill>
            <w14:solidFill>
              <w14:schemeClr w14:val="tx1"/>
            </w14:solidFill>
          </w14:textFill>
        </w:rPr>
        <w:sectPr>
          <w:pgSz w:w="11850" w:h="16783"/>
          <w:pgMar w:top="1140" w:right="1800" w:bottom="1440" w:left="1800" w:header="851" w:footer="992" w:gutter="0"/>
          <w:cols w:space="720" w:num="1"/>
          <w:docGrid w:type="lines" w:linePitch="312" w:charSpace="0"/>
        </w:sectPr>
      </w:pPr>
    </w:p>
    <w:bookmarkEnd w:id="196"/>
    <w:p w14:paraId="7D3C49E9">
      <w:pPr>
        <w:pStyle w:val="2"/>
        <w:numPr>
          <w:ilvl w:val="0"/>
          <w:numId w:val="0"/>
        </w:numPr>
        <w:jc w:val="left"/>
        <w:rPr>
          <w:rFonts w:hint="default" w:ascii="Times New Roman" w:hAnsi="Times New Roman" w:eastAsia="仿宋" w:cs="Times New Roman"/>
          <w:color w:val="000000" w:themeColor="text1"/>
          <w14:textFill>
            <w14:solidFill>
              <w14:schemeClr w14:val="tx1"/>
            </w14:solidFill>
          </w14:textFill>
        </w:rPr>
      </w:pPr>
      <w:bookmarkStart w:id="207" w:name="_Toc21959"/>
      <w:bookmarkStart w:id="208" w:name="_Toc16216"/>
      <w:bookmarkStart w:id="209" w:name="_Toc16361"/>
      <w:bookmarkStart w:id="210" w:name="_Toc26151"/>
      <w:r>
        <w:rPr>
          <w:rFonts w:hint="default" w:ascii="Times New Roman" w:hAnsi="Times New Roman" w:eastAsia="仿宋" w:cs="Times New Roman"/>
          <w:color w:val="000000" w:themeColor="text1"/>
          <w14:textFill>
            <w14:solidFill>
              <w14:schemeClr w14:val="tx1"/>
            </w14:solidFill>
          </w14:textFill>
        </w:rPr>
        <w:t>附图</w:t>
      </w:r>
      <w:bookmarkEnd w:id="207"/>
      <w:bookmarkEnd w:id="208"/>
      <w:bookmarkEnd w:id="209"/>
      <w:bookmarkEnd w:id="210"/>
    </w:p>
    <w:p w14:paraId="47023E27">
      <w:pPr>
        <w:pStyle w:val="57"/>
        <w:tabs>
          <w:tab w:val="right" w:leader="dot" w:pos="8250"/>
        </w:tabs>
        <w:spacing w:line="360" w:lineRule="auto"/>
        <w:ind w:left="600"/>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"_Toc18693"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4"/>
          <w:szCs w:val="24"/>
          <w14:textFill>
            <w14:solidFill>
              <w14:schemeClr w14:val="tx1"/>
            </w14:solidFill>
          </w14:textFill>
        </w:rPr>
        <w:t>图1养殖水域滩涂利用现状图</w:t>
      </w:r>
      <w:r>
        <w:rPr>
          <w:rFonts w:hint="default" w:ascii="Times New Roman" w:hAnsi="Times New Roman" w:eastAsia="仿宋" w:cs="Times New Roman"/>
          <w:color w:val="000000" w:themeColor="text1"/>
          <w:sz w:val="24"/>
          <w:szCs w:val="24"/>
          <w14:textFill>
            <w14:solidFill>
              <w14:schemeClr w14:val="tx1"/>
            </w14:solidFill>
          </w14:textFill>
        </w:rPr>
        <w:tab/>
      </w:r>
      <w:r>
        <w:rPr>
          <w:rFonts w:hint="default" w:ascii="Times New Roman" w:hAnsi="Times New Roman" w:eastAsia="仿宋" w:cs="Times New Roman"/>
          <w:color w:val="000000" w:themeColor="text1"/>
          <w:sz w:val="24"/>
          <w:szCs w:val="24"/>
          <w14:textFill>
            <w14:solidFill>
              <w14:schemeClr w14:val="tx1"/>
            </w14:solidFill>
          </w14:textFill>
        </w:rPr>
        <w:t>4</w:t>
      </w:r>
      <w:r>
        <w:rPr>
          <w:rFonts w:hint="default" w:ascii="Times New Roman" w:hAnsi="Times New Roman" w:eastAsia="仿宋" w:cs="Times New Roman"/>
          <w:color w:val="000000" w:themeColor="text1"/>
          <w:sz w:val="24"/>
          <w:szCs w:val="24"/>
          <w14:textFill>
            <w14:solidFill>
              <w14:schemeClr w14:val="tx1"/>
            </w14:solidFill>
          </w14:textFill>
        </w:rPr>
        <w:fldChar w:fldCharType="end"/>
      </w:r>
      <w:r>
        <w:rPr>
          <w:rFonts w:hint="default" w:ascii="Times New Roman" w:hAnsi="Times New Roman" w:eastAsia="仿宋" w:cs="Times New Roman"/>
          <w:color w:val="000000" w:themeColor="text1"/>
          <w:sz w:val="24"/>
          <w:szCs w:val="24"/>
          <w14:textFill>
            <w14:solidFill>
              <w14:schemeClr w14:val="tx1"/>
            </w14:solidFill>
          </w14:textFill>
        </w:rPr>
        <w:t>6</w:t>
      </w:r>
    </w:p>
    <w:p w14:paraId="2AACEE3A">
      <w:pPr>
        <w:pStyle w:val="57"/>
        <w:tabs>
          <w:tab w:val="right" w:leader="dot" w:pos="8250"/>
        </w:tabs>
        <w:spacing w:line="360" w:lineRule="auto"/>
        <w:ind w:left="600"/>
        <w:rPr>
          <w:rFonts w:hint="default" w:ascii="Times New Roman" w:hAnsi="Times New Roman" w:eastAsia="仿宋" w:cs="Times New Roman"/>
          <w:color w:val="000000" w:themeColor="text1"/>
          <w:sz w:val="24"/>
          <w:szCs w:val="24"/>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"_Toc18693"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color w:val="000000" w:themeColor="text1"/>
          <w:sz w:val="24"/>
          <w:szCs w:val="24"/>
          <w14:textFill>
            <w14:solidFill>
              <w14:schemeClr w14:val="tx1"/>
            </w14:solidFill>
          </w14:textFill>
        </w:rPr>
        <w:t>图2养殖水域滩涂功能区规划图</w:t>
      </w:r>
      <w:r>
        <w:rPr>
          <w:rFonts w:hint="default" w:ascii="Times New Roman" w:hAnsi="Times New Roman" w:eastAsia="仿宋" w:cs="Times New Roman"/>
          <w:color w:val="000000" w:themeColor="text1"/>
          <w:sz w:val="24"/>
          <w:szCs w:val="24"/>
          <w14:textFill>
            <w14:solidFill>
              <w14:schemeClr w14:val="tx1"/>
            </w14:solidFill>
          </w14:textFill>
        </w:rPr>
        <w:tab/>
      </w:r>
      <w:r>
        <w:rPr>
          <w:rFonts w:hint="default" w:ascii="Times New Roman" w:hAnsi="Times New Roman" w:eastAsia="仿宋" w:cs="Times New Roman"/>
          <w:color w:val="000000" w:themeColor="text1"/>
          <w:sz w:val="24"/>
          <w:szCs w:val="24"/>
          <w14:textFill>
            <w14:solidFill>
              <w14:schemeClr w14:val="tx1"/>
            </w14:solidFill>
          </w14:textFill>
        </w:rPr>
        <w:t>4</w:t>
      </w:r>
      <w:r>
        <w:rPr>
          <w:rFonts w:hint="default" w:ascii="Times New Roman" w:hAnsi="Times New Roman" w:eastAsia="仿宋" w:cs="Times New Roman"/>
          <w:color w:val="000000" w:themeColor="text1"/>
          <w:sz w:val="24"/>
          <w:szCs w:val="24"/>
          <w14:textFill>
            <w14:solidFill>
              <w14:schemeClr w14:val="tx1"/>
            </w14:solidFill>
          </w14:textFill>
        </w:rPr>
        <w:fldChar w:fldCharType="end"/>
      </w:r>
      <w:r>
        <w:rPr>
          <w:rFonts w:hint="default" w:ascii="Times New Roman" w:hAnsi="Times New Roman" w:eastAsia="仿宋" w:cs="Times New Roman"/>
          <w:color w:val="000000" w:themeColor="text1"/>
          <w:sz w:val="24"/>
          <w:szCs w:val="24"/>
          <w14:textFill>
            <w14:solidFill>
              <w14:schemeClr w14:val="tx1"/>
            </w14:solidFill>
          </w14:textFill>
        </w:rPr>
        <w:t>7</w:t>
      </w:r>
    </w:p>
    <w:p w14:paraId="1E640468">
      <w:pPr>
        <w:pStyle w:val="57"/>
        <w:tabs>
          <w:tab w:val="right" w:leader="dot" w:pos="8250"/>
        </w:tabs>
        <w:spacing w:line="360" w:lineRule="auto"/>
        <w:ind w:left="600"/>
        <w:rPr>
          <w:rFonts w:hint="default" w:ascii="Times New Roman" w:hAnsi="Times New Roman" w:eastAsia="仿宋" w:cs="Times New Roman"/>
          <w:color w:val="000000" w:themeColor="text1"/>
          <w:sz w:val="24"/>
          <w:szCs w:val="24"/>
          <w14:textFill>
            <w14:solidFill>
              <w14:schemeClr w14:val="tx1"/>
            </w14:solidFill>
          </w14:textFill>
        </w:rPr>
      </w:pPr>
    </w:p>
    <w:p w14:paraId="0C658A7E">
      <w:pPr>
        <w:pStyle w:val="57"/>
        <w:numPr>
          <w:ilvl w:val="0"/>
          <w:numId w:val="0"/>
        </w:numPr>
        <w:tabs>
          <w:tab w:val="right" w:leader="dot" w:pos="8250"/>
        </w:tabs>
        <w:spacing w:line="360" w:lineRule="auto"/>
        <w:rPr>
          <w:rFonts w:hint="default" w:ascii="Times New Roman" w:hAnsi="Times New Roman" w:eastAsia="仿宋" w:cs="Times New Roman"/>
          <w:b/>
          <w:bCs/>
          <w:color w:val="000000" w:themeColor="text1"/>
          <w:sz w:val="32"/>
          <w:szCs w:val="32"/>
          <w:shd w:val="clear" w:color="FFFFFF" w:fill="D9D9D9"/>
          <w:lang w:val="en-US" w:eastAsia="zh-CN"/>
          <w14:textFill>
            <w14:solidFill>
              <w14:schemeClr w14:val="tx1"/>
            </w14:solidFill>
          </w14:textFill>
        </w:rPr>
      </w:pPr>
    </w:p>
    <w:p w14:paraId="25340E25">
      <w:pPr>
        <w:pStyle w:val="57"/>
        <w:numPr>
          <w:ilvl w:val="0"/>
          <w:numId w:val="0"/>
        </w:numPr>
        <w:tabs>
          <w:tab w:val="right" w:leader="dot" w:pos="8250"/>
        </w:tabs>
        <w:spacing w:line="360" w:lineRule="auto"/>
        <w:rPr>
          <w:rFonts w:hint="default" w:ascii="Times New Roman" w:hAnsi="Times New Roman" w:eastAsia="仿宋" w:cs="Times New Roman"/>
          <w:b/>
          <w:bCs/>
          <w:color w:val="000000" w:themeColor="text1"/>
          <w:sz w:val="32"/>
          <w:szCs w:val="32"/>
          <w:shd w:val="clear" w:color="FFFFFF" w:fill="D9D9D9"/>
          <w:lang w:val="en-US" w:eastAsia="zh-CN"/>
          <w14:textFill>
            <w14:solidFill>
              <w14:schemeClr w14:val="tx1"/>
            </w14:solidFill>
          </w14:textFill>
        </w:rPr>
        <w:sectPr>
          <w:headerReference r:id="rId17" w:type="default"/>
          <w:footerReference r:id="rId18" w:type="default"/>
          <w:pgSz w:w="11850" w:h="16783"/>
          <w:pgMar w:top="1440" w:right="1800" w:bottom="1440" w:left="1800" w:header="851" w:footer="992" w:gutter="0"/>
          <w:cols w:space="720" w:num="1"/>
          <w:docGrid w:type="lines" w:linePitch="312" w:charSpace="0"/>
        </w:sectPr>
      </w:pPr>
    </w:p>
    <w:p w14:paraId="24D77BCF">
      <w:pPr>
        <w:pStyle w:val="3"/>
        <w:numPr>
          <w:ilvl w:val="0"/>
          <w:numId w:val="0"/>
        </w:numPr>
        <w:spacing w:before="0" w:after="0"/>
        <w:ind w:left="600" w:leftChars="200"/>
        <w:jc w:val="left"/>
        <w:rPr>
          <w:rFonts w:hint="default" w:ascii="Times New Roman" w:hAnsi="Times New Roman" w:eastAsia="仿宋" w:cs="Times New Roman"/>
          <w:b w:val="0"/>
          <w:color w:val="000000" w:themeColor="text1"/>
          <w14:textFill>
            <w14:solidFill>
              <w14:schemeClr w14:val="tx1"/>
            </w14:solidFill>
          </w14:textFill>
        </w:rPr>
      </w:pPr>
      <w:bookmarkStart w:id="211" w:name="_Toc11728"/>
      <w:bookmarkStart w:id="212" w:name="_Toc1345"/>
      <w:r>
        <w:rPr>
          <w:rFonts w:hint="default" w:ascii="Times New Roman" w:hAnsi="Times New Roman" w:eastAsia="仿宋" w:cs="Times New Roman"/>
          <w:b w:val="0"/>
          <w:color w:val="000000" w:themeColor="text1"/>
          <w14:textFill>
            <w14:solidFill>
              <w14:schemeClr w14:val="tx1"/>
            </w14:solidFill>
          </w14:textFill>
        </w:rPr>
        <w:t>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"_Toc18693"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b w:val="0"/>
          <w:color w:val="000000" w:themeColor="text1"/>
          <w14:textFill>
            <w14:solidFill>
              <w14:schemeClr w14:val="tx1"/>
            </w14:solidFill>
          </w14:textFill>
        </w:rPr>
        <w:t>图1养殖水域滩涂利用现状图</w:t>
      </w:r>
      <w:r>
        <w:rPr>
          <w:rFonts w:hint="default" w:ascii="Times New Roman" w:hAnsi="Times New Roman" w:eastAsia="仿宋" w:cs="Times New Roman"/>
          <w:b w:val="0"/>
          <w:color w:val="000000" w:themeColor="text1"/>
          <w14:textFill>
            <w14:solidFill>
              <w14:schemeClr w14:val="tx1"/>
            </w14:solidFill>
          </w14:textFill>
        </w:rPr>
        <w:fldChar w:fldCharType="end"/>
      </w:r>
      <w:bookmarkEnd w:id="211"/>
      <w:bookmarkEnd w:id="212"/>
    </w:p>
    <w:p w14:paraId="38538E9F">
      <w:pPr>
        <w:pStyle w:val="57"/>
        <w:tabs>
          <w:tab w:val="right" w:leader="dot" w:pos="8250"/>
        </w:tabs>
        <w:spacing w:line="360" w:lineRule="auto"/>
        <w:ind w:left="600"/>
        <w:rPr>
          <w:rFonts w:hint="default" w:ascii="Times New Roman" w:hAnsi="Times New Roman" w:eastAsia="仿宋" w:cs="Times New Roman"/>
          <w:color w:val="000000" w:themeColor="text1"/>
          <w:sz w:val="30"/>
          <w:szCs w:val="30"/>
          <w14:textFill>
            <w14:solidFill>
              <w14:schemeClr w14:val="tx1"/>
            </w14:solidFill>
          </w14:textFill>
        </w:rPr>
      </w:pPr>
      <w:r>
        <w:rPr>
          <w:rFonts w:ascii="宋体" w:hAnsi="宋体" w:eastAsia="宋体" w:cs="宋体"/>
          <w:sz w:val="24"/>
          <w:szCs w:val="24"/>
        </w:rPr>
        <w:drawing>
          <wp:inline distT="0" distB="0" distL="114300" distR="114300">
            <wp:extent cx="304800" cy="304800"/>
            <wp:effectExtent l="0" t="0" r="0"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p>
    <w:p w14:paraId="29CEB8AC">
      <w:pPr>
        <w:pStyle w:val="57"/>
        <w:tabs>
          <w:tab w:val="right" w:leader="dot" w:pos="8250"/>
        </w:tabs>
        <w:spacing w:line="360" w:lineRule="auto"/>
        <w:ind w:left="600"/>
        <w:rPr>
          <w:rFonts w:hint="default" w:ascii="Times New Roman" w:hAnsi="Times New Roman" w:eastAsia="仿宋" w:cs="Times New Roman"/>
          <w:color w:val="000000" w:themeColor="text1"/>
          <w:sz w:val="30"/>
          <w:szCs w:val="30"/>
          <w14:textFill>
            <w14:solidFill>
              <w14:schemeClr w14:val="tx1"/>
            </w14:solidFill>
          </w14:textFill>
        </w:rPr>
        <w:sectPr>
          <w:pgSz w:w="11850" w:h="16783"/>
          <w:pgMar w:top="1440" w:right="1800" w:bottom="1440" w:left="1800" w:header="851" w:footer="992" w:gutter="0"/>
          <w:cols w:space="720" w:num="1"/>
          <w:docGrid w:type="lines" w:linePitch="312" w:charSpace="0"/>
        </w:sectPr>
      </w:pPr>
      <w:r>
        <w:rPr>
          <w:rFonts w:hint="eastAsia" w:ascii="宋体" w:hAnsi="宋体" w:eastAsia="宋体" w:cs="宋体"/>
          <w:i w:val="0"/>
          <w:iCs w:val="0"/>
          <w:caps w:val="0"/>
          <w:color w:val="333333"/>
          <w:spacing w:val="0"/>
          <w:sz w:val="24"/>
          <w:szCs w:val="24"/>
        </w:rPr>
        <w:drawing>
          <wp:inline distT="0" distB="0" distL="114300" distR="114300">
            <wp:extent cx="304800" cy="3048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0"/>
                    <a:stretch>
                      <a:fillRect/>
                    </a:stretch>
                  </pic:blipFill>
                  <pic:spPr>
                    <a:xfrm>
                      <a:off x="0" y="0"/>
                      <a:ext cx="304800" cy="304800"/>
                    </a:xfrm>
                    <a:prstGeom prst="rect">
                      <a:avLst/>
                    </a:prstGeom>
                    <a:noFill/>
                    <a:ln w="9525">
                      <a:noFill/>
                    </a:ln>
                  </pic:spPr>
                </pic:pic>
              </a:graphicData>
            </a:graphic>
          </wp:inline>
        </w:drawing>
      </w:r>
    </w:p>
    <w:p w14:paraId="1CD63C87">
      <w:pPr>
        <w:pStyle w:val="57"/>
        <w:tabs>
          <w:tab w:val="right" w:leader="dot" w:pos="8250"/>
        </w:tabs>
        <w:spacing w:line="360" w:lineRule="auto"/>
        <w:ind w:left="600"/>
        <w:rPr>
          <w:rFonts w:hint="default" w:ascii="Times New Roman" w:hAnsi="Times New Roman" w:eastAsia="仿宋" w:cs="Times New Roman"/>
          <w:color w:val="000000" w:themeColor="text1"/>
          <w:sz w:val="30"/>
          <w:szCs w:val="30"/>
          <w14:textFill>
            <w14:solidFill>
              <w14:schemeClr w14:val="tx1"/>
            </w14:solidFill>
          </w14:textFill>
        </w:rPr>
      </w:pPr>
    </w:p>
    <w:p w14:paraId="1D61476B">
      <w:pPr>
        <w:pStyle w:val="3"/>
        <w:numPr>
          <w:ilvl w:val="0"/>
          <w:numId w:val="0"/>
        </w:numPr>
        <w:spacing w:before="0" w:after="0"/>
        <w:ind w:left="600" w:leftChars="200"/>
        <w:jc w:val="left"/>
        <w:rPr>
          <w:rFonts w:hint="default" w:ascii="Times New Roman" w:hAnsi="Times New Roman" w:eastAsia="仿宋" w:cs="Times New Roman"/>
          <w:b w:val="0"/>
          <w:color w:val="000000" w:themeColor="text1"/>
          <w14:textFill>
            <w14:solidFill>
              <w14:schemeClr w14:val="tx1"/>
            </w14:solidFill>
          </w14:textFill>
        </w:rPr>
      </w:pPr>
      <w:bookmarkStart w:id="213" w:name="_Toc7373"/>
      <w:bookmarkStart w:id="214" w:name="_Toc27697"/>
      <w:r>
        <w:rPr>
          <w:rFonts w:hint="default" w:ascii="Times New Roman" w:hAnsi="Times New Roman" w:eastAsia="仿宋" w:cs="Times New Roman"/>
          <w:b w:val="0"/>
          <w:color w:val="000000" w:themeColor="text1"/>
          <w14:textFill>
            <w14:solidFill>
              <w14:schemeClr w14:val="tx1"/>
            </w14:solidFill>
          </w14:textFill>
        </w:rPr>
        <w:t>附</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"_Toc18693"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 w:cs="Times New Roman"/>
          <w:b w:val="0"/>
          <w:color w:val="000000" w:themeColor="text1"/>
          <w14:textFill>
            <w14:solidFill>
              <w14:schemeClr w14:val="tx1"/>
            </w14:solidFill>
          </w14:textFill>
        </w:rPr>
        <w:t>图2养殖水域滩涂功能区规划图</w:t>
      </w:r>
      <w:r>
        <w:rPr>
          <w:rFonts w:hint="default" w:ascii="Times New Roman" w:hAnsi="Times New Roman" w:eastAsia="仿宋" w:cs="Times New Roman"/>
          <w:b w:val="0"/>
          <w:color w:val="000000" w:themeColor="text1"/>
          <w14:textFill>
            <w14:solidFill>
              <w14:schemeClr w14:val="tx1"/>
            </w14:solidFill>
          </w14:textFill>
        </w:rPr>
        <w:fldChar w:fldCharType="end"/>
      </w:r>
      <w:bookmarkEnd w:id="213"/>
      <w:bookmarkEnd w:id="214"/>
    </w:p>
    <w:p w14:paraId="4A46D9BE">
      <w:pPr>
        <w:pStyle w:val="57"/>
        <w:tabs>
          <w:tab w:val="right" w:leader="dot" w:pos="8250"/>
        </w:tabs>
        <w:spacing w:line="360" w:lineRule="auto"/>
        <w:ind w:left="600"/>
        <w:rPr>
          <w:rFonts w:hint="eastAsia" w:ascii="Times New Roman" w:hAnsi="Times New Roman" w:eastAsia="仿宋" w:cs="Times New Roman"/>
          <w:color w:val="000000" w:themeColor="text1"/>
          <w:sz w:val="30"/>
          <w:szCs w:val="30"/>
          <w:lang w:eastAsia="zh-CN"/>
          <w14:textFill>
            <w14:solidFill>
              <w14:schemeClr w14:val="tx1"/>
            </w14:solidFill>
          </w14:textFill>
        </w:rPr>
      </w:pPr>
      <w:r>
        <w:rPr>
          <w:rFonts w:hint="eastAsia" w:ascii="Times New Roman" w:hAnsi="Times New Roman" w:eastAsia="仿宋" w:cs="Times New Roman"/>
          <w:color w:val="000000" w:themeColor="text1"/>
          <w:sz w:val="30"/>
          <w:szCs w:val="30"/>
          <w:lang w:eastAsia="zh-CN"/>
          <w14:textFill>
            <w14:solidFill>
              <w14:schemeClr w14:val="tx1"/>
            </w14:solidFill>
          </w14:textFill>
        </w:rPr>
        <w:drawing>
          <wp:inline distT="0" distB="0" distL="114300" distR="114300">
            <wp:extent cx="5237480" cy="7372985"/>
            <wp:effectExtent l="0" t="0" r="1270" b="18415"/>
            <wp:docPr id="6" name="图片 6" descr="EJ$WGM6~YO[YUS7HBQIA4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J$WGM6~YO[YUS7HBQIA4R4"/>
                    <pic:cNvPicPr>
                      <a:picLocks noChangeAspect="1"/>
                    </pic:cNvPicPr>
                  </pic:nvPicPr>
                  <pic:blipFill>
                    <a:blip r:embed="rId21"/>
                    <a:stretch>
                      <a:fillRect/>
                    </a:stretch>
                  </pic:blipFill>
                  <pic:spPr>
                    <a:xfrm>
                      <a:off x="0" y="0"/>
                      <a:ext cx="5237480" cy="7372985"/>
                    </a:xfrm>
                    <a:prstGeom prst="rect">
                      <a:avLst/>
                    </a:prstGeom>
                  </pic:spPr>
                </pic:pic>
              </a:graphicData>
            </a:graphic>
          </wp:inline>
        </w:drawing>
      </w:r>
    </w:p>
    <w:p w14:paraId="60E4281C">
      <w:pPr>
        <w:pStyle w:val="57"/>
        <w:tabs>
          <w:tab w:val="right" w:leader="dot" w:pos="8250"/>
        </w:tabs>
        <w:spacing w:line="360" w:lineRule="auto"/>
        <w:ind w:left="0" w:leftChars="0" w:firstLine="0" w:firstLineChars="0"/>
        <w:rPr>
          <w:rFonts w:hint="default" w:ascii="Times New Roman" w:hAnsi="Times New Roman" w:eastAsia="仿宋" w:cs="Times New Roman"/>
          <w:color w:val="000000" w:themeColor="text1"/>
          <w:sz w:val="30"/>
          <w:szCs w:val="30"/>
          <w14:textFill>
            <w14:solidFill>
              <w14:schemeClr w14:val="tx1"/>
            </w14:solidFill>
          </w14:textFill>
        </w:rPr>
      </w:pPr>
      <w:bookmarkStart w:id="215" w:name="_GoBack"/>
      <w:bookmarkEnd w:id="215"/>
    </w:p>
    <w:sectPr>
      <w:pgSz w:w="11850" w:h="16783"/>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4026D7D-FE60-4EBA-AB8A-5B7BB497F70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A7D1E839-43AC-4CD7-B153-E1AC1ABB7F82}"/>
  </w:font>
  <w:font w:name="方正公文小标宋">
    <w:altName w:val="宋体"/>
    <w:panose1 w:val="02000500000000000000"/>
    <w:charset w:val="86"/>
    <w:family w:val="auto"/>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Prima Serif Std Roman">
    <w:altName w:val="宋体"/>
    <w:panose1 w:val="0201060001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A00002BF" w:usb1="184F6CFA" w:usb2="00000012" w:usb3="00000000" w:csb0="00040001" w:csb1="00000000"/>
    <w:embedRegular r:id="rId3" w:fontKey="{824FEBEA-5798-4F32-93AB-9DB8687E8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44418">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66C0">
    <w:pPr>
      <w:pStyle w:val="11"/>
      <w:framePr w:wrap="around" w:vAnchor="text" w:hAnchor="margin" w:xAlign="outside" w:y="1"/>
      <w:ind w:firstLine="360"/>
      <w:rPr>
        <w:rStyle w:val="21"/>
      </w:rPr>
    </w:pPr>
    <w:r>
      <w:rPr>
        <w:rStyle w:val="21"/>
      </w:rPr>
      <w:fldChar w:fldCharType="begin"/>
    </w:r>
    <w:r>
      <w:rPr>
        <w:rStyle w:val="21"/>
      </w:rPr>
      <w:instrText xml:space="preserve">PAGE  </w:instrText>
    </w:r>
    <w:r>
      <w:rPr>
        <w:rStyle w:val="21"/>
      </w:rPr>
      <w:fldChar w:fldCharType="end"/>
    </w:r>
  </w:p>
  <w:p w14:paraId="798C7F0B">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66B88">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3A708">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73533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35330" cy="1828800"/>
                      </a:xfrm>
                      <a:prstGeom prst="rect">
                        <a:avLst/>
                      </a:prstGeom>
                      <a:noFill/>
                      <a:ln w="6350">
                        <a:noFill/>
                      </a:ln>
                      <a:effectLst/>
                    </wps:spPr>
                    <wps:txbx>
                      <w:txbxContent>
                        <w:p w14:paraId="0719D213">
                          <w:pPr>
                            <w:pStyle w:val="11"/>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57.9pt;mso-position-horizontal:center;mso-position-horizontal-relative:margin;z-index:251659264;mso-width-relative:page;mso-height-relative:page;" filled="f" stroked="f" coordsize="21600,21600" o:gfxdata="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kyY69QAAAAFAQAADwAAAAAAAAABACAAAAAiAAAAZHJzL2Rv&#10;d25yZXYueG1sUEsBAhQAFAAAAAgAh07iQInapGU+AgAAcAQAAA4AAAAAAAAAAQAgAAAAIwEAAGRy&#10;cy9lMm9Eb2MueG1sUEsFBgAAAAAGAAYAWQEAANMFAAAAAA==&#10;">
              <v:fill on="f" focussize="0,0"/>
              <v:stroke on="f" weight="0.5pt"/>
              <v:imagedata o:title=""/>
              <o:lock v:ext="edit" aspectratio="f"/>
              <v:textbox inset="0mm,0mm,0mm,0mm" style="mso-fit-shape-to-text:t;">
                <w:txbxContent>
                  <w:p w14:paraId="0719D213">
                    <w:pPr>
                      <w:pStyle w:val="11"/>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FB447">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A37391">
                          <w:pPr>
                            <w:pStyle w:val="11"/>
                            <w:ind w:firstLine="36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50A37391">
                    <w:pPr>
                      <w:pStyle w:val="11"/>
                      <w:ind w:firstLine="36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203D5">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B68932">
                          <w:pPr>
                            <w:pStyle w:val="11"/>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14:paraId="22B68932">
                    <w:pPr>
                      <w:pStyle w:val="11"/>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1E0CF">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3577AC">
                          <w:pPr>
                            <w:pStyle w:val="11"/>
                            <w:ind w:firstLine="36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553577AC">
                    <w:pPr>
                      <w:pStyle w:val="11"/>
                      <w:ind w:firstLine="36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9B121">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7AE47">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700F">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8945">
    <w:pPr>
      <w:pStyle w:val="12"/>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E707E">
    <w:pPr>
      <w:pStyle w:val="12"/>
      <w:ind w:firstLine="420"/>
      <w:jc w:val="right"/>
      <w:rPr>
        <w:rFonts w:asciiTheme="minorEastAsia" w:hAnsiTheme="minorEastAsia" w:eastAsiaTheme="minorEastAsia" w:cstheme="minorEastAsia"/>
        <w:sz w:val="21"/>
        <w:szCs w:val="21"/>
      </w:rPr>
    </w:pPr>
    <w:r>
      <w:fldChar w:fldCharType="begin"/>
    </w:r>
    <w:r>
      <w:instrText xml:space="preserve"> STYLEREF "标题 1" \n \* MERGEFORMAT </w:instrText>
    </w:r>
    <w:r>
      <w:fldChar w:fldCharType="separate"/>
    </w:r>
    <w:r>
      <w:t>0</w:t>
    </w:r>
    <w:r>
      <w:rPr>
        <w:rFonts w:hint="eastAsia" w:asciiTheme="minorEastAsia" w:hAnsiTheme="minorEastAsia" w:eastAsiaTheme="minorEastAsia" w:cstheme="minorEastAsia"/>
        <w:sz w:val="21"/>
        <w:szCs w:val="21"/>
      </w:rPr>
      <w:fldChar w:fldCharType="end"/>
    </w:r>
    <w:r>
      <w:fldChar w:fldCharType="begin"/>
    </w:r>
    <w:r>
      <w:instrText xml:space="preserve"> STYLEREF "标题 1"  \* MERGEFORMAT </w:instrText>
    </w:r>
    <w:r>
      <w:fldChar w:fldCharType="separate"/>
    </w:r>
    <w:r>
      <w:t>附图</w:t>
    </w:r>
    <w:r>
      <w:rPr>
        <w:rFonts w:hint="eastAsia" w:asciiTheme="minorEastAsia" w:hAnsiTheme="minorEastAsia" w:eastAsiaTheme="minorEastAsia" w:cstheme="minorEastAsia"/>
        <w:sz w:val="21"/>
        <w:szCs w:val="21"/>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9BB56">
    <w:pPr>
      <w:pStyle w:val="12"/>
      <w:ind w:firstLine="420"/>
      <w:jc w:val="right"/>
      <w:rPr>
        <w:rFonts w:asciiTheme="minorEastAsia" w:hAnsiTheme="minorEastAsia" w:eastAsiaTheme="minorEastAsia" w:cstheme="minorEastAsia"/>
        <w:sz w:val="21"/>
        <w:szCs w:val="21"/>
      </w:rPr>
    </w:pPr>
    <w:r>
      <w:fldChar w:fldCharType="begin"/>
    </w:r>
    <w:r>
      <w:instrText xml:space="preserve"> STYLEREF "标题 1"  \* MERGEFORMAT </w:instrText>
    </w:r>
    <w:r>
      <w:fldChar w:fldCharType="separate"/>
    </w:r>
    <w:r>
      <w:t>附图</w:t>
    </w:r>
    <w:r>
      <w:rPr>
        <w:rFonts w:hint="eastAsia" w:asciiTheme="minorEastAsia" w:hAnsiTheme="minorEastAsia" w:eastAsiaTheme="minorEastAsia" w:cstheme="minorEastAsia"/>
        <w:sz w:val="21"/>
        <w:szCs w:val="21"/>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FDD8A">
    <w:pPr>
      <w:pStyle w:val="12"/>
      <w:ind w:firstLine="420"/>
      <w:jc w:val="right"/>
      <w:rPr>
        <w:rFonts w:asciiTheme="minorEastAsia" w:hAnsiTheme="minorEastAsia" w:eastAsiaTheme="minorEastAsia" w:cstheme="minorEastAsia"/>
        <w:sz w:val="21"/>
        <w:szCs w:val="21"/>
      </w:rPr>
    </w:pPr>
    <w:r>
      <w:fldChar w:fldCharType="begin"/>
    </w:r>
    <w:r>
      <w:instrText xml:space="preserve"> STYLEREF "标题 1"  \* MERGEFORMAT </w:instrText>
    </w:r>
    <w:r>
      <w:fldChar w:fldCharType="separate"/>
    </w:r>
    <w:r>
      <w:t>附图</w:t>
    </w:r>
    <w:r>
      <w:rPr>
        <w:rFonts w:asciiTheme="minorEastAsia" w:hAnsiTheme="minorEastAsia" w:eastAsiaTheme="minorEastAsia" w:cstheme="minorEastAsia"/>
        <w:sz w:val="21"/>
        <w:szCs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0DE42A"/>
    <w:multiLevelType w:val="singleLevel"/>
    <w:tmpl w:val="940DE42A"/>
    <w:lvl w:ilvl="0" w:tentative="0">
      <w:start w:val="1"/>
      <w:numFmt w:val="decimal"/>
      <w:suff w:val="nothing"/>
      <w:lvlText w:val="(%1)"/>
      <w:lvlJc w:val="left"/>
      <w:pPr>
        <w:ind w:left="397" w:hanging="397"/>
      </w:pPr>
      <w:rPr>
        <w:rFonts w:hint="default"/>
      </w:rPr>
    </w:lvl>
  </w:abstractNum>
  <w:abstractNum w:abstractNumId="1">
    <w:nsid w:val="AE368DA0"/>
    <w:multiLevelType w:val="singleLevel"/>
    <w:tmpl w:val="AE368DA0"/>
    <w:lvl w:ilvl="0" w:tentative="0">
      <w:start w:val="1"/>
      <w:numFmt w:val="decimal"/>
      <w:suff w:val="nothing"/>
      <w:lvlText w:val="%1．"/>
      <w:lvlJc w:val="left"/>
      <w:pPr>
        <w:ind w:left="0" w:firstLine="400"/>
      </w:pPr>
      <w:rPr>
        <w:rFonts w:hint="default"/>
      </w:rPr>
    </w:lvl>
  </w:abstractNum>
  <w:abstractNum w:abstractNumId="2">
    <w:nsid w:val="0000000B"/>
    <w:multiLevelType w:val="multilevel"/>
    <w:tmpl w:val="0000000B"/>
    <w:lvl w:ilvl="0" w:tentative="0">
      <w:start w:val="1"/>
      <w:numFmt w:val="chineseCounting"/>
      <w:suff w:val="nothing"/>
      <w:lvlText w:val="第%1章　"/>
      <w:lvlJc w:val="left"/>
      <w:pPr>
        <w:tabs>
          <w:tab w:val="left" w:pos="0"/>
        </w:tabs>
        <w:ind w:firstLine="402"/>
      </w:pPr>
      <w:rPr>
        <w:rFonts w:hint="eastAsia" w:cs="Times New Roman"/>
      </w:rPr>
    </w:lvl>
    <w:lvl w:ilvl="1" w:tentative="0">
      <w:start w:val="1"/>
      <w:numFmt w:val="chineseCounting"/>
      <w:pStyle w:val="3"/>
      <w:suff w:val="nothing"/>
      <w:lvlText w:val="第%2节　"/>
      <w:lvlJc w:val="left"/>
      <w:pPr>
        <w:ind w:firstLine="402"/>
      </w:pPr>
      <w:rPr>
        <w:rFonts w:hint="eastAsia" w:ascii="宋体" w:hAnsi="宋体" w:eastAsia="宋体" w:cs="宋体"/>
      </w:rPr>
    </w:lvl>
    <w:lvl w:ilvl="2" w:tentative="0">
      <w:start w:val="1"/>
      <w:numFmt w:val="chineseCounting"/>
      <w:suff w:val="nothing"/>
      <w:lvlText w:val="第%3条　"/>
      <w:lvlJc w:val="left"/>
      <w:pPr>
        <w:ind w:firstLine="402"/>
      </w:pPr>
      <w:rPr>
        <w:rFonts w:hint="eastAsia" w:cs="Times New Roman"/>
      </w:rPr>
    </w:lvl>
    <w:lvl w:ilvl="3" w:tentative="0">
      <w:start w:val="1"/>
      <w:numFmt w:val="chineseCounting"/>
      <w:suff w:val="nothing"/>
      <w:lvlText w:val="（%4）"/>
      <w:lvlJc w:val="left"/>
      <w:pPr>
        <w:ind w:firstLine="402"/>
      </w:pPr>
      <w:rPr>
        <w:rFonts w:hint="eastAsia" w:cs="Times New Roman"/>
      </w:rPr>
    </w:lvl>
    <w:lvl w:ilvl="4" w:tentative="0">
      <w:start w:val="1"/>
      <w:numFmt w:val="decimal"/>
      <w:suff w:val="nothing"/>
      <w:lvlText w:val="%5．"/>
      <w:lvlJc w:val="left"/>
      <w:pPr>
        <w:ind w:firstLine="402"/>
      </w:pPr>
      <w:rPr>
        <w:rFonts w:hint="eastAsia" w:cs="Times New Roman"/>
      </w:rPr>
    </w:lvl>
    <w:lvl w:ilvl="5" w:tentative="0">
      <w:start w:val="1"/>
      <w:numFmt w:val="decimal"/>
      <w:suff w:val="nothing"/>
      <w:lvlText w:val="（%6）"/>
      <w:lvlJc w:val="left"/>
      <w:pPr>
        <w:ind w:firstLine="402"/>
      </w:pPr>
      <w:rPr>
        <w:rFonts w:hint="eastAsia" w:cs="Times New Roman"/>
      </w:rPr>
    </w:lvl>
    <w:lvl w:ilvl="6" w:tentative="0">
      <w:start w:val="1"/>
      <w:numFmt w:val="decimalEnclosedCircleChinese"/>
      <w:suff w:val="nothing"/>
      <w:lvlText w:val="%7 "/>
      <w:lvlJc w:val="left"/>
      <w:pPr>
        <w:ind w:firstLine="402"/>
      </w:pPr>
      <w:rPr>
        <w:rFonts w:hint="eastAsia" w:cs="Times New Roman"/>
      </w:rPr>
    </w:lvl>
    <w:lvl w:ilvl="7" w:tentative="0">
      <w:start w:val="1"/>
      <w:numFmt w:val="decimal"/>
      <w:suff w:val="nothing"/>
      <w:lvlText w:val="%8）"/>
      <w:lvlJc w:val="left"/>
      <w:pPr>
        <w:ind w:firstLine="402"/>
      </w:pPr>
      <w:rPr>
        <w:rFonts w:hint="eastAsia" w:cs="Times New Roman"/>
      </w:rPr>
    </w:lvl>
    <w:lvl w:ilvl="8" w:tentative="0">
      <w:start w:val="1"/>
      <w:numFmt w:val="lowerLetter"/>
      <w:suff w:val="nothing"/>
      <w:lvlText w:val="%9．"/>
      <w:lvlJc w:val="left"/>
      <w:pPr>
        <w:ind w:firstLine="402"/>
      </w:pPr>
      <w:rPr>
        <w:rFonts w:hint="eastAsia" w:cs="Times New Roman"/>
      </w:rPr>
    </w:lvl>
  </w:abstractNum>
  <w:abstractNum w:abstractNumId="3">
    <w:nsid w:val="0000000E"/>
    <w:multiLevelType w:val="multilevel"/>
    <w:tmpl w:val="0000000E"/>
    <w:lvl w:ilvl="0" w:tentative="0">
      <w:start w:val="1"/>
      <w:numFmt w:val="decimal"/>
      <w:lvlText w:val="%1"/>
      <w:lvlJc w:val="left"/>
      <w:pPr>
        <w:ind w:left="425" w:hanging="425"/>
      </w:pPr>
      <w:rPr>
        <w:rFonts w:hint="eastAsia" w:cs="Times New Roman"/>
      </w:rPr>
    </w:lvl>
    <w:lvl w:ilvl="1" w:tentative="0">
      <w:start w:val="1"/>
      <w:numFmt w:val="decimal"/>
      <w:lvlText w:val="%1.%2"/>
      <w:lvlJc w:val="left"/>
      <w:pPr>
        <w:ind w:left="992" w:hanging="567"/>
      </w:pPr>
      <w:rPr>
        <w:rFonts w:hint="eastAsia" w:cs="Times New Roman"/>
      </w:rPr>
    </w:lvl>
    <w:lvl w:ilvl="2" w:tentative="0">
      <w:start w:val="1"/>
      <w:numFmt w:val="chineseCountingThousand"/>
      <w:pStyle w:val="4"/>
      <w:suff w:val="space"/>
      <w:lvlText w:val="第%3条"/>
      <w:lvlJc w:val="left"/>
      <w:pPr>
        <w:ind w:left="1418" w:hanging="851"/>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4">
    <w:nsid w:val="00000015"/>
    <w:multiLevelType w:val="multilevel"/>
    <w:tmpl w:val="00000015"/>
    <w:lvl w:ilvl="0" w:tentative="0">
      <w:start w:val="1"/>
      <w:numFmt w:val="chineseCounting"/>
      <w:pStyle w:val="2"/>
      <w:suff w:val="nothing"/>
      <w:lvlText w:val="第%1章　"/>
      <w:lvlJc w:val="left"/>
      <w:pPr>
        <w:tabs>
          <w:tab w:val="left" w:pos="0"/>
        </w:tabs>
        <w:ind w:firstLine="402"/>
      </w:pPr>
      <w:rPr>
        <w:rFonts w:hint="eastAsia" w:cs="Times New Roman"/>
        <w:sz w:val="36"/>
        <w:szCs w:val="36"/>
      </w:rPr>
    </w:lvl>
    <w:lvl w:ilvl="1" w:tentative="0">
      <w:start w:val="1"/>
      <w:numFmt w:val="chineseCounting"/>
      <w:suff w:val="nothing"/>
      <w:lvlText w:val="第%2节　"/>
      <w:lvlJc w:val="left"/>
      <w:pPr>
        <w:ind w:firstLine="402"/>
      </w:pPr>
      <w:rPr>
        <w:rFonts w:hint="eastAsia" w:cs="Times New Roman"/>
      </w:rPr>
    </w:lvl>
    <w:lvl w:ilvl="2" w:tentative="0">
      <w:start w:val="1"/>
      <w:numFmt w:val="chineseCounting"/>
      <w:suff w:val="nothing"/>
      <w:lvlText w:val="第%3条　"/>
      <w:lvlJc w:val="left"/>
      <w:pPr>
        <w:ind w:firstLine="402"/>
      </w:pPr>
      <w:rPr>
        <w:rFonts w:hint="eastAsia" w:cs="Times New Roman"/>
      </w:rPr>
    </w:lvl>
    <w:lvl w:ilvl="3" w:tentative="0">
      <w:start w:val="1"/>
      <w:numFmt w:val="chineseCounting"/>
      <w:suff w:val="nothing"/>
      <w:lvlText w:val="（%4）"/>
      <w:lvlJc w:val="left"/>
      <w:pPr>
        <w:ind w:firstLine="402"/>
      </w:pPr>
      <w:rPr>
        <w:rFonts w:hint="eastAsia" w:cs="Times New Roman"/>
      </w:rPr>
    </w:lvl>
    <w:lvl w:ilvl="4" w:tentative="0">
      <w:start w:val="1"/>
      <w:numFmt w:val="decimal"/>
      <w:suff w:val="nothing"/>
      <w:lvlText w:val="%5．"/>
      <w:lvlJc w:val="left"/>
      <w:pPr>
        <w:ind w:firstLine="402"/>
      </w:pPr>
      <w:rPr>
        <w:rFonts w:hint="eastAsia" w:cs="Times New Roman"/>
      </w:rPr>
    </w:lvl>
    <w:lvl w:ilvl="5" w:tentative="0">
      <w:start w:val="1"/>
      <w:numFmt w:val="decimal"/>
      <w:suff w:val="nothing"/>
      <w:lvlText w:val="（%6）"/>
      <w:lvlJc w:val="left"/>
      <w:pPr>
        <w:ind w:firstLine="402"/>
      </w:pPr>
      <w:rPr>
        <w:rFonts w:hint="eastAsia" w:cs="Times New Roman"/>
      </w:rPr>
    </w:lvl>
    <w:lvl w:ilvl="6" w:tentative="0">
      <w:start w:val="1"/>
      <w:numFmt w:val="decimalEnclosedCircleChinese"/>
      <w:suff w:val="nothing"/>
      <w:lvlText w:val="%7 "/>
      <w:lvlJc w:val="left"/>
      <w:pPr>
        <w:ind w:firstLine="402"/>
      </w:pPr>
      <w:rPr>
        <w:rFonts w:hint="eastAsia" w:cs="Times New Roman"/>
      </w:rPr>
    </w:lvl>
    <w:lvl w:ilvl="7" w:tentative="0">
      <w:start w:val="1"/>
      <w:numFmt w:val="decimal"/>
      <w:suff w:val="nothing"/>
      <w:lvlText w:val="%8）"/>
      <w:lvlJc w:val="left"/>
      <w:pPr>
        <w:ind w:firstLine="402"/>
      </w:pPr>
      <w:rPr>
        <w:rFonts w:hint="eastAsia" w:cs="Times New Roman"/>
      </w:rPr>
    </w:lvl>
    <w:lvl w:ilvl="8" w:tentative="0">
      <w:start w:val="1"/>
      <w:numFmt w:val="lowerLetter"/>
      <w:suff w:val="nothing"/>
      <w:lvlText w:val="%9．"/>
      <w:lvlJc w:val="left"/>
      <w:pPr>
        <w:ind w:firstLine="402"/>
      </w:pPr>
      <w:rPr>
        <w:rFonts w:hint="eastAsia" w:cs="Times New Roman"/>
      </w:rPr>
    </w:lvl>
  </w:abstractNum>
  <w:abstractNum w:abstractNumId="5">
    <w:nsid w:val="07B38E73"/>
    <w:multiLevelType w:val="singleLevel"/>
    <w:tmpl w:val="07B38E73"/>
    <w:lvl w:ilvl="0" w:tentative="0">
      <w:start w:val="1"/>
      <w:numFmt w:val="decimal"/>
      <w:suff w:val="nothing"/>
      <w:lvlText w:val="(%1)"/>
      <w:lvlJc w:val="left"/>
      <w:pPr>
        <w:ind w:left="397" w:hanging="397"/>
      </w:pPr>
      <w:rPr>
        <w:rFonts w:hint="default"/>
      </w:rPr>
    </w:lvl>
  </w:abstractNum>
  <w:abstractNum w:abstractNumId="6">
    <w:nsid w:val="0C9EC33A"/>
    <w:multiLevelType w:val="singleLevel"/>
    <w:tmpl w:val="0C9EC33A"/>
    <w:lvl w:ilvl="0" w:tentative="0">
      <w:start w:val="1"/>
      <w:numFmt w:val="decimal"/>
      <w:suff w:val="nothing"/>
      <w:lvlText w:val="%1．"/>
      <w:lvlJc w:val="left"/>
      <w:pPr>
        <w:ind w:left="0" w:firstLine="400"/>
      </w:pPr>
      <w:rPr>
        <w:rFonts w:hint="default"/>
      </w:rPr>
    </w:lvl>
  </w:abstractNum>
  <w:abstractNum w:abstractNumId="7">
    <w:nsid w:val="214AE846"/>
    <w:multiLevelType w:val="multilevel"/>
    <w:tmpl w:val="214AE846"/>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8">
    <w:nsid w:val="540031F0"/>
    <w:multiLevelType w:val="singleLevel"/>
    <w:tmpl w:val="540031F0"/>
    <w:lvl w:ilvl="0" w:tentative="0">
      <w:start w:val="1"/>
      <w:numFmt w:val="decimal"/>
      <w:suff w:val="nothing"/>
      <w:lvlText w:val="(%1)"/>
      <w:lvlJc w:val="left"/>
      <w:pPr>
        <w:ind w:left="425" w:hanging="425"/>
      </w:pPr>
      <w:rPr>
        <w:rFonts w:hint="default"/>
      </w:rPr>
    </w:lvl>
  </w:abstractNum>
  <w:abstractNum w:abstractNumId="9">
    <w:nsid w:val="61229494"/>
    <w:multiLevelType w:val="singleLevel"/>
    <w:tmpl w:val="61229494"/>
    <w:lvl w:ilvl="0" w:tentative="0">
      <w:start w:val="1"/>
      <w:numFmt w:val="decimal"/>
      <w:suff w:val="nothing"/>
      <w:lvlText w:val="(%1)"/>
      <w:lvlJc w:val="left"/>
      <w:pPr>
        <w:ind w:left="425" w:hanging="425"/>
      </w:pPr>
      <w:rPr>
        <w:rFonts w:hint="default"/>
      </w:rPr>
    </w:lvl>
  </w:abstractNum>
  <w:num w:numId="1">
    <w:abstractNumId w:val="4"/>
  </w:num>
  <w:num w:numId="2">
    <w:abstractNumId w:val="2"/>
  </w:num>
  <w:num w:numId="3">
    <w:abstractNumId w:val="3"/>
  </w:num>
  <w:num w:numId="4">
    <w:abstractNumId w:val="7"/>
  </w:num>
  <w:num w:numId="5">
    <w:abstractNumId w:val="5"/>
  </w:num>
  <w:num w:numId="6">
    <w:abstractNumId w:val="0"/>
  </w:num>
  <w:num w:numId="7">
    <w:abstractNumId w:val="8"/>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mMjg0NWM3ZGJhNzNhYjcxN2NhMjEwOWVkMGE4NGYifQ=="/>
  </w:docVars>
  <w:rsids>
    <w:rsidRoot w:val="00172A27"/>
    <w:rsid w:val="00075720"/>
    <w:rsid w:val="000A0C07"/>
    <w:rsid w:val="000B44D3"/>
    <w:rsid w:val="000C7541"/>
    <w:rsid w:val="000F0AC9"/>
    <w:rsid w:val="00172A27"/>
    <w:rsid w:val="001819DA"/>
    <w:rsid w:val="0021224C"/>
    <w:rsid w:val="00237CBC"/>
    <w:rsid w:val="002C4083"/>
    <w:rsid w:val="002D5C63"/>
    <w:rsid w:val="00451561"/>
    <w:rsid w:val="005D36FC"/>
    <w:rsid w:val="005D67F3"/>
    <w:rsid w:val="00646CD9"/>
    <w:rsid w:val="00651810"/>
    <w:rsid w:val="006813C2"/>
    <w:rsid w:val="0069665E"/>
    <w:rsid w:val="006D209F"/>
    <w:rsid w:val="0070371E"/>
    <w:rsid w:val="00720F77"/>
    <w:rsid w:val="007334A7"/>
    <w:rsid w:val="007701D8"/>
    <w:rsid w:val="007B0BF7"/>
    <w:rsid w:val="007C142D"/>
    <w:rsid w:val="0083266D"/>
    <w:rsid w:val="00863ED9"/>
    <w:rsid w:val="008948CE"/>
    <w:rsid w:val="00992002"/>
    <w:rsid w:val="00A867D1"/>
    <w:rsid w:val="00A9080C"/>
    <w:rsid w:val="00BF7D12"/>
    <w:rsid w:val="00C7055F"/>
    <w:rsid w:val="00C823C4"/>
    <w:rsid w:val="00CC0722"/>
    <w:rsid w:val="00CC3B63"/>
    <w:rsid w:val="00D5553F"/>
    <w:rsid w:val="00D70DA3"/>
    <w:rsid w:val="00DD3486"/>
    <w:rsid w:val="00DF232E"/>
    <w:rsid w:val="00E43062"/>
    <w:rsid w:val="00ED4F82"/>
    <w:rsid w:val="00ED62CF"/>
    <w:rsid w:val="00F5544D"/>
    <w:rsid w:val="00F6530B"/>
    <w:rsid w:val="00FA5E5F"/>
    <w:rsid w:val="014632E9"/>
    <w:rsid w:val="01541EA9"/>
    <w:rsid w:val="01654C5A"/>
    <w:rsid w:val="01690031"/>
    <w:rsid w:val="01981D96"/>
    <w:rsid w:val="01A35E31"/>
    <w:rsid w:val="01AA7D1B"/>
    <w:rsid w:val="01F41614"/>
    <w:rsid w:val="01FE569D"/>
    <w:rsid w:val="021F461F"/>
    <w:rsid w:val="022230B9"/>
    <w:rsid w:val="02355E3C"/>
    <w:rsid w:val="02437AF0"/>
    <w:rsid w:val="02766859"/>
    <w:rsid w:val="02FD6F0E"/>
    <w:rsid w:val="02FF7C6D"/>
    <w:rsid w:val="031F15D9"/>
    <w:rsid w:val="033E3401"/>
    <w:rsid w:val="033E4A73"/>
    <w:rsid w:val="03425C39"/>
    <w:rsid w:val="037C155D"/>
    <w:rsid w:val="0391277C"/>
    <w:rsid w:val="03AC07D6"/>
    <w:rsid w:val="0429493F"/>
    <w:rsid w:val="0432230B"/>
    <w:rsid w:val="044004C3"/>
    <w:rsid w:val="04470A37"/>
    <w:rsid w:val="0462072C"/>
    <w:rsid w:val="046228A1"/>
    <w:rsid w:val="04B2316F"/>
    <w:rsid w:val="04C3696C"/>
    <w:rsid w:val="04F40798"/>
    <w:rsid w:val="050E752F"/>
    <w:rsid w:val="050F0CE6"/>
    <w:rsid w:val="054933A7"/>
    <w:rsid w:val="05570A25"/>
    <w:rsid w:val="056A30D5"/>
    <w:rsid w:val="059974D5"/>
    <w:rsid w:val="05C20C8B"/>
    <w:rsid w:val="05D32CBA"/>
    <w:rsid w:val="05F61781"/>
    <w:rsid w:val="05FB4B1F"/>
    <w:rsid w:val="05FC2CBE"/>
    <w:rsid w:val="06256193"/>
    <w:rsid w:val="06275A30"/>
    <w:rsid w:val="06293905"/>
    <w:rsid w:val="06402808"/>
    <w:rsid w:val="064F75CE"/>
    <w:rsid w:val="06BD1002"/>
    <w:rsid w:val="06DB7E2C"/>
    <w:rsid w:val="072357CC"/>
    <w:rsid w:val="072D659E"/>
    <w:rsid w:val="074D0AD9"/>
    <w:rsid w:val="078A266C"/>
    <w:rsid w:val="07D05636"/>
    <w:rsid w:val="07D9351D"/>
    <w:rsid w:val="07FC56FF"/>
    <w:rsid w:val="0843740C"/>
    <w:rsid w:val="08456F20"/>
    <w:rsid w:val="08466B01"/>
    <w:rsid w:val="084759BA"/>
    <w:rsid w:val="084C5688"/>
    <w:rsid w:val="08607524"/>
    <w:rsid w:val="0874698D"/>
    <w:rsid w:val="08D0703C"/>
    <w:rsid w:val="08FA0DF3"/>
    <w:rsid w:val="090C0F64"/>
    <w:rsid w:val="09475E50"/>
    <w:rsid w:val="094B2C76"/>
    <w:rsid w:val="09524F20"/>
    <w:rsid w:val="0962248A"/>
    <w:rsid w:val="09805528"/>
    <w:rsid w:val="09AE3850"/>
    <w:rsid w:val="09D83CD0"/>
    <w:rsid w:val="09F3429D"/>
    <w:rsid w:val="0A0B6138"/>
    <w:rsid w:val="0A2704EC"/>
    <w:rsid w:val="0A354B9F"/>
    <w:rsid w:val="0A3D6316"/>
    <w:rsid w:val="0A652F9C"/>
    <w:rsid w:val="0A711E13"/>
    <w:rsid w:val="0A8F21BF"/>
    <w:rsid w:val="0AAA7D98"/>
    <w:rsid w:val="0AB15C77"/>
    <w:rsid w:val="0AE44A7F"/>
    <w:rsid w:val="0AF1275F"/>
    <w:rsid w:val="0B057315"/>
    <w:rsid w:val="0B0E717D"/>
    <w:rsid w:val="0B146C66"/>
    <w:rsid w:val="0B2F7C44"/>
    <w:rsid w:val="0B445AA4"/>
    <w:rsid w:val="0B7C7721"/>
    <w:rsid w:val="0B8D2153"/>
    <w:rsid w:val="0B91585B"/>
    <w:rsid w:val="0BAB39E9"/>
    <w:rsid w:val="0BE2114B"/>
    <w:rsid w:val="0BE30303"/>
    <w:rsid w:val="0C0149DC"/>
    <w:rsid w:val="0C1722D9"/>
    <w:rsid w:val="0C1C6972"/>
    <w:rsid w:val="0CF93D97"/>
    <w:rsid w:val="0D017D3C"/>
    <w:rsid w:val="0D050B41"/>
    <w:rsid w:val="0D0741AD"/>
    <w:rsid w:val="0D0F4ED6"/>
    <w:rsid w:val="0D166265"/>
    <w:rsid w:val="0D1674D8"/>
    <w:rsid w:val="0D1A3FA7"/>
    <w:rsid w:val="0D2629A4"/>
    <w:rsid w:val="0D2B3422"/>
    <w:rsid w:val="0D8E3D68"/>
    <w:rsid w:val="0D9E6986"/>
    <w:rsid w:val="0DB83D66"/>
    <w:rsid w:val="0DC81701"/>
    <w:rsid w:val="0DD26FA3"/>
    <w:rsid w:val="0DD62BA3"/>
    <w:rsid w:val="0DD672BC"/>
    <w:rsid w:val="0DDC5C71"/>
    <w:rsid w:val="0DE93E04"/>
    <w:rsid w:val="0DF95DB2"/>
    <w:rsid w:val="0E0172ED"/>
    <w:rsid w:val="0E02062F"/>
    <w:rsid w:val="0E041D47"/>
    <w:rsid w:val="0E062824"/>
    <w:rsid w:val="0E0B7341"/>
    <w:rsid w:val="0E2350DD"/>
    <w:rsid w:val="0E266908"/>
    <w:rsid w:val="0E322BE9"/>
    <w:rsid w:val="0E4B1573"/>
    <w:rsid w:val="0EAF453D"/>
    <w:rsid w:val="0EB130DC"/>
    <w:rsid w:val="0EB977F0"/>
    <w:rsid w:val="0EC33362"/>
    <w:rsid w:val="0EF56A7A"/>
    <w:rsid w:val="0F3B6457"/>
    <w:rsid w:val="0F8B60FA"/>
    <w:rsid w:val="0FA07948"/>
    <w:rsid w:val="0FD11A33"/>
    <w:rsid w:val="0FD12F7E"/>
    <w:rsid w:val="0FDF479D"/>
    <w:rsid w:val="0FED271B"/>
    <w:rsid w:val="0FFF56D6"/>
    <w:rsid w:val="100C228E"/>
    <w:rsid w:val="102B215C"/>
    <w:rsid w:val="1036730D"/>
    <w:rsid w:val="105E41AB"/>
    <w:rsid w:val="10632C8E"/>
    <w:rsid w:val="10D01962"/>
    <w:rsid w:val="10DB6401"/>
    <w:rsid w:val="113C1605"/>
    <w:rsid w:val="11544F18"/>
    <w:rsid w:val="11615BD9"/>
    <w:rsid w:val="118D529F"/>
    <w:rsid w:val="11CF3202"/>
    <w:rsid w:val="11D0532F"/>
    <w:rsid w:val="120B6881"/>
    <w:rsid w:val="122F11AC"/>
    <w:rsid w:val="123C051C"/>
    <w:rsid w:val="12542F7B"/>
    <w:rsid w:val="127B5113"/>
    <w:rsid w:val="12C02EFB"/>
    <w:rsid w:val="12D9516D"/>
    <w:rsid w:val="13117BFA"/>
    <w:rsid w:val="13154EF4"/>
    <w:rsid w:val="13272FB7"/>
    <w:rsid w:val="13320576"/>
    <w:rsid w:val="13400FF5"/>
    <w:rsid w:val="134519C7"/>
    <w:rsid w:val="13705C49"/>
    <w:rsid w:val="13737DD7"/>
    <w:rsid w:val="1374247B"/>
    <w:rsid w:val="13977548"/>
    <w:rsid w:val="13A740BB"/>
    <w:rsid w:val="13AA2E61"/>
    <w:rsid w:val="13AB3BAB"/>
    <w:rsid w:val="13C1669E"/>
    <w:rsid w:val="14047C18"/>
    <w:rsid w:val="140C2170"/>
    <w:rsid w:val="142459A4"/>
    <w:rsid w:val="14414227"/>
    <w:rsid w:val="148B0762"/>
    <w:rsid w:val="149370E9"/>
    <w:rsid w:val="149D3294"/>
    <w:rsid w:val="14DC4515"/>
    <w:rsid w:val="14E756D6"/>
    <w:rsid w:val="15250673"/>
    <w:rsid w:val="153A3CE4"/>
    <w:rsid w:val="153F59D8"/>
    <w:rsid w:val="15437C1C"/>
    <w:rsid w:val="155C763A"/>
    <w:rsid w:val="1560103A"/>
    <w:rsid w:val="15840DEB"/>
    <w:rsid w:val="15B421D7"/>
    <w:rsid w:val="15B81A96"/>
    <w:rsid w:val="15D05B4B"/>
    <w:rsid w:val="15DA63FA"/>
    <w:rsid w:val="15DB5376"/>
    <w:rsid w:val="15F64918"/>
    <w:rsid w:val="15FC29A5"/>
    <w:rsid w:val="1606156C"/>
    <w:rsid w:val="16141DB7"/>
    <w:rsid w:val="162C415B"/>
    <w:rsid w:val="165E0E18"/>
    <w:rsid w:val="166C7408"/>
    <w:rsid w:val="168C5EC0"/>
    <w:rsid w:val="16EE007D"/>
    <w:rsid w:val="16FE1B4A"/>
    <w:rsid w:val="171226D0"/>
    <w:rsid w:val="172F68A1"/>
    <w:rsid w:val="174C42CD"/>
    <w:rsid w:val="177A2A62"/>
    <w:rsid w:val="17CC0594"/>
    <w:rsid w:val="17CF01D0"/>
    <w:rsid w:val="18233FEC"/>
    <w:rsid w:val="182672C0"/>
    <w:rsid w:val="18267CA4"/>
    <w:rsid w:val="18402737"/>
    <w:rsid w:val="18544F24"/>
    <w:rsid w:val="18817578"/>
    <w:rsid w:val="1887113B"/>
    <w:rsid w:val="18AE1A47"/>
    <w:rsid w:val="18C20978"/>
    <w:rsid w:val="18E341C4"/>
    <w:rsid w:val="18F2402A"/>
    <w:rsid w:val="19055C9F"/>
    <w:rsid w:val="192A2B8B"/>
    <w:rsid w:val="19392112"/>
    <w:rsid w:val="195B4EC8"/>
    <w:rsid w:val="19627655"/>
    <w:rsid w:val="196777E9"/>
    <w:rsid w:val="196C7561"/>
    <w:rsid w:val="197B5AB8"/>
    <w:rsid w:val="19B25567"/>
    <w:rsid w:val="19B90E46"/>
    <w:rsid w:val="19CA465F"/>
    <w:rsid w:val="19D1004F"/>
    <w:rsid w:val="1A0A093F"/>
    <w:rsid w:val="1A1A2BE1"/>
    <w:rsid w:val="1A381F10"/>
    <w:rsid w:val="1A3F726A"/>
    <w:rsid w:val="1A40229B"/>
    <w:rsid w:val="1A715086"/>
    <w:rsid w:val="1A75195A"/>
    <w:rsid w:val="1A7647E7"/>
    <w:rsid w:val="1A98488E"/>
    <w:rsid w:val="1AA64090"/>
    <w:rsid w:val="1AA83E09"/>
    <w:rsid w:val="1AB75280"/>
    <w:rsid w:val="1ADB75E9"/>
    <w:rsid w:val="1AE155A0"/>
    <w:rsid w:val="1AE349AA"/>
    <w:rsid w:val="1AF20311"/>
    <w:rsid w:val="1B1839D5"/>
    <w:rsid w:val="1B1B7197"/>
    <w:rsid w:val="1B256527"/>
    <w:rsid w:val="1B3603F4"/>
    <w:rsid w:val="1B8E00A1"/>
    <w:rsid w:val="1BBC4658"/>
    <w:rsid w:val="1BCC553F"/>
    <w:rsid w:val="1BD65D86"/>
    <w:rsid w:val="1BDA2D26"/>
    <w:rsid w:val="1BE52A2A"/>
    <w:rsid w:val="1BF51383"/>
    <w:rsid w:val="1C0C134A"/>
    <w:rsid w:val="1C401F89"/>
    <w:rsid w:val="1C4F1026"/>
    <w:rsid w:val="1C6128E9"/>
    <w:rsid w:val="1C701D90"/>
    <w:rsid w:val="1C730FDE"/>
    <w:rsid w:val="1C975E00"/>
    <w:rsid w:val="1CCC7E35"/>
    <w:rsid w:val="1CDA2B95"/>
    <w:rsid w:val="1CEF5ADD"/>
    <w:rsid w:val="1CF849BF"/>
    <w:rsid w:val="1D100067"/>
    <w:rsid w:val="1D2E0ED9"/>
    <w:rsid w:val="1D323EB6"/>
    <w:rsid w:val="1D416F47"/>
    <w:rsid w:val="1D51611D"/>
    <w:rsid w:val="1D8C7870"/>
    <w:rsid w:val="1DA63165"/>
    <w:rsid w:val="1DAA30EE"/>
    <w:rsid w:val="1DAF6835"/>
    <w:rsid w:val="1DB863E5"/>
    <w:rsid w:val="1DEE3409"/>
    <w:rsid w:val="1DF148B0"/>
    <w:rsid w:val="1E2923B1"/>
    <w:rsid w:val="1E421268"/>
    <w:rsid w:val="1E4B5682"/>
    <w:rsid w:val="1E5066DA"/>
    <w:rsid w:val="1E512368"/>
    <w:rsid w:val="1E5F6830"/>
    <w:rsid w:val="1E9C66BA"/>
    <w:rsid w:val="1EA2469A"/>
    <w:rsid w:val="1EAA6178"/>
    <w:rsid w:val="1EAE43DA"/>
    <w:rsid w:val="1EB84658"/>
    <w:rsid w:val="1EF55735"/>
    <w:rsid w:val="1F1E457B"/>
    <w:rsid w:val="1F3310E1"/>
    <w:rsid w:val="1F6115C2"/>
    <w:rsid w:val="1F84003F"/>
    <w:rsid w:val="1FA15E62"/>
    <w:rsid w:val="1FC267A8"/>
    <w:rsid w:val="1FD46635"/>
    <w:rsid w:val="20017303"/>
    <w:rsid w:val="201B0C75"/>
    <w:rsid w:val="20566971"/>
    <w:rsid w:val="205F2913"/>
    <w:rsid w:val="2060645B"/>
    <w:rsid w:val="206E4238"/>
    <w:rsid w:val="20760F17"/>
    <w:rsid w:val="208241A7"/>
    <w:rsid w:val="20A57BD4"/>
    <w:rsid w:val="20A80B0F"/>
    <w:rsid w:val="20B64383"/>
    <w:rsid w:val="20EF4493"/>
    <w:rsid w:val="20FF47DE"/>
    <w:rsid w:val="210C3822"/>
    <w:rsid w:val="210E39CB"/>
    <w:rsid w:val="21197E4D"/>
    <w:rsid w:val="21240AF9"/>
    <w:rsid w:val="21353206"/>
    <w:rsid w:val="21404724"/>
    <w:rsid w:val="21520D77"/>
    <w:rsid w:val="217771F7"/>
    <w:rsid w:val="218B6DCA"/>
    <w:rsid w:val="220152DE"/>
    <w:rsid w:val="22133EA1"/>
    <w:rsid w:val="224A46DF"/>
    <w:rsid w:val="225E0ECD"/>
    <w:rsid w:val="22617B2B"/>
    <w:rsid w:val="227120EF"/>
    <w:rsid w:val="227E692E"/>
    <w:rsid w:val="2284256F"/>
    <w:rsid w:val="228E7F45"/>
    <w:rsid w:val="22BB6B16"/>
    <w:rsid w:val="22C53076"/>
    <w:rsid w:val="22C60906"/>
    <w:rsid w:val="22D24584"/>
    <w:rsid w:val="22E379DD"/>
    <w:rsid w:val="22F56BF1"/>
    <w:rsid w:val="22FB2AD1"/>
    <w:rsid w:val="234667F0"/>
    <w:rsid w:val="234E50AD"/>
    <w:rsid w:val="23566F63"/>
    <w:rsid w:val="2362505B"/>
    <w:rsid w:val="237E030D"/>
    <w:rsid w:val="239E3F77"/>
    <w:rsid w:val="23A06AB8"/>
    <w:rsid w:val="23A9134E"/>
    <w:rsid w:val="23A96ED8"/>
    <w:rsid w:val="23BF7E95"/>
    <w:rsid w:val="23CF23CE"/>
    <w:rsid w:val="23DC1B5F"/>
    <w:rsid w:val="23E65F34"/>
    <w:rsid w:val="23E822B6"/>
    <w:rsid w:val="24206E02"/>
    <w:rsid w:val="242914D0"/>
    <w:rsid w:val="244A4D1A"/>
    <w:rsid w:val="246456B0"/>
    <w:rsid w:val="246C1EEC"/>
    <w:rsid w:val="24A563F4"/>
    <w:rsid w:val="24B108F5"/>
    <w:rsid w:val="250859E7"/>
    <w:rsid w:val="250F5554"/>
    <w:rsid w:val="25553977"/>
    <w:rsid w:val="25570725"/>
    <w:rsid w:val="255A3FD9"/>
    <w:rsid w:val="255E5344"/>
    <w:rsid w:val="256030EB"/>
    <w:rsid w:val="256A506B"/>
    <w:rsid w:val="258174BD"/>
    <w:rsid w:val="25820855"/>
    <w:rsid w:val="2596173C"/>
    <w:rsid w:val="25AE72ED"/>
    <w:rsid w:val="25BC39F6"/>
    <w:rsid w:val="25BC5F15"/>
    <w:rsid w:val="25F62228"/>
    <w:rsid w:val="26025F9D"/>
    <w:rsid w:val="26211639"/>
    <w:rsid w:val="26256419"/>
    <w:rsid w:val="26284BE7"/>
    <w:rsid w:val="26313D5A"/>
    <w:rsid w:val="26341DF0"/>
    <w:rsid w:val="2644442D"/>
    <w:rsid w:val="265161AE"/>
    <w:rsid w:val="269828CB"/>
    <w:rsid w:val="26B65958"/>
    <w:rsid w:val="26C455BD"/>
    <w:rsid w:val="26E70E1C"/>
    <w:rsid w:val="26E92851"/>
    <w:rsid w:val="26EC173F"/>
    <w:rsid w:val="26EC5F6E"/>
    <w:rsid w:val="270E2493"/>
    <w:rsid w:val="27287DF6"/>
    <w:rsid w:val="27443E3D"/>
    <w:rsid w:val="277B0A8F"/>
    <w:rsid w:val="27A04633"/>
    <w:rsid w:val="27B801ED"/>
    <w:rsid w:val="27F96E27"/>
    <w:rsid w:val="281573ED"/>
    <w:rsid w:val="282472DA"/>
    <w:rsid w:val="282B4E63"/>
    <w:rsid w:val="283C7C0F"/>
    <w:rsid w:val="28485D1B"/>
    <w:rsid w:val="28584E4D"/>
    <w:rsid w:val="28660A96"/>
    <w:rsid w:val="287237F6"/>
    <w:rsid w:val="2889299C"/>
    <w:rsid w:val="288B3DD4"/>
    <w:rsid w:val="289333E0"/>
    <w:rsid w:val="28956780"/>
    <w:rsid w:val="28A302F4"/>
    <w:rsid w:val="28BA5730"/>
    <w:rsid w:val="28C450AB"/>
    <w:rsid w:val="28F36AC8"/>
    <w:rsid w:val="29206E7B"/>
    <w:rsid w:val="29260C7E"/>
    <w:rsid w:val="2942641F"/>
    <w:rsid w:val="299344DE"/>
    <w:rsid w:val="29A7369C"/>
    <w:rsid w:val="29DC2EA0"/>
    <w:rsid w:val="29E057D9"/>
    <w:rsid w:val="2A013676"/>
    <w:rsid w:val="2A05337E"/>
    <w:rsid w:val="2A0C7203"/>
    <w:rsid w:val="2A477DDD"/>
    <w:rsid w:val="2A616D5B"/>
    <w:rsid w:val="2A79209C"/>
    <w:rsid w:val="2A8214E7"/>
    <w:rsid w:val="2A8E7F05"/>
    <w:rsid w:val="2A93707D"/>
    <w:rsid w:val="2A9943B2"/>
    <w:rsid w:val="2AAC578B"/>
    <w:rsid w:val="2AB06C86"/>
    <w:rsid w:val="2AB63109"/>
    <w:rsid w:val="2AD63F3B"/>
    <w:rsid w:val="2AD90BA6"/>
    <w:rsid w:val="2AEB55B3"/>
    <w:rsid w:val="2AF23A16"/>
    <w:rsid w:val="2B0E69A3"/>
    <w:rsid w:val="2B406345"/>
    <w:rsid w:val="2B4E5917"/>
    <w:rsid w:val="2B657752"/>
    <w:rsid w:val="2B73700F"/>
    <w:rsid w:val="2B741E60"/>
    <w:rsid w:val="2B8A6344"/>
    <w:rsid w:val="2B976485"/>
    <w:rsid w:val="2BD15D21"/>
    <w:rsid w:val="2BD21338"/>
    <w:rsid w:val="2BD43465"/>
    <w:rsid w:val="2C065C55"/>
    <w:rsid w:val="2C3B10A7"/>
    <w:rsid w:val="2C682171"/>
    <w:rsid w:val="2C972AC7"/>
    <w:rsid w:val="2CC27D57"/>
    <w:rsid w:val="2CD51841"/>
    <w:rsid w:val="2D17733F"/>
    <w:rsid w:val="2D335F7E"/>
    <w:rsid w:val="2D3D61DF"/>
    <w:rsid w:val="2D3E1194"/>
    <w:rsid w:val="2D77220D"/>
    <w:rsid w:val="2D7962F7"/>
    <w:rsid w:val="2D7D6666"/>
    <w:rsid w:val="2D920125"/>
    <w:rsid w:val="2DAD38BB"/>
    <w:rsid w:val="2DAE128B"/>
    <w:rsid w:val="2DBE4749"/>
    <w:rsid w:val="2DC53269"/>
    <w:rsid w:val="2DCE6473"/>
    <w:rsid w:val="2DE14AA4"/>
    <w:rsid w:val="2DE915E7"/>
    <w:rsid w:val="2E2D2E6B"/>
    <w:rsid w:val="2E325CD7"/>
    <w:rsid w:val="2E3266E5"/>
    <w:rsid w:val="2E5549E7"/>
    <w:rsid w:val="2E7C025B"/>
    <w:rsid w:val="2E7D5AE7"/>
    <w:rsid w:val="2EC45809"/>
    <w:rsid w:val="2EDD1D7F"/>
    <w:rsid w:val="2F03007C"/>
    <w:rsid w:val="2F334723"/>
    <w:rsid w:val="2F415937"/>
    <w:rsid w:val="2F4F0B88"/>
    <w:rsid w:val="2F772127"/>
    <w:rsid w:val="2FC5794B"/>
    <w:rsid w:val="2FD45DE0"/>
    <w:rsid w:val="2FE029D7"/>
    <w:rsid w:val="2FE566A9"/>
    <w:rsid w:val="2FFB02D5"/>
    <w:rsid w:val="300C0CAE"/>
    <w:rsid w:val="30220802"/>
    <w:rsid w:val="303839E7"/>
    <w:rsid w:val="303B5E5F"/>
    <w:rsid w:val="305E198D"/>
    <w:rsid w:val="308418AE"/>
    <w:rsid w:val="30943627"/>
    <w:rsid w:val="309D61D2"/>
    <w:rsid w:val="30A046BE"/>
    <w:rsid w:val="30AB5750"/>
    <w:rsid w:val="30BC0D4E"/>
    <w:rsid w:val="30BD452C"/>
    <w:rsid w:val="30C9452C"/>
    <w:rsid w:val="30F61D87"/>
    <w:rsid w:val="30F73670"/>
    <w:rsid w:val="31184FBA"/>
    <w:rsid w:val="31204109"/>
    <w:rsid w:val="31413001"/>
    <w:rsid w:val="31776A6A"/>
    <w:rsid w:val="318C4BC4"/>
    <w:rsid w:val="31975155"/>
    <w:rsid w:val="31C70022"/>
    <w:rsid w:val="31F12C79"/>
    <w:rsid w:val="32381CAD"/>
    <w:rsid w:val="325A5D7D"/>
    <w:rsid w:val="325D3E6B"/>
    <w:rsid w:val="3287535B"/>
    <w:rsid w:val="329F18B1"/>
    <w:rsid w:val="32BD0DAD"/>
    <w:rsid w:val="330C4600"/>
    <w:rsid w:val="33333FF7"/>
    <w:rsid w:val="333B67CB"/>
    <w:rsid w:val="334454AF"/>
    <w:rsid w:val="33714C00"/>
    <w:rsid w:val="33817698"/>
    <w:rsid w:val="33900270"/>
    <w:rsid w:val="33AA4788"/>
    <w:rsid w:val="33AA7494"/>
    <w:rsid w:val="33B07CC7"/>
    <w:rsid w:val="33C65A3F"/>
    <w:rsid w:val="33C817B8"/>
    <w:rsid w:val="34244F12"/>
    <w:rsid w:val="343846A8"/>
    <w:rsid w:val="34406113"/>
    <w:rsid w:val="34852B68"/>
    <w:rsid w:val="34A83397"/>
    <w:rsid w:val="34BA1D38"/>
    <w:rsid w:val="34BF279E"/>
    <w:rsid w:val="34D55CA6"/>
    <w:rsid w:val="34E47C2B"/>
    <w:rsid w:val="34FE6282"/>
    <w:rsid w:val="351A6043"/>
    <w:rsid w:val="3529272A"/>
    <w:rsid w:val="353E4427"/>
    <w:rsid w:val="353F0322"/>
    <w:rsid w:val="353F4F6D"/>
    <w:rsid w:val="353F729D"/>
    <w:rsid w:val="35454D1B"/>
    <w:rsid w:val="3564393F"/>
    <w:rsid w:val="35A02890"/>
    <w:rsid w:val="35AB3590"/>
    <w:rsid w:val="35DD7439"/>
    <w:rsid w:val="35EC25CA"/>
    <w:rsid w:val="35F96573"/>
    <w:rsid w:val="36611AB0"/>
    <w:rsid w:val="368A369C"/>
    <w:rsid w:val="369162E4"/>
    <w:rsid w:val="3699743B"/>
    <w:rsid w:val="369E2CA4"/>
    <w:rsid w:val="36B9188B"/>
    <w:rsid w:val="37065930"/>
    <w:rsid w:val="370C5E5F"/>
    <w:rsid w:val="372541A7"/>
    <w:rsid w:val="373C6D87"/>
    <w:rsid w:val="378A5D53"/>
    <w:rsid w:val="37922808"/>
    <w:rsid w:val="37A4078E"/>
    <w:rsid w:val="37A705B5"/>
    <w:rsid w:val="37B10506"/>
    <w:rsid w:val="37C67930"/>
    <w:rsid w:val="37E64902"/>
    <w:rsid w:val="37F0752F"/>
    <w:rsid w:val="37FA1869"/>
    <w:rsid w:val="380134EA"/>
    <w:rsid w:val="38297D5B"/>
    <w:rsid w:val="383E6A55"/>
    <w:rsid w:val="383E7D1A"/>
    <w:rsid w:val="3875032D"/>
    <w:rsid w:val="388E4599"/>
    <w:rsid w:val="38C32429"/>
    <w:rsid w:val="38EB7BBE"/>
    <w:rsid w:val="38F80078"/>
    <w:rsid w:val="38F848ED"/>
    <w:rsid w:val="390B7A49"/>
    <w:rsid w:val="39433E29"/>
    <w:rsid w:val="394F6F81"/>
    <w:rsid w:val="396B1EA8"/>
    <w:rsid w:val="397355D3"/>
    <w:rsid w:val="39961F08"/>
    <w:rsid w:val="39965EB4"/>
    <w:rsid w:val="399B0698"/>
    <w:rsid w:val="39EC6EE3"/>
    <w:rsid w:val="3A0B4725"/>
    <w:rsid w:val="3A127C30"/>
    <w:rsid w:val="3A2F2590"/>
    <w:rsid w:val="3A4A0967"/>
    <w:rsid w:val="3A4D6EBA"/>
    <w:rsid w:val="3A5C6164"/>
    <w:rsid w:val="3A77753E"/>
    <w:rsid w:val="3AA3096B"/>
    <w:rsid w:val="3AD03F01"/>
    <w:rsid w:val="3AE13A1E"/>
    <w:rsid w:val="3AEE1964"/>
    <w:rsid w:val="3AF176F7"/>
    <w:rsid w:val="3B020A8C"/>
    <w:rsid w:val="3B183D66"/>
    <w:rsid w:val="3B6C49DE"/>
    <w:rsid w:val="3B74393F"/>
    <w:rsid w:val="3B814038"/>
    <w:rsid w:val="3B8C7696"/>
    <w:rsid w:val="3BA46C19"/>
    <w:rsid w:val="3BB172B0"/>
    <w:rsid w:val="3BCE7B87"/>
    <w:rsid w:val="3BDF7FE6"/>
    <w:rsid w:val="3BFB4906"/>
    <w:rsid w:val="3C383950"/>
    <w:rsid w:val="3C3919B2"/>
    <w:rsid w:val="3C3C71E7"/>
    <w:rsid w:val="3C5207B8"/>
    <w:rsid w:val="3C756255"/>
    <w:rsid w:val="3C8E388C"/>
    <w:rsid w:val="3C974C4E"/>
    <w:rsid w:val="3C991F43"/>
    <w:rsid w:val="3CA52695"/>
    <w:rsid w:val="3CCB035F"/>
    <w:rsid w:val="3CE82C94"/>
    <w:rsid w:val="3CEA0864"/>
    <w:rsid w:val="3D0B4523"/>
    <w:rsid w:val="3D1912D6"/>
    <w:rsid w:val="3D4E79D0"/>
    <w:rsid w:val="3D6F6DD8"/>
    <w:rsid w:val="3D933ECA"/>
    <w:rsid w:val="3D98044D"/>
    <w:rsid w:val="3DA72796"/>
    <w:rsid w:val="3DB33D25"/>
    <w:rsid w:val="3DB41EF1"/>
    <w:rsid w:val="3E0A408B"/>
    <w:rsid w:val="3E0C2BE9"/>
    <w:rsid w:val="3E102FC8"/>
    <w:rsid w:val="3E104487"/>
    <w:rsid w:val="3E1F0189"/>
    <w:rsid w:val="3E383001"/>
    <w:rsid w:val="3E3A783D"/>
    <w:rsid w:val="3EA22AC1"/>
    <w:rsid w:val="3EAB6A8E"/>
    <w:rsid w:val="3EB47A2E"/>
    <w:rsid w:val="3EB47A6E"/>
    <w:rsid w:val="3EEB4CCB"/>
    <w:rsid w:val="3EEF0C65"/>
    <w:rsid w:val="3F192DC7"/>
    <w:rsid w:val="3F427EE2"/>
    <w:rsid w:val="3F51491F"/>
    <w:rsid w:val="3F6931EA"/>
    <w:rsid w:val="3FCA68B7"/>
    <w:rsid w:val="3FF350C9"/>
    <w:rsid w:val="400022D9"/>
    <w:rsid w:val="40044F21"/>
    <w:rsid w:val="40093884"/>
    <w:rsid w:val="401A1A3A"/>
    <w:rsid w:val="402045AD"/>
    <w:rsid w:val="405759DA"/>
    <w:rsid w:val="408E2496"/>
    <w:rsid w:val="40EB4D37"/>
    <w:rsid w:val="410A3A69"/>
    <w:rsid w:val="410C1F6F"/>
    <w:rsid w:val="4113186C"/>
    <w:rsid w:val="41206D2F"/>
    <w:rsid w:val="413F5DA5"/>
    <w:rsid w:val="414939D6"/>
    <w:rsid w:val="414F2B09"/>
    <w:rsid w:val="41514277"/>
    <w:rsid w:val="415A5CFC"/>
    <w:rsid w:val="415C40B3"/>
    <w:rsid w:val="415E29D9"/>
    <w:rsid w:val="41711D42"/>
    <w:rsid w:val="41720830"/>
    <w:rsid w:val="418534E3"/>
    <w:rsid w:val="419D45D6"/>
    <w:rsid w:val="41AF368A"/>
    <w:rsid w:val="41BF0B48"/>
    <w:rsid w:val="420936C7"/>
    <w:rsid w:val="420A5259"/>
    <w:rsid w:val="421A721B"/>
    <w:rsid w:val="421F7117"/>
    <w:rsid w:val="422070A9"/>
    <w:rsid w:val="42250F19"/>
    <w:rsid w:val="42360234"/>
    <w:rsid w:val="424F7B98"/>
    <w:rsid w:val="425E3E67"/>
    <w:rsid w:val="426E78FF"/>
    <w:rsid w:val="42836F72"/>
    <w:rsid w:val="42A11B51"/>
    <w:rsid w:val="42B67669"/>
    <w:rsid w:val="42D812EB"/>
    <w:rsid w:val="42EA3533"/>
    <w:rsid w:val="42EB54C2"/>
    <w:rsid w:val="42F571E3"/>
    <w:rsid w:val="43100A85"/>
    <w:rsid w:val="43174DA0"/>
    <w:rsid w:val="43444CE4"/>
    <w:rsid w:val="4347117C"/>
    <w:rsid w:val="4354683D"/>
    <w:rsid w:val="43681BB2"/>
    <w:rsid w:val="437454B8"/>
    <w:rsid w:val="439C6B32"/>
    <w:rsid w:val="43A07634"/>
    <w:rsid w:val="43A30639"/>
    <w:rsid w:val="43DE15ED"/>
    <w:rsid w:val="43FC500C"/>
    <w:rsid w:val="44164F28"/>
    <w:rsid w:val="448F2DAC"/>
    <w:rsid w:val="44A13E3D"/>
    <w:rsid w:val="44A318EF"/>
    <w:rsid w:val="44BF09B5"/>
    <w:rsid w:val="44D67B12"/>
    <w:rsid w:val="44DF64DE"/>
    <w:rsid w:val="44ED574E"/>
    <w:rsid w:val="45027F52"/>
    <w:rsid w:val="45085EB8"/>
    <w:rsid w:val="45382904"/>
    <w:rsid w:val="45672365"/>
    <w:rsid w:val="458A20DC"/>
    <w:rsid w:val="45906E1A"/>
    <w:rsid w:val="45B3281D"/>
    <w:rsid w:val="45D66CE8"/>
    <w:rsid w:val="45FE4784"/>
    <w:rsid w:val="460F14C8"/>
    <w:rsid w:val="467D2C1A"/>
    <w:rsid w:val="468E063F"/>
    <w:rsid w:val="4698326B"/>
    <w:rsid w:val="46AC4F69"/>
    <w:rsid w:val="46C87FF5"/>
    <w:rsid w:val="46F34946"/>
    <w:rsid w:val="470511B1"/>
    <w:rsid w:val="47156896"/>
    <w:rsid w:val="47276FD2"/>
    <w:rsid w:val="472E638F"/>
    <w:rsid w:val="47695ED4"/>
    <w:rsid w:val="476F03A3"/>
    <w:rsid w:val="47A45C40"/>
    <w:rsid w:val="47BB3CEE"/>
    <w:rsid w:val="47C307BC"/>
    <w:rsid w:val="47C81981"/>
    <w:rsid w:val="47D126DF"/>
    <w:rsid w:val="47ED5839"/>
    <w:rsid w:val="47EE7F4E"/>
    <w:rsid w:val="4800556C"/>
    <w:rsid w:val="48146A84"/>
    <w:rsid w:val="4816534B"/>
    <w:rsid w:val="481D4374"/>
    <w:rsid w:val="48387502"/>
    <w:rsid w:val="48763F88"/>
    <w:rsid w:val="48764FF6"/>
    <w:rsid w:val="488805DD"/>
    <w:rsid w:val="488F069E"/>
    <w:rsid w:val="48A82E66"/>
    <w:rsid w:val="48D10128"/>
    <w:rsid w:val="48E72288"/>
    <w:rsid w:val="48E84A1C"/>
    <w:rsid w:val="48FD3EF8"/>
    <w:rsid w:val="490948F4"/>
    <w:rsid w:val="49156DF5"/>
    <w:rsid w:val="491C7CBA"/>
    <w:rsid w:val="49247D9B"/>
    <w:rsid w:val="495434A1"/>
    <w:rsid w:val="49645FC7"/>
    <w:rsid w:val="49923A17"/>
    <w:rsid w:val="499832F2"/>
    <w:rsid w:val="49A077E3"/>
    <w:rsid w:val="49AB4DE9"/>
    <w:rsid w:val="49AE432C"/>
    <w:rsid w:val="49B51CEA"/>
    <w:rsid w:val="49BB5BEF"/>
    <w:rsid w:val="49E8450A"/>
    <w:rsid w:val="4A0155CC"/>
    <w:rsid w:val="4A377351"/>
    <w:rsid w:val="4A38723F"/>
    <w:rsid w:val="4A456DCD"/>
    <w:rsid w:val="4A48783C"/>
    <w:rsid w:val="4A53704D"/>
    <w:rsid w:val="4A686E5C"/>
    <w:rsid w:val="4A7A138F"/>
    <w:rsid w:val="4AE2174F"/>
    <w:rsid w:val="4AF72F16"/>
    <w:rsid w:val="4B082BB6"/>
    <w:rsid w:val="4B09038E"/>
    <w:rsid w:val="4B1A660C"/>
    <w:rsid w:val="4B241992"/>
    <w:rsid w:val="4B3A3BAD"/>
    <w:rsid w:val="4B653A3A"/>
    <w:rsid w:val="4B9B380D"/>
    <w:rsid w:val="4BBF1D08"/>
    <w:rsid w:val="4BCD7E5B"/>
    <w:rsid w:val="4BE551A5"/>
    <w:rsid w:val="4BF54F6F"/>
    <w:rsid w:val="4C0D0258"/>
    <w:rsid w:val="4C162F74"/>
    <w:rsid w:val="4C21533E"/>
    <w:rsid w:val="4C4036E6"/>
    <w:rsid w:val="4C416153"/>
    <w:rsid w:val="4C6F2CC0"/>
    <w:rsid w:val="4C75491C"/>
    <w:rsid w:val="4C7F3F66"/>
    <w:rsid w:val="4C8221BD"/>
    <w:rsid w:val="4C846C26"/>
    <w:rsid w:val="4CB81CF4"/>
    <w:rsid w:val="4CD82614"/>
    <w:rsid w:val="4CFF4BE6"/>
    <w:rsid w:val="4D162517"/>
    <w:rsid w:val="4D5A238E"/>
    <w:rsid w:val="4D6E2F78"/>
    <w:rsid w:val="4D7F57A5"/>
    <w:rsid w:val="4D8904D2"/>
    <w:rsid w:val="4D8B1D7C"/>
    <w:rsid w:val="4D916EE0"/>
    <w:rsid w:val="4D9356E1"/>
    <w:rsid w:val="4DE45D07"/>
    <w:rsid w:val="4DF95ED2"/>
    <w:rsid w:val="4E2550CE"/>
    <w:rsid w:val="4E257ADB"/>
    <w:rsid w:val="4E830CA5"/>
    <w:rsid w:val="4E8C1BF5"/>
    <w:rsid w:val="4ECE5D7C"/>
    <w:rsid w:val="4ED65DC9"/>
    <w:rsid w:val="4F053468"/>
    <w:rsid w:val="4F131FCD"/>
    <w:rsid w:val="4F18319B"/>
    <w:rsid w:val="4F5529EF"/>
    <w:rsid w:val="4F57157C"/>
    <w:rsid w:val="4F81157A"/>
    <w:rsid w:val="4FDA0204"/>
    <w:rsid w:val="502E6212"/>
    <w:rsid w:val="5055423C"/>
    <w:rsid w:val="50926F7D"/>
    <w:rsid w:val="50AE307B"/>
    <w:rsid w:val="50B9275C"/>
    <w:rsid w:val="50C85FB7"/>
    <w:rsid w:val="50D23D9B"/>
    <w:rsid w:val="515E3ECF"/>
    <w:rsid w:val="51764F39"/>
    <w:rsid w:val="5176545C"/>
    <w:rsid w:val="5187285A"/>
    <w:rsid w:val="51AE3373"/>
    <w:rsid w:val="51B77A3D"/>
    <w:rsid w:val="51BE3B62"/>
    <w:rsid w:val="51C64FD0"/>
    <w:rsid w:val="51CC4711"/>
    <w:rsid w:val="51D84537"/>
    <w:rsid w:val="520B69DF"/>
    <w:rsid w:val="52325B83"/>
    <w:rsid w:val="52407662"/>
    <w:rsid w:val="52675D6D"/>
    <w:rsid w:val="52827145"/>
    <w:rsid w:val="528706B1"/>
    <w:rsid w:val="52EC1CA4"/>
    <w:rsid w:val="52F45CCD"/>
    <w:rsid w:val="52F92C15"/>
    <w:rsid w:val="52FC613B"/>
    <w:rsid w:val="53057EDB"/>
    <w:rsid w:val="530B425A"/>
    <w:rsid w:val="531D34BA"/>
    <w:rsid w:val="536A41E2"/>
    <w:rsid w:val="537A20A1"/>
    <w:rsid w:val="537A2677"/>
    <w:rsid w:val="538452A3"/>
    <w:rsid w:val="538C5D92"/>
    <w:rsid w:val="539B2198"/>
    <w:rsid w:val="53A52522"/>
    <w:rsid w:val="53A82E64"/>
    <w:rsid w:val="53B721C5"/>
    <w:rsid w:val="54174A3D"/>
    <w:rsid w:val="5461028C"/>
    <w:rsid w:val="546B0211"/>
    <w:rsid w:val="5482097D"/>
    <w:rsid w:val="549522A9"/>
    <w:rsid w:val="54BA6AA3"/>
    <w:rsid w:val="54CB0E8F"/>
    <w:rsid w:val="54DB65AB"/>
    <w:rsid w:val="550D1AAE"/>
    <w:rsid w:val="552A482E"/>
    <w:rsid w:val="55443603"/>
    <w:rsid w:val="56075D18"/>
    <w:rsid w:val="560E70A6"/>
    <w:rsid w:val="561A0AEC"/>
    <w:rsid w:val="562A19A1"/>
    <w:rsid w:val="562C1C22"/>
    <w:rsid w:val="56510530"/>
    <w:rsid w:val="56850DFC"/>
    <w:rsid w:val="568F61A3"/>
    <w:rsid w:val="569A4A62"/>
    <w:rsid w:val="569B564E"/>
    <w:rsid w:val="56A1779A"/>
    <w:rsid w:val="56D45B12"/>
    <w:rsid w:val="56F074F9"/>
    <w:rsid w:val="5725331F"/>
    <w:rsid w:val="572C012C"/>
    <w:rsid w:val="574C0E59"/>
    <w:rsid w:val="57A77FAA"/>
    <w:rsid w:val="57BD540A"/>
    <w:rsid w:val="57C51F9B"/>
    <w:rsid w:val="57DC0A7D"/>
    <w:rsid w:val="581C3889"/>
    <w:rsid w:val="587B479B"/>
    <w:rsid w:val="58886C7E"/>
    <w:rsid w:val="58906498"/>
    <w:rsid w:val="58A25E0F"/>
    <w:rsid w:val="58A351FB"/>
    <w:rsid w:val="58AB43EF"/>
    <w:rsid w:val="58B51695"/>
    <w:rsid w:val="58E3481A"/>
    <w:rsid w:val="58E44C34"/>
    <w:rsid w:val="58E550CF"/>
    <w:rsid w:val="58EC48DF"/>
    <w:rsid w:val="59165D34"/>
    <w:rsid w:val="595D7B34"/>
    <w:rsid w:val="59A61A9D"/>
    <w:rsid w:val="59BE14B3"/>
    <w:rsid w:val="59BE19A8"/>
    <w:rsid w:val="59D04961"/>
    <w:rsid w:val="5A066432"/>
    <w:rsid w:val="5A190546"/>
    <w:rsid w:val="5A260B37"/>
    <w:rsid w:val="5A355549"/>
    <w:rsid w:val="5A81253D"/>
    <w:rsid w:val="5ACD06ED"/>
    <w:rsid w:val="5ADA7D57"/>
    <w:rsid w:val="5AE42EAC"/>
    <w:rsid w:val="5AF97ECB"/>
    <w:rsid w:val="5B004490"/>
    <w:rsid w:val="5B3022D8"/>
    <w:rsid w:val="5B466B83"/>
    <w:rsid w:val="5B491F2D"/>
    <w:rsid w:val="5B691419"/>
    <w:rsid w:val="5B69411A"/>
    <w:rsid w:val="5B6F05E7"/>
    <w:rsid w:val="5B7D1757"/>
    <w:rsid w:val="5BA351AB"/>
    <w:rsid w:val="5BAD0487"/>
    <w:rsid w:val="5BB9003E"/>
    <w:rsid w:val="5BD833B7"/>
    <w:rsid w:val="5C050B30"/>
    <w:rsid w:val="5C164F06"/>
    <w:rsid w:val="5C3332D3"/>
    <w:rsid w:val="5C4A55BE"/>
    <w:rsid w:val="5C602626"/>
    <w:rsid w:val="5C6C5625"/>
    <w:rsid w:val="5C6F09F7"/>
    <w:rsid w:val="5C8A4F49"/>
    <w:rsid w:val="5CB74449"/>
    <w:rsid w:val="5CBF12EA"/>
    <w:rsid w:val="5CC901CB"/>
    <w:rsid w:val="5CD22C4B"/>
    <w:rsid w:val="5CFD62C3"/>
    <w:rsid w:val="5D0B5131"/>
    <w:rsid w:val="5D3235C5"/>
    <w:rsid w:val="5D4C3DA7"/>
    <w:rsid w:val="5D55249C"/>
    <w:rsid w:val="5D5C4B9B"/>
    <w:rsid w:val="5DB276BD"/>
    <w:rsid w:val="5DC34C1A"/>
    <w:rsid w:val="5DDA4421"/>
    <w:rsid w:val="5DFD40B6"/>
    <w:rsid w:val="5E156CD0"/>
    <w:rsid w:val="5E203807"/>
    <w:rsid w:val="5E270BE3"/>
    <w:rsid w:val="5E4B2A61"/>
    <w:rsid w:val="5E8D4220"/>
    <w:rsid w:val="5E972B0F"/>
    <w:rsid w:val="5EAA1B2F"/>
    <w:rsid w:val="5ECB022A"/>
    <w:rsid w:val="5ECC5C5E"/>
    <w:rsid w:val="5EE14995"/>
    <w:rsid w:val="5EE66D6A"/>
    <w:rsid w:val="5EEC0242"/>
    <w:rsid w:val="5EF0216A"/>
    <w:rsid w:val="5F0C6D6B"/>
    <w:rsid w:val="5F14370C"/>
    <w:rsid w:val="5F267334"/>
    <w:rsid w:val="5F354C0B"/>
    <w:rsid w:val="5F626A5C"/>
    <w:rsid w:val="5F7563E8"/>
    <w:rsid w:val="5F916764"/>
    <w:rsid w:val="5FCB3E18"/>
    <w:rsid w:val="5FF24D25"/>
    <w:rsid w:val="6008100A"/>
    <w:rsid w:val="60477D84"/>
    <w:rsid w:val="605378A4"/>
    <w:rsid w:val="605548E2"/>
    <w:rsid w:val="605A0A6A"/>
    <w:rsid w:val="6072487B"/>
    <w:rsid w:val="60770CD0"/>
    <w:rsid w:val="609041EF"/>
    <w:rsid w:val="60AC7BE7"/>
    <w:rsid w:val="60EC7D7A"/>
    <w:rsid w:val="60F71313"/>
    <w:rsid w:val="61265BEC"/>
    <w:rsid w:val="61506279"/>
    <w:rsid w:val="61664B28"/>
    <w:rsid w:val="61770DB1"/>
    <w:rsid w:val="61976780"/>
    <w:rsid w:val="61B91940"/>
    <w:rsid w:val="61D47943"/>
    <w:rsid w:val="61F1593E"/>
    <w:rsid w:val="6213640E"/>
    <w:rsid w:val="62146F60"/>
    <w:rsid w:val="62214B96"/>
    <w:rsid w:val="623706E4"/>
    <w:rsid w:val="624660BB"/>
    <w:rsid w:val="624C7D3F"/>
    <w:rsid w:val="628D57F7"/>
    <w:rsid w:val="62D61BA4"/>
    <w:rsid w:val="633A5DAB"/>
    <w:rsid w:val="63450D7A"/>
    <w:rsid w:val="63915E49"/>
    <w:rsid w:val="63AA78A9"/>
    <w:rsid w:val="63D77671"/>
    <w:rsid w:val="63DB60F4"/>
    <w:rsid w:val="63F55D49"/>
    <w:rsid w:val="644A7462"/>
    <w:rsid w:val="644B16E3"/>
    <w:rsid w:val="64723520"/>
    <w:rsid w:val="64733CEA"/>
    <w:rsid w:val="647503F9"/>
    <w:rsid w:val="647E5D3F"/>
    <w:rsid w:val="64C8320D"/>
    <w:rsid w:val="64E10BBF"/>
    <w:rsid w:val="64F36CAE"/>
    <w:rsid w:val="652A2471"/>
    <w:rsid w:val="652C593C"/>
    <w:rsid w:val="652C7549"/>
    <w:rsid w:val="6582360D"/>
    <w:rsid w:val="6596157F"/>
    <w:rsid w:val="65BB7018"/>
    <w:rsid w:val="65C01AB3"/>
    <w:rsid w:val="65CB4FB4"/>
    <w:rsid w:val="65CC6636"/>
    <w:rsid w:val="6609054D"/>
    <w:rsid w:val="661950ED"/>
    <w:rsid w:val="66302417"/>
    <w:rsid w:val="66357C17"/>
    <w:rsid w:val="664C3914"/>
    <w:rsid w:val="664D3C1B"/>
    <w:rsid w:val="66A5036A"/>
    <w:rsid w:val="66A601AC"/>
    <w:rsid w:val="66CB277F"/>
    <w:rsid w:val="66CC58CD"/>
    <w:rsid w:val="66D66D75"/>
    <w:rsid w:val="66ED706E"/>
    <w:rsid w:val="67031460"/>
    <w:rsid w:val="670418A3"/>
    <w:rsid w:val="674F3B08"/>
    <w:rsid w:val="675635B6"/>
    <w:rsid w:val="675D7E8D"/>
    <w:rsid w:val="67822461"/>
    <w:rsid w:val="6787349B"/>
    <w:rsid w:val="679D028A"/>
    <w:rsid w:val="67D35D83"/>
    <w:rsid w:val="67DC7E1C"/>
    <w:rsid w:val="67F35ADD"/>
    <w:rsid w:val="68434F4C"/>
    <w:rsid w:val="68677E6D"/>
    <w:rsid w:val="68684D3C"/>
    <w:rsid w:val="688D6550"/>
    <w:rsid w:val="68B30E91"/>
    <w:rsid w:val="68B86B96"/>
    <w:rsid w:val="68B946B4"/>
    <w:rsid w:val="68F330E1"/>
    <w:rsid w:val="68F574AD"/>
    <w:rsid w:val="6923731A"/>
    <w:rsid w:val="692D1E6D"/>
    <w:rsid w:val="693D7F76"/>
    <w:rsid w:val="69404763"/>
    <w:rsid w:val="697A396B"/>
    <w:rsid w:val="697C0F04"/>
    <w:rsid w:val="69B7453F"/>
    <w:rsid w:val="69F92883"/>
    <w:rsid w:val="6AAB346A"/>
    <w:rsid w:val="6ABA4DB9"/>
    <w:rsid w:val="6AD11522"/>
    <w:rsid w:val="6AD80CDD"/>
    <w:rsid w:val="6ADE75EA"/>
    <w:rsid w:val="6AE27DF6"/>
    <w:rsid w:val="6AFE3735"/>
    <w:rsid w:val="6B287F42"/>
    <w:rsid w:val="6B4C3ED9"/>
    <w:rsid w:val="6B7C7497"/>
    <w:rsid w:val="6B8E6326"/>
    <w:rsid w:val="6B946786"/>
    <w:rsid w:val="6BAC3696"/>
    <w:rsid w:val="6BAF7D1B"/>
    <w:rsid w:val="6BB7715A"/>
    <w:rsid w:val="6BC251D8"/>
    <w:rsid w:val="6BE1431B"/>
    <w:rsid w:val="6C16703D"/>
    <w:rsid w:val="6C172917"/>
    <w:rsid w:val="6C1B25E5"/>
    <w:rsid w:val="6C1F3963"/>
    <w:rsid w:val="6C3A3E57"/>
    <w:rsid w:val="6C502F0E"/>
    <w:rsid w:val="6C686B04"/>
    <w:rsid w:val="6C735A5D"/>
    <w:rsid w:val="6C8B0FF9"/>
    <w:rsid w:val="6C8E0883"/>
    <w:rsid w:val="6C95144B"/>
    <w:rsid w:val="6CA76E24"/>
    <w:rsid w:val="6CC31169"/>
    <w:rsid w:val="6CC86FC4"/>
    <w:rsid w:val="6CDC0456"/>
    <w:rsid w:val="6CEB5F3B"/>
    <w:rsid w:val="6D2531FB"/>
    <w:rsid w:val="6D58661D"/>
    <w:rsid w:val="6D5D61F1"/>
    <w:rsid w:val="6D6640E9"/>
    <w:rsid w:val="6D760BD3"/>
    <w:rsid w:val="6D92199F"/>
    <w:rsid w:val="6DAA4EA7"/>
    <w:rsid w:val="6E005A16"/>
    <w:rsid w:val="6E0067E1"/>
    <w:rsid w:val="6E3903BA"/>
    <w:rsid w:val="6E571528"/>
    <w:rsid w:val="6EA12FF0"/>
    <w:rsid w:val="6EAA6AA6"/>
    <w:rsid w:val="6EB04D47"/>
    <w:rsid w:val="6EB6414C"/>
    <w:rsid w:val="6ED5372F"/>
    <w:rsid w:val="6EEB2223"/>
    <w:rsid w:val="6EED7D49"/>
    <w:rsid w:val="6EF35D16"/>
    <w:rsid w:val="6EFE09FD"/>
    <w:rsid w:val="6F0101E2"/>
    <w:rsid w:val="6F182E52"/>
    <w:rsid w:val="6F343BCA"/>
    <w:rsid w:val="6F872C39"/>
    <w:rsid w:val="6FBB6813"/>
    <w:rsid w:val="6FD30954"/>
    <w:rsid w:val="6FEF7AF1"/>
    <w:rsid w:val="70452307"/>
    <w:rsid w:val="70497201"/>
    <w:rsid w:val="70A7569A"/>
    <w:rsid w:val="70B4371B"/>
    <w:rsid w:val="70B542E2"/>
    <w:rsid w:val="70DA57DA"/>
    <w:rsid w:val="71033AE0"/>
    <w:rsid w:val="710D5ECE"/>
    <w:rsid w:val="711C72DF"/>
    <w:rsid w:val="711F0FDD"/>
    <w:rsid w:val="713A36D5"/>
    <w:rsid w:val="71763EDA"/>
    <w:rsid w:val="71AC4564"/>
    <w:rsid w:val="71D9134D"/>
    <w:rsid w:val="71E33685"/>
    <w:rsid w:val="71EB0A3A"/>
    <w:rsid w:val="72495A53"/>
    <w:rsid w:val="72552005"/>
    <w:rsid w:val="72600832"/>
    <w:rsid w:val="72850298"/>
    <w:rsid w:val="72B36782"/>
    <w:rsid w:val="72B94FED"/>
    <w:rsid w:val="72D108A4"/>
    <w:rsid w:val="72F745D6"/>
    <w:rsid w:val="72FF2F6E"/>
    <w:rsid w:val="732A7638"/>
    <w:rsid w:val="734F519E"/>
    <w:rsid w:val="735E2782"/>
    <w:rsid w:val="738029EB"/>
    <w:rsid w:val="73C9779B"/>
    <w:rsid w:val="73DD54A5"/>
    <w:rsid w:val="741B7106"/>
    <w:rsid w:val="74325EF1"/>
    <w:rsid w:val="74604B19"/>
    <w:rsid w:val="747D5A82"/>
    <w:rsid w:val="7487479C"/>
    <w:rsid w:val="74B530B7"/>
    <w:rsid w:val="74C95DDA"/>
    <w:rsid w:val="74FB2A94"/>
    <w:rsid w:val="751F6E17"/>
    <w:rsid w:val="754F48EB"/>
    <w:rsid w:val="75722E16"/>
    <w:rsid w:val="75893925"/>
    <w:rsid w:val="75A90EBC"/>
    <w:rsid w:val="75B33626"/>
    <w:rsid w:val="75C96ADC"/>
    <w:rsid w:val="75D036F7"/>
    <w:rsid w:val="75EF25F8"/>
    <w:rsid w:val="762D259F"/>
    <w:rsid w:val="76503091"/>
    <w:rsid w:val="76913BE2"/>
    <w:rsid w:val="769371A9"/>
    <w:rsid w:val="769D29C5"/>
    <w:rsid w:val="76BB39E6"/>
    <w:rsid w:val="76E1530A"/>
    <w:rsid w:val="76F01F31"/>
    <w:rsid w:val="76FE1D94"/>
    <w:rsid w:val="77004391"/>
    <w:rsid w:val="771F2812"/>
    <w:rsid w:val="772E53A2"/>
    <w:rsid w:val="775628E5"/>
    <w:rsid w:val="776946F6"/>
    <w:rsid w:val="77735064"/>
    <w:rsid w:val="77780D1C"/>
    <w:rsid w:val="77803734"/>
    <w:rsid w:val="778D4B96"/>
    <w:rsid w:val="779651EC"/>
    <w:rsid w:val="77AD6018"/>
    <w:rsid w:val="77D575CC"/>
    <w:rsid w:val="77D73344"/>
    <w:rsid w:val="77DB4156"/>
    <w:rsid w:val="78056103"/>
    <w:rsid w:val="784E7831"/>
    <w:rsid w:val="78957708"/>
    <w:rsid w:val="78A3591C"/>
    <w:rsid w:val="78A970EF"/>
    <w:rsid w:val="78D814AE"/>
    <w:rsid w:val="790F6B0E"/>
    <w:rsid w:val="79295E21"/>
    <w:rsid w:val="79542FFF"/>
    <w:rsid w:val="79544CF8"/>
    <w:rsid w:val="797A74BF"/>
    <w:rsid w:val="79D0078B"/>
    <w:rsid w:val="79D64CA1"/>
    <w:rsid w:val="7A0364CA"/>
    <w:rsid w:val="7A0427DB"/>
    <w:rsid w:val="7A2673B8"/>
    <w:rsid w:val="7A540C7C"/>
    <w:rsid w:val="7A58242B"/>
    <w:rsid w:val="7A6B664D"/>
    <w:rsid w:val="7A703241"/>
    <w:rsid w:val="7A9E1257"/>
    <w:rsid w:val="7AAC08C3"/>
    <w:rsid w:val="7ACB2263"/>
    <w:rsid w:val="7AE501E2"/>
    <w:rsid w:val="7AFE508C"/>
    <w:rsid w:val="7B05466C"/>
    <w:rsid w:val="7B677A3B"/>
    <w:rsid w:val="7B7A4110"/>
    <w:rsid w:val="7BA82053"/>
    <w:rsid w:val="7BB76B2D"/>
    <w:rsid w:val="7BC601B8"/>
    <w:rsid w:val="7BC93671"/>
    <w:rsid w:val="7BC952DD"/>
    <w:rsid w:val="7BD11A91"/>
    <w:rsid w:val="7BE06137"/>
    <w:rsid w:val="7BE0617E"/>
    <w:rsid w:val="7BFE17E7"/>
    <w:rsid w:val="7C0B180E"/>
    <w:rsid w:val="7C0F127A"/>
    <w:rsid w:val="7C1F48E2"/>
    <w:rsid w:val="7C2B0B5A"/>
    <w:rsid w:val="7C346054"/>
    <w:rsid w:val="7C4028DA"/>
    <w:rsid w:val="7C5023F5"/>
    <w:rsid w:val="7C5B3D2B"/>
    <w:rsid w:val="7C5F1B5A"/>
    <w:rsid w:val="7C655549"/>
    <w:rsid w:val="7C75110B"/>
    <w:rsid w:val="7C8C59DB"/>
    <w:rsid w:val="7C972272"/>
    <w:rsid w:val="7CC52305"/>
    <w:rsid w:val="7D1A42B5"/>
    <w:rsid w:val="7D2037A1"/>
    <w:rsid w:val="7D293105"/>
    <w:rsid w:val="7D3719EF"/>
    <w:rsid w:val="7D842B08"/>
    <w:rsid w:val="7D9504C2"/>
    <w:rsid w:val="7D952F0F"/>
    <w:rsid w:val="7D9D341B"/>
    <w:rsid w:val="7DD407B3"/>
    <w:rsid w:val="7DDD60D6"/>
    <w:rsid w:val="7DF84014"/>
    <w:rsid w:val="7E01736D"/>
    <w:rsid w:val="7E0A0CB3"/>
    <w:rsid w:val="7E1E2B24"/>
    <w:rsid w:val="7E241B19"/>
    <w:rsid w:val="7E3037AE"/>
    <w:rsid w:val="7E351CB0"/>
    <w:rsid w:val="7E5751DF"/>
    <w:rsid w:val="7E5D031B"/>
    <w:rsid w:val="7E5E47BF"/>
    <w:rsid w:val="7E670531"/>
    <w:rsid w:val="7E7B5390"/>
    <w:rsid w:val="7E952C57"/>
    <w:rsid w:val="7E9712AE"/>
    <w:rsid w:val="7E991353"/>
    <w:rsid w:val="7ED83879"/>
    <w:rsid w:val="7EE43B13"/>
    <w:rsid w:val="7EF80007"/>
    <w:rsid w:val="7EFF0000"/>
    <w:rsid w:val="7F2C0419"/>
    <w:rsid w:val="7F3E6017"/>
    <w:rsid w:val="7F4E65E2"/>
    <w:rsid w:val="7F6504DC"/>
    <w:rsid w:val="7FE17456"/>
    <w:rsid w:val="7FF151BF"/>
    <w:rsid w:val="7FF30F6F"/>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semiHidden="0"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qFormat="1" w:unhideWhenUsed="0" w:uiPriority="0"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name="Normal (Web)"/>
    <w:lsdException w:uiPriority="99" w:name="HTML Acronym" w:locked="1"/>
    <w:lsdException w:uiPriority="99" w:name="HTML Address" w:locked="1"/>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iPriority="99" w:name="HTML Preformatted" w:locked="1"/>
    <w:lsdException w:qFormat="1" w:unhideWhenUsed="0" w:uiPriority="99" w:name="HTML Sample"/>
    <w:lsdException w:uiPriority="99" w:name="HTML Typewriter" w:locked="1"/>
    <w:lsdException w:qFormat="1" w:unhideWhenUsed="0" w:uiPriority="99" w:name="HTML Variable"/>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880" w:firstLineChars="200"/>
      <w:jc w:val="both"/>
    </w:pPr>
    <w:rPr>
      <w:rFonts w:ascii="Times New Roman" w:hAnsi="Times New Roman" w:eastAsia="仿宋" w:cs="黑体"/>
      <w:kern w:val="2"/>
      <w:sz w:val="30"/>
      <w:szCs w:val="30"/>
      <w:lang w:val="en-US" w:eastAsia="zh-CN" w:bidi="ar-SA"/>
    </w:rPr>
  </w:style>
  <w:style w:type="paragraph" w:styleId="2">
    <w:name w:val="heading 1"/>
    <w:basedOn w:val="1"/>
    <w:next w:val="1"/>
    <w:link w:val="31"/>
    <w:autoRedefine/>
    <w:qFormat/>
    <w:uiPriority w:val="99"/>
    <w:pPr>
      <w:keepNext/>
      <w:keepLines/>
      <w:numPr>
        <w:ilvl w:val="0"/>
        <w:numId w:val="1"/>
      </w:numPr>
      <w:spacing w:before="340" w:after="330" w:line="576" w:lineRule="auto"/>
      <w:ind w:firstLine="0" w:firstLineChars="0"/>
      <w:jc w:val="center"/>
      <w:outlineLvl w:val="0"/>
    </w:pPr>
    <w:rPr>
      <w:rFonts w:ascii="宋体" w:hAnsi="宋体" w:eastAsia="方正公文小标宋"/>
      <w:kern w:val="44"/>
      <w:sz w:val="36"/>
    </w:rPr>
  </w:style>
  <w:style w:type="paragraph" w:styleId="3">
    <w:name w:val="heading 2"/>
    <w:basedOn w:val="1"/>
    <w:next w:val="1"/>
    <w:link w:val="32"/>
    <w:autoRedefine/>
    <w:qFormat/>
    <w:uiPriority w:val="99"/>
    <w:pPr>
      <w:keepNext/>
      <w:keepLines/>
      <w:numPr>
        <w:ilvl w:val="1"/>
        <w:numId w:val="2"/>
      </w:numPr>
      <w:tabs>
        <w:tab w:val="left" w:pos="0"/>
      </w:tabs>
      <w:spacing w:before="260" w:after="260"/>
      <w:ind w:firstLine="880"/>
      <w:outlineLvl w:val="1"/>
    </w:pPr>
    <w:rPr>
      <w:rFonts w:ascii="Arial" w:hAnsi="Arial" w:eastAsia="楷体"/>
      <w:b/>
      <w:sz w:val="32"/>
    </w:rPr>
  </w:style>
  <w:style w:type="paragraph" w:styleId="4">
    <w:name w:val="heading 3"/>
    <w:basedOn w:val="1"/>
    <w:next w:val="1"/>
    <w:link w:val="33"/>
    <w:autoRedefine/>
    <w:qFormat/>
    <w:uiPriority w:val="99"/>
    <w:pPr>
      <w:keepNext/>
      <w:keepLines/>
      <w:numPr>
        <w:ilvl w:val="2"/>
        <w:numId w:val="3"/>
      </w:numPr>
      <w:spacing w:before="260" w:after="260" w:line="413" w:lineRule="auto"/>
      <w:ind w:left="0"/>
      <w:outlineLvl w:val="2"/>
    </w:pPr>
    <w:rPr>
      <w:rFonts w:cs="仿宋"/>
      <w:b/>
      <w:sz w:val="32"/>
    </w:rPr>
  </w:style>
  <w:style w:type="paragraph" w:styleId="5">
    <w:name w:val="heading 4"/>
    <w:basedOn w:val="1"/>
    <w:next w:val="1"/>
    <w:unhideWhenUsed/>
    <w:qFormat/>
    <w:locked/>
    <w:uiPriority w:val="9"/>
    <w:pPr>
      <w:keepNext/>
      <w:keepLines/>
      <w:numPr>
        <w:ilvl w:val="3"/>
        <w:numId w:val="4"/>
      </w:numPr>
      <w:spacing w:line="372" w:lineRule="auto"/>
      <w:ind w:firstLineChars="0"/>
      <w:outlineLvl w:val="3"/>
    </w:pPr>
    <w:rPr>
      <w:rFonts w:ascii="Arial" w:hAnsi="Arial" w:eastAsia="黑体"/>
      <w:b/>
      <w:sz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unhideWhenUsed/>
    <w:qFormat/>
    <w:locked/>
    <w:uiPriority w:val="0"/>
    <w:pPr>
      <w:ind w:firstLine="420"/>
    </w:pPr>
    <w:rPr>
      <w:szCs w:val="20"/>
    </w:rPr>
  </w:style>
  <w:style w:type="paragraph" w:styleId="7">
    <w:name w:val="caption"/>
    <w:basedOn w:val="1"/>
    <w:next w:val="1"/>
    <w:unhideWhenUsed/>
    <w:qFormat/>
    <w:locked/>
    <w:uiPriority w:val="35"/>
    <w:pPr>
      <w:jc w:val="center"/>
    </w:pPr>
    <w:rPr>
      <w:rFonts w:ascii="Arial" w:hAnsi="Arial"/>
      <w:b/>
      <w:sz w:val="24"/>
    </w:rPr>
  </w:style>
  <w:style w:type="paragraph" w:styleId="8">
    <w:name w:val="Body Text Indent"/>
    <w:basedOn w:val="1"/>
    <w:qFormat/>
    <w:locked/>
    <w:uiPriority w:val="0"/>
    <w:pPr>
      <w:spacing w:line="480" w:lineRule="atLeast"/>
      <w:ind w:firstLine="555"/>
    </w:pPr>
  </w:style>
  <w:style w:type="paragraph" w:styleId="9">
    <w:name w:val="toc 3"/>
    <w:basedOn w:val="1"/>
    <w:next w:val="1"/>
    <w:autoRedefine/>
    <w:qFormat/>
    <w:uiPriority w:val="99"/>
    <w:pPr>
      <w:ind w:left="840" w:leftChars="400"/>
    </w:pPr>
  </w:style>
  <w:style w:type="paragraph" w:styleId="10">
    <w:name w:val="Balloon Text"/>
    <w:basedOn w:val="1"/>
    <w:link w:val="61"/>
    <w:semiHidden/>
    <w:unhideWhenUsed/>
    <w:qFormat/>
    <w:locked/>
    <w:uiPriority w:val="99"/>
    <w:pPr>
      <w:spacing w:line="240" w:lineRule="auto"/>
    </w:pPr>
    <w:rPr>
      <w:sz w:val="18"/>
      <w:szCs w:val="18"/>
    </w:rPr>
  </w:style>
  <w:style w:type="paragraph" w:styleId="11">
    <w:name w:val="footer"/>
    <w:basedOn w:val="1"/>
    <w:link w:val="35"/>
    <w:qFormat/>
    <w:uiPriority w:val="99"/>
    <w:pPr>
      <w:tabs>
        <w:tab w:val="center" w:pos="4153"/>
        <w:tab w:val="right" w:pos="8306"/>
      </w:tabs>
      <w:snapToGrid w:val="0"/>
      <w:jc w:val="left"/>
    </w:pPr>
    <w:rPr>
      <w:sz w:val="18"/>
    </w:rPr>
  </w:style>
  <w:style w:type="paragraph" w:styleId="12">
    <w:name w:val="header"/>
    <w:basedOn w:val="1"/>
    <w:link w:val="36"/>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99"/>
  </w:style>
  <w:style w:type="paragraph" w:styleId="14">
    <w:name w:val="toc 2"/>
    <w:basedOn w:val="1"/>
    <w:next w:val="1"/>
    <w:autoRedefine/>
    <w:qFormat/>
    <w:uiPriority w:val="99"/>
    <w:pPr>
      <w:ind w:left="420" w:leftChars="200"/>
    </w:pPr>
  </w:style>
  <w:style w:type="paragraph" w:styleId="15">
    <w:name w:val="HTML Preformatted"/>
    <w:basedOn w:val="1"/>
    <w:semiHidden/>
    <w:unhideWhenUsed/>
    <w:qFormat/>
    <w:lock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6">
    <w:name w:val="Normal (Web)"/>
    <w:basedOn w:val="1"/>
    <w:autoRedefine/>
    <w:semiHidden/>
    <w:qFormat/>
    <w:uiPriority w:val="99"/>
    <w:pPr>
      <w:jc w:val="left"/>
    </w:pPr>
    <w:rPr>
      <w:rFonts w:cs="Times New Roman"/>
      <w:kern w:val="0"/>
      <w:sz w:val="24"/>
    </w:rPr>
  </w:style>
  <w:style w:type="table" w:styleId="18">
    <w:name w:val="Table Grid"/>
    <w:basedOn w:val="17"/>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99"/>
    <w:rPr>
      <w:rFonts w:cs="Times New Roman"/>
      <w:b/>
    </w:rPr>
  </w:style>
  <w:style w:type="character" w:styleId="21">
    <w:name w:val="page number"/>
    <w:basedOn w:val="19"/>
    <w:qFormat/>
    <w:locked/>
    <w:uiPriority w:val="99"/>
  </w:style>
  <w:style w:type="character" w:styleId="22">
    <w:name w:val="FollowedHyperlink"/>
    <w:basedOn w:val="19"/>
    <w:autoRedefine/>
    <w:semiHidden/>
    <w:qFormat/>
    <w:uiPriority w:val="99"/>
    <w:rPr>
      <w:rFonts w:cs="Times New Roman"/>
      <w:color w:val="000000"/>
      <w:u w:val="none"/>
    </w:rPr>
  </w:style>
  <w:style w:type="character" w:styleId="23">
    <w:name w:val="Emphasis"/>
    <w:basedOn w:val="19"/>
    <w:qFormat/>
    <w:uiPriority w:val="99"/>
    <w:rPr>
      <w:rFonts w:cs="Times New Roman"/>
      <w:b/>
    </w:rPr>
  </w:style>
  <w:style w:type="character" w:styleId="24">
    <w:name w:val="HTML Definition"/>
    <w:basedOn w:val="19"/>
    <w:autoRedefine/>
    <w:semiHidden/>
    <w:qFormat/>
    <w:uiPriority w:val="99"/>
    <w:rPr>
      <w:rFonts w:cs="Times New Roman"/>
    </w:rPr>
  </w:style>
  <w:style w:type="character" w:styleId="25">
    <w:name w:val="HTML Variable"/>
    <w:basedOn w:val="19"/>
    <w:autoRedefine/>
    <w:semiHidden/>
    <w:qFormat/>
    <w:uiPriority w:val="99"/>
    <w:rPr>
      <w:rFonts w:cs="Times New Roman"/>
    </w:rPr>
  </w:style>
  <w:style w:type="character" w:styleId="26">
    <w:name w:val="Hyperlink"/>
    <w:basedOn w:val="19"/>
    <w:autoRedefine/>
    <w:qFormat/>
    <w:uiPriority w:val="99"/>
    <w:rPr>
      <w:rFonts w:cs="Times New Roman"/>
      <w:color w:val="0000FF"/>
      <w:u w:val="single"/>
    </w:rPr>
  </w:style>
  <w:style w:type="character" w:styleId="27">
    <w:name w:val="HTML Code"/>
    <w:basedOn w:val="19"/>
    <w:autoRedefine/>
    <w:semiHidden/>
    <w:qFormat/>
    <w:uiPriority w:val="99"/>
    <w:rPr>
      <w:rFonts w:ascii="Prima Serif Std Roman" w:hAnsi="Prima Serif Std Roman" w:cs="Prima Serif Std Roman"/>
      <w:sz w:val="21"/>
      <w:szCs w:val="21"/>
    </w:rPr>
  </w:style>
  <w:style w:type="character" w:styleId="28">
    <w:name w:val="HTML Cite"/>
    <w:basedOn w:val="19"/>
    <w:autoRedefine/>
    <w:semiHidden/>
    <w:qFormat/>
    <w:uiPriority w:val="99"/>
    <w:rPr>
      <w:rFonts w:cs="Times New Roman"/>
    </w:rPr>
  </w:style>
  <w:style w:type="character" w:styleId="29">
    <w:name w:val="HTML Keyboard"/>
    <w:basedOn w:val="19"/>
    <w:autoRedefine/>
    <w:semiHidden/>
    <w:qFormat/>
    <w:uiPriority w:val="99"/>
    <w:rPr>
      <w:rFonts w:ascii="Prima Serif Std Roman" w:hAnsi="Prima Serif Std Roman" w:cs="Prima Serif Std Roman"/>
      <w:sz w:val="21"/>
      <w:szCs w:val="21"/>
    </w:rPr>
  </w:style>
  <w:style w:type="character" w:styleId="30">
    <w:name w:val="HTML Sample"/>
    <w:basedOn w:val="19"/>
    <w:semiHidden/>
    <w:qFormat/>
    <w:uiPriority w:val="99"/>
    <w:rPr>
      <w:rFonts w:ascii="Prima Serif Std Roman" w:hAnsi="Prima Serif Std Roman" w:cs="Prima Serif Std Roman"/>
      <w:sz w:val="21"/>
      <w:szCs w:val="21"/>
    </w:rPr>
  </w:style>
  <w:style w:type="character" w:customStyle="1" w:styleId="31">
    <w:name w:val="标题 1 Char"/>
    <w:basedOn w:val="19"/>
    <w:link w:val="2"/>
    <w:qFormat/>
    <w:locked/>
    <w:uiPriority w:val="99"/>
    <w:rPr>
      <w:rFonts w:ascii="宋体" w:hAnsi="宋体" w:eastAsia="方正公文小标宋" w:cs="黑体"/>
      <w:bCs/>
      <w:kern w:val="44"/>
      <w:sz w:val="44"/>
      <w:szCs w:val="44"/>
    </w:rPr>
  </w:style>
  <w:style w:type="character" w:customStyle="1" w:styleId="32">
    <w:name w:val="标题 2 Char"/>
    <w:basedOn w:val="19"/>
    <w:link w:val="3"/>
    <w:semiHidden/>
    <w:qFormat/>
    <w:locked/>
    <w:uiPriority w:val="99"/>
    <w:rPr>
      <w:rFonts w:ascii="Arial" w:hAnsi="Arial" w:eastAsia="楷体" w:cs="Times New Roman"/>
      <w:b/>
      <w:bCs/>
      <w:sz w:val="32"/>
      <w:szCs w:val="32"/>
    </w:rPr>
  </w:style>
  <w:style w:type="character" w:customStyle="1" w:styleId="33">
    <w:name w:val="标题 3 Char"/>
    <w:basedOn w:val="19"/>
    <w:link w:val="4"/>
    <w:semiHidden/>
    <w:qFormat/>
    <w:locked/>
    <w:uiPriority w:val="99"/>
    <w:rPr>
      <w:rFonts w:ascii="Times New Roman" w:hAnsi="Times New Roman" w:eastAsia="仿宋" w:cs="黑体"/>
      <w:b/>
      <w:bCs/>
      <w:sz w:val="32"/>
      <w:szCs w:val="32"/>
    </w:rPr>
  </w:style>
  <w:style w:type="paragraph" w:customStyle="1" w:styleId="34">
    <w:name w:val="普通正文"/>
    <w:basedOn w:val="1"/>
    <w:qFormat/>
    <w:uiPriority w:val="99"/>
    <w:pPr>
      <w:widowControl/>
      <w:ind w:firstLine="420"/>
    </w:pPr>
    <w:rPr>
      <w:rFonts w:ascii="宋体" w:hAnsi="宋体"/>
      <w:kern w:val="21"/>
      <w:sz w:val="22"/>
      <w:szCs w:val="20"/>
    </w:rPr>
  </w:style>
  <w:style w:type="character" w:customStyle="1" w:styleId="35">
    <w:name w:val="页脚 Char"/>
    <w:basedOn w:val="19"/>
    <w:link w:val="11"/>
    <w:semiHidden/>
    <w:qFormat/>
    <w:locked/>
    <w:uiPriority w:val="99"/>
    <w:rPr>
      <w:rFonts w:ascii="Calibri" w:hAnsi="Calibri" w:cs="黑体"/>
      <w:sz w:val="18"/>
      <w:szCs w:val="18"/>
    </w:rPr>
  </w:style>
  <w:style w:type="character" w:customStyle="1" w:styleId="36">
    <w:name w:val="页眉 Char"/>
    <w:basedOn w:val="19"/>
    <w:link w:val="12"/>
    <w:semiHidden/>
    <w:qFormat/>
    <w:locked/>
    <w:uiPriority w:val="99"/>
    <w:rPr>
      <w:rFonts w:ascii="Calibri" w:hAnsi="Calibri" w:cs="黑体"/>
      <w:sz w:val="18"/>
      <w:szCs w:val="18"/>
    </w:rPr>
  </w:style>
  <w:style w:type="paragraph" w:customStyle="1" w:styleId="37">
    <w:name w:val="批注框文本 Char Char"/>
    <w:basedOn w:val="1"/>
    <w:link w:val="43"/>
    <w:qFormat/>
    <w:uiPriority w:val="99"/>
    <w:rPr>
      <w:sz w:val="18"/>
      <w:szCs w:val="18"/>
    </w:rPr>
  </w:style>
  <w:style w:type="paragraph" w:customStyle="1" w:styleId="38">
    <w:name w:val="List Paragraph1"/>
    <w:basedOn w:val="1"/>
    <w:qFormat/>
    <w:uiPriority w:val="99"/>
    <w:pPr>
      <w:ind w:firstLine="420"/>
    </w:pPr>
  </w:style>
  <w:style w:type="paragraph" w:customStyle="1" w:styleId="39">
    <w:name w:val="普通(网站)1"/>
    <w:basedOn w:val="1"/>
    <w:qFormat/>
    <w:uiPriority w:val="99"/>
    <w:pPr>
      <w:jc w:val="left"/>
    </w:pPr>
    <w:rPr>
      <w:kern w:val="0"/>
      <w:sz w:val="24"/>
    </w:rPr>
  </w:style>
  <w:style w:type="paragraph" w:customStyle="1" w:styleId="40">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List Paragraph11"/>
    <w:basedOn w:val="1"/>
    <w:qFormat/>
    <w:uiPriority w:val="99"/>
    <w:pPr>
      <w:ind w:firstLine="420"/>
    </w:pPr>
  </w:style>
  <w:style w:type="paragraph" w:customStyle="1" w:styleId="42">
    <w:name w:val="p16"/>
    <w:basedOn w:val="1"/>
    <w:qFormat/>
    <w:uiPriority w:val="99"/>
    <w:pPr>
      <w:widowControl/>
      <w:spacing w:before="100" w:beforeAutospacing="1" w:after="100" w:afterAutospacing="1"/>
      <w:jc w:val="left"/>
    </w:pPr>
    <w:rPr>
      <w:rFonts w:ascii="宋体" w:hAnsi="宋体" w:cs="宋体"/>
      <w:kern w:val="0"/>
      <w:sz w:val="24"/>
    </w:rPr>
  </w:style>
  <w:style w:type="character" w:customStyle="1" w:styleId="43">
    <w:name w:val="批注框文本 Char Char Char Char"/>
    <w:basedOn w:val="19"/>
    <w:link w:val="37"/>
    <w:semiHidden/>
    <w:qFormat/>
    <w:locked/>
    <w:uiPriority w:val="99"/>
    <w:rPr>
      <w:rFonts w:ascii="Calibri" w:hAnsi="Calibri" w:eastAsia="宋体" w:cs="黑体"/>
      <w:kern w:val="2"/>
      <w:sz w:val="18"/>
      <w:szCs w:val="18"/>
    </w:rPr>
  </w:style>
  <w:style w:type="character" w:customStyle="1" w:styleId="44">
    <w:name w:val="HTML Definition1"/>
    <w:basedOn w:val="19"/>
    <w:qFormat/>
    <w:uiPriority w:val="99"/>
    <w:rPr>
      <w:rFonts w:cs="Times New Roman"/>
    </w:rPr>
  </w:style>
  <w:style w:type="character" w:customStyle="1" w:styleId="45">
    <w:name w:val="HTML Acronym1"/>
    <w:basedOn w:val="19"/>
    <w:qFormat/>
    <w:uiPriority w:val="99"/>
    <w:rPr>
      <w:rFonts w:cs="Times New Roman"/>
    </w:rPr>
  </w:style>
  <w:style w:type="character" w:customStyle="1" w:styleId="46">
    <w:name w:val="HTML Variable1"/>
    <w:basedOn w:val="19"/>
    <w:qFormat/>
    <w:uiPriority w:val="99"/>
    <w:rPr>
      <w:rFonts w:cs="Times New Roman"/>
    </w:rPr>
  </w:style>
  <w:style w:type="character" w:customStyle="1" w:styleId="47">
    <w:name w:val="HTML Code1"/>
    <w:basedOn w:val="19"/>
    <w:qFormat/>
    <w:uiPriority w:val="99"/>
    <w:rPr>
      <w:rFonts w:ascii="Courier New" w:hAnsi="Courier New" w:cs="Courier New"/>
      <w:sz w:val="20"/>
    </w:rPr>
  </w:style>
  <w:style w:type="character" w:customStyle="1" w:styleId="48">
    <w:name w:val="HTML Cite1"/>
    <w:basedOn w:val="19"/>
    <w:qFormat/>
    <w:uiPriority w:val="99"/>
    <w:rPr>
      <w:rFonts w:cs="Times New Roman"/>
    </w:rPr>
  </w:style>
  <w:style w:type="character" w:customStyle="1" w:styleId="49">
    <w:name w:val="HTML Keyboard1"/>
    <w:basedOn w:val="19"/>
    <w:qFormat/>
    <w:uiPriority w:val="99"/>
    <w:rPr>
      <w:rFonts w:ascii="Courier New" w:hAnsi="Courier New" w:cs="Courier New"/>
      <w:sz w:val="20"/>
    </w:rPr>
  </w:style>
  <w:style w:type="character" w:customStyle="1" w:styleId="50">
    <w:name w:val="HTML Sample1"/>
    <w:basedOn w:val="19"/>
    <w:qFormat/>
    <w:uiPriority w:val="99"/>
    <w:rPr>
      <w:rFonts w:ascii="Courier New" w:hAnsi="Courier New" w:cs="Courier New"/>
    </w:rPr>
  </w:style>
  <w:style w:type="character" w:customStyle="1" w:styleId="51">
    <w:name w:val="font11"/>
    <w:basedOn w:val="19"/>
    <w:qFormat/>
    <w:uiPriority w:val="99"/>
    <w:rPr>
      <w:rFonts w:ascii="宋体" w:hAnsi="宋体" w:eastAsia="宋体" w:cs="宋体"/>
      <w:color w:val="000000"/>
      <w:sz w:val="32"/>
      <w:szCs w:val="32"/>
      <w:u w:val="none"/>
    </w:rPr>
  </w:style>
  <w:style w:type="paragraph" w:customStyle="1" w:styleId="52">
    <w:name w:val="List Paragraph2"/>
    <w:basedOn w:val="1"/>
    <w:qFormat/>
    <w:uiPriority w:val="99"/>
    <w:pPr>
      <w:ind w:firstLine="420"/>
    </w:pPr>
  </w:style>
  <w:style w:type="character" w:customStyle="1" w:styleId="53">
    <w:name w:val="bsharetext"/>
    <w:basedOn w:val="19"/>
    <w:qFormat/>
    <w:uiPriority w:val="99"/>
    <w:rPr>
      <w:rFonts w:cs="Times New Roman"/>
    </w:rPr>
  </w:style>
  <w:style w:type="character" w:customStyle="1" w:styleId="54">
    <w:name w:val="fontborder"/>
    <w:basedOn w:val="19"/>
    <w:qFormat/>
    <w:uiPriority w:val="99"/>
    <w:rPr>
      <w:rFonts w:cs="Times New Roman"/>
      <w:bdr w:val="single" w:color="000000" w:sz="4" w:space="0"/>
    </w:rPr>
  </w:style>
  <w:style w:type="character" w:customStyle="1" w:styleId="55">
    <w:name w:val="fontstrikethrough"/>
    <w:basedOn w:val="19"/>
    <w:qFormat/>
    <w:uiPriority w:val="99"/>
    <w:rPr>
      <w:rFonts w:cs="Times New Roman"/>
      <w:strike/>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8">
    <w:name w:val="普通(网站)2"/>
    <w:basedOn w:val="1"/>
    <w:autoRedefine/>
    <w:qFormat/>
    <w:uiPriority w:val="0"/>
    <w:pPr>
      <w:jc w:val="left"/>
    </w:pPr>
    <w:rPr>
      <w:rFonts w:ascii="Calibri" w:hAnsi="Calibri"/>
      <w:kern w:val="0"/>
      <w:sz w:val="24"/>
    </w:rPr>
  </w:style>
  <w:style w:type="character" w:customStyle="1" w:styleId="59">
    <w:name w:val="font31"/>
    <w:basedOn w:val="19"/>
    <w:qFormat/>
    <w:uiPriority w:val="0"/>
    <w:rPr>
      <w:rFonts w:ascii="宋体" w:hAnsi="宋体" w:eastAsia="宋体" w:cs="宋体"/>
      <w:color w:val="000000"/>
      <w:sz w:val="22"/>
      <w:szCs w:val="22"/>
      <w:u w:val="none"/>
    </w:rPr>
  </w:style>
  <w:style w:type="character" w:customStyle="1" w:styleId="60">
    <w:name w:val="font41"/>
    <w:basedOn w:val="19"/>
    <w:qFormat/>
    <w:uiPriority w:val="0"/>
    <w:rPr>
      <w:rFonts w:hint="default" w:ascii="Times New Roman" w:hAnsi="Times New Roman" w:cs="Times New Roman"/>
      <w:color w:val="000000"/>
      <w:sz w:val="22"/>
      <w:szCs w:val="22"/>
      <w:u w:val="none"/>
    </w:rPr>
  </w:style>
  <w:style w:type="character" w:customStyle="1" w:styleId="61">
    <w:name w:val="批注框文本 Char"/>
    <w:basedOn w:val="19"/>
    <w:link w:val="10"/>
    <w:semiHidden/>
    <w:qFormat/>
    <w:uiPriority w:val="99"/>
    <w:rPr>
      <w:rFonts w:eastAsia="仿宋" w:cs="黑体"/>
      <w:kern w:val="2"/>
      <w:sz w:val="18"/>
      <w:szCs w:val="18"/>
    </w:rPr>
  </w:style>
  <w:style w:type="paragraph" w:customStyle="1" w:styleId="62">
    <w:name w:val="Normal (Web)"/>
    <w:basedOn w:val="1"/>
    <w:autoRedefine/>
    <w:qFormat/>
    <w:uiPriority w:val="0"/>
    <w:pPr>
      <w:jc w:val="left"/>
    </w:pPr>
    <w:rPr>
      <w:rFonts w:ascii="Calibri" w:hAnsi="Calibri" w:cs="黑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image" Target="../NUL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51</Pages>
  <Words>6187</Words>
  <Characters>6640</Characters>
  <Lines>170</Lines>
  <Paragraphs>47</Paragraphs>
  <TotalTime>23</TotalTime>
  <ScaleCrop>false</ScaleCrop>
  <LinksUpToDate>false</LinksUpToDate>
  <CharactersWithSpaces>6708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2018-12-18T01:48:00Z</dcterms:created>
  <dc:creator>Administrator</dc:creator>
  <cp:lastModifiedBy>LTKJ7123</cp:lastModifiedBy>
  <cp:lastPrinted>2018-07-06T08:35:00Z</cp:lastPrinted>
  <dcterms:modified xsi:type="dcterms:W3CDTF">2025-04-09T08:51:34Z</dcterms:modified>
  <dc:title>卢文轩-安徽所</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93CC856659F54EAC88F7154FE487EC2C_13</vt:lpwstr>
  </property>
  <property fmtid="{D5CDD505-2E9C-101B-9397-08002B2CF9AE}" pid="4" name="KSOTemplateDocerSaveRecord">
    <vt:lpwstr>eyJoZGlkIjoiNWVjMjAxMWIxOWIyYzMxNDdjZDc3NWY2YzcwMjQ5YWYifQ==</vt:lpwstr>
  </property>
</Properties>
</file>