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  <w:lang w:val="en-US" w:eastAsia="zh-CN"/>
        </w:rPr>
      </w:pP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2022年</w:t>
      </w:r>
      <w:r>
        <w:rPr>
          <w:rFonts w:ascii="黑体" w:eastAsia="黑体" w:hAnsi="黑体" w:cs="黑体" w:hint="eastAsia"/>
          <w:sz w:val="36"/>
          <w:szCs w:val="36"/>
        </w:rPr>
        <w:t>寿县公安局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看守所、拘留所在押人员给养费</w:t>
      </w:r>
    </w:p>
    <w:p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为强化财政支出绩效管理，促进财政资金使用的科学化、合理化和精细化，根据《寿县财政局关于印发&lt;寿县县级项目支出绩效单位自评操作规程&gt;的通知》（寿财绩〔2021〕41号）文件精神，现对2022年寿县公安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局看守所、拘留所在押人员给养费</w:t>
      </w:r>
      <w:r>
        <w:rPr>
          <w:rFonts w:ascii="仿宋" w:eastAsia="仿宋" w:hAnsi="仿宋" w:cs="仿宋" w:hint="eastAsia"/>
          <w:sz w:val="32"/>
          <w:szCs w:val="32"/>
        </w:rPr>
        <w:t>项目进行绩效自评，现将有关情况报告如下：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（一）项目概况</w:t>
      </w:r>
    </w:p>
    <w:p>
      <w:pPr>
        <w:spacing w:line="600" w:lineRule="exact"/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寿县看守所是羁押依法被逮捕、刑事拘留的人犯的机关。看守所的任务是依据国家法律对北羁押的人犯实行武装警戒看守，保障安全；对人犯进行教育；管理人犯的生活和卫生；保障侦查、起诉和审判工作的顺利进行。寿县拘留所是公安机关依法将特定的人短时间拘禁留置的场所。寿县拘留所的任务是依法对被拘留人员执行拘留处罚；保障行政诉讼、民事诉讼活动的顺利进行；对被拘留人员进行管理和教育；保障被拘留人员的合法权益。寿县看守所现民警19人，辅警10人，工勤8人。寿县拘留所现民警9人，辅警10人，工勤2人。看守所、拘留所编制在寿县公安局下，无单独编制。</w:t>
      </w:r>
    </w:p>
    <w:p>
      <w:pPr>
        <w:spacing w:line="600" w:lineRule="exact"/>
        <w:ind w:firstLine="640" w:firstLineChars="200"/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根据中华人民共和国财政部公安部关于印发《看守所经费开支范围和管理办法的规定》的通知（公通字〔1996〕11号）、财政部公安部关于《进一步加强看守所经费保障工作》的通知（财行〔2009〕132号）、安徽省财政厅安徽省公安厅《关于调整看守所在押人员伙食金额及实物量标准的通知》（财政法〔2017〕83号）、安徽省公安厅关于印发《关于贯彻落实〈全省公安监管场所监（拘）室内务秩序“六统一”工作规范〉的实施方案》的通知（皖公监管〔2020〕96号）精神，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看守所、拘留所在押人员给养费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纳入公安局部门预算进行落实。《寿县财政局关于批复2022年部门预算的通知》（寿财预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〔2022〕5号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）文件下达寿县公安局2022年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看守所、拘留所在押人员给养费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经费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highlight w:val="none"/>
          <w:lang w:val="en-US" w:eastAsia="zh-CN"/>
        </w:rPr>
        <w:t>320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万元。2022年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看守所、拘留所在押人员给养费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主要用于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看守所全年监管业务费（公示栏制作、文印费、档案资料费、押解费、工勤人员劳务费）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看守所在押人员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给养费（伙食费、衣被费、公杂费、水电费）、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看守所在押人员医疗卫生费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拘留所其他支出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等各方面。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eastAsia="仿宋" w:hAnsi="仿宋" w:cs="仿宋" w:hint="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2022年度看守所、拘留所工作计划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党建引领，锻造忠诚过硬的监管队伍。按照习近平总书记提出的“四句话、十六字”和“五个过硬”的标准，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两所</w:t>
      </w:r>
      <w:r>
        <w:rPr>
          <w:rFonts w:ascii="仿宋" w:eastAsia="仿宋" w:hAnsi="仿宋" w:cs="仿宋" w:hint="eastAsia"/>
          <w:sz w:val="32"/>
          <w:szCs w:val="32"/>
        </w:rPr>
        <w:t>扎实推进政治建警、从严治警、从优待警、作风立警，不断提升队伍的凝聚力、执行力、战斗力。严密防控，筑牢疫情坚固防线。全体民警、辅警从讲政治、顾大局出发，积极响应并全身心投入封闭式管理勤务模式，严格执行监所规章制度。制度为要，守牢监所安全底线。真情感化，消除监所安全隐患。坚持人性化管理，陆陆续续用爱感化了许多被监管人员，使其重获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二、看守所、拘留所在押人员给养费预算执行和管理情况</w:t>
      </w:r>
    </w:p>
    <w:p>
      <w:pPr>
        <w:spacing w:line="600" w:lineRule="exact"/>
        <w:ind w:firstLine="640" w:firstLineChars="200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看守所、拘留所在押人员给养费年初预算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highlight w:val="none"/>
          <w:lang w:val="en-US" w:eastAsia="zh-CN"/>
        </w:rPr>
        <w:t>为320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截止到2022年12月31日，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看守所、拘留所在押人员给养费预算已拨付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highlight w:val="none"/>
          <w:lang w:val="en-US" w:eastAsia="zh-CN"/>
        </w:rPr>
        <w:t>320万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元，主要用于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看守所全年监管业务费（公示栏制作、文印费、档案资料费、押解费、工勤人员劳务费）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看守所在押人员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给养费（伙食费、衣被费、公杂费、水电费）、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看守所在押人员医疗卫生费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拘留所其他支出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用途。项目所有开支按照国家财经法规和县局相关财务制度执行，资金的使用全部实行专款专用，严格把关，整个项目的运行完全按照县局管理制度、县委、县政府及财政的有关规定执行，不存在违规违法的问题。各个项目资金使用与具体项目实施内容相符，绩效总目标已按照计划完成，未逾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eastAsia="zh-CN"/>
        </w:rPr>
        <w:t>三、</w:t>
      </w: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看守所、拘留所在押人员给养费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支出绩效目标实现情况分析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2022年度专项资金</w:t>
      </w:r>
      <w:r>
        <w:rPr>
          <w:rFonts w:ascii="仿宋" w:eastAsia="仿宋" w:hAnsi="仿宋" w:cs="仿宋" w:hint="eastAsia"/>
          <w:sz w:val="32"/>
          <w:szCs w:val="32"/>
          <w:highlight w:val="none"/>
          <w:lang w:val="en-US" w:eastAsia="zh-CN"/>
        </w:rPr>
        <w:t>320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万元已全部拨付到位，并全部按期支出使用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。监区管理工作完成了年度绩效目标，所有项目的日常管理均按照单位相关管理制度执行，建立了工作有计划、实施有方案的管理机制，工作取得较好成效，效能得到提高，获得社会公众好评。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为确保专款专用，发挥应有作用，我局严格按照专项资金使用管理规定，严防专项资金挪用。专项资金主要用于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监所业务、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在押人员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给养费、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在押人员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医疗卫生费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等方面支出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看守所、拘留所在押人员给养费项目绩效自评结果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评价得分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通过对2022年项目总体情况分析和自查,发现存在项目支出进度不稳,表现为可能集中在某几个月。针对问题,下一步,看守所、拘留所将进一步健全和完善内部控制制度,用创新性管理手段,用新思路、新方法,改进完善财务管理方法。</w:t>
      </w:r>
    </w:p>
    <w:tbl>
      <w:tblPr>
        <w:tblStyle w:val="TableGrid"/>
        <w:tblW w:w="930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575"/>
        <w:gridCol w:w="1800"/>
        <w:gridCol w:w="1816"/>
        <w:gridCol w:w="1890"/>
      </w:tblGrid>
      <w:tr>
        <w:tblPrEx>
          <w:tblW w:w="9301" w:type="dxa"/>
          <w:tblInd w:w="-216" w:type="dxa"/>
        </w:tblPrEx>
        <w:trPr>
          <w:trHeight w:val="1379"/>
        </w:trPr>
        <w:tc>
          <w:tcPr>
            <w:tcW w:w="2220" w:type="dxa"/>
            <w:vAlign w:val="bottom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项目申报资金情况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项目及资金管理</w:t>
            </w:r>
          </w:p>
        </w:tc>
        <w:tc>
          <w:tcPr>
            <w:tcW w:w="18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项目完成及质量指标</w:t>
            </w: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项目效益及效果指标</w:t>
            </w:r>
          </w:p>
        </w:tc>
      </w:tr>
      <w:tr>
        <w:tblPrEx>
          <w:tblW w:w="9301" w:type="dxa"/>
          <w:tblInd w:w="-216" w:type="dxa"/>
        </w:tblPrEx>
        <w:trPr>
          <w:trHeight w:val="924"/>
        </w:trPr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适用指标分值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W w:w="9301" w:type="dxa"/>
          <w:tblInd w:w="-216" w:type="dxa"/>
        </w:tblPrEx>
        <w:trPr>
          <w:trHeight w:val="844"/>
        </w:trPr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W w:w="9301" w:type="dxa"/>
          <w:tblInd w:w="-216" w:type="dxa"/>
        </w:tblPrEx>
        <w:trPr>
          <w:trHeight w:val="879"/>
        </w:trPr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指标得分率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93%</w:t>
            </w:r>
          </w:p>
        </w:tc>
        <w:tc>
          <w:tcPr>
            <w:tcW w:w="18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leftChars="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指标得分分析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1.项目申报及资金落实情况（满分25分自评得分25分）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看守所、拘留所在押人员给养费列入部门预算年初申报时是依据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中华人民共和国财政部公安部关于印发《看守所经费开支范围和管理办法的规定》的通知（公通字〔1996〕11号）、财政部公安部关于《进一步加强看守所经费保障工作》的通知（财行〔2009〕132号）、安徽省财政厅安徽省公安厅《关于调整看守所在押人员伙食金额及实物量标准的通知》（财政法〔2017〕83号）、安徽省公安厅关于印发《关于贯彻落实〈全省公安监管场所监（拘）室内务秩序“六统一”工作规范〉的实施方案》的通知（皖公监管〔2020〕96号）精神要求。申报材料和条件符合相关要求，且有绩效事前评价，经单位绩效考核小组严格遴选评审，项目绩效目标明确且清晰、细化、可衡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依据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《寿县财政局关于批复2022年部门预算的通知》（寿财预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〔2022〕5号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），2022年县财政局下达部门预算中看守所、拘留所在押人员给养费预算批复数为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highlight w:val="none"/>
          <w:lang w:val="en-US" w:eastAsia="zh-CN"/>
        </w:rPr>
        <w:t>320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万元，截止2022年12月31日，该项目的资金到位率为100％，资金及时到位，未影响项目进度。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2.项目及资金管理情况（满分15分自评得分14分）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我局对专项资金使用有专门的管理制度,专款专用,严禁挪用和超范围开支,同时专项经费开支也严格遵照《寿县公安局财务管理办法》(试行)实施。2022年寿县公安局看守所、拘留所在押人员给养费主要用于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看守所全年监管业务费（公示栏制作、文印费、档案资料费、押解费、工勤人员劳务费）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看守所在押人员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给养费（伙食费、衣被费、公杂费、水电费）、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看守所在押人员医疗卫生费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拘留所其他支出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等各方面，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对于专用设备采购,严格按照政府采购制度执行公开招标或是从徽采云平台上采购。截止2022年12月31日,该项目经费执行率为100％,无超标准和无超预算开支情况。但自查发现存在项目资金使用范围略欠规范情况。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3.项目完成及质量产出指标（满分30分自评得分30分）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(1)年度目标完成率（满分10分,评价得分10分）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2022年初既定工作指标值全部完成,较好完成全年工作任务。依据评分标准得满分。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(2)质量达标率（满分10分,评价得分10分）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完工项目已全部达标,质量达标率=（质量达标产出数/实际产出数）×100%=100%。依据评分标准得满分。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(3)项目完成及时率（满分10分,评价得分10分）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年度目标已完全按时完成,项目完成及时率=按时完成年度目标数/全部年度目标数×100％=100％。依据评分标准得满分。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4.项目效益效果指标（满分30分,自评得分30分）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(1)数量指标（满分6分,自评得分6分）</w:t>
      </w:r>
    </w:p>
    <w:p>
      <w:pPr>
        <w:pStyle w:val="NoSpacing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寿县看守所2022年度月平均羁押量240人，新入所491人。出所506人，其中刑满释放137人，投送监狱176人（刑期10年以上13人），取保候审137人，检察院不批捕36人，缓刑释放8人，监室居住6人，临时寄押带走2人，其他4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>
      <w:pPr>
        <w:pStyle w:val="NoSpacing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寿县拘留所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2022年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共收拘195人（司法拘留</w:t>
      </w:r>
      <w:r>
        <w:rPr>
          <w:rFonts w:ascii="仿宋" w:eastAsia="仿宋" w:hAnsi="仿宋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，强戒</w:t>
      </w:r>
      <w:r>
        <w:rPr>
          <w:rFonts w:ascii="仿宋" w:eastAsia="仿宋" w:hAnsi="仿宋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，转刑拘</w:t>
      </w:r>
      <w:r>
        <w:rPr>
          <w:rFonts w:ascii="仿宋" w:eastAsia="仿宋" w:hAnsi="仿宋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）。圆满完成涉本市</w:t>
      </w:r>
      <w:r>
        <w:rPr>
          <w:rFonts w:ascii="仿宋" w:eastAsia="仿宋" w:hAnsi="仿宋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个分县局</w:t>
      </w:r>
      <w:r>
        <w:rPr>
          <w:rFonts w:ascii="仿宋" w:eastAsia="仿宋" w:hAnsi="仿宋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个办案单位</w:t>
      </w:r>
      <w:r>
        <w:rPr>
          <w:rFonts w:ascii="仿宋" w:eastAsia="仿宋" w:hAnsi="仿宋"/>
          <w:sz w:val="32"/>
          <w:szCs w:val="32"/>
          <w:shd w:val="clear" w:color="auto" w:fill="FFFFFF"/>
        </w:rPr>
        <w:t>16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名特殊犯罪嫌疑人的隔离观察和转押任务</w:t>
      </w:r>
      <w:r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" w:eastAsia="仿宋" w:hAnsi="仿宋" w:hint="eastAsia"/>
          <w:b w:val="0"/>
          <w:bCs/>
          <w:color w:val="333333"/>
          <w:sz w:val="32"/>
          <w:szCs w:val="32"/>
          <w:shd w:val="clear" w:color="auto" w:fill="FFFFFF"/>
        </w:rPr>
        <w:t>监控攻坚联网工作基本完成</w:t>
      </w:r>
      <w:r>
        <w:rPr>
          <w:rFonts w:ascii="仿宋" w:eastAsia="仿宋" w:hAnsi="仿宋" w:hint="eastAsia"/>
          <w:b w:val="0"/>
          <w:bCs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在省、市监管部门的直接调度和智慧监管驻地技术人员的对接努力下，对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16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个重点部位场所进行了增补调整和整改，确保全部点位时刻在线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(2)质量指标（满分6分,自评得分6分）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>切实做好疫情防控情况下的值班工作</w:t>
      </w:r>
      <w:r>
        <w:rPr>
          <w:rFonts w:ascii="仿宋" w:eastAsia="仿宋" w:hAnsi="仿宋" w:hint="eastAsia"/>
          <w:b w:val="0"/>
          <w:bCs/>
          <w:sz w:val="32"/>
          <w:szCs w:val="32"/>
          <w:lang w:eastAsia="zh-CN"/>
        </w:rPr>
        <w:t>，</w:t>
      </w:r>
      <w:r>
        <w:rPr>
          <w:rFonts w:ascii="仿宋" w:eastAsia="仿宋" w:hAnsi="仿宋" w:hint="eastAsia"/>
          <w:sz w:val="32"/>
          <w:szCs w:val="32"/>
        </w:rPr>
        <w:t>坚守“四条底线”，圆满实现“三零”目标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hint="eastAsia"/>
          <w:b w:val="0"/>
          <w:bCs/>
          <w:kern w:val="0"/>
          <w:sz w:val="32"/>
          <w:szCs w:val="32"/>
        </w:rPr>
        <w:t>从严从实做好巡控室值守工作</w:t>
      </w:r>
      <w:r>
        <w:rPr>
          <w:rFonts w:ascii="仿宋" w:eastAsia="仿宋" w:hAnsi="仿宋" w:hint="eastAsia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以绩效考核暨“擂台赛”为抓手，突出做好巡控室值守工作。</w:t>
      </w:r>
      <w:r>
        <w:rPr>
          <w:rFonts w:ascii="仿宋" w:eastAsia="仿宋" w:hAnsi="仿宋" w:hint="eastAsia"/>
          <w:b w:val="0"/>
          <w:bCs/>
          <w:color w:val="000000"/>
          <w:sz w:val="32"/>
          <w:szCs w:val="32"/>
          <w:shd w:val="clear" w:color="auto" w:fill="FFFFFF"/>
        </w:rPr>
        <w:t>持续推进监管队伍纪律作风建设</w:t>
      </w:r>
      <w:r>
        <w:rPr>
          <w:rFonts w:ascii="仿宋" w:eastAsia="仿宋" w:hAnsi="仿宋" w:hint="eastAsia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eastAsia="仿宋" w:hAnsi="仿宋" w:hint="eastAsia"/>
          <w:sz w:val="32"/>
          <w:szCs w:val="32"/>
        </w:rPr>
        <w:t>全体民警辅警紧紧围绕监所主责主业，不断推进各项工作。同时，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加强民警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辅警的思想政治工作。坚持谈心谈话和警示教育相结合，严肃工作纪律，认真落实“六项规定”，坚决杜绝违规违纪违法事件，确保监所队伍安全稳定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(3)社会效益指标（满分6分,自评得分6分）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寿县公安局通过对2022年看守所、拘留所在押人员给养费的实施，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为公众提供了安全感，促进了社会公平正义与和谐进步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对维护社会和谐稳定发挥着举足轻重的作用。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(4)可持续影响指标（满分6分,自评得分6分）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在“构建社会主义和谐社会”的方针下，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监所</w:t>
      </w:r>
      <w:r>
        <w:rPr>
          <w:rFonts w:ascii="仿宋" w:eastAsia="仿宋" w:hAnsi="仿宋" w:cs="仿宋" w:hint="eastAsia"/>
          <w:sz w:val="32"/>
          <w:szCs w:val="32"/>
        </w:rPr>
        <w:t>积极完善各项规章制度，提高安全有效监管水平，把深挖犯罪作为维护社会稳定和和谐的着力点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为追查新的犯罪线索提供了可能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为公众提供了安全感，促进了社会公平正义与和谐进步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(5)群众满意指标（满分6分,自评得分6分）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2022年年底,寿县政法委委托第三方采取摸拟民调电话调查方式,对2022年群众安全感和满意度进行调查,从本次测评情况看,全县群众安全感指数为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highlight w:val="none"/>
          <w:lang w:val="en-US" w:eastAsia="zh-CN"/>
        </w:rPr>
        <w:t>96.65%,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对公安工作的满意度为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highlight w:val="none"/>
          <w:lang w:val="en-US" w:eastAsia="zh-CN"/>
        </w:rPr>
        <w:t>98.67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%。社会群众对社会治安表示满意，满意度均超过95%，该专项资金在提高寿县社会治安环境方面起到了明显的促进作用。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项目绩效评价中存在问题及下一步措施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存在的问题分析</w:t>
      </w:r>
    </w:p>
    <w:p>
      <w:pPr>
        <w:pStyle w:val="NoSpacing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监所管理不够细致、不够规范。监所工作人员责任心不够强，工作能力尚有欠缺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警力不足。看守所全年月均押量为250人左右，我所现有民警19人，且年龄偏大，按照公安部12％标准，不能满足公安部关于勤务模式的要求。</w:t>
      </w:r>
      <w:r>
        <w:rPr>
          <w:rFonts w:ascii="仿宋" w:eastAsia="仿宋" w:hAnsi="仿宋" w:cs="宋体" w:hint="eastAsia"/>
          <w:kern w:val="0"/>
          <w:sz w:val="32"/>
          <w:szCs w:val="32"/>
        </w:rPr>
        <w:t>由于疫情影响，拘留所与看守所同部署同要求，同时执行高等级封闭管理和援看工作。警力不足、年龄老化、轮岗无门等现实问题一直没有解决。民警年龄偏高，辅警思想觉悟尚有提升空间，巡控岗虽然落实</w:t>
      </w:r>
      <w:r>
        <w:rPr>
          <w:rFonts w:ascii="仿宋" w:eastAsia="仿宋" w:hAnsi="仿宋" w:cs="宋体"/>
          <w:kern w:val="0"/>
          <w:sz w:val="32"/>
          <w:szCs w:val="32"/>
        </w:rPr>
        <w:t>24</w:t>
      </w:r>
      <w:r>
        <w:rPr>
          <w:rFonts w:ascii="仿宋" w:eastAsia="仿宋" w:hAnsi="仿宋" w:cs="宋体" w:hint="eastAsia"/>
          <w:kern w:val="0"/>
          <w:sz w:val="32"/>
          <w:szCs w:val="32"/>
        </w:rPr>
        <w:t>小时双人值班制度，但一人值班或值班睡岗现象不无存在。</w:t>
      </w:r>
    </w:p>
    <w:p>
      <w:pPr>
        <w:pStyle w:val="NoSpacing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3.</w:t>
      </w:r>
      <w:r>
        <w:rPr>
          <w:rFonts w:ascii="仿宋" w:eastAsia="仿宋" w:hAnsi="仿宋" w:cs="宋体" w:hint="eastAsia"/>
          <w:b w:val="0"/>
          <w:bCs/>
          <w:kern w:val="0"/>
          <w:sz w:val="32"/>
          <w:szCs w:val="32"/>
        </w:rPr>
        <w:t>等级评定暨达标升级工作停滞。</w:t>
      </w:r>
      <w:r>
        <w:rPr>
          <w:rFonts w:ascii="仿宋" w:eastAsia="仿宋" w:hAnsi="仿宋" w:cs="宋体" w:hint="eastAsia"/>
          <w:kern w:val="0"/>
          <w:sz w:val="32"/>
          <w:szCs w:val="32"/>
        </w:rPr>
        <w:t>今年是全市监管部门场所的翻身年、等级评定工作的提升年。但是，从寿县拘留所的实际现状看：</w:t>
      </w:r>
      <w:r>
        <w:rPr>
          <w:rFonts w:ascii="仿宋" w:eastAsia="仿宋" w:hAnsi="仿宋" w:cs="宋体" w:hint="eastAsia"/>
          <w:b w:val="0"/>
          <w:bCs/>
          <w:kern w:val="0"/>
          <w:sz w:val="32"/>
          <w:szCs w:val="32"/>
        </w:rPr>
        <w:t>一是现任班子平均年龄</w:t>
      </w:r>
      <w:r>
        <w:rPr>
          <w:rFonts w:ascii="仿宋" w:eastAsia="仿宋" w:hAnsi="仿宋" w:cs="宋体"/>
          <w:b w:val="0"/>
          <w:bCs/>
          <w:kern w:val="0"/>
          <w:sz w:val="32"/>
          <w:szCs w:val="32"/>
        </w:rPr>
        <w:t>51.5</w:t>
      </w:r>
      <w:r>
        <w:rPr>
          <w:rFonts w:ascii="仿宋" w:eastAsia="仿宋" w:hAnsi="仿宋" w:cs="宋体" w:hint="eastAsia"/>
          <w:b w:val="0"/>
          <w:bCs/>
          <w:kern w:val="0"/>
          <w:sz w:val="32"/>
          <w:szCs w:val="32"/>
        </w:rPr>
        <w:t>周岁（远远大于</w:t>
      </w:r>
      <w:r>
        <w:rPr>
          <w:rFonts w:ascii="仿宋" w:eastAsia="仿宋" w:hAnsi="仿宋" w:cs="宋体"/>
          <w:b w:val="0"/>
          <w:bCs/>
          <w:kern w:val="0"/>
          <w:sz w:val="32"/>
          <w:szCs w:val="32"/>
        </w:rPr>
        <w:t>45</w:t>
      </w:r>
      <w:r>
        <w:rPr>
          <w:rFonts w:ascii="仿宋" w:eastAsia="仿宋" w:hAnsi="仿宋" w:cs="宋体" w:hint="eastAsia"/>
          <w:b w:val="0"/>
          <w:bCs/>
          <w:kern w:val="0"/>
          <w:sz w:val="32"/>
          <w:szCs w:val="32"/>
        </w:rPr>
        <w:t>周岁）；二是</w:t>
      </w:r>
      <w:r>
        <w:rPr>
          <w:rFonts w:ascii="仿宋" w:eastAsia="仿宋" w:hAnsi="仿宋" w:cs="宋体" w:hint="eastAsia"/>
          <w:kern w:val="0"/>
          <w:sz w:val="32"/>
          <w:szCs w:val="32"/>
        </w:rPr>
        <w:t>医疗资源与看守所依然共享，对常态下疫情防控工作造成冲击。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eastAsia="zh-CN"/>
        </w:rPr>
        <w:t>（二）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下一步措施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强化政治建警，进一步加强队伍管理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做好党建工作，把学习好、宣传好、贯彻好党的二十大精神作为全年首要的政治任务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确保监管队伍安全稳定，推动监所队伍高质量发展。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40" w:lineRule="auto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增强忧患意识，进一步加强监所安全管理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坚持“防为主、防为上、查隐患、除隐患、不出事、再出彩”的工作理念，不断强化“时时放心不下”的责任感和“眼睛瞪得大大”的敏锐性，实干实效，稳中求进，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推动监所正规化、制度化建设。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40" w:lineRule="auto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统一思想认识，继续严密防疫不放松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严格按照《全省公安监所疫情防控和安全管理工作指引（第五版）》持续强化监所疫情防控和安全管理工作。把思想认识统一到党中央、国务院和公安部党委关于疫情防控的最新决策部署上来，坚持监所防疫标准高于社会面总要求不变，做到严密防范和优化调整并重，努力做好防输入、防扩散、防重病、防死亡，尽最大努力防止、减少或者延迟被监管人员感染。结合当前疫情形势，严密各项防疫措施，及时消除隐患，规范执法行为，强化医疗管控，加强督导检查，筑牢监所安全防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40" w:lineRule="auto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践行为民宗旨，进一步保障各项刑事诉讼工作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要聚焦公平正义，深入严打整治违法犯罪，严格公正文明规范执法；聚焦群众急难愁盼，不断优化为民为企服务措施；聚焦社会和谐有序，畅通和规范群众诉求表达、利益协调和权益保障通道，全力保障律师会见等各项刑事诉讼工作。特别是要固化工作机制，加大协助破案工作力度，加强协作配合，扩大深挖战果，要在确保防疫安全、监所安全的前提下，统筹抓好收押入所、会见提讯、矛盾化解等工作，全力服务一线打击犯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40" w:lineRule="auto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持续深化实战应用，进步加强智慧监管建设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要以“实用、好用、管用、爱用”为标准加快推进智慧监管实战化应用，以实战化的深度应用提升监管民警信息化应用水平，提升监管民警运用科技手段破解监管工作难题的能力，充分发挥好智慧监管工程作用。继续申报智慧监管工程二期建设，以智慧工程为支撑，推进监所科技化、智能化水平建设，推动监所安全管理。</w:t>
      </w:r>
    </w:p>
    <w:p>
      <w:pPr>
        <w:spacing w:line="600" w:lineRule="exact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加强严管厚爱，进一步激发队伍工作活力。</w:t>
      </w:r>
      <w:r>
        <w:rPr>
          <w:rFonts w:ascii="仿宋" w:eastAsia="仿宋" w:hAnsi="仿宋" w:cs="仿宋" w:hint="eastAsia"/>
          <w:sz w:val="32"/>
          <w:szCs w:val="32"/>
        </w:rPr>
        <w:t>监管民辅警工作性质特殊，尤其是疫情期间，全封闭容易产生思想压力，要做好思想工作，把从严要求贯穿工作始终，进一步落实暖警措施，特别要做好民辅警轮休工作，充分激发民警、辅警的工作动力，变“要我干”为“我要干”。</w:t>
      </w:r>
    </w:p>
    <w:sectPr>
      <w:pgSz w:w="11906" w:h="16838"/>
      <w:pgMar w:top="1440" w:right="1706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58231FD"/>
    <w:multiLevelType w:val="singleLevel"/>
    <w:tmpl w:val="F58231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865039"/>
    <w:multiLevelType w:val="singleLevel"/>
    <w:tmpl w:val="2886503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E66872"/>
    <w:multiLevelType w:val="singleLevel"/>
    <w:tmpl w:val="38E668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8DE2FB"/>
    <w:multiLevelType w:val="singleLevel"/>
    <w:tmpl w:val="518DE2F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E5E64B3"/>
    <w:multiLevelType w:val="singleLevel"/>
    <w:tmpl w:val="6E5E64B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4F"/>
    <w:rsid w:val="0005075C"/>
    <w:rsid w:val="000E2F9D"/>
    <w:rsid w:val="00143973"/>
    <w:rsid w:val="0025300C"/>
    <w:rsid w:val="002606CA"/>
    <w:rsid w:val="002F0AE2"/>
    <w:rsid w:val="003922BE"/>
    <w:rsid w:val="005801B4"/>
    <w:rsid w:val="00633552"/>
    <w:rsid w:val="006D27FF"/>
    <w:rsid w:val="0081781B"/>
    <w:rsid w:val="0082504F"/>
    <w:rsid w:val="008909DB"/>
    <w:rsid w:val="009466EE"/>
    <w:rsid w:val="00C36AEE"/>
    <w:rsid w:val="00CB51FE"/>
    <w:rsid w:val="00D77810"/>
    <w:rsid w:val="00F26490"/>
    <w:rsid w:val="00FE4037"/>
    <w:rsid w:val="012D0479"/>
    <w:rsid w:val="02005B8D"/>
    <w:rsid w:val="0460711B"/>
    <w:rsid w:val="05551D4C"/>
    <w:rsid w:val="05D35C95"/>
    <w:rsid w:val="05DC4DA9"/>
    <w:rsid w:val="05F477B7"/>
    <w:rsid w:val="07E367B5"/>
    <w:rsid w:val="080737D2"/>
    <w:rsid w:val="084762C4"/>
    <w:rsid w:val="09B04437"/>
    <w:rsid w:val="0A540824"/>
    <w:rsid w:val="0A6C2BAE"/>
    <w:rsid w:val="0A717628"/>
    <w:rsid w:val="0AAE6186"/>
    <w:rsid w:val="0ACF434F"/>
    <w:rsid w:val="0AFA33CD"/>
    <w:rsid w:val="0C2552D2"/>
    <w:rsid w:val="0C2D757F"/>
    <w:rsid w:val="0C9F66CF"/>
    <w:rsid w:val="0D4903E8"/>
    <w:rsid w:val="0DB25F3C"/>
    <w:rsid w:val="0DB53CD0"/>
    <w:rsid w:val="0DCF4D92"/>
    <w:rsid w:val="0FB3423F"/>
    <w:rsid w:val="101813A4"/>
    <w:rsid w:val="10956862"/>
    <w:rsid w:val="10C009C2"/>
    <w:rsid w:val="110B6933"/>
    <w:rsid w:val="111B6540"/>
    <w:rsid w:val="1124113D"/>
    <w:rsid w:val="159E329B"/>
    <w:rsid w:val="15A468C3"/>
    <w:rsid w:val="16117F11"/>
    <w:rsid w:val="165027E8"/>
    <w:rsid w:val="16695657"/>
    <w:rsid w:val="17A34B99"/>
    <w:rsid w:val="17C36FE9"/>
    <w:rsid w:val="17F6539C"/>
    <w:rsid w:val="189D1475"/>
    <w:rsid w:val="18F338FE"/>
    <w:rsid w:val="1B911AA0"/>
    <w:rsid w:val="1BA17367"/>
    <w:rsid w:val="1CDA2E0B"/>
    <w:rsid w:val="1D9C4564"/>
    <w:rsid w:val="1E5D1F46"/>
    <w:rsid w:val="1EAC07D7"/>
    <w:rsid w:val="22794E74"/>
    <w:rsid w:val="236478D2"/>
    <w:rsid w:val="236E69A3"/>
    <w:rsid w:val="23FA5FEA"/>
    <w:rsid w:val="24150BCD"/>
    <w:rsid w:val="241C4DC8"/>
    <w:rsid w:val="244122E3"/>
    <w:rsid w:val="25090731"/>
    <w:rsid w:val="2593624D"/>
    <w:rsid w:val="25950217"/>
    <w:rsid w:val="26E56F7C"/>
    <w:rsid w:val="2769195B"/>
    <w:rsid w:val="27AA5AD0"/>
    <w:rsid w:val="28AC5FA3"/>
    <w:rsid w:val="293910C7"/>
    <w:rsid w:val="297208B4"/>
    <w:rsid w:val="2A457C31"/>
    <w:rsid w:val="2AA607D0"/>
    <w:rsid w:val="2B0A5203"/>
    <w:rsid w:val="2C536736"/>
    <w:rsid w:val="2CF94F11"/>
    <w:rsid w:val="2D382F2D"/>
    <w:rsid w:val="2D4665ED"/>
    <w:rsid w:val="2E2D218E"/>
    <w:rsid w:val="2E4B1A14"/>
    <w:rsid w:val="2EC1468C"/>
    <w:rsid w:val="2FC17E5A"/>
    <w:rsid w:val="307308B6"/>
    <w:rsid w:val="30E6401D"/>
    <w:rsid w:val="31850497"/>
    <w:rsid w:val="31EA5447"/>
    <w:rsid w:val="326276D3"/>
    <w:rsid w:val="32820142"/>
    <w:rsid w:val="3498562E"/>
    <w:rsid w:val="354E3F3E"/>
    <w:rsid w:val="357038BE"/>
    <w:rsid w:val="36301896"/>
    <w:rsid w:val="36356EAC"/>
    <w:rsid w:val="3659703F"/>
    <w:rsid w:val="365B3E4B"/>
    <w:rsid w:val="369817C2"/>
    <w:rsid w:val="36DB5CA6"/>
    <w:rsid w:val="380E0502"/>
    <w:rsid w:val="38187F70"/>
    <w:rsid w:val="38AE3672"/>
    <w:rsid w:val="38DE5E5B"/>
    <w:rsid w:val="38EC7CF6"/>
    <w:rsid w:val="39192815"/>
    <w:rsid w:val="391E4325"/>
    <w:rsid w:val="39AB0C56"/>
    <w:rsid w:val="3A4122C4"/>
    <w:rsid w:val="3A63223A"/>
    <w:rsid w:val="3B1B038C"/>
    <w:rsid w:val="3B24667E"/>
    <w:rsid w:val="3BB80364"/>
    <w:rsid w:val="3BDA76DD"/>
    <w:rsid w:val="3BE63C16"/>
    <w:rsid w:val="3CD613E9"/>
    <w:rsid w:val="3CF61143"/>
    <w:rsid w:val="3D822D14"/>
    <w:rsid w:val="3DA75DF7"/>
    <w:rsid w:val="3DAF5701"/>
    <w:rsid w:val="3EC7548D"/>
    <w:rsid w:val="3EE74C8D"/>
    <w:rsid w:val="3F055FB6"/>
    <w:rsid w:val="3F3E3276"/>
    <w:rsid w:val="3F424B14"/>
    <w:rsid w:val="3FFC0EFD"/>
    <w:rsid w:val="3FFF2A05"/>
    <w:rsid w:val="40211CFA"/>
    <w:rsid w:val="40442B0E"/>
    <w:rsid w:val="405419C9"/>
    <w:rsid w:val="4081166C"/>
    <w:rsid w:val="40A4226A"/>
    <w:rsid w:val="40F262A2"/>
    <w:rsid w:val="413569C7"/>
    <w:rsid w:val="414F176A"/>
    <w:rsid w:val="41E40104"/>
    <w:rsid w:val="431E31A2"/>
    <w:rsid w:val="432D1637"/>
    <w:rsid w:val="435766B4"/>
    <w:rsid w:val="45A539C0"/>
    <w:rsid w:val="462E6545"/>
    <w:rsid w:val="469814BD"/>
    <w:rsid w:val="46E82445"/>
    <w:rsid w:val="47240C02"/>
    <w:rsid w:val="472F66E6"/>
    <w:rsid w:val="48403BBB"/>
    <w:rsid w:val="48B41D54"/>
    <w:rsid w:val="48FD5F50"/>
    <w:rsid w:val="49276B29"/>
    <w:rsid w:val="4BB723E6"/>
    <w:rsid w:val="4C6F4332"/>
    <w:rsid w:val="4D9549A9"/>
    <w:rsid w:val="4D9D5085"/>
    <w:rsid w:val="4E233D62"/>
    <w:rsid w:val="4FD33566"/>
    <w:rsid w:val="4FF736F9"/>
    <w:rsid w:val="501E6ED7"/>
    <w:rsid w:val="501F3D69"/>
    <w:rsid w:val="51E87E4E"/>
    <w:rsid w:val="526D37FE"/>
    <w:rsid w:val="530323B4"/>
    <w:rsid w:val="54062551"/>
    <w:rsid w:val="54D933CD"/>
    <w:rsid w:val="55173EF5"/>
    <w:rsid w:val="5570716B"/>
    <w:rsid w:val="55763FD6"/>
    <w:rsid w:val="5631260C"/>
    <w:rsid w:val="57983795"/>
    <w:rsid w:val="58896245"/>
    <w:rsid w:val="589E5AD7"/>
    <w:rsid w:val="596D67DA"/>
    <w:rsid w:val="5A617C04"/>
    <w:rsid w:val="5B8152C0"/>
    <w:rsid w:val="5BB4249E"/>
    <w:rsid w:val="5C45730C"/>
    <w:rsid w:val="5C4C6B7A"/>
    <w:rsid w:val="5C553C81"/>
    <w:rsid w:val="5C78171D"/>
    <w:rsid w:val="5D4F6922"/>
    <w:rsid w:val="5D916F3A"/>
    <w:rsid w:val="5DDB01B6"/>
    <w:rsid w:val="5DDB6408"/>
    <w:rsid w:val="5DF66D9E"/>
    <w:rsid w:val="5EA73B72"/>
    <w:rsid w:val="5EDF7832"/>
    <w:rsid w:val="60C756B9"/>
    <w:rsid w:val="60E94998"/>
    <w:rsid w:val="61006E1E"/>
    <w:rsid w:val="61B41449"/>
    <w:rsid w:val="6220263B"/>
    <w:rsid w:val="62DF48B4"/>
    <w:rsid w:val="63A252D2"/>
    <w:rsid w:val="64234664"/>
    <w:rsid w:val="64357D9A"/>
    <w:rsid w:val="65075D34"/>
    <w:rsid w:val="655A2308"/>
    <w:rsid w:val="657C1A93"/>
    <w:rsid w:val="658368A3"/>
    <w:rsid w:val="6587531A"/>
    <w:rsid w:val="65CB2A4F"/>
    <w:rsid w:val="662D6C59"/>
    <w:rsid w:val="664B1C51"/>
    <w:rsid w:val="66E14363"/>
    <w:rsid w:val="673619B5"/>
    <w:rsid w:val="67673A79"/>
    <w:rsid w:val="67AC2BC3"/>
    <w:rsid w:val="6821534F"/>
    <w:rsid w:val="691E364C"/>
    <w:rsid w:val="697274F4"/>
    <w:rsid w:val="697D6637"/>
    <w:rsid w:val="6A32573B"/>
    <w:rsid w:val="6AB9187F"/>
    <w:rsid w:val="6B0074AE"/>
    <w:rsid w:val="6BFB7C75"/>
    <w:rsid w:val="6C603C39"/>
    <w:rsid w:val="6C727F37"/>
    <w:rsid w:val="6C953C26"/>
    <w:rsid w:val="6D033285"/>
    <w:rsid w:val="6D325918"/>
    <w:rsid w:val="6D5A17FF"/>
    <w:rsid w:val="6D604233"/>
    <w:rsid w:val="6E364F94"/>
    <w:rsid w:val="6E510020"/>
    <w:rsid w:val="6F8306AD"/>
    <w:rsid w:val="70387B84"/>
    <w:rsid w:val="718D2DE0"/>
    <w:rsid w:val="71B85ED8"/>
    <w:rsid w:val="729624A5"/>
    <w:rsid w:val="748A7DE8"/>
    <w:rsid w:val="7634625D"/>
    <w:rsid w:val="763C034C"/>
    <w:rsid w:val="76465F91"/>
    <w:rsid w:val="76D11CFE"/>
    <w:rsid w:val="77AE0BBC"/>
    <w:rsid w:val="78964FAD"/>
    <w:rsid w:val="78F9553C"/>
    <w:rsid w:val="7953285F"/>
    <w:rsid w:val="7AD20620"/>
    <w:rsid w:val="7B233C2A"/>
    <w:rsid w:val="7B6A4BAE"/>
    <w:rsid w:val="7C44267D"/>
    <w:rsid w:val="7C5E6748"/>
    <w:rsid w:val="7DA97531"/>
    <w:rsid w:val="7E132BFC"/>
    <w:rsid w:val="7F531548"/>
    <w:rsid w:val="7F8E4C30"/>
  </w:rsids>
  <w:docVars>
    <w:docVar w:name="commondata" w:val="eyJoZGlkIjoiZDYwNTMxNzgzOTlhYWU1NjJlOGU1ZTNlNzJkNGY1Y2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4867</Words>
  <Characters>5112</Characters>
  <Application>Microsoft Office Word</Application>
  <DocSecurity>0</DocSecurity>
  <Lines>9</Lines>
  <Paragraphs>2</Paragraphs>
  <ScaleCrop>false</ScaleCrop>
  <Company>CHINA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</cp:revision>
  <dcterms:created xsi:type="dcterms:W3CDTF">2023-01-03T08:55:00Z</dcterms:created>
  <dcterms:modified xsi:type="dcterms:W3CDTF">2023-01-09T07:38:41Z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2360684F8CE7406BBB1E2CFAF7B8D939</vt:lpwstr>
  </property>
  <property fmtid="{D5CDD505-2E9C-101B-9397-08002B2CF9AE}" pid="3" name="KSOProductBuildVer">
    <vt:lpwstr>2052-11.1.0.13703</vt:lpwstr>
  </property>
</Properties>
</file>