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4.0 -->
  <w:body>
    <w:p>
      <w:pPr>
        <w:jc w:val="center"/>
        <w:rPr>
          <w:rFonts w:ascii="黑体" w:eastAsia="黑体" w:hAnsi="黑体" w:cs="黑体" w:hint="eastAsia"/>
          <w:b/>
          <w:sz w:val="36"/>
          <w:szCs w:val="36"/>
          <w:lang w:val="en-US" w:eastAsia="zh-CN"/>
        </w:rPr>
      </w:pPr>
    </w:p>
    <w:p>
      <w:pPr>
        <w:pStyle w:val="Heading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440" w:firstLineChars="400"/>
        <w:jc w:val="both"/>
        <w:textAlignment w:val="auto"/>
        <w:rPr>
          <w:rFonts w:ascii="黑体" w:eastAsia="黑体" w:hAnsi="黑体" w:cs="黑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sz w:val="36"/>
          <w:szCs w:val="36"/>
          <w:lang w:val="en-US" w:eastAsia="zh-CN"/>
        </w:rPr>
        <w:t>2022年度</w:t>
      </w:r>
      <w:r>
        <w:rPr>
          <w:rFonts w:ascii="黑体" w:eastAsia="黑体" w:hAnsi="黑体" w:cs="黑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寿县</w:t>
      </w:r>
      <w:r>
        <w:rPr>
          <w:rFonts w:ascii="黑体" w:eastAsia="黑体" w:hAnsi="黑体" w:cs="黑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公安局禁毒</w:t>
      </w:r>
      <w:r>
        <w:rPr>
          <w:rFonts w:ascii="黑体" w:eastAsia="黑体" w:hAnsi="黑体" w:cs="黑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专项</w:t>
      </w:r>
      <w:r>
        <w:rPr>
          <w:rFonts w:ascii="黑体" w:eastAsia="黑体" w:hAnsi="黑体" w:cs="黑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经费绩效</w:t>
      </w:r>
    </w:p>
    <w:p>
      <w:pPr>
        <w:pStyle w:val="Heading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黑体" w:eastAsia="黑体" w:hAnsi="黑体" w:cs="黑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自评</w:t>
      </w:r>
      <w:r>
        <w:rPr>
          <w:rFonts w:ascii="黑体" w:eastAsia="黑体" w:hAnsi="黑体" w:cs="黑体" w:hint="eastAsi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报告</w:t>
      </w:r>
    </w:p>
    <w:p>
      <w:pPr>
        <w:rPr>
          <w:rFonts w:hint="eastAsia"/>
        </w:rPr>
      </w:pP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为强化财政支出绩效管理，促进财政资金使用的科学化、合理化和精细化，根据</w:t>
      </w:r>
      <w:r>
        <w:rPr>
          <w:rFonts w:ascii="仿宋" w:eastAsia="仿宋" w:hAnsi="仿宋" w:cs="仿宋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《寿县财政局关于</w:t>
      </w:r>
      <w:r>
        <w:rPr>
          <w:rFonts w:ascii="仿宋" w:eastAsia="仿宋" w:hAnsi="仿宋" w:cs="仿宋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印发&lt;寿县县级项目支出绩效单位自评操作规程&gt;的通知》（寿财绩</w:t>
      </w:r>
      <w:r>
        <w:rPr>
          <w:rFonts w:ascii="仿宋" w:eastAsia="仿宋" w:hAnsi="仿宋" w:cs="仿宋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〔20</w:t>
      </w:r>
      <w:r>
        <w:rPr>
          <w:rFonts w:ascii="仿宋" w:eastAsia="仿宋" w:hAnsi="仿宋" w:cs="仿宋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仿宋" w:eastAsia="仿宋" w:hAnsi="仿宋" w:cs="仿宋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ascii="仿宋" w:eastAsia="仿宋" w:hAnsi="仿宋" w:cs="仿宋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文件精神，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现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对20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寿县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公安局禁毒经费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进行绩效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自评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，现将有关情况报告如下：</w:t>
      </w:r>
      <w:bookmarkStart w:id="0" w:name="_Toc30570"/>
      <w:bookmarkEnd w:id="0"/>
    </w:p>
    <w:p>
      <w:pPr>
        <w:pStyle w:val="NormalWeb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/>
        <w:jc w:val="both"/>
        <w:textAlignment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一、项目基本情况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（一）项目概况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禁毒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大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队作为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县公安局二级机构，同时承担禁毒办日常工作，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主要工作职责是掌握全市毒品犯罪活动动态，研究制定预防、打击对策；组织、指导毒品犯罪案件的侦查，直接侦办毒品大要案件；组织、指导全市禁毒预防教育工作；对精麻药品、易制毒化学品进行管制等。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2015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年根据《寿县委常委会会议纪要》（2014第6期）、《第二十一次县长办公会议纪要》（2014第20号）精神，县财政将禁毒工作经费纳入公安局部门预算进行落实。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寿县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财政局关于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批复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年部门预算的通知》（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寿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财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预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〔20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号）文件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下达寿县公安局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年禁毒经费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万元。20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年禁毒经费主要用于大要案侦破、禁毒宣传、社区戒毒、社区康复等个方面。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NormalWeb"/>
        <w:shd w:val="clear" w:color="auto" w:fill="FFFFFF"/>
        <w:spacing w:line="480" w:lineRule="auto"/>
        <w:ind w:firstLine="48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>
      <w:pPr>
        <w:pStyle w:val="NormalWeb"/>
        <w:shd w:val="clear" w:color="auto" w:fill="FFFFFF"/>
        <w:spacing w:line="480" w:lineRule="auto"/>
        <w:ind w:firstLine="480"/>
        <w:jc w:val="both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  <w:lang w:eastAsia="zh-CN"/>
        </w:rPr>
        <w:t>二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）2022年度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  <w:lang w:eastAsia="zh-CN"/>
        </w:rPr>
        <w:t>禁毒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工作计划</w:t>
      </w:r>
    </w:p>
    <w:p>
      <w:pPr>
        <w:pStyle w:val="NormalWeb"/>
        <w:shd w:val="clear" w:color="auto" w:fill="FFFFFF"/>
        <w:spacing w:line="480" w:lineRule="auto"/>
        <w:ind w:firstLine="48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2022年度工作计划主要是完成市局下发的工作任务；做好吸毒人员特别是社区戒毒社区康复人员管控工作，防止肇事肇祸情况发生；做好禁种铲毒工作，避免大面积非法种植毒品原植物现象发生；做好易制毒化学品管理工作，避免流入非法渠道；做好禁毒宣传工作，普遍提高群众知毒、识毒、拒毒能力。</w:t>
      </w:r>
    </w:p>
    <w:p>
      <w:pPr>
        <w:pStyle w:val="NormalWeb"/>
        <w:shd w:val="clear" w:color="auto" w:fill="FFFFFF"/>
        <w:spacing w:line="480" w:lineRule="auto"/>
        <w:ind w:firstLine="480"/>
        <w:jc w:val="both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二、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  <w:lang w:eastAsia="zh-CN"/>
        </w:rPr>
        <w:t>禁毒专项经费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预算执行和管理情况</w:t>
      </w:r>
    </w:p>
    <w:p>
      <w:pPr>
        <w:pStyle w:val="NormalWeb"/>
        <w:shd w:val="clear" w:color="auto" w:fill="FFFFFF"/>
        <w:spacing w:line="480" w:lineRule="auto"/>
        <w:ind w:firstLine="48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禁毒工作经费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年初预算为50万元，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截止到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2022年12月31日，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禁毒经费预算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已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拨付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主要用于办案差旅费、禁毒宣传、毒品鉴定、检测试剂购买、交通工具消耗、办公支出等用途。项目所有开支按照国家财经法规和县局相关财务制度执行，资金的使用全部实行专款专用，严格把关，整个项目的运行完全按照县局管理制度、县委、县政府及财政的有关规定执行，不存在违规违法的问题。各个项目资金使用与具体项目实施内容相符，绩效总目标已按照计划完成，未逾期。</w:t>
      </w:r>
    </w:p>
    <w:p>
      <w:pPr>
        <w:pStyle w:val="NormalWeb"/>
        <w:shd w:val="clear" w:color="auto" w:fill="FFFFFF"/>
        <w:tabs>
          <w:tab w:val="left" w:pos="6150"/>
        </w:tabs>
        <w:spacing w:line="480" w:lineRule="auto"/>
        <w:ind w:firstLine="480"/>
        <w:jc w:val="both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三、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  <w:lang w:eastAsia="zh-CN"/>
        </w:rPr>
        <w:t>禁毒专项经费</w:t>
      </w:r>
      <w:r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支出绩效目标实现情况分析</w:t>
      </w:r>
      <w:r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  <w:tab/>
      </w:r>
    </w:p>
    <w:p>
      <w:pPr>
        <w:pStyle w:val="NormalWeb"/>
        <w:shd w:val="clear" w:color="auto" w:fill="FFFFFF"/>
        <w:tabs>
          <w:tab w:val="left" w:pos="6150"/>
        </w:tabs>
        <w:spacing w:line="480" w:lineRule="auto"/>
        <w:ind w:firstLine="48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2022年度专项资金50万元已全部拨付到位，并全部按期支出使用。禁毒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工作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完成了年度绩效目标，所有项目的日常管理均按照单位相关管理制度执行，建立了工作有计划、实施有方案的管理机制，工作取得较好成效，效能得到提高，获得社会公众好评。</w:t>
      </w:r>
    </w:p>
    <w:p>
      <w:pPr>
        <w:pStyle w:val="NormalWeb"/>
        <w:shd w:val="clear" w:color="auto" w:fill="FFFFFF"/>
        <w:tabs>
          <w:tab w:val="left" w:pos="6150"/>
        </w:tabs>
        <w:spacing w:line="480" w:lineRule="auto"/>
        <w:ind w:firstLine="480"/>
        <w:jc w:val="both"/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为确保专款专用，发挥应有作用，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我局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严格按照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专项资金使用管理规定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，严防专项资金挪用。专项资金主要用于办案、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业务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办公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等方面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四、禁毒专项经费项目绩效自评结果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20" w:right="0" w:leftChars="200" w:rightChars="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、评价得分</w:t>
      </w:r>
    </w:p>
    <w:tbl>
      <w:tblPr>
        <w:tblStyle w:val="TableGrid"/>
        <w:tblpPr w:leftFromText="180" w:rightFromText="180" w:vertAnchor="text" w:horzAnchor="page" w:tblpX="2080" w:tblpY="2729"/>
        <w:tblOverlap w:val="never"/>
        <w:tblW w:w="88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547"/>
        <w:gridCol w:w="1783"/>
        <w:gridCol w:w="1783"/>
        <w:gridCol w:w="1703"/>
      </w:tblGrid>
      <w:tr>
        <w:tblPrEx>
          <w:tblW w:w="8835" w:type="dxa"/>
          <w:tblInd w:w="0" w:type="dxa"/>
          <w:tblLayout w:type="fixed"/>
        </w:tblPrEx>
        <w:trPr>
          <w:trHeight w:val="1218"/>
        </w:trPr>
        <w:tc>
          <w:tcPr>
            <w:tcW w:w="2019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firstLine="840" w:rightChars="0" w:firstLineChars="300"/>
              <w:textAlignment w:val="auto"/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5" type="#_x0000_t32" style="width:103.5pt;height:62.7pt;margin-top:-0.4pt;margin-left:-5.7pt;mso-height-relative:page;mso-width-relative:page;position:absolute;z-index:251658240" coordsize="21600,21600" filled="f" stroked="t">
                  <v:stroke joinstyle="round"/>
                  <v:path arrowok="t"/>
                  <o:lock v:ext="edit" aspectratio="f"/>
                </v:shape>
              </w:pict>
            </w: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指标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分值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项目申报资金情况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项目及资金管理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项目完成及质量指标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280" w:right="0" w:hanging="280" w:rightChars="0" w:hangingChars="100"/>
              <w:jc w:val="left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项目效益及效果指标</w:t>
            </w:r>
          </w:p>
        </w:tc>
      </w:tr>
      <w:tr>
        <w:tblPrEx>
          <w:tblW w:w="8835" w:type="dxa"/>
          <w:tblInd w:w="0" w:type="dxa"/>
          <w:tblLayout w:type="fixed"/>
        </w:tblPrEx>
        <w:trPr>
          <w:trHeight w:val="814"/>
        </w:trPr>
        <w:tc>
          <w:tcPr>
            <w:tcW w:w="2019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适用指标分值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</w:tr>
      <w:tr>
        <w:tblPrEx>
          <w:tblW w:w="8835" w:type="dxa"/>
          <w:tblInd w:w="0" w:type="dxa"/>
          <w:tblLayout w:type="fixed"/>
        </w:tblPrEx>
        <w:trPr>
          <w:trHeight w:val="814"/>
        </w:trPr>
        <w:tc>
          <w:tcPr>
            <w:tcW w:w="2019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</w:tr>
      <w:tr>
        <w:tblPrEx>
          <w:tblW w:w="8835" w:type="dxa"/>
          <w:tblInd w:w="0" w:type="dxa"/>
          <w:tblLayout w:type="fixed"/>
        </w:tblPrEx>
        <w:trPr>
          <w:trHeight w:val="821"/>
        </w:trPr>
        <w:tc>
          <w:tcPr>
            <w:tcW w:w="2019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指标得分率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100%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100%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100%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100%</w:t>
            </w:r>
          </w:p>
        </w:tc>
      </w:tr>
    </w:tbl>
    <w:p>
      <w:pPr>
        <w:pStyle w:val="NormalWeb"/>
        <w:shd w:val="clear" w:color="auto" w:fill="FFFFFF"/>
        <w:tabs>
          <w:tab w:val="left" w:pos="6150"/>
        </w:tabs>
        <w:spacing w:line="480" w:lineRule="auto"/>
        <w:ind w:firstLine="48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通过对2022年项目总体情况分析和自查，发现存在项目支出进度不稳，表现为可能集中在某几个月。针对问题，下一步，禁毒大队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eastAsia="zh-CN"/>
        </w:rPr>
        <w:t>将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进一步健全和完善内部控制制度，用创新性管理手段，用新思路、新方法，改进完善财务管理方法。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20" w:right="0" w:firstLine="0" w:leftChars="200" w:rightChars="0" w:firstLineChars="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指标得分分析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textAlignment w:val="auto"/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1.项目申报及资金落实情况（满分25分自评得分25分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textAlignment w:val="auto"/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禁毒专项经费列入部门预算年初申报时是依据2015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年根据《寿县委常委会会议纪要》（2014第6期）、《第二十一次县长办公会议纪要》（2014第20号）精神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要求。申报材料和条件符合相关要求，且有绩效事前评价，经单位绩效考核小组严格遴选评审，项目绩效目标明确且清晰、细化、可衡量。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textAlignment w:val="auto"/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依据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寿县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财政局关于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批复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年部门预算的通知》（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寿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财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预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〔20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〕号）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，2022年县财政局下达部门预算中禁毒经费预算批复数为50万元，截止2022年12月31日，该项目的资金到位率为100%，资金及时到位，未影响项目进度。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2.项目及资金管理情况（满分15分自评得分15分）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textAlignment w:val="auto"/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我局对专项资金使用有专门的管理制度，专款专用，严禁挪用和超范围开支，同时专项经费开支也严格遵照《寿县公安局财务管理办法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（试行）》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实施2022年寿县公安局禁毒经费主要用于案件的办理、禁毒宣传、社区康复等方面，对于专用设备采购，严格按照政府采购制度执行公开招标或是从徽采云平台上采购。截止2022年12月31日，该项目经费执行率为100%，无超标准和无超预算开支情况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20" w:right="0" w:leftChars="200" w:rightChars="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项目完成及质量产出指标（满分30分自评得分30分）</w:t>
      </w:r>
    </w:p>
    <w:p>
      <w:pPr>
        <w:spacing w:line="540" w:lineRule="exact"/>
        <w:ind w:firstLine="640" w:firstLineChars="2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年度目标完成率（满分10分，评价得分10分）</w:t>
      </w:r>
    </w:p>
    <w:p>
      <w:pPr>
        <w:spacing w:line="540" w:lineRule="exact"/>
        <w:ind w:firstLine="640" w:firstLineChars="2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2022年初既定工作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指标值全部完成，较好完成全年工作任务。依据评分标准得满分。</w:t>
      </w:r>
    </w:p>
    <w:p>
      <w:pPr>
        <w:spacing w:line="540" w:lineRule="exact"/>
        <w:ind w:firstLine="640" w:firstLineChars="2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质量达标率（满分10分，评价得分10分）</w:t>
      </w:r>
    </w:p>
    <w:p>
      <w:pPr>
        <w:spacing w:line="540" w:lineRule="exact"/>
        <w:ind w:firstLine="320" w:firstLineChars="1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完工项目已全部达标，质量达标率=（质量达标产出数/实际产出数）×100%=100%。依据评分标准得满分。</w:t>
      </w:r>
    </w:p>
    <w:p>
      <w:pPr>
        <w:spacing w:line="540" w:lineRule="exact"/>
        <w:ind w:firstLine="640" w:firstLineChars="2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项目完成及时率（满分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分，评价得分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分）</w:t>
      </w:r>
    </w:p>
    <w:p>
      <w:pPr>
        <w:spacing w:line="540" w:lineRule="exact"/>
        <w:ind w:firstLine="640" w:firstLineChars="20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年度目标已完全按时完成，项目完成及时率=按时完成年度目标数/全部年度目标数×100%=100%。依据评分标准得满分。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jc w:val="left"/>
        <w:textAlignment w:val="auto"/>
        <w:rPr>
          <w:rFonts w:ascii="仿宋" w:eastAsia="仿宋" w:hAnsi="仿宋" w:cs="仿宋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项目效益效果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指标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（满分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分，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自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评得分29分）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20" w:right="0" w:leftChars="200" w:rightChars="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数量指标6分（满分6分，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自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得分6分）</w:t>
      </w:r>
    </w:p>
    <w:p>
      <w:pPr>
        <w:spacing w:line="600" w:lineRule="exact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年全县共抓获涉毒犯罪嫌疑人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人，共查处吸毒人员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</w:t>
      </w:r>
      <w:r>
        <w:rPr>
          <w:rFonts w:ascii="仿宋" w:eastAsia="仿宋" w:hAnsi="仿宋" w:hint="eastAsia"/>
          <w:sz w:val="32"/>
          <w:szCs w:val="32"/>
        </w:rPr>
        <w:t>破获2起省目标案件，抓获涉毒逃犯1名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20" w:right="0" w:leftChars="200" w:rightChars="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质量指标6分（满分6分，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自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得分6分）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right="0" w:firstLine="640" w:rightChars="0" w:firstLineChars="200"/>
        <w:textAlignment w:val="auto"/>
        <w:outlineLvl w:val="9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寿县公安局通过对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2022年禁毒经费的实施，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严厉打击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了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毒品犯罪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进一步强化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了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禁吸戒毒工作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，全面提升了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禁毒预防宣传教育工作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促进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禁毒管理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日益完善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420" w:right="0" w:leftChars="200" w:rightChars="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（3）社会效益指标6分（满分6分，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自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得分6分）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55" w:lineRule="atLeast"/>
        <w:ind w:left="0" w:right="0" w:firstLine="600"/>
        <w:jc w:val="lef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</w:pP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项目的实施有效打击违法犯罪，</w:t>
      </w: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吸食毒品人员增长趋势</w:t>
      </w: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得到有效遏制，</w:t>
      </w: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更好地维护人民群众的生命财产安全，确保社会治安稳定。</w:t>
      </w: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全面提升了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禁毒预防宣传教育工作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，社会公众对禁毒工作认知度逐步提高。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55" w:lineRule="atLeast"/>
        <w:ind w:left="0" w:right="0" w:firstLine="600"/>
        <w:jc w:val="left"/>
        <w:rPr>
          <w:rFonts w:ascii="仿宋_GB2312" w:eastAsia="仿宋_GB2312" w:hAnsi="仿宋_GB2312" w:cs="仿宋_GB2312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（4）可持续影响指标6分（满分6分，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自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得分6分）</w:t>
      </w:r>
    </w:p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55" w:lineRule="atLeast"/>
        <w:ind w:left="0" w:right="0" w:firstLine="600"/>
        <w:jc w:val="left"/>
        <w:rPr>
          <w:rFonts w:ascii="仿宋_GB2312" w:eastAsia="仿宋_GB2312" w:hAnsi="仿宋_GB2312" w:cs="仿宋_GB2312" w:hint="default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随着</w:t>
      </w: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社会的发展，毒品的形式越来越多元化、隐蔽化</w:t>
      </w: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，为维护人民群众安全，稳定社会环境，对</w:t>
      </w: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持续推进禁毒工作带来的</w:t>
      </w: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效果变更得更加重要。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textAlignment w:val="auto"/>
        <w:rPr>
          <w:rFonts w:ascii="仿宋_GB2312" w:eastAsia="仿宋_GB2312" w:hAnsi="仿宋_GB2312" w:cs="仿宋_GB2312" w:hint="default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（5）群众满意指标（满分6分，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/>
        </w:rPr>
        <w:t>自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得分6分）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rightChars="0" w:firstLineChars="200"/>
        <w:textAlignment w:val="auto"/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2022年底，寿县政法委委托第三方采取摸拟民调电话调查方式，对2022年全年群众安全感和满意度进行调查，从本次测评情况看，全县群众安全感指数为9</w:t>
      </w:r>
      <w:r>
        <w:rPr>
          <w:rFonts w:ascii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6.95</w:t>
      </w: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%，对公安工作的满意度为</w:t>
      </w:r>
      <w:r>
        <w:rPr>
          <w:rFonts w:ascii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98.67</w:t>
      </w: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%。</w:t>
      </w: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社会群众对社会治安表示满意，满意度</w:t>
      </w: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均超过</w:t>
      </w: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9</w:t>
      </w:r>
      <w:r>
        <w:rPr>
          <w:rFonts w:ascii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%，该专项资金在提高</w:t>
      </w:r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寿</w:t>
      </w:r>
      <w:bookmarkStart w:id="1" w:name="_GoBack"/>
      <w:bookmarkEnd w:id="1"/>
      <w:r>
        <w:rPr>
          <w:rFonts w:ascii="仿宋_GB2312" w:eastAsia="仿宋_GB2312" w:hAnsi="Verdana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仿宋_GB2312" w:eastAsia="仿宋_GB2312" w:hAnsi="Verdana" w:cs="仿宋_GB2312" w:hint="default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社会治安环境方面起到了明显的促进作用。</w:t>
      </w:r>
    </w:p>
    <w:p>
      <w:pPr>
        <w:pStyle w:val="NormalWeb"/>
        <w:numPr>
          <w:ilvl w:val="0"/>
          <w:numId w:val="4"/>
        </w:numPr>
        <w:shd w:val="clear" w:color="auto" w:fill="FFFFFF"/>
        <w:spacing w:line="480" w:lineRule="auto"/>
        <w:ind w:firstLine="480"/>
        <w:jc w:val="both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项目绩效评价中存在问题及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下一步措施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_GB2312" w:eastAsia="仿宋_GB2312" w:hAnsi="仿宋_GB2312" w:cs="仿宋_GB2312" w:hint="eastAsia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一）存在的问题分析</w:t>
      </w:r>
    </w:p>
    <w:p>
      <w:pPr>
        <w:spacing w:line="540" w:lineRule="exact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1.</w:t>
      </w:r>
      <w:r>
        <w:rPr>
          <w:rFonts w:ascii="仿宋" w:eastAsia="仿宋" w:hAnsi="仿宋" w:hint="eastAsia"/>
          <w:sz w:val="32"/>
          <w:szCs w:val="32"/>
        </w:rPr>
        <w:t>吸毒人员管控工作存在问题。寿县在册吸毒人员基数大，但外出务工人员较多，异地管控工作协调较难，管理工作存在难度，吸毒人员存在一定风险。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2.</w:t>
      </w:r>
      <w:r>
        <w:rPr>
          <w:rFonts w:ascii="仿宋" w:eastAsia="仿宋" w:hAnsi="仿宋" w:hint="eastAsia"/>
          <w:sz w:val="32"/>
          <w:szCs w:val="32"/>
        </w:rPr>
        <w:t>案件线索遭遇瓶颈。在公安机关的高压打击态势下和疫情影响下，毒品消费市场出现萎缩，毒品价格偏高，传统毒品向新型毒品转变，导致传统毒品案件线索来源较少，而新型毒品市场尚未成熟，案源较少。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ascii="仿宋_GB2312" w:eastAsia="仿宋_GB2312" w:hAnsi="仿宋_GB2312" w:cs="仿宋_GB2312" w:hint="default"/>
          <w:b w:val="0"/>
          <w:bCs w:val="0"/>
          <w:color w:val="auto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二）下一步措施</w:t>
      </w:r>
    </w:p>
    <w:p>
      <w:pPr>
        <w:spacing w:line="540" w:lineRule="exact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1.</w:t>
      </w:r>
      <w:r>
        <w:rPr>
          <w:rFonts w:ascii="仿宋" w:eastAsia="仿宋" w:hAnsi="仿宋" w:hint="eastAsia"/>
          <w:sz w:val="32"/>
          <w:szCs w:val="32"/>
        </w:rPr>
        <w:t>持续深入开展禁毒严打专项行动。始终保持对毒品违法犯罪活动的高压态势，多渠道、全方位打击吸贩毒人员，同时加大对新型毒品线索的研判力度，力争通过一条线索，查处一大片，进而最大限度减少毒品对社会、家庭和个人的危害，为我县经济、社会环境护航。</w:t>
      </w:r>
    </w:p>
    <w:p>
      <w:pPr>
        <w:spacing w:line="540" w:lineRule="exact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2.</w:t>
      </w:r>
      <w:r>
        <w:rPr>
          <w:rFonts w:ascii="仿宋" w:eastAsia="仿宋" w:hAnsi="仿宋" w:hint="eastAsia"/>
          <w:sz w:val="32"/>
          <w:szCs w:val="32"/>
        </w:rPr>
        <w:t>加强吸毒人员管控工作。对低风险人员，做到了解现实状况；社区戒毒社区康复人员做到真管控、真尿检；高危人员做到每日调度，确保无脱失、肇事肇祸情况发生。</w:t>
      </w:r>
    </w:p>
    <w:p>
      <w:pPr>
        <w:spacing w:line="540" w:lineRule="exact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3.</w:t>
      </w:r>
      <w:r>
        <w:rPr>
          <w:rFonts w:ascii="仿宋" w:eastAsia="仿宋" w:hAnsi="仿宋" w:hint="eastAsia"/>
          <w:sz w:val="32"/>
          <w:szCs w:val="32"/>
        </w:rPr>
        <w:t>加大禁毒宣传。禁毒工作方针是“预防为主”，特别是对青少年群体的预防宣传工作。2023年，禁毒大队将创新禁毒宣传形式，统筹社会资源，深化全民禁毒意识，重点加强校园禁毒宣传教育和娱乐场所、宾馆的清查活动，以“青年”为主要对象，特别是在校初中生、高中生为重点对象，从源头上控制涉毒群体，净化我县经济、社会发展环境。</w:t>
      </w:r>
    </w:p>
    <w:p>
      <w:pPr>
        <w:spacing w:line="540" w:lineRule="exact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4.</w:t>
      </w:r>
      <w:r>
        <w:rPr>
          <w:rFonts w:ascii="仿宋" w:eastAsia="仿宋" w:hAnsi="仿宋" w:hint="eastAsia"/>
          <w:sz w:val="32"/>
          <w:szCs w:val="32"/>
        </w:rPr>
        <w:t>强化易制毒企业管理工作。通过严格审核、实地督查等形式，督查企业合法购买、合法使用、规范建立台账，避免易制毒化学品流入非法渠道。</w:t>
      </w:r>
    </w:p>
    <w:p>
      <w:pPr>
        <w:spacing w:line="540" w:lineRule="exact"/>
        <w:rPr>
          <w:rFonts w:ascii="仿宋" w:eastAsia="仿宋" w:hAnsi="仿宋"/>
          <w:sz w:val="32"/>
          <w:szCs w:val="32"/>
        </w:rPr>
      </w:pPr>
    </w:p>
    <w:p>
      <w:pPr>
        <w:pStyle w:val="NormalWeb"/>
        <w:numPr>
          <w:ilvl w:val="0"/>
          <w:numId w:val="0"/>
        </w:numPr>
        <w:shd w:val="clear" w:color="auto" w:fill="FFFFFF"/>
        <w:spacing w:line="480" w:lineRule="auto"/>
        <w:jc w:val="both"/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5FCC854"/>
    <w:multiLevelType w:val="singleLevel"/>
    <w:tmpl w:val="95FCC85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42FBF6"/>
    <w:multiLevelType w:val="singleLevel"/>
    <w:tmpl w:val="9E42FBF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63C943E"/>
    <w:multiLevelType w:val="singleLevel"/>
    <w:tmpl w:val="563C943E"/>
    <w:lvl w:ilvl="0">
      <w:start w:val="1"/>
      <w:numFmt w:val="decimal"/>
      <w:suff w:val="nothing"/>
      <w:lvlText w:val="（%1）"/>
      <w:lvlJc w:val="left"/>
    </w:lvl>
  </w:abstractNum>
  <w:abstractNum w:abstractNumId="3">
    <w:nsid w:val="6DBF549E"/>
    <w:multiLevelType w:val="singleLevel"/>
    <w:tmpl w:val="6DBF549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3"/>
    <w:rsid w:val="00027D29"/>
    <w:rsid w:val="00081DF3"/>
    <w:rsid w:val="000A7CAC"/>
    <w:rsid w:val="000E3335"/>
    <w:rsid w:val="00144E35"/>
    <w:rsid w:val="001E42E6"/>
    <w:rsid w:val="00224BFB"/>
    <w:rsid w:val="00334E93"/>
    <w:rsid w:val="00343206"/>
    <w:rsid w:val="00371139"/>
    <w:rsid w:val="003731F3"/>
    <w:rsid w:val="00462118"/>
    <w:rsid w:val="0048673E"/>
    <w:rsid w:val="004A7149"/>
    <w:rsid w:val="00515500"/>
    <w:rsid w:val="005F26BC"/>
    <w:rsid w:val="005F3B43"/>
    <w:rsid w:val="00656C39"/>
    <w:rsid w:val="006B5E2E"/>
    <w:rsid w:val="006C3985"/>
    <w:rsid w:val="006E342D"/>
    <w:rsid w:val="007066F1"/>
    <w:rsid w:val="007346B2"/>
    <w:rsid w:val="00753355"/>
    <w:rsid w:val="00760CB2"/>
    <w:rsid w:val="007A7354"/>
    <w:rsid w:val="007D4F92"/>
    <w:rsid w:val="007F7679"/>
    <w:rsid w:val="00847F62"/>
    <w:rsid w:val="00891B3B"/>
    <w:rsid w:val="008935E6"/>
    <w:rsid w:val="00893C61"/>
    <w:rsid w:val="008E0E3C"/>
    <w:rsid w:val="008F0160"/>
    <w:rsid w:val="008F6609"/>
    <w:rsid w:val="009A2CC0"/>
    <w:rsid w:val="00AA4AD3"/>
    <w:rsid w:val="00AF6184"/>
    <w:rsid w:val="00B44BF3"/>
    <w:rsid w:val="00C31816"/>
    <w:rsid w:val="00C3206F"/>
    <w:rsid w:val="00C54537"/>
    <w:rsid w:val="00C9793D"/>
    <w:rsid w:val="00D148BA"/>
    <w:rsid w:val="00D324E0"/>
    <w:rsid w:val="00F05D93"/>
    <w:rsid w:val="00F128F4"/>
    <w:rsid w:val="00F22329"/>
    <w:rsid w:val="00FA74C9"/>
    <w:rsid w:val="25F90165"/>
    <w:rsid w:val="2C193C86"/>
    <w:rsid w:val="3C8E59F1"/>
    <w:rsid w:val="3F764649"/>
    <w:rsid w:val="75F75A3F"/>
  </w:rsids>
  <w:docVars>
    <w:docVar w:name="commondata" w:val="eyJoZGlkIjoiZWQ5ZGMzOWU0OWRiY2VkMjQ0YTEwYWMzMTg0NGU2MT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2">
    <w:name w:val="heading 2"/>
    <w:basedOn w:val="Normal"/>
    <w:next w:val="Normal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67BC3-3199-43E7-A498-F272989DB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2974</Words>
  <Characters>3156</Characters>
  <Application>Microsoft Office Word</Application>
  <DocSecurity>0</DocSecurity>
  <Lines>11</Lines>
  <Paragraphs>3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wp</cp:lastModifiedBy>
  <cp:revision>56</cp:revision>
  <dcterms:created xsi:type="dcterms:W3CDTF">2022-12-29T06:40:00Z</dcterms:created>
  <dcterms:modified xsi:type="dcterms:W3CDTF">2023-01-04T09:12:27Z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9C68717027DC4C6BBDD6C34AEAABD2BD</vt:lpwstr>
  </property>
  <property fmtid="{D5CDD505-2E9C-101B-9397-08002B2CF9AE}" pid="3" name="KSOProductBuildVer">
    <vt:lpwstr>2052-11.1.0.12980</vt:lpwstr>
  </property>
</Properties>
</file>