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5.1.0 -->
  <w:body>
    <w:p w14:paraId="178E4FA9">
      <w:pPr>
        <w:jc w:val="center"/>
        <w:rPr>
          <w:rFonts w:hint="eastAsia"/>
          <w:color w:val="000000"/>
        </w:rPr>
      </w:pPr>
    </w:p>
    <w:p w14:paraId="5F837561">
      <w:pPr>
        <w:spacing w:line="20" w:lineRule="exact"/>
        <w:rPr>
          <w:rFonts w:hint="eastAsia"/>
          <w:color w:val="000000"/>
        </w:rPr>
      </w:pPr>
    </w:p>
    <w:p w14:paraId="1E4AF2A6">
      <w:pPr>
        <w:spacing w:line="560" w:lineRule="exact"/>
        <w:jc w:val="center"/>
        <w:rPr>
          <w:rFonts w:ascii="方正小标宋简体" w:eastAsia="方正小标宋简体" w:hAnsi="方正小标宋简体" w:cs="TimesNewRoman" w:hint="eastAsia"/>
          <w:sz w:val="44"/>
          <w:szCs w:val="44"/>
        </w:rPr>
      </w:pPr>
      <w:r>
        <w:rPr>
          <w:rFonts w:ascii="方正小标宋简体" w:eastAsia="方正小标宋简体" w:hAnsi="方正小标宋简体" w:cs="TimesNewRoman" w:hint="eastAsia"/>
          <w:sz w:val="44"/>
          <w:szCs w:val="44"/>
        </w:rPr>
        <w:t>寿县</w:t>
      </w:r>
      <w:r>
        <w:rPr>
          <w:rFonts w:ascii="方正小标宋简体" w:eastAsia="方正小标宋简体" w:hAnsi="方正小标宋简体" w:cs="TimesNewRoman" w:hint="eastAsia"/>
          <w:sz w:val="44"/>
          <w:szCs w:val="44"/>
          <w:lang w:val="en-US" w:eastAsia="zh-CN"/>
        </w:rPr>
        <w:t>茶庵镇卫生院</w:t>
      </w:r>
      <w:r>
        <w:rPr>
          <w:rFonts w:ascii="方正小标宋简体" w:eastAsia="方正小标宋简体" w:hAnsi="方正小标宋简体" w:cs="TimesNewRoman" w:hint="eastAsia"/>
          <w:sz w:val="44"/>
          <w:szCs w:val="44"/>
        </w:rPr>
        <w:t>2025年</w:t>
      </w:r>
    </w:p>
    <w:p w14:paraId="20FF3DC3">
      <w:pPr>
        <w:spacing w:line="560" w:lineRule="exact"/>
        <w:jc w:val="center"/>
        <w:rPr>
          <w:rFonts w:ascii="方正小标宋简体" w:eastAsia="方正小标宋简体" w:hAnsi="方正小标宋简体" w:cs="TimesNewRoman" w:hint="eastAsia"/>
          <w:sz w:val="44"/>
          <w:szCs w:val="44"/>
        </w:rPr>
      </w:pPr>
      <w:r>
        <w:rPr>
          <w:rFonts w:ascii="方正小标宋简体" w:eastAsia="方正小标宋简体" w:hAnsi="方正小标宋简体" w:cs="TimesNewRoman" w:hint="eastAsia"/>
          <w:sz w:val="44"/>
          <w:szCs w:val="44"/>
        </w:rPr>
        <w:t>部门预算</w:t>
      </w:r>
    </w:p>
    <w:p w14:paraId="08DCAFB8">
      <w:pPr>
        <w:pStyle w:val="NormalWeb"/>
        <w:adjustRightInd w:val="0"/>
        <w:snapToGrid w:val="0"/>
        <w:spacing w:line="560" w:lineRule="exact"/>
        <w:jc w:val="center"/>
        <w:outlineLvl w:val="0"/>
        <w:rPr>
          <w:rFonts w:ascii="方正小标宋简体" w:eastAsia="方正小标宋简体" w:hAnsi="方正小标宋简体" w:cs="TimesNewRoman" w:hint="eastAsia"/>
          <w:sz w:val="32"/>
          <w:szCs w:val="32"/>
        </w:rPr>
      </w:pPr>
    </w:p>
    <w:p w14:paraId="656F052D">
      <w:pPr>
        <w:pStyle w:val="NormalWeb"/>
        <w:adjustRightInd w:val="0"/>
        <w:snapToGrid w:val="0"/>
        <w:spacing w:line="560" w:lineRule="exact"/>
        <w:jc w:val="center"/>
        <w:rPr>
          <w:rFonts w:ascii="仿宋_GB2312" w:eastAsia="仿宋_GB2312" w:hAnsi="TimesNewRoman" w:cs="TimesNewRoman" w:hint="eastAsia"/>
          <w:bCs/>
          <w:sz w:val="32"/>
          <w:szCs w:val="32"/>
        </w:rPr>
      </w:pPr>
    </w:p>
    <w:p w14:paraId="7067526D">
      <w:pPr>
        <w:pStyle w:val="NormalWeb"/>
        <w:adjustRightInd w:val="0"/>
        <w:snapToGrid w:val="0"/>
        <w:spacing w:line="560" w:lineRule="exact"/>
        <w:jc w:val="center"/>
        <w:rPr>
          <w:rFonts w:ascii="仿宋_GB2312" w:eastAsia="仿宋_GB2312" w:hAnsi="TimesNewRoman" w:cs="TimesNewRoman" w:hint="eastAsia"/>
          <w:bCs/>
          <w:sz w:val="32"/>
          <w:szCs w:val="32"/>
        </w:rPr>
      </w:pPr>
    </w:p>
    <w:p w14:paraId="402381B1">
      <w:pPr>
        <w:pStyle w:val="NormalWeb"/>
        <w:adjustRightInd w:val="0"/>
        <w:snapToGrid w:val="0"/>
        <w:spacing w:line="560" w:lineRule="exact"/>
        <w:jc w:val="center"/>
        <w:rPr>
          <w:rFonts w:ascii="仿宋_GB2312" w:eastAsia="仿宋_GB2312" w:hAnsi="TimesNewRoman" w:cs="TimesNewRoman" w:hint="eastAsia"/>
          <w:bCs/>
          <w:sz w:val="32"/>
          <w:szCs w:val="32"/>
        </w:rPr>
      </w:pPr>
    </w:p>
    <w:p w14:paraId="30A03FE7">
      <w:pPr>
        <w:pStyle w:val="NormalWeb"/>
        <w:adjustRightInd w:val="0"/>
        <w:snapToGrid w:val="0"/>
        <w:spacing w:line="560" w:lineRule="exact"/>
        <w:jc w:val="center"/>
        <w:rPr>
          <w:rFonts w:ascii="仿宋_GB2312" w:eastAsia="仿宋_GB2312" w:hAnsi="TimesNewRoman" w:cs="TimesNewRoman" w:hint="eastAsia"/>
          <w:bCs/>
          <w:sz w:val="32"/>
          <w:szCs w:val="32"/>
        </w:rPr>
      </w:pPr>
    </w:p>
    <w:p w14:paraId="2D86976A">
      <w:pPr>
        <w:pStyle w:val="NormalWeb"/>
        <w:adjustRightInd w:val="0"/>
        <w:snapToGrid w:val="0"/>
        <w:spacing w:line="560" w:lineRule="exact"/>
        <w:jc w:val="center"/>
        <w:rPr>
          <w:rFonts w:ascii="仿宋_GB2312" w:eastAsia="仿宋_GB2312" w:hAnsi="TimesNewRoman" w:cs="TimesNewRoman" w:hint="eastAsia"/>
          <w:bCs/>
          <w:sz w:val="32"/>
          <w:szCs w:val="32"/>
        </w:rPr>
      </w:pPr>
    </w:p>
    <w:p w14:paraId="1A77D63E">
      <w:pPr>
        <w:pStyle w:val="NormalWeb"/>
        <w:adjustRightInd w:val="0"/>
        <w:snapToGrid w:val="0"/>
        <w:spacing w:line="560" w:lineRule="exact"/>
        <w:jc w:val="center"/>
        <w:rPr>
          <w:rFonts w:ascii="仿宋_GB2312" w:eastAsia="仿宋_GB2312" w:hAnsi="TimesNewRoman" w:cs="TimesNewRoman" w:hint="eastAsia"/>
          <w:bCs/>
          <w:sz w:val="32"/>
          <w:szCs w:val="32"/>
        </w:rPr>
      </w:pPr>
    </w:p>
    <w:p w14:paraId="19EEC1C0">
      <w:pPr>
        <w:pStyle w:val="NormalWeb"/>
        <w:adjustRightInd w:val="0"/>
        <w:snapToGrid w:val="0"/>
        <w:spacing w:line="560" w:lineRule="exact"/>
        <w:jc w:val="center"/>
        <w:rPr>
          <w:rFonts w:ascii="仿宋_GB2312" w:eastAsia="仿宋_GB2312" w:hAnsi="TimesNewRoman" w:cs="TimesNewRoman" w:hint="eastAsia"/>
          <w:bCs/>
          <w:sz w:val="32"/>
          <w:szCs w:val="32"/>
        </w:rPr>
      </w:pPr>
    </w:p>
    <w:p w14:paraId="7A369BDA">
      <w:pPr>
        <w:pStyle w:val="NormalWeb"/>
        <w:adjustRightInd w:val="0"/>
        <w:snapToGrid w:val="0"/>
        <w:spacing w:line="560" w:lineRule="exact"/>
        <w:jc w:val="both"/>
        <w:rPr>
          <w:rFonts w:ascii="仿宋_GB2312" w:eastAsia="仿宋_GB2312" w:hAnsi="TimesNewRoman" w:cs="TimesNewRoman" w:hint="eastAsia"/>
          <w:bCs/>
          <w:sz w:val="32"/>
          <w:szCs w:val="32"/>
        </w:rPr>
      </w:pPr>
    </w:p>
    <w:p w14:paraId="33BE5CD1">
      <w:pPr>
        <w:pStyle w:val="NormalWeb"/>
        <w:adjustRightInd w:val="0"/>
        <w:snapToGrid w:val="0"/>
        <w:spacing w:line="560" w:lineRule="exact"/>
        <w:jc w:val="center"/>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 xml:space="preserve">                         2025年1月</w:t>
      </w:r>
      <w:r>
        <w:rPr>
          <w:rFonts w:ascii="仿宋_GB2312" w:eastAsia="仿宋_GB2312" w:hAnsi="TimesNewRoman" w:cs="TimesNewRoman" w:hint="eastAsia"/>
          <w:bCs/>
          <w:sz w:val="32"/>
          <w:szCs w:val="32"/>
          <w:lang w:val="en-US" w:eastAsia="zh-CN"/>
        </w:rPr>
        <w:t>11</w:t>
      </w:r>
      <w:r>
        <w:rPr>
          <w:rFonts w:ascii="仿宋_GB2312" w:eastAsia="仿宋_GB2312" w:hAnsi="TimesNewRoman" w:cs="TimesNewRoman" w:hint="eastAsia"/>
          <w:bCs/>
          <w:sz w:val="32"/>
          <w:szCs w:val="32"/>
        </w:rPr>
        <w:t>日</w:t>
      </w:r>
    </w:p>
    <w:p w14:paraId="7B8B5E7E">
      <w:pPr>
        <w:pStyle w:val="NormalWeb"/>
        <w:adjustRightInd w:val="0"/>
        <w:snapToGrid w:val="0"/>
        <w:spacing w:line="560" w:lineRule="exact"/>
        <w:jc w:val="center"/>
        <w:rPr>
          <w:rFonts w:ascii="方正小标宋_GBK" w:eastAsia="方正小标宋_GBK" w:hAnsi="TimesNewRoman" w:cs="TimesNewRoman" w:hint="eastAsia"/>
          <w:bCs/>
          <w:sz w:val="44"/>
          <w:szCs w:val="44"/>
        </w:rPr>
      </w:pPr>
    </w:p>
    <w:p w14:paraId="045AF6EF">
      <w:pPr>
        <w:pStyle w:val="NormalWeb"/>
        <w:adjustRightInd w:val="0"/>
        <w:snapToGrid w:val="0"/>
        <w:spacing w:line="560" w:lineRule="exact"/>
        <w:jc w:val="center"/>
        <w:rPr>
          <w:rFonts w:ascii="方正小标宋_GBK" w:eastAsia="方正小标宋_GBK" w:hAnsi="TimesNewRoman" w:cs="TimesNewRoman" w:hint="eastAsia"/>
          <w:bCs/>
          <w:sz w:val="44"/>
          <w:szCs w:val="44"/>
        </w:rPr>
      </w:pPr>
    </w:p>
    <w:p w14:paraId="7FB61F4B">
      <w:pPr>
        <w:pStyle w:val="NormalWeb"/>
        <w:adjustRightInd w:val="0"/>
        <w:snapToGrid w:val="0"/>
        <w:spacing w:line="560" w:lineRule="exact"/>
        <w:jc w:val="both"/>
        <w:rPr>
          <w:rFonts w:ascii="方正小标宋_GBK" w:eastAsia="方正小标宋_GBK" w:hAnsi="TimesNewRoman" w:cs="TimesNewRoman" w:hint="eastAsia"/>
          <w:bCs/>
          <w:sz w:val="44"/>
          <w:szCs w:val="44"/>
        </w:rPr>
      </w:pPr>
    </w:p>
    <w:p w14:paraId="5B9A3342">
      <w:pPr>
        <w:pStyle w:val="NormalWeb"/>
        <w:adjustRightInd w:val="0"/>
        <w:snapToGrid w:val="0"/>
        <w:spacing w:line="560" w:lineRule="exact"/>
        <w:jc w:val="center"/>
        <w:rPr>
          <w:rFonts w:ascii="方正小标宋_GBK" w:eastAsia="方正小标宋_GBK" w:hAnsi="TimesNewRoman" w:cs="TimesNewRoman" w:hint="eastAsia"/>
          <w:bCs/>
          <w:sz w:val="40"/>
          <w:szCs w:val="44"/>
        </w:rPr>
      </w:pPr>
      <w:r>
        <w:rPr>
          <w:rFonts w:ascii="方正小标宋_GBK" w:eastAsia="方正小标宋_GBK" w:hAnsi="TimesNewRoman" w:cs="TimesNewRoman" w:hint="eastAsia"/>
          <w:bCs/>
          <w:sz w:val="40"/>
          <w:szCs w:val="44"/>
        </w:rPr>
        <w:t>目  录</w:t>
      </w:r>
    </w:p>
    <w:p w14:paraId="295F3700">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14:paraId="20649F37">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第一部分 部门</w:t>
      </w:r>
      <w:r>
        <w:rPr>
          <w:rFonts w:ascii="黑体" w:eastAsia="黑体" w:hAnsi="黑体" w:cs="TimesNewRoman"/>
          <w:sz w:val="32"/>
          <w:szCs w:val="32"/>
          <w:u w:val="single"/>
        </w:rPr>
        <w:t>（单位）</w:t>
      </w:r>
      <w:r>
        <w:rPr>
          <w:rFonts w:ascii="黑体" w:eastAsia="黑体" w:hAnsi="黑体" w:cs="TimesNewRoman"/>
          <w:sz w:val="32"/>
          <w:szCs w:val="32"/>
        </w:rPr>
        <w:t>概况</w:t>
      </w:r>
    </w:p>
    <w:p w14:paraId="7A1D4D5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1.主要职责</w:t>
      </w:r>
    </w:p>
    <w:p w14:paraId="50B9BDC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2.部门预算构成</w:t>
      </w:r>
    </w:p>
    <w:p w14:paraId="7B9E2AEC">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3.2025年度主要工作任务</w:t>
      </w:r>
    </w:p>
    <w:p w14:paraId="657268BE">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w:t>
      </w:r>
      <w:r>
        <w:rPr>
          <w:rFonts w:ascii="黑体" w:eastAsia="黑体" w:hAnsi="黑体" w:cs="TimesNewRoman" w:hint="eastAsia"/>
          <w:sz w:val="32"/>
          <w:szCs w:val="32"/>
        </w:rPr>
        <w:t>二</w:t>
      </w:r>
      <w:r>
        <w:rPr>
          <w:rFonts w:ascii="黑体" w:eastAsia="黑体" w:hAnsi="黑体" w:cs="TimesNewRoman"/>
          <w:sz w:val="32"/>
          <w:szCs w:val="32"/>
        </w:rPr>
        <w:t xml:space="preserve">部分 </w:t>
      </w:r>
      <w:r>
        <w:rPr>
          <w:rFonts w:ascii="黑体" w:eastAsia="黑体" w:hAnsi="黑体" w:cs="TimesNewRoman" w:hint="eastAsia"/>
          <w:sz w:val="32"/>
          <w:szCs w:val="32"/>
        </w:rPr>
        <w:t>2025</w:t>
      </w:r>
      <w:r>
        <w:rPr>
          <w:rFonts w:ascii="黑体" w:eastAsia="黑体" w:hAnsi="黑体" w:cs="TimesNewRoman"/>
          <w:sz w:val="32"/>
          <w:szCs w:val="32"/>
        </w:rPr>
        <w:t>年部门（单位）预算情况说明</w:t>
      </w:r>
    </w:p>
    <w:p w14:paraId="681E4C33">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年收支总表的说明</w:t>
      </w:r>
    </w:p>
    <w:p w14:paraId="0AC062BE">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年收入总表的说明</w:t>
      </w:r>
    </w:p>
    <w:p w14:paraId="7F10AC9E">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年支出总表的说明</w:t>
      </w:r>
    </w:p>
    <w:p w14:paraId="589787EE">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年财政拨款收支总表的说明</w:t>
      </w:r>
    </w:p>
    <w:p w14:paraId="43ACD7D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年一般公共预算支出表的说明</w:t>
      </w:r>
    </w:p>
    <w:p w14:paraId="6AB7C952">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年一般公共预算基本支出表的说明</w:t>
      </w:r>
    </w:p>
    <w:p w14:paraId="1B379D8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年政府性基金预算支出表的说明</w:t>
      </w:r>
    </w:p>
    <w:p w14:paraId="1D62207F">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年国有资本经营预算支出表的说明</w:t>
      </w:r>
    </w:p>
    <w:p w14:paraId="55160F0E">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年项目支出表的说明</w:t>
      </w:r>
    </w:p>
    <w:p w14:paraId="10E2A74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年政府采购支出表的说明</w:t>
      </w:r>
    </w:p>
    <w:p w14:paraId="5DFF6B13">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年政府购买服务支出表的说明</w:t>
      </w:r>
    </w:p>
    <w:p w14:paraId="5152EA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default"/>
          <w:bCs/>
          <w:sz w:val="32"/>
          <w:szCs w:val="32"/>
          <w:lang w:val="en-US" w:eastAsia="zh-CN"/>
        </w:rPr>
      </w:pPr>
      <w:r>
        <w:rPr>
          <w:rFonts w:ascii="仿宋_GB2312" w:eastAsia="仿宋_GB2312" w:hAnsi="TimesNewRoman" w:cs="TimesNewRoman" w:hint="eastAsia"/>
          <w:bCs/>
          <w:sz w:val="32"/>
          <w:szCs w:val="32"/>
          <w:lang w:val="en-US" w:eastAsia="zh-CN"/>
        </w:rPr>
        <w:t>12.关于2025年一般公共预算“三公”经费支出情况说明</w:t>
      </w:r>
    </w:p>
    <w:p w14:paraId="501BBA35">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lang w:val="en-US" w:eastAsia="zh-CN"/>
        </w:rPr>
        <w:t>3</w:t>
      </w:r>
      <w:r>
        <w:rPr>
          <w:rFonts w:ascii="仿宋_GB2312" w:eastAsia="仿宋_GB2312" w:hAnsi="TimesNewRoman" w:cs="TimesNewRoman"/>
          <w:bCs/>
          <w:sz w:val="32"/>
          <w:szCs w:val="32"/>
        </w:rPr>
        <w:t>.其他重要事项情况说明</w:t>
      </w:r>
    </w:p>
    <w:p w14:paraId="22A5E3B5">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w:t>
      </w:r>
      <w:r>
        <w:rPr>
          <w:rFonts w:ascii="黑体" w:eastAsia="黑体" w:hAnsi="黑体" w:cs="TimesNewRoman" w:hint="eastAsia"/>
          <w:sz w:val="32"/>
          <w:szCs w:val="32"/>
        </w:rPr>
        <w:t>三</w:t>
      </w:r>
      <w:r>
        <w:rPr>
          <w:rFonts w:ascii="黑体" w:eastAsia="黑体" w:hAnsi="黑体" w:cs="TimesNewRoman"/>
          <w:sz w:val="32"/>
          <w:szCs w:val="32"/>
        </w:rPr>
        <w:t>部分 名词解释</w:t>
      </w:r>
    </w:p>
    <w:p w14:paraId="557F56BA">
      <w:pPr>
        <w:pStyle w:val="NormalWeb"/>
        <w:topLinePunct/>
        <w:adjustRightInd w:val="0"/>
        <w:snapToGrid w:val="0"/>
        <w:spacing w:beforeAutospacing="0" w:afterAutospacing="0" w:line="560" w:lineRule="exact"/>
        <w:jc w:val="both"/>
        <w:rPr>
          <w:rFonts w:ascii="TimesNewRoman" w:eastAsia="黑体" w:hAnsi="TimesNewRoman" w:cs="TimesNewRoman"/>
          <w:bCs/>
          <w:sz w:val="36"/>
          <w:szCs w:val="36"/>
        </w:rPr>
      </w:pPr>
    </w:p>
    <w:p w14:paraId="2015D211">
      <w:pPr>
        <w:pStyle w:val="NormalWeb"/>
        <w:topLinePunct/>
        <w:adjustRightInd w:val="0"/>
        <w:snapToGrid w:val="0"/>
        <w:spacing w:beforeAutospacing="0" w:afterAutospacing="0" w:line="560" w:lineRule="exact"/>
        <w:jc w:val="both"/>
        <w:rPr>
          <w:rFonts w:ascii="TimesNewRoman" w:eastAsia="黑体" w:hAnsi="TimesNewRoman" w:cs="TimesNewRoman"/>
          <w:bCs/>
          <w:sz w:val="36"/>
          <w:szCs w:val="36"/>
        </w:rPr>
      </w:pPr>
    </w:p>
    <w:p w14:paraId="7D4C234C">
      <w:pPr>
        <w:pStyle w:val="NormalWeb"/>
        <w:topLinePunct/>
        <w:adjustRightInd w:val="0"/>
        <w:snapToGrid w:val="0"/>
        <w:spacing w:beforeAutospacing="0" w:afterAutospacing="0" w:line="560" w:lineRule="exact"/>
        <w:ind w:firstLine="2520" w:firstLineChars="700"/>
        <w:jc w:val="both"/>
        <w:rPr>
          <w:rFonts w:ascii="TimesNewRoman" w:eastAsia="黑体" w:hAnsi="TimesNewRoman" w:cs="TimesNewRoman"/>
          <w:bCs/>
          <w:sz w:val="36"/>
          <w:szCs w:val="36"/>
        </w:rPr>
      </w:pPr>
      <w:r>
        <w:rPr>
          <w:rFonts w:ascii="TimesNewRoman" w:eastAsia="黑体" w:hAnsi="TimesNewRoman" w:cs="TimesNewRoman"/>
          <w:bCs/>
          <w:sz w:val="36"/>
          <w:szCs w:val="36"/>
        </w:rPr>
        <w:t>第一部分 部门</w:t>
      </w:r>
      <w:r>
        <w:rPr>
          <w:rFonts w:ascii="TimesNewRoman" w:eastAsia="黑体" w:hAnsi="TimesNewRoman" w:cs="TimesNewRoman"/>
          <w:bCs/>
          <w:sz w:val="36"/>
          <w:szCs w:val="36"/>
          <w:u w:val="single"/>
        </w:rPr>
        <w:t>（单位）</w:t>
      </w:r>
      <w:r>
        <w:rPr>
          <w:rFonts w:ascii="TimesNewRoman" w:eastAsia="黑体" w:hAnsi="TimesNewRoman" w:cs="TimesNewRoman"/>
          <w:bCs/>
          <w:sz w:val="36"/>
          <w:szCs w:val="36"/>
        </w:rPr>
        <w:t>概况</w:t>
      </w:r>
    </w:p>
    <w:p w14:paraId="7DB9C2BC">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14:paraId="0CC03EBD">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一、主要职责</w:t>
      </w:r>
    </w:p>
    <w:p w14:paraId="36238157">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（一）</w:t>
      </w:r>
      <w:r>
        <w:rPr>
          <w:rFonts w:ascii="仿宋_GB2312" w:eastAsia="仿宋_GB2312" w:hAnsi="黑体" w:hint="eastAsia"/>
          <w:bCs/>
          <w:sz w:val="32"/>
          <w:szCs w:val="32"/>
        </w:rPr>
        <w:t>提供</w:t>
      </w:r>
      <w:r>
        <w:rPr>
          <w:rFonts w:ascii="仿宋_GB2312" w:eastAsia="仿宋_GB2312" w:hAnsi="黑体" w:hint="eastAsia"/>
          <w:bCs/>
          <w:sz w:val="32"/>
          <w:szCs w:val="32"/>
          <w:lang w:val="en-US" w:eastAsia="zh-CN"/>
        </w:rPr>
        <w:t>基本</w:t>
      </w:r>
      <w:r>
        <w:rPr>
          <w:rFonts w:ascii="仿宋_GB2312" w:eastAsia="仿宋_GB2312" w:hAnsi="黑体" w:hint="eastAsia"/>
          <w:bCs/>
          <w:sz w:val="32"/>
          <w:szCs w:val="32"/>
        </w:rPr>
        <w:t>公共卫生服务</w:t>
      </w:r>
      <w:r>
        <w:rPr>
          <w:rFonts w:ascii="仿宋_GB2312" w:eastAsia="仿宋_GB2312" w:hAnsi="TimesNewRoman" w:cs="TimesNewRoman" w:hint="eastAsia"/>
          <w:bCs/>
          <w:sz w:val="32"/>
          <w:szCs w:val="32"/>
        </w:rPr>
        <w:t>。</w:t>
      </w:r>
    </w:p>
    <w:p w14:paraId="7A08E721">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（二）</w:t>
      </w:r>
      <w:r>
        <w:rPr>
          <w:rFonts w:ascii="仿宋_GB2312" w:eastAsia="仿宋_GB2312" w:hAnsi="黑体" w:hint="eastAsia"/>
          <w:bCs/>
          <w:sz w:val="32"/>
          <w:szCs w:val="32"/>
        </w:rPr>
        <w:t>提供基本医疗服务。</w:t>
      </w:r>
    </w:p>
    <w:p w14:paraId="4F7B49A3">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lang w:eastAsia="zh-CN"/>
        </w:rPr>
      </w:pPr>
      <w:r>
        <w:rPr>
          <w:rFonts w:ascii="TimesNewRoman" w:eastAsia="仿宋_GB2312" w:hAnsi="TimesNewRoman" w:cs="TimesNewRoman" w:hint="eastAsia"/>
          <w:bCs/>
          <w:sz w:val="32"/>
          <w:szCs w:val="32"/>
          <w:lang w:eastAsia="zh-CN"/>
        </w:rPr>
        <w:t>（</w:t>
      </w:r>
      <w:r>
        <w:rPr>
          <w:rFonts w:ascii="TimesNewRoman" w:eastAsia="仿宋_GB2312" w:hAnsi="TimesNewRoman" w:cs="TimesNewRoman" w:hint="eastAsia"/>
          <w:bCs/>
          <w:sz w:val="32"/>
          <w:szCs w:val="32"/>
          <w:lang w:val="en-US" w:eastAsia="zh-CN"/>
        </w:rPr>
        <w:t>三</w:t>
      </w:r>
      <w:r>
        <w:rPr>
          <w:rFonts w:ascii="TimesNewRoman" w:eastAsia="仿宋_GB2312" w:hAnsi="TimesNewRoman" w:cs="TimesNewRoman" w:hint="eastAsia"/>
          <w:bCs/>
          <w:sz w:val="32"/>
          <w:szCs w:val="32"/>
          <w:lang w:eastAsia="zh-CN"/>
        </w:rPr>
        <w:t>）</w:t>
      </w:r>
      <w:r>
        <w:rPr>
          <w:rFonts w:ascii="仿宋_GB2312" w:eastAsia="仿宋_GB2312" w:hAnsi="黑体" w:hint="eastAsia"/>
          <w:bCs/>
          <w:sz w:val="32"/>
          <w:szCs w:val="32"/>
        </w:rPr>
        <w:t>承担辖区公共卫生管理</w:t>
      </w:r>
      <w:r>
        <w:rPr>
          <w:rFonts w:ascii="仿宋_GB2312" w:eastAsia="仿宋_GB2312" w:hAnsi="黑体" w:hint="eastAsia"/>
          <w:bCs/>
          <w:sz w:val="32"/>
          <w:szCs w:val="32"/>
          <w:lang w:eastAsia="zh-CN"/>
        </w:rPr>
        <w:t>。</w:t>
      </w:r>
    </w:p>
    <w:p w14:paraId="248454B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hint="eastAsia"/>
          <w:b/>
          <w:bCs/>
          <w:sz w:val="32"/>
          <w:szCs w:val="32"/>
          <w:lang w:val="en-US" w:eastAsia="zh-CN"/>
        </w:rPr>
        <w:t>寿县茶庵镇卫生院</w:t>
      </w:r>
      <w:r>
        <w:rPr>
          <w:rFonts w:ascii="楷体_GB2312" w:eastAsia="楷体_GB2312" w:hAnsi="TimesNewRoman" w:cs="TimesNewRoman"/>
          <w:b/>
          <w:bCs/>
          <w:sz w:val="32"/>
          <w:szCs w:val="32"/>
        </w:rPr>
        <w:t>预算构成</w:t>
      </w:r>
    </w:p>
    <w:p w14:paraId="1445DED3">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仿宋_GB2312" w:eastAsia="仿宋_GB2312" w:hAnsi="TimesNewRoman" w:cs="TimesNewRoman" w:hint="eastAsia"/>
          <w:bCs/>
          <w:sz w:val="32"/>
          <w:szCs w:val="32"/>
          <w:u w:val="single"/>
        </w:rPr>
        <w:t>（</w:t>
      </w:r>
      <w:r>
        <w:rPr>
          <w:rFonts w:ascii="仿宋_GB2312" w:eastAsia="仿宋_GB2312" w:hAnsi="TimesNewRoman" w:cs="TimesNewRoman" w:hint="eastAsia"/>
          <w:sz w:val="32"/>
          <w:szCs w:val="32"/>
          <w:u w:val="single"/>
          <w:lang w:val="en-US" w:eastAsia="zh-CN"/>
        </w:rPr>
        <w:t>寿县茶庵镇卫生院</w:t>
      </w:r>
      <w:r>
        <w:rPr>
          <w:rFonts w:ascii="仿宋_GB2312" w:eastAsia="仿宋_GB2312" w:hAnsi="TimesNewRoman" w:cs="TimesNewRoman" w:hint="eastAsia"/>
          <w:sz w:val="32"/>
          <w:szCs w:val="32"/>
          <w:u w:val="single"/>
        </w:rPr>
        <w:t>预算构成：</w:t>
      </w:r>
      <w:r>
        <w:rPr>
          <w:rFonts w:ascii="仿宋_GB2312" w:eastAsia="仿宋_GB2312" w:hAnsi="TimesNewRoman" w:cs="TimesNewRoman" w:hint="eastAsia"/>
          <w:bCs/>
          <w:sz w:val="32"/>
          <w:szCs w:val="32"/>
          <w:u w:val="single"/>
        </w:rPr>
        <w:t>）</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茶庵镇卫生院</w:t>
      </w:r>
      <w:r>
        <w:rPr>
          <w:rFonts w:ascii="仿宋_GB2312" w:eastAsia="仿宋_GB2312" w:hAnsi="TimesNewRoman" w:cs="TimesNewRoman" w:hint="eastAsia"/>
          <w:bCs/>
          <w:sz w:val="32"/>
          <w:szCs w:val="32"/>
        </w:rPr>
        <w:t>2025年度单位预算仅包括单位本级预算，无其他下属单位预算。</w:t>
      </w:r>
    </w:p>
    <w:p w14:paraId="47B18923">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楷体_GB2312" w:eastAsia="楷体_GB2312" w:hAnsi="TimesNewRoman" w:cs="TimesNewRoman" w:hint="eastAsia"/>
          <w:b/>
          <w:bCs/>
          <w:sz w:val="32"/>
          <w:szCs w:val="32"/>
        </w:rPr>
        <w:t>三、2025年度主要工作任务</w:t>
      </w:r>
    </w:p>
    <w:p w14:paraId="5094127C">
      <w:pPr>
        <w:pStyle w:val="NormalWeb"/>
        <w:topLinePunct/>
        <w:adjustRightInd w:val="0"/>
        <w:snapToGrid w:val="0"/>
        <w:spacing w:beforeAutospacing="0" w:afterAutospacing="0" w:line="580" w:lineRule="exact"/>
        <w:ind w:firstLine="640" w:firstLineChars="200"/>
        <w:jc w:val="both"/>
        <w:rPr>
          <w:rFonts w:ascii="仿宋_GB2312" w:eastAsia="仿宋_GB2312" w:hAnsi="黑体" w:hint="eastAsia"/>
          <w:bCs/>
          <w:sz w:val="32"/>
          <w:szCs w:val="32"/>
        </w:rPr>
      </w:pPr>
      <w:r>
        <w:rPr>
          <w:rFonts w:ascii="仿宋_GB2312" w:eastAsia="仿宋_GB2312" w:hAnsi="黑体" w:hint="eastAsia"/>
          <w:bCs/>
          <w:sz w:val="32"/>
          <w:szCs w:val="32"/>
        </w:rPr>
        <w:t>202</w:t>
      </w:r>
      <w:r>
        <w:rPr>
          <w:rFonts w:ascii="仿宋_GB2312" w:eastAsia="仿宋_GB2312" w:hAnsi="黑体" w:hint="eastAsia"/>
          <w:bCs/>
          <w:sz w:val="32"/>
          <w:szCs w:val="32"/>
          <w:lang w:val="en-US" w:eastAsia="zh-CN"/>
        </w:rPr>
        <w:t>5</w:t>
      </w:r>
      <w:r>
        <w:rPr>
          <w:rFonts w:ascii="仿宋_GB2312" w:eastAsia="仿宋_GB2312" w:hAnsi="黑体" w:hint="eastAsia"/>
          <w:bCs/>
          <w:sz w:val="32"/>
          <w:szCs w:val="32"/>
        </w:rPr>
        <w:t>年，茶庵镇卫生院主要任务是：以</w:t>
      </w:r>
      <w:r>
        <w:rPr>
          <w:rFonts w:ascii="仿宋_GB2312" w:eastAsia="仿宋_GB2312" w:hAnsi="黑体" w:hint="eastAsia"/>
          <w:bCs/>
          <w:sz w:val="32"/>
          <w:szCs w:val="32"/>
          <w:lang w:val="en-US" w:eastAsia="zh-CN"/>
        </w:rPr>
        <w:t>基本医疗和</w:t>
      </w:r>
      <w:r>
        <w:rPr>
          <w:rFonts w:ascii="仿宋_GB2312" w:eastAsia="仿宋_GB2312" w:hAnsi="黑体" w:hint="eastAsia"/>
          <w:bCs/>
          <w:sz w:val="32"/>
          <w:szCs w:val="32"/>
        </w:rPr>
        <w:t>公共卫生为主，综合提供预防、保健、基本医疗、健康教育等综合性服务。围绕上述任务，重点抓好以下工作：</w:t>
      </w:r>
    </w:p>
    <w:p w14:paraId="3A4599A6">
      <w:pPr>
        <w:pStyle w:val="NormalWeb"/>
        <w:topLinePunct/>
        <w:adjustRightInd w:val="0"/>
        <w:snapToGrid w:val="0"/>
        <w:spacing w:beforeAutospacing="0" w:afterAutospacing="0" w:line="580" w:lineRule="exact"/>
        <w:ind w:firstLine="640" w:firstLineChars="200"/>
        <w:jc w:val="both"/>
        <w:rPr>
          <w:rFonts w:ascii="仿宋_GB2312" w:eastAsia="仿宋_GB2312" w:hAnsi="黑体" w:hint="eastAsia"/>
          <w:bCs/>
          <w:sz w:val="32"/>
          <w:szCs w:val="32"/>
          <w:lang w:eastAsia="zh-CN"/>
        </w:rPr>
      </w:pPr>
      <w:r>
        <w:rPr>
          <w:rFonts w:ascii="TimesNewRoman" w:eastAsia="仿宋_GB2312" w:hAnsi="TimesNewRoman" w:cs="TimesNewRoman" w:hint="eastAsia"/>
          <w:bCs/>
          <w:sz w:val="32"/>
          <w:szCs w:val="32"/>
        </w:rPr>
        <w:t>（一）</w:t>
      </w:r>
      <w:r>
        <w:rPr>
          <w:rFonts w:ascii="仿宋_GB2312" w:eastAsia="仿宋_GB2312" w:hAnsi="黑体" w:hint="eastAsia"/>
          <w:bCs/>
          <w:sz w:val="32"/>
          <w:szCs w:val="32"/>
        </w:rPr>
        <w:t>健康档案管理及服务</w:t>
      </w:r>
      <w:r>
        <w:rPr>
          <w:rFonts w:ascii="黑体" w:eastAsia="黑体" w:hAnsi="黑体" w:hint="eastAsia"/>
          <w:bCs/>
          <w:sz w:val="32"/>
          <w:szCs w:val="32"/>
        </w:rPr>
        <w:t>。</w:t>
      </w:r>
    </w:p>
    <w:p w14:paraId="22C71386">
      <w:pPr>
        <w:pStyle w:val="NormalWeb"/>
        <w:numPr>
          <w:ilvl w:val="0"/>
          <w:numId w:val="1"/>
        </w:numPr>
        <w:topLinePunct/>
        <w:adjustRightInd w:val="0"/>
        <w:snapToGrid w:val="0"/>
        <w:spacing w:beforeAutospacing="0" w:afterAutospacing="0" w:line="580" w:lineRule="exact"/>
        <w:ind w:firstLine="640" w:firstLineChars="200"/>
        <w:jc w:val="both"/>
        <w:rPr>
          <w:rFonts w:ascii="仿宋_GB2312" w:eastAsia="仿宋_GB2312" w:hAnsi="黑体" w:hint="eastAsia"/>
          <w:bCs/>
          <w:sz w:val="32"/>
          <w:szCs w:val="32"/>
        </w:rPr>
      </w:pPr>
      <w:r>
        <w:rPr>
          <w:rFonts w:ascii="仿宋_GB2312" w:eastAsia="仿宋_GB2312" w:hAnsi="黑体" w:hint="eastAsia"/>
          <w:bCs/>
          <w:sz w:val="32"/>
          <w:szCs w:val="32"/>
        </w:rPr>
        <w:t>治疗一般常见病、多发病，提供基本医疗服务。</w:t>
      </w:r>
    </w:p>
    <w:p w14:paraId="7D2FC704">
      <w:pPr>
        <w:pStyle w:val="NormalWeb"/>
        <w:numPr>
          <w:ilvl w:val="0"/>
          <w:numId w:val="1"/>
        </w:numPr>
        <w:topLinePunct/>
        <w:adjustRightInd w:val="0"/>
        <w:snapToGrid w:val="0"/>
        <w:spacing w:beforeAutospacing="0" w:afterAutospacing="0" w:line="580" w:lineRule="exact"/>
        <w:ind w:firstLine="640" w:firstLineChars="200"/>
        <w:jc w:val="both"/>
        <w:rPr>
          <w:rFonts w:ascii="仿宋_GB2312" w:eastAsia="仿宋_GB2312" w:hAnsi="黑体" w:hint="eastAsia"/>
          <w:bCs/>
          <w:sz w:val="32"/>
          <w:szCs w:val="32"/>
        </w:rPr>
      </w:pPr>
      <w:r>
        <w:rPr>
          <w:rFonts w:ascii="仿宋_GB2312" w:eastAsia="仿宋_GB2312" w:hAnsi="黑体" w:hint="eastAsia"/>
          <w:bCs/>
          <w:sz w:val="32"/>
          <w:szCs w:val="32"/>
        </w:rPr>
        <w:t>普及疾病预防及卫生保健知识，开展健康教育；抓好公共卫生管理及卫生监督工作</w:t>
      </w:r>
      <w:r>
        <w:rPr>
          <w:rFonts w:ascii="仿宋_GB2312" w:eastAsia="仿宋_GB2312" w:hAnsi="黑体" w:hint="eastAsia"/>
          <w:bCs/>
          <w:sz w:val="32"/>
          <w:szCs w:val="32"/>
          <w:lang w:eastAsia="zh-CN"/>
        </w:rPr>
        <w:t>。</w:t>
      </w:r>
    </w:p>
    <w:p w14:paraId="0501177A">
      <w:pPr>
        <w:pStyle w:val="NormalWeb"/>
        <w:topLinePunct/>
        <w:adjustRightInd w:val="0"/>
        <w:snapToGrid w:val="0"/>
        <w:spacing w:beforeAutospacing="0" w:afterAutospacing="0" w:line="580" w:lineRule="exact"/>
        <w:ind w:firstLine="698" w:firstLineChars="218"/>
        <w:jc w:val="both"/>
        <w:rPr>
          <w:rFonts w:ascii="仿宋_GB2312" w:eastAsia="仿宋_GB2312" w:hAnsi="TimesNewRoman" w:cs="TimesNewRoman" w:hint="eastAsia"/>
          <w:bCs/>
          <w:sz w:val="32"/>
          <w:szCs w:val="32"/>
        </w:rPr>
      </w:pPr>
    </w:p>
    <w:p w14:paraId="32B30ABD">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w:t>
      </w:r>
      <w:r>
        <w:rPr>
          <w:rFonts w:ascii="TimesNewRoman" w:eastAsia="黑体" w:hAnsi="TimesNewRoman" w:cs="TimesNewRoman" w:hint="eastAsia"/>
          <w:bCs/>
          <w:sz w:val="36"/>
          <w:szCs w:val="36"/>
        </w:rPr>
        <w:t>二</w:t>
      </w:r>
      <w:r>
        <w:rPr>
          <w:rFonts w:ascii="TimesNewRoman" w:eastAsia="黑体" w:hAnsi="TimesNewRoman" w:cs="TimesNewRoman"/>
          <w:bCs/>
          <w:sz w:val="36"/>
          <w:szCs w:val="36"/>
        </w:rPr>
        <w:t xml:space="preserve">部分 </w:t>
      </w:r>
      <w:r>
        <w:rPr>
          <w:rFonts w:ascii="TimesNewRoman" w:eastAsia="黑体" w:hAnsi="TimesNewRoman" w:cs="TimesNewRoman" w:hint="eastAsia"/>
          <w:bCs/>
          <w:sz w:val="36"/>
          <w:szCs w:val="36"/>
        </w:rPr>
        <w:t>2025</w:t>
      </w:r>
      <w:r>
        <w:rPr>
          <w:rFonts w:ascii="TimesNewRoman" w:eastAsia="黑体" w:hAnsi="TimesNewRoman" w:cs="TimesNewRoman"/>
          <w:bCs/>
          <w:sz w:val="36"/>
          <w:szCs w:val="36"/>
        </w:rPr>
        <w:t>年部门（单位）预算情况说明</w:t>
      </w:r>
    </w:p>
    <w:p w14:paraId="48519C5D">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14:paraId="5C37DE5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一、关于2025年收支总表的说明</w:t>
      </w:r>
    </w:p>
    <w:p w14:paraId="5512DF00">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按照综合预算的原则，寿县</w:t>
      </w:r>
      <w:r>
        <w:rPr>
          <w:rFonts w:ascii="仿宋_GB2312" w:eastAsia="仿宋_GB2312" w:hAnsi="TimesNewRoman" w:cs="TimesNewRoman" w:hint="eastAsia"/>
          <w:sz w:val="32"/>
          <w:szCs w:val="32"/>
          <w:lang w:val="en-US" w:eastAsia="zh-CN"/>
        </w:rPr>
        <w:t>茶庵镇卫生院</w:t>
      </w:r>
      <w:r>
        <w:rPr>
          <w:rFonts w:ascii="仿宋_GB2312" w:eastAsia="仿宋_GB2312" w:hAnsi="TimesNewRoman" w:cs="TimesNewRoman" w:hint="eastAsia"/>
          <w:sz w:val="32"/>
          <w:szCs w:val="32"/>
        </w:rPr>
        <w:t>所有收入和支出均纳</w:t>
      </w:r>
      <w:r>
        <w:rPr>
          <w:rFonts w:ascii="仿宋_GB2312" w:eastAsia="仿宋_GB2312" w:hAnsi="TimesNewRoman" w:cs="TimesNewRoman" w:hint="eastAsia"/>
          <w:sz w:val="32"/>
          <w:szCs w:val="32"/>
          <w:u w:val="none"/>
        </w:rPr>
        <w:t>入</w:t>
      </w:r>
      <w:r>
        <w:rPr>
          <w:rFonts w:ascii="仿宋_GB2312" w:eastAsia="仿宋_GB2312" w:hAnsi="TimesNewRoman" w:cs="TimesNewRoman" w:hint="eastAsia"/>
          <w:sz w:val="32"/>
          <w:szCs w:val="32"/>
          <w:u w:val="none"/>
          <w:lang w:val="en-US" w:eastAsia="zh-CN"/>
        </w:rPr>
        <w:t>寿县茶庵镇卫生院</w:t>
      </w:r>
      <w:r>
        <w:rPr>
          <w:rFonts w:ascii="仿宋_GB2312" w:eastAsia="仿宋_GB2312" w:hAnsi="TimesNewRoman" w:cs="TimesNewRoman" w:hint="eastAsia"/>
          <w:sz w:val="32"/>
          <w:szCs w:val="32"/>
        </w:rPr>
        <w:t>预算管理。寿县</w:t>
      </w:r>
      <w:r>
        <w:rPr>
          <w:rFonts w:ascii="仿宋_GB2312" w:eastAsia="仿宋_GB2312" w:hAnsi="TimesNewRoman" w:cs="TimesNewRoman" w:hint="eastAsia"/>
          <w:sz w:val="32"/>
          <w:szCs w:val="32"/>
          <w:lang w:val="en-US" w:eastAsia="zh-CN"/>
        </w:rPr>
        <w:t>茶庵镇卫生院</w:t>
      </w:r>
      <w:r>
        <w:rPr>
          <w:rFonts w:ascii="仿宋_GB2312" w:eastAsia="仿宋_GB2312" w:hAnsi="TimesNewRoman" w:cs="TimesNewRoman" w:hint="eastAsia"/>
          <w:sz w:val="32"/>
          <w:szCs w:val="32"/>
        </w:rPr>
        <w:t>2025年收支总预算</w:t>
      </w:r>
      <w:r>
        <w:rPr>
          <w:rFonts w:ascii="仿宋_GB2312" w:eastAsia="仿宋_GB2312" w:hAnsi="TimesNewRoman" w:cs="TimesNewRoman" w:hint="eastAsia"/>
          <w:sz w:val="32"/>
          <w:szCs w:val="32"/>
          <w:lang w:val="en-US" w:eastAsia="zh-CN"/>
        </w:rPr>
        <w:t>573.33</w:t>
      </w:r>
      <w:r>
        <w:rPr>
          <w:rFonts w:ascii="仿宋_GB2312" w:eastAsia="仿宋_GB2312" w:hAnsi="TimesNewRoman" w:cs="TimesNewRoman" w:hint="eastAsia"/>
          <w:sz w:val="32"/>
          <w:szCs w:val="32"/>
        </w:rPr>
        <w:t>万元，收入包括一般公共预算拨款收入</w:t>
      </w:r>
      <w:r>
        <w:rPr>
          <w:rFonts w:ascii="仿宋_GB2312" w:eastAsia="仿宋_GB2312" w:hAnsi="TimesNewRoman" w:cs="TimesNewRoman" w:hint="eastAsia"/>
          <w:sz w:val="32"/>
          <w:szCs w:val="32"/>
          <w:lang w:val="en-US" w:eastAsia="zh-CN"/>
        </w:rPr>
        <w:t>173.33万元</w:t>
      </w:r>
      <w:r>
        <w:rPr>
          <w:rFonts w:ascii="仿宋_GB2312" w:eastAsia="仿宋_GB2312" w:hAnsi="TimesNewRoman" w:cs="TimesNewRoman" w:hint="eastAsia"/>
          <w:sz w:val="32"/>
          <w:szCs w:val="32"/>
        </w:rPr>
        <w:t>，支出包括：社会保障和就业支出</w:t>
      </w:r>
      <w:r>
        <w:rPr>
          <w:rFonts w:ascii="仿宋_GB2312" w:eastAsia="仿宋_GB2312" w:hAnsi="TimesNewRoman" w:cs="TimesNewRoman" w:hint="eastAsia"/>
          <w:sz w:val="32"/>
          <w:szCs w:val="32"/>
          <w:lang w:val="en-US" w:eastAsia="zh-CN"/>
        </w:rPr>
        <w:t>42.1万元</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519.04万元</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12.19万元</w:t>
      </w:r>
      <w:r>
        <w:rPr>
          <w:rFonts w:ascii="仿宋_GB2312" w:eastAsia="仿宋_GB2312" w:hAnsi="TimesNewRoman" w:cs="TimesNewRoman" w:hint="eastAsia"/>
          <w:sz w:val="32"/>
          <w:szCs w:val="32"/>
        </w:rPr>
        <w:t>。</w:t>
      </w:r>
    </w:p>
    <w:p w14:paraId="609AFA22">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二、关于2025年收入总表的说明</w:t>
      </w:r>
    </w:p>
    <w:p w14:paraId="4A2FEB0C">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茶庵镇卫生院</w:t>
      </w:r>
      <w:r>
        <w:rPr>
          <w:rFonts w:ascii="仿宋_GB2312" w:eastAsia="仿宋_GB2312" w:hAnsi="TimesNewRoman" w:cs="TimesNewRoman" w:hint="eastAsia"/>
          <w:sz w:val="32"/>
          <w:szCs w:val="32"/>
        </w:rPr>
        <w:t>2025年收入预算</w:t>
      </w:r>
      <w:r>
        <w:rPr>
          <w:rFonts w:ascii="仿宋_GB2312" w:eastAsia="仿宋_GB2312" w:hAnsi="TimesNewRoman" w:cs="TimesNewRoman" w:hint="eastAsia"/>
          <w:sz w:val="32"/>
          <w:szCs w:val="32"/>
          <w:lang w:val="en-US" w:eastAsia="zh-CN"/>
        </w:rPr>
        <w:t>573.33</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573.33</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14:paraId="6AB14728">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lang w:val="en-US" w:eastAsia="zh-CN"/>
        </w:rPr>
        <w:t>573.33</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173.33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30</w:t>
      </w:r>
      <w:r>
        <w:rPr>
          <w:rFonts w:ascii="仿宋_GB2312" w:eastAsia="仿宋_GB2312" w:hAnsi="TimesNewRoman" w:cs="TimesNewRoman" w:hint="eastAsia"/>
          <w:sz w:val="32"/>
          <w:szCs w:val="32"/>
        </w:rPr>
        <w:t>%，比2024年预算减少</w:t>
      </w:r>
      <w:r>
        <w:rPr>
          <w:rFonts w:ascii="仿宋_GB2312" w:eastAsia="仿宋_GB2312" w:hAnsi="TimesNewRoman" w:cs="TimesNewRoman" w:hint="eastAsia"/>
          <w:sz w:val="32"/>
          <w:szCs w:val="32"/>
          <w:lang w:val="en-US" w:eastAsia="zh-CN"/>
        </w:rPr>
        <w:t>9.95</w:t>
      </w:r>
      <w:r>
        <w:rPr>
          <w:rFonts w:ascii="仿宋_GB2312" w:eastAsia="仿宋_GB2312" w:hAnsi="TimesNewRoman" w:cs="TimesNewRoman" w:hint="eastAsia"/>
          <w:sz w:val="32"/>
          <w:szCs w:val="32"/>
        </w:rPr>
        <w:t>万元，下</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lang w:val="en-US" w:eastAsia="zh-CN"/>
        </w:rPr>
        <w:t>人员减少</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400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69</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持平</w:t>
      </w:r>
      <w:r>
        <w:rPr>
          <w:rFonts w:ascii="仿宋_GB2312" w:eastAsia="仿宋_GB2312" w:hAnsi="TimesNewRoman" w:cs="TimesNewRoman" w:hint="eastAsia"/>
          <w:sz w:val="32"/>
          <w:szCs w:val="32"/>
        </w:rPr>
        <w:t>。</w:t>
      </w:r>
    </w:p>
    <w:p w14:paraId="744408C6">
      <w:pPr>
        <w:topLinePunct/>
        <w:adjustRightInd w:val="0"/>
        <w:snapToGrid w:val="0"/>
        <w:spacing w:line="58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（二）上年结转收入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w:t>
      </w:r>
    </w:p>
    <w:p w14:paraId="22A1805B">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三、关于2025年支出总表的说明</w:t>
      </w:r>
    </w:p>
    <w:p w14:paraId="0A74854F">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茶庵镇卫生院</w:t>
      </w:r>
      <w:r>
        <w:rPr>
          <w:rFonts w:ascii="仿宋_GB2312" w:eastAsia="仿宋_GB2312" w:hAnsi="TimesNewRoman" w:cs="TimesNewRoman" w:hint="eastAsia"/>
          <w:sz w:val="32"/>
          <w:szCs w:val="32"/>
        </w:rPr>
        <w:t>2025年支出预算</w:t>
      </w:r>
      <w:r>
        <w:rPr>
          <w:rFonts w:ascii="仿宋_GB2312" w:eastAsia="仿宋_GB2312" w:hAnsi="TimesNewRoman" w:cs="TimesNewRoman" w:hint="eastAsia"/>
          <w:sz w:val="32"/>
          <w:szCs w:val="32"/>
          <w:lang w:val="en-US" w:eastAsia="zh-CN"/>
        </w:rPr>
        <w:t>573.33</w:t>
      </w:r>
      <w:r>
        <w:rPr>
          <w:rFonts w:ascii="仿宋_GB2312" w:eastAsia="仿宋_GB2312" w:hAnsi="TimesNewRoman" w:cs="TimesNewRoman" w:hint="eastAsia"/>
          <w:sz w:val="32"/>
          <w:szCs w:val="32"/>
        </w:rPr>
        <w:t>万元，比2024年预算减少</w:t>
      </w:r>
      <w:r>
        <w:rPr>
          <w:rFonts w:ascii="仿宋_GB2312" w:eastAsia="仿宋_GB2312" w:hAnsi="TimesNewRoman" w:cs="TimesNewRoman" w:hint="eastAsia"/>
          <w:sz w:val="32"/>
          <w:szCs w:val="32"/>
          <w:lang w:val="en-US" w:eastAsia="zh-CN"/>
        </w:rPr>
        <w:t>9.95</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lang w:val="en-US" w:eastAsia="zh-CN"/>
        </w:rPr>
        <w:t>人员减少</w:t>
      </w:r>
      <w:r>
        <w:rPr>
          <w:rFonts w:ascii="仿宋_GB2312" w:eastAsia="仿宋_GB2312" w:hAnsi="TimesNewRoman" w:cs="TimesNewRoman" w:hint="eastAsia"/>
          <w:sz w:val="32"/>
          <w:szCs w:val="32"/>
        </w:rPr>
        <w:t>。其中，基本支出</w:t>
      </w:r>
      <w:r>
        <w:rPr>
          <w:rFonts w:ascii="仿宋_GB2312" w:eastAsia="仿宋_GB2312" w:hAnsi="TimesNewRoman" w:cs="TimesNewRoman" w:hint="eastAsia"/>
          <w:sz w:val="32"/>
          <w:szCs w:val="32"/>
          <w:lang w:val="en-US" w:eastAsia="zh-CN"/>
        </w:rPr>
        <w:t>166.98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29</w:t>
      </w:r>
      <w:r>
        <w:rPr>
          <w:rFonts w:ascii="仿宋_GB2312" w:eastAsia="仿宋_GB2312" w:hAnsi="TimesNewRoman" w:cs="TimesNewRoman" w:hint="eastAsia"/>
          <w:sz w:val="32"/>
          <w:szCs w:val="32"/>
        </w:rPr>
        <w:t>%，主要用于</w:t>
      </w:r>
      <w:r>
        <w:rPr>
          <w:rFonts w:ascii="仿宋_GB2312" w:eastAsia="仿宋_GB2312" w:hAnsi="TimesNewRoman" w:cs="TimesNewRoman" w:hint="eastAsia"/>
          <w:sz w:val="32"/>
          <w:szCs w:val="32"/>
          <w:lang w:val="en-US" w:eastAsia="zh-CN"/>
        </w:rPr>
        <w:t>基本工资、绩效工资、社会保障和就业支出、其他工资福利支出、对个人和家庭的补助</w:t>
      </w:r>
      <w:r>
        <w:rPr>
          <w:rFonts w:ascii="仿宋_GB2312" w:eastAsia="仿宋_GB2312" w:hAnsi="TimesNewRoman" w:cs="TimesNewRoman" w:hint="eastAsia"/>
          <w:sz w:val="32"/>
          <w:szCs w:val="32"/>
        </w:rPr>
        <w:t>；项目支出</w:t>
      </w:r>
      <w:r>
        <w:rPr>
          <w:rFonts w:ascii="仿宋_GB2312" w:eastAsia="仿宋_GB2312" w:hAnsi="TimesNewRoman" w:cs="TimesNewRoman" w:hint="eastAsia"/>
          <w:sz w:val="32"/>
          <w:szCs w:val="32"/>
          <w:lang w:val="en-US" w:eastAsia="zh-CN"/>
        </w:rPr>
        <w:t>6.35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%，主要用于</w:t>
      </w:r>
      <w:r>
        <w:rPr>
          <w:rFonts w:ascii="仿宋_GB2312" w:eastAsia="仿宋_GB2312" w:hAnsi="TimesNewRoman" w:cs="TimesNewRoman" w:hint="eastAsia"/>
          <w:sz w:val="32"/>
          <w:szCs w:val="32"/>
          <w:lang w:val="en-US" w:eastAsia="zh-CN"/>
        </w:rPr>
        <w:t>三年安置（退休）人员补助</w:t>
      </w:r>
      <w:r>
        <w:rPr>
          <w:rFonts w:ascii="仿宋_GB2312" w:eastAsia="仿宋_GB2312" w:hAnsi="TimesNewRoman" w:cs="TimesNewRoman" w:hint="eastAsia"/>
          <w:sz w:val="32"/>
          <w:szCs w:val="32"/>
        </w:rPr>
        <w:t>；；事业单位经营支出</w:t>
      </w:r>
      <w:r>
        <w:rPr>
          <w:rFonts w:ascii="仿宋_GB2312" w:eastAsia="仿宋_GB2312" w:hAnsi="TimesNewRoman" w:cs="TimesNewRoman" w:hint="eastAsia"/>
          <w:sz w:val="32"/>
          <w:szCs w:val="32"/>
          <w:lang w:val="en-US" w:eastAsia="zh-CN"/>
        </w:rPr>
        <w:t>400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70</w:t>
      </w:r>
      <w:r>
        <w:rPr>
          <w:rFonts w:ascii="仿宋_GB2312" w:eastAsia="仿宋_GB2312" w:hAnsi="TimesNewRoman" w:cs="TimesNewRoman" w:hint="eastAsia"/>
          <w:sz w:val="32"/>
          <w:szCs w:val="32"/>
        </w:rPr>
        <w:t>%，主要用于</w:t>
      </w:r>
      <w:r>
        <w:rPr>
          <w:rFonts w:ascii="仿宋_GB2312" w:eastAsia="仿宋_GB2312" w:hAnsi="TimesNewRoman" w:cs="TimesNewRoman" w:hint="eastAsia"/>
          <w:sz w:val="32"/>
          <w:szCs w:val="32"/>
          <w:lang w:val="en-US" w:eastAsia="zh-CN"/>
        </w:rPr>
        <w:t>单位基本支出和药品材料支出</w:t>
      </w:r>
      <w:r>
        <w:rPr>
          <w:rFonts w:ascii="仿宋_GB2312" w:eastAsia="仿宋_GB2312" w:hAnsi="TimesNewRoman" w:cs="TimesNewRoman" w:hint="eastAsia"/>
          <w:sz w:val="32"/>
          <w:szCs w:val="32"/>
        </w:rPr>
        <w:t>。</w:t>
      </w:r>
    </w:p>
    <w:p w14:paraId="728ACFA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四、关于2025年财政拨款收支总表的说明</w:t>
      </w:r>
    </w:p>
    <w:p w14:paraId="0926FEA5">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茶庵镇卫生院</w:t>
      </w:r>
      <w:r>
        <w:rPr>
          <w:rFonts w:ascii="仿宋_GB2312" w:eastAsia="仿宋_GB2312" w:hAnsi="TimesNewRoman" w:cs="TimesNewRoman" w:hint="eastAsia"/>
          <w:sz w:val="32"/>
          <w:szCs w:val="32"/>
        </w:rPr>
        <w:t>2025年财政拨款收支预算</w:t>
      </w:r>
      <w:r>
        <w:rPr>
          <w:rFonts w:ascii="仿宋_GB2312" w:eastAsia="仿宋_GB2312" w:hAnsi="TimesNewRoman" w:cs="TimesNewRoman" w:hint="eastAsia"/>
          <w:sz w:val="32"/>
          <w:szCs w:val="32"/>
          <w:lang w:val="en-US" w:eastAsia="zh-CN"/>
        </w:rPr>
        <w:t>173.33</w:t>
      </w:r>
      <w:r>
        <w:rPr>
          <w:rFonts w:ascii="仿宋_GB2312" w:eastAsia="仿宋_GB2312" w:hAnsi="TimesNewRoman" w:cs="TimesNewRoman" w:hint="eastAsia"/>
          <w:sz w:val="32"/>
          <w:szCs w:val="32"/>
        </w:rPr>
        <w:t>万元。收入按资金来源分为：一般公共预算拨款</w:t>
      </w:r>
      <w:r>
        <w:rPr>
          <w:rFonts w:ascii="仿宋_GB2312" w:eastAsia="仿宋_GB2312" w:hAnsi="TimesNewRoman" w:cs="TimesNewRoman" w:hint="eastAsia"/>
          <w:sz w:val="32"/>
          <w:szCs w:val="32"/>
          <w:lang w:val="en-US" w:eastAsia="zh-CN"/>
        </w:rPr>
        <w:t>173.33</w:t>
      </w:r>
      <w:r>
        <w:rPr>
          <w:rFonts w:ascii="仿宋_GB2312" w:eastAsia="仿宋_GB2312" w:hAnsi="TimesNewRoman" w:cs="TimesNewRoman" w:hint="eastAsia"/>
          <w:sz w:val="32"/>
          <w:szCs w:val="32"/>
        </w:rPr>
        <w:t>万元；按资金年度分为：本年财政拨款收入</w:t>
      </w:r>
      <w:r>
        <w:rPr>
          <w:rFonts w:ascii="仿宋_GB2312" w:eastAsia="仿宋_GB2312" w:hAnsi="TimesNewRoman" w:cs="TimesNewRoman" w:hint="eastAsia"/>
          <w:sz w:val="32"/>
          <w:szCs w:val="32"/>
          <w:lang w:val="en-US" w:eastAsia="zh-CN"/>
        </w:rPr>
        <w:t>173.33</w:t>
      </w:r>
      <w:r>
        <w:rPr>
          <w:rFonts w:ascii="仿宋_GB2312" w:eastAsia="仿宋_GB2312" w:hAnsi="TimesNewRoman" w:cs="TimesNewRoman" w:hint="eastAsia"/>
          <w:sz w:val="32"/>
          <w:szCs w:val="32"/>
        </w:rPr>
        <w:t>万元。支出按功能分类分为：社会保障和就业支出</w:t>
      </w:r>
      <w:r>
        <w:rPr>
          <w:rFonts w:ascii="仿宋_GB2312" w:eastAsia="仿宋_GB2312" w:hAnsi="TimesNewRoman" w:cs="TimesNewRoman" w:hint="eastAsia"/>
          <w:sz w:val="32"/>
          <w:szCs w:val="32"/>
          <w:lang w:val="en-US" w:eastAsia="zh-CN"/>
        </w:rPr>
        <w:t>42.1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24</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119.04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69</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12.19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w:t>
      </w:r>
      <w:r>
        <w:rPr>
          <w:rFonts w:ascii="仿宋_GB2312" w:eastAsia="仿宋_GB2312" w:hAnsi="TimesNewRoman" w:cs="TimesNewRoman" w:hint="eastAsia"/>
          <w:sz w:val="32"/>
          <w:szCs w:val="32"/>
        </w:rPr>
        <w:t>%。</w:t>
      </w:r>
    </w:p>
    <w:p w14:paraId="3FCEA6BF">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五、关于2025年一般公共预算支出表的说明</w:t>
      </w:r>
    </w:p>
    <w:p w14:paraId="5FC28E26">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（一）一般公共预算支出规模变化情况。</w:t>
      </w:r>
    </w:p>
    <w:p w14:paraId="075F2257">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茶庵镇卫生院</w:t>
      </w:r>
      <w:r>
        <w:rPr>
          <w:rFonts w:ascii="仿宋_GB2312" w:eastAsia="仿宋_GB2312" w:hAnsi="TimesNewRoman" w:cs="TimesNewRoman" w:hint="eastAsia"/>
          <w:sz w:val="32"/>
          <w:szCs w:val="32"/>
        </w:rPr>
        <w:t>2025</w:t>
      </w:r>
      <w:bookmarkStart w:id="0" w:name="_GoBack"/>
      <w:bookmarkEnd w:id="0"/>
      <w:r>
        <w:rPr>
          <w:rFonts w:ascii="仿宋_GB2312" w:eastAsia="仿宋_GB2312" w:hAnsi="TimesNewRoman" w:cs="TimesNewRoman" w:hint="eastAsia"/>
          <w:sz w:val="32"/>
          <w:szCs w:val="32"/>
        </w:rPr>
        <w:t>年一般公共预算支出</w:t>
      </w:r>
      <w:r>
        <w:rPr>
          <w:rFonts w:ascii="仿宋_GB2312" w:eastAsia="仿宋_GB2312" w:hAnsi="TimesNewRoman" w:cs="TimesNewRoman" w:hint="eastAsia"/>
          <w:sz w:val="32"/>
          <w:szCs w:val="32"/>
          <w:lang w:val="en-US" w:eastAsia="zh-CN"/>
        </w:rPr>
        <w:t>173.33</w:t>
      </w:r>
      <w:r>
        <w:rPr>
          <w:rFonts w:ascii="仿宋_GB2312" w:eastAsia="仿宋_GB2312" w:hAnsi="TimesNewRoman" w:cs="TimesNewRoman" w:hint="eastAsia"/>
          <w:sz w:val="32"/>
          <w:szCs w:val="32"/>
        </w:rPr>
        <w:t>万元，比2024年预算减少</w:t>
      </w:r>
      <w:r>
        <w:rPr>
          <w:rFonts w:ascii="仿宋_GB2312" w:eastAsia="仿宋_GB2312" w:hAnsi="TimesNewRoman" w:cs="TimesNewRoman" w:hint="eastAsia"/>
          <w:sz w:val="32"/>
          <w:szCs w:val="32"/>
          <w:lang w:val="en-US" w:eastAsia="zh-CN"/>
        </w:rPr>
        <w:t>9.95</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%，主要原因是</w:t>
      </w:r>
      <w:r>
        <w:rPr>
          <w:rFonts w:ascii="仿宋_GB2312" w:eastAsia="仿宋_GB2312" w:hAnsi="TimesNewRoman" w:cs="TimesNewRoman" w:hint="eastAsia"/>
          <w:sz w:val="32"/>
          <w:szCs w:val="32"/>
          <w:lang w:val="en-US" w:eastAsia="zh-CN"/>
        </w:rPr>
        <w:t>人员减少</w:t>
      </w:r>
      <w:r>
        <w:rPr>
          <w:rFonts w:ascii="仿宋_GB2312" w:eastAsia="仿宋_GB2312" w:hAnsi="TimesNewRoman" w:cs="TimesNewRoman" w:hint="eastAsia"/>
          <w:sz w:val="32"/>
          <w:szCs w:val="32"/>
        </w:rPr>
        <w:t>。</w:t>
      </w:r>
    </w:p>
    <w:p w14:paraId="30493B25">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（二）一般公共预算支出结构情况。</w:t>
      </w:r>
    </w:p>
    <w:p w14:paraId="61E340F8">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一般公共服务支出</w:t>
      </w:r>
      <w:r>
        <w:rPr>
          <w:rFonts w:ascii="仿宋_GB2312" w:eastAsia="仿宋_GB2312" w:hAnsi="TimesNewRoman" w:cs="TimesNewRoman" w:hint="eastAsia"/>
          <w:sz w:val="32"/>
          <w:szCs w:val="32"/>
          <w:lang w:val="en-US" w:eastAsia="zh-CN"/>
        </w:rPr>
        <w:t>173.33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30</w:t>
      </w: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lang w:val="en-US" w:eastAsia="zh-CN"/>
        </w:rPr>
        <w:t>42.1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24</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119.04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69</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12.19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w:t>
      </w:r>
      <w:r>
        <w:rPr>
          <w:rFonts w:ascii="仿宋_GB2312" w:eastAsia="仿宋_GB2312" w:hAnsi="TimesNewRoman" w:cs="TimesNewRoman" w:hint="eastAsia"/>
          <w:sz w:val="32"/>
          <w:szCs w:val="32"/>
        </w:rPr>
        <w:t>%。</w:t>
      </w:r>
    </w:p>
    <w:p w14:paraId="00548FEC">
      <w:pPr>
        <w:numPr>
          <w:numId w:val="0"/>
        </w:numPr>
        <w:topLinePunct/>
        <w:adjustRightInd w:val="0"/>
        <w:snapToGrid w:val="0"/>
        <w:spacing w:line="580" w:lineRule="exact"/>
        <w:ind w:left="420" w:firstLine="320" w:leftChars="200" w:firstLineChars="1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lang w:val="en-US" w:eastAsia="zh-CN"/>
        </w:rPr>
        <w:t>（三）</w:t>
      </w:r>
      <w:r>
        <w:rPr>
          <w:rFonts w:ascii="仿宋_GB2312" w:eastAsia="仿宋_GB2312" w:hAnsi="TimesNewRoman" w:cs="TimesNewRoman" w:hint="eastAsia"/>
          <w:b/>
          <w:sz w:val="32"/>
          <w:szCs w:val="32"/>
        </w:rPr>
        <w:t>一般公共预算支出具体使用情况。</w:t>
      </w:r>
    </w:p>
    <w:p w14:paraId="107B9EEB">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1.社会保障和就业支出（类）行政事业单位</w:t>
      </w:r>
      <w:r>
        <w:rPr>
          <w:rFonts w:ascii="仿宋_GB2312" w:eastAsia="仿宋_GB2312" w:hAnsi="TimesNewRoman" w:cs="TimesNewRoman" w:hint="eastAsia"/>
          <w:b/>
          <w:sz w:val="32"/>
          <w:szCs w:val="32"/>
          <w:lang w:val="en-US" w:eastAsia="zh-CN"/>
        </w:rPr>
        <w:t>养老支出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机关事业单位基本养老保险缴费支出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lang w:val="en-US" w:eastAsia="zh-CN"/>
        </w:rPr>
        <w:t>16.3</w:t>
      </w:r>
      <w:r>
        <w:rPr>
          <w:rFonts w:ascii="仿宋_GB2312" w:eastAsia="仿宋_GB2312" w:hAnsi="TimesNewRoman" w:cs="TimesNewRoman" w:hint="eastAsia"/>
          <w:sz w:val="32"/>
          <w:szCs w:val="32"/>
        </w:rPr>
        <w:t>万元，比202</w:t>
      </w:r>
      <w:r>
        <w:rPr>
          <w:rFonts w:ascii="仿宋_GB2312" w:eastAsia="仿宋_GB2312" w:hAnsi="TimesNewRoman" w:cs="TimesNewRoman" w:hint="eastAsia"/>
          <w:sz w:val="32"/>
          <w:szCs w:val="32"/>
          <w:lang w:val="en-US" w:eastAsia="zh-CN"/>
        </w:rPr>
        <w:t>4</w:t>
      </w:r>
      <w:r>
        <w:rPr>
          <w:rFonts w:ascii="仿宋_GB2312" w:eastAsia="仿宋_GB2312" w:hAnsi="TimesNewRoman" w:cs="TimesNewRoman" w:hint="eastAsia"/>
          <w:sz w:val="32"/>
          <w:szCs w:val="32"/>
        </w:rPr>
        <w:t>年预算增加</w:t>
      </w:r>
      <w:r>
        <w:rPr>
          <w:rFonts w:ascii="仿宋_GB2312" w:eastAsia="仿宋_GB2312" w:hAnsi="TimesNewRoman" w:cs="TimesNewRoman" w:hint="eastAsia"/>
          <w:sz w:val="32"/>
          <w:szCs w:val="32"/>
          <w:lang w:val="en-US" w:eastAsia="zh-CN"/>
        </w:rPr>
        <w:t>1.07</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val="en-US" w:eastAsia="zh-CN"/>
        </w:rPr>
        <w:t>下降6.56</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val="en-US" w:eastAsia="zh-CN"/>
        </w:rPr>
        <w:t>减少</w:t>
      </w:r>
      <w:r>
        <w:rPr>
          <w:rFonts w:ascii="仿宋_GB2312" w:eastAsia="仿宋_GB2312" w:hAnsi="TimesNewRoman" w:cs="TimesNewRoman" w:hint="eastAsia"/>
          <w:sz w:val="32"/>
          <w:szCs w:val="32"/>
        </w:rPr>
        <w:t>原因主要是</w:t>
      </w:r>
      <w:r>
        <w:rPr>
          <w:rFonts w:ascii="仿宋_GB2312" w:eastAsia="仿宋_GB2312" w:hAnsi="TimesNewRoman" w:cs="TimesNewRoman" w:hint="eastAsia"/>
          <w:sz w:val="32"/>
          <w:szCs w:val="32"/>
          <w:lang w:val="en-US" w:eastAsia="zh-CN"/>
        </w:rPr>
        <w:t>人员减少</w:t>
      </w:r>
      <w:r>
        <w:rPr>
          <w:rFonts w:ascii="仿宋_GB2312" w:eastAsia="仿宋_GB2312" w:hAnsi="TimesNewRoman" w:cs="TimesNewRoman" w:hint="eastAsia"/>
          <w:sz w:val="32"/>
          <w:szCs w:val="32"/>
        </w:rPr>
        <w:t>。</w:t>
      </w:r>
    </w:p>
    <w:p w14:paraId="67C1017B">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2.社会保障和就业支出（类）行政事业单位</w:t>
      </w:r>
      <w:r>
        <w:rPr>
          <w:rFonts w:ascii="仿宋_GB2312" w:eastAsia="仿宋_GB2312" w:hAnsi="TimesNewRoman" w:cs="TimesNewRoman" w:hint="eastAsia"/>
          <w:b/>
          <w:sz w:val="32"/>
          <w:szCs w:val="32"/>
          <w:lang w:val="en-US" w:eastAsia="zh-CN"/>
        </w:rPr>
        <w:t>养老支出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机关事业单位职业年金缴费支出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lang w:val="en-US" w:eastAsia="zh-CN"/>
        </w:rPr>
        <w:t>8.1</w:t>
      </w:r>
      <w:r>
        <w:rPr>
          <w:rFonts w:ascii="仿宋_GB2312" w:eastAsia="仿宋_GB2312" w:hAnsi="TimesNewRoman" w:cs="TimesNewRoman" w:hint="eastAsia"/>
          <w:sz w:val="32"/>
          <w:szCs w:val="32"/>
        </w:rPr>
        <w:t>万元，比202</w:t>
      </w:r>
      <w:r>
        <w:rPr>
          <w:rFonts w:ascii="仿宋_GB2312" w:eastAsia="仿宋_GB2312" w:hAnsi="TimesNewRoman" w:cs="TimesNewRoman" w:hint="eastAsia"/>
          <w:sz w:val="32"/>
          <w:szCs w:val="32"/>
          <w:lang w:val="en-US" w:eastAsia="zh-CN"/>
        </w:rPr>
        <w:t>4</w:t>
      </w:r>
      <w:r>
        <w:rPr>
          <w:rFonts w:ascii="仿宋_GB2312" w:eastAsia="仿宋_GB2312" w:hAnsi="TimesNewRoman" w:cs="TimesNewRoman" w:hint="eastAsia"/>
          <w:sz w:val="32"/>
          <w:szCs w:val="32"/>
        </w:rPr>
        <w:t>年预算增加</w:t>
      </w:r>
      <w:r>
        <w:rPr>
          <w:rFonts w:ascii="仿宋_GB2312" w:eastAsia="仿宋_GB2312" w:hAnsi="TimesNewRoman" w:cs="TimesNewRoman" w:hint="eastAsia"/>
          <w:sz w:val="32"/>
          <w:szCs w:val="32"/>
          <w:lang w:val="en-US" w:eastAsia="zh-CN"/>
        </w:rPr>
        <w:t>0.59</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val="en-US" w:eastAsia="zh-CN"/>
        </w:rPr>
        <w:t>下降7.28</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val="en-US" w:eastAsia="zh-CN"/>
        </w:rPr>
        <w:t>减少</w:t>
      </w:r>
      <w:r>
        <w:rPr>
          <w:rFonts w:ascii="仿宋_GB2312" w:eastAsia="仿宋_GB2312" w:hAnsi="TimesNewRoman" w:cs="TimesNewRoman" w:hint="eastAsia"/>
          <w:sz w:val="32"/>
          <w:szCs w:val="32"/>
        </w:rPr>
        <w:t>原因主要是</w:t>
      </w:r>
      <w:r>
        <w:rPr>
          <w:rFonts w:ascii="仿宋_GB2312" w:eastAsia="仿宋_GB2312" w:hAnsi="TimesNewRoman" w:cs="TimesNewRoman" w:hint="eastAsia"/>
          <w:sz w:val="32"/>
          <w:szCs w:val="32"/>
          <w:lang w:val="en-US" w:eastAsia="zh-CN"/>
        </w:rPr>
        <w:t>人员减少</w:t>
      </w:r>
      <w:r>
        <w:rPr>
          <w:rFonts w:ascii="仿宋_GB2312" w:eastAsia="仿宋_GB2312" w:hAnsi="TimesNewRoman" w:cs="TimesNewRoman" w:hint="eastAsia"/>
          <w:sz w:val="32"/>
          <w:szCs w:val="32"/>
        </w:rPr>
        <w:t>。</w:t>
      </w:r>
    </w:p>
    <w:p w14:paraId="25946509">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3.社会保障和就业支出（类）</w:t>
      </w:r>
      <w:r>
        <w:rPr>
          <w:rFonts w:ascii="仿宋_GB2312" w:eastAsia="仿宋_GB2312" w:hAnsi="TimesNewRoman" w:cs="TimesNewRoman" w:hint="eastAsia"/>
          <w:b/>
          <w:sz w:val="32"/>
          <w:szCs w:val="32"/>
          <w:lang w:val="en-US" w:eastAsia="zh-CN"/>
        </w:rPr>
        <w:t>其他社会保障和就业支出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其他社会保障和就业支出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lang w:val="en-US" w:eastAsia="zh-CN"/>
        </w:rPr>
        <w:t>0.7</w:t>
      </w:r>
      <w:r>
        <w:rPr>
          <w:rFonts w:ascii="仿宋_GB2312" w:eastAsia="仿宋_GB2312" w:hAnsi="TimesNewRoman" w:cs="TimesNewRoman" w:hint="eastAsia"/>
          <w:sz w:val="32"/>
          <w:szCs w:val="32"/>
        </w:rPr>
        <w:t>万元，比202</w:t>
      </w:r>
      <w:r>
        <w:rPr>
          <w:rFonts w:ascii="仿宋_GB2312" w:eastAsia="仿宋_GB2312" w:hAnsi="TimesNewRoman" w:cs="TimesNewRoman" w:hint="eastAsia"/>
          <w:sz w:val="32"/>
          <w:szCs w:val="32"/>
          <w:lang w:val="en-US" w:eastAsia="zh-CN"/>
        </w:rPr>
        <w:t>4</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lang w:val="en-US" w:eastAsia="zh-CN"/>
        </w:rPr>
        <w:t>减少0.06</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val="en-US" w:eastAsia="zh-CN"/>
        </w:rPr>
        <w:t>下降8.57</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val="en-US" w:eastAsia="zh-CN"/>
        </w:rPr>
        <w:t>减少</w:t>
      </w:r>
      <w:r>
        <w:rPr>
          <w:rFonts w:ascii="仿宋_GB2312" w:eastAsia="仿宋_GB2312" w:hAnsi="TimesNewRoman" w:cs="TimesNewRoman" w:hint="eastAsia"/>
          <w:sz w:val="32"/>
          <w:szCs w:val="32"/>
        </w:rPr>
        <w:t>原因主要是</w:t>
      </w:r>
      <w:r>
        <w:rPr>
          <w:rFonts w:ascii="仿宋_GB2312" w:eastAsia="仿宋_GB2312" w:hAnsi="TimesNewRoman" w:cs="TimesNewRoman" w:hint="eastAsia"/>
          <w:sz w:val="32"/>
          <w:szCs w:val="32"/>
          <w:lang w:val="en-US" w:eastAsia="zh-CN"/>
        </w:rPr>
        <w:t>人员减少</w:t>
      </w:r>
      <w:r>
        <w:rPr>
          <w:rFonts w:ascii="仿宋_GB2312" w:eastAsia="仿宋_GB2312" w:hAnsi="TimesNewRoman" w:cs="TimesNewRoman" w:hint="eastAsia"/>
          <w:sz w:val="32"/>
          <w:szCs w:val="32"/>
        </w:rPr>
        <w:t>。</w:t>
      </w:r>
    </w:p>
    <w:p w14:paraId="62B99247">
      <w:pPr>
        <w:topLinePunct/>
        <w:adjustRightInd w:val="0"/>
        <w:snapToGrid w:val="0"/>
        <w:spacing w:line="580" w:lineRule="exact"/>
        <w:ind w:firstLine="640" w:firstLineChars="200"/>
        <w:rPr>
          <w:rFonts w:ascii="仿宋_GB2312" w:eastAsia="仿宋_GB2312" w:hAnsi="TimesNewRoman" w:cs="TimesNewRoman" w:hint="eastAsia"/>
          <w:sz w:val="32"/>
          <w:szCs w:val="32"/>
          <w:lang w:val="en-US" w:eastAsia="zh-CN"/>
        </w:rPr>
      </w:pPr>
      <w:r>
        <w:rPr>
          <w:rFonts w:ascii="仿宋_GB2312" w:eastAsia="仿宋_GB2312" w:hAnsi="TimesNewRoman" w:cs="TimesNewRoman" w:hint="eastAsia"/>
          <w:b/>
          <w:sz w:val="32"/>
          <w:szCs w:val="32"/>
        </w:rPr>
        <w:t>4.住房保障支出（类）住房改革支出（款）住房公积金（项）</w:t>
      </w:r>
      <w:r>
        <w:rPr>
          <w:rFonts w:ascii="仿宋_GB2312" w:eastAsia="仿宋_GB2312" w:hAnsi="TimesNewRoman" w:cs="TimesNewRoman" w:hint="eastAsia"/>
          <w:sz w:val="32"/>
          <w:szCs w:val="32"/>
        </w:rPr>
        <w:t>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lang w:val="en-US" w:eastAsia="zh-CN"/>
        </w:rPr>
        <w:t>12.2</w:t>
      </w:r>
      <w:r>
        <w:rPr>
          <w:rFonts w:ascii="仿宋_GB2312" w:eastAsia="仿宋_GB2312" w:hAnsi="TimesNewRoman" w:cs="TimesNewRoman" w:hint="eastAsia"/>
          <w:sz w:val="32"/>
          <w:szCs w:val="32"/>
        </w:rPr>
        <w:t>万元，比202</w:t>
      </w:r>
      <w:r>
        <w:rPr>
          <w:rFonts w:ascii="仿宋_GB2312" w:eastAsia="仿宋_GB2312" w:hAnsi="TimesNewRoman" w:cs="TimesNewRoman" w:hint="eastAsia"/>
          <w:sz w:val="32"/>
          <w:szCs w:val="32"/>
          <w:lang w:val="en-US" w:eastAsia="zh-CN"/>
        </w:rPr>
        <w:t>4</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lang w:val="en-US" w:eastAsia="zh-CN"/>
        </w:rPr>
        <w:t>减少0.83</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val="en-US" w:eastAsia="zh-CN"/>
        </w:rPr>
        <w:t>下降6.8</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val="en-US" w:eastAsia="zh-CN"/>
        </w:rPr>
        <w:t>减少</w:t>
      </w:r>
      <w:r>
        <w:rPr>
          <w:rFonts w:ascii="仿宋_GB2312" w:eastAsia="仿宋_GB2312" w:hAnsi="TimesNewRoman" w:cs="TimesNewRoman" w:hint="eastAsia"/>
          <w:sz w:val="32"/>
          <w:szCs w:val="32"/>
        </w:rPr>
        <w:t>原因主要是</w:t>
      </w:r>
      <w:r>
        <w:rPr>
          <w:rFonts w:ascii="仿宋_GB2312" w:eastAsia="仿宋_GB2312" w:hAnsi="TimesNewRoman" w:cs="TimesNewRoman" w:hint="eastAsia"/>
          <w:sz w:val="32"/>
          <w:szCs w:val="32"/>
          <w:lang w:val="en-US" w:eastAsia="zh-CN"/>
        </w:rPr>
        <w:t>人员减少。</w:t>
      </w:r>
    </w:p>
    <w:p w14:paraId="0ED40EB1">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5</w:t>
      </w:r>
      <w:r>
        <w:rPr>
          <w:rFonts w:ascii="仿宋_GB2312" w:eastAsia="仿宋_GB2312" w:hAnsi="TimesNewRoman" w:cs="TimesNewRoman" w:hint="eastAsia"/>
          <w:b/>
          <w:sz w:val="32"/>
          <w:szCs w:val="32"/>
        </w:rPr>
        <w:t>.</w:t>
      </w:r>
      <w:r>
        <w:rPr>
          <w:rFonts w:ascii="仿宋_GB2312" w:eastAsia="仿宋_GB2312" w:hAnsi="TimesNewRoman" w:cs="TimesNewRoman" w:hint="eastAsia"/>
          <w:b/>
          <w:sz w:val="32"/>
          <w:szCs w:val="32"/>
          <w:lang w:val="en-US" w:eastAsia="zh-CN"/>
        </w:rPr>
        <w:t>卫生健康支出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lang w:val="en-US" w:eastAsia="zh-CN"/>
        </w:rPr>
        <w:t>基层医疗卫生机构</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乡镇卫生院</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lang w:val="en-US" w:eastAsia="zh-CN"/>
        </w:rPr>
        <w:t>2025年预算112万元，比2024年预算减少23.59万元，增长21.06%，减少</w:t>
      </w:r>
      <w:r>
        <w:rPr>
          <w:rFonts w:ascii="仿宋_GB2312" w:eastAsia="仿宋_GB2312" w:hAnsi="TimesNewRoman" w:cs="TimesNewRoman" w:hint="eastAsia"/>
          <w:sz w:val="32"/>
          <w:szCs w:val="32"/>
        </w:rPr>
        <w:t>原因主要是</w:t>
      </w:r>
      <w:r>
        <w:rPr>
          <w:rFonts w:ascii="仿宋_GB2312" w:eastAsia="仿宋_GB2312" w:hAnsi="TimesNewRoman" w:cs="TimesNewRoman" w:hint="eastAsia"/>
          <w:sz w:val="32"/>
          <w:szCs w:val="32"/>
          <w:lang w:val="en-US" w:eastAsia="zh-CN"/>
        </w:rPr>
        <w:t>人员减少</w:t>
      </w:r>
      <w:r>
        <w:rPr>
          <w:rFonts w:ascii="仿宋_GB2312" w:eastAsia="仿宋_GB2312" w:hAnsi="TimesNewRoman" w:cs="TimesNewRoman" w:hint="eastAsia"/>
          <w:sz w:val="32"/>
          <w:szCs w:val="32"/>
        </w:rPr>
        <w:t>。</w:t>
      </w:r>
    </w:p>
    <w:p w14:paraId="5BF90A97">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lang w:val="en-US" w:eastAsia="zh-CN"/>
        </w:rPr>
        <w:t>6</w:t>
      </w:r>
      <w:r>
        <w:rPr>
          <w:rFonts w:ascii="仿宋_GB2312" w:eastAsia="仿宋_GB2312" w:hAnsi="TimesNewRoman" w:cs="TimesNewRoman" w:hint="eastAsia"/>
          <w:b/>
          <w:sz w:val="32"/>
          <w:szCs w:val="32"/>
        </w:rPr>
        <w:t>.</w:t>
      </w:r>
      <w:r>
        <w:rPr>
          <w:rFonts w:ascii="仿宋_GB2312" w:eastAsia="仿宋_GB2312" w:hAnsi="TimesNewRoman" w:cs="TimesNewRoman" w:hint="eastAsia"/>
          <w:b/>
          <w:sz w:val="32"/>
          <w:szCs w:val="32"/>
          <w:lang w:val="en-US" w:eastAsia="zh-CN"/>
        </w:rPr>
        <w:t>卫生健康支出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lang w:val="en-US" w:eastAsia="zh-CN"/>
        </w:rPr>
        <w:t>行政事业单位医疗</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事业单位医疗</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lang w:val="en-US" w:eastAsia="zh-CN"/>
        </w:rPr>
        <w:t>2024年预算7万元，比2024年预算减少0.49万元，下降7%，减少</w:t>
      </w:r>
      <w:r>
        <w:rPr>
          <w:rFonts w:ascii="仿宋_GB2312" w:eastAsia="仿宋_GB2312" w:hAnsi="TimesNewRoman" w:cs="TimesNewRoman" w:hint="eastAsia"/>
          <w:sz w:val="32"/>
          <w:szCs w:val="32"/>
        </w:rPr>
        <w:t>原因主要是</w:t>
      </w:r>
      <w:r>
        <w:rPr>
          <w:rFonts w:ascii="仿宋_GB2312" w:eastAsia="仿宋_GB2312" w:hAnsi="TimesNewRoman" w:cs="TimesNewRoman" w:hint="eastAsia"/>
          <w:sz w:val="32"/>
          <w:szCs w:val="32"/>
          <w:lang w:val="en-US" w:eastAsia="zh-CN"/>
        </w:rPr>
        <w:t>人员减少。</w:t>
      </w:r>
    </w:p>
    <w:p w14:paraId="56F7D37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六、关于2025年一般公共预算基本支出表的说明</w:t>
      </w:r>
    </w:p>
    <w:p w14:paraId="05667D3B">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茶庵镇卫生院</w:t>
      </w:r>
      <w:r>
        <w:rPr>
          <w:rFonts w:ascii="仿宋_GB2312" w:eastAsia="仿宋_GB2312" w:hAnsi="TimesNewRoman" w:cs="TimesNewRoman" w:hint="eastAsia"/>
          <w:sz w:val="32"/>
          <w:szCs w:val="32"/>
        </w:rPr>
        <w:t>2025年一般公共预算基本支出</w:t>
      </w:r>
      <w:r>
        <w:rPr>
          <w:rFonts w:ascii="仿宋_GB2312" w:eastAsia="仿宋_GB2312" w:hAnsi="TimesNewRoman" w:cs="TimesNewRoman" w:hint="eastAsia"/>
          <w:sz w:val="32"/>
          <w:szCs w:val="32"/>
          <w:lang w:val="en-US" w:eastAsia="zh-CN"/>
        </w:rPr>
        <w:t>173.33</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173.33</w:t>
      </w:r>
      <w:r>
        <w:rPr>
          <w:rFonts w:ascii="仿宋_GB2312" w:eastAsia="仿宋_GB2312" w:hAnsi="TimesNewRoman" w:cs="TimesNewRoman" w:hint="eastAsia"/>
          <w:sz w:val="32"/>
          <w:szCs w:val="32"/>
        </w:rPr>
        <w:t>万元。</w:t>
      </w:r>
    </w:p>
    <w:p w14:paraId="6D956A34">
      <w:pPr>
        <w:topLinePunct/>
        <w:spacing w:line="580" w:lineRule="exact"/>
        <w:ind w:firstLine="640" w:firstLineChars="200"/>
        <w:rPr>
          <w:rFonts w:ascii="仿宋_GB2312" w:eastAsia="仿宋_GB2312" w:hAnsi="TimesNewRoman" w:cs="TimesNewRoman" w:hint="eastAsia"/>
          <w:sz w:val="32"/>
          <w:szCs w:val="32"/>
          <w:highlight w:val="none"/>
        </w:rPr>
      </w:pPr>
      <w:r>
        <w:rPr>
          <w:rFonts w:ascii="仿宋_GB2312" w:eastAsia="仿宋_GB2312" w:hAnsi="TimesNewRoman" w:cs="TimesNewRoman" w:hint="eastAsia"/>
          <w:sz w:val="32"/>
          <w:szCs w:val="32"/>
        </w:rPr>
        <w:t>（一）人员经费</w:t>
      </w:r>
      <w:r>
        <w:rPr>
          <w:rFonts w:ascii="仿宋_GB2312" w:eastAsia="仿宋_GB2312" w:hAnsi="TimesNewRoman" w:cs="TimesNewRoman" w:hint="eastAsia"/>
          <w:sz w:val="32"/>
          <w:szCs w:val="32"/>
          <w:lang w:val="en-US" w:eastAsia="zh-CN"/>
        </w:rPr>
        <w:t>173.33</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highlight w:val="none"/>
          <w:u w:val="single"/>
        </w:rPr>
        <w:t>基本工资、绩效工资、机关事业单位基本养老保险费、职业年金缴费、职工基本医疗保险缴费、住房公积金、</w:t>
      </w:r>
      <w:r>
        <w:rPr>
          <w:rFonts w:ascii="仿宋_GB2312" w:eastAsia="仿宋_GB2312" w:hAnsi="TimesNewRoman" w:cs="TimesNewRoman" w:hint="eastAsia"/>
          <w:sz w:val="32"/>
          <w:szCs w:val="32"/>
          <w:highlight w:val="none"/>
          <w:u w:val="single"/>
          <w:lang w:val="en-US" w:eastAsia="zh-CN"/>
        </w:rPr>
        <w:t>福利费</w:t>
      </w:r>
      <w:r>
        <w:rPr>
          <w:rFonts w:ascii="仿宋_GB2312" w:eastAsia="仿宋_GB2312" w:hAnsi="TimesNewRoman" w:cs="TimesNewRoman" w:hint="eastAsia"/>
          <w:sz w:val="32"/>
          <w:szCs w:val="32"/>
          <w:highlight w:val="none"/>
          <w:u w:val="single"/>
        </w:rPr>
        <w:t>、其他工资福利支出、对其他个人和家庭的补助支出。</w:t>
      </w:r>
    </w:p>
    <w:p w14:paraId="1DF1D4B8">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七、关于2025年政府性基金预算支出表的说明</w:t>
      </w:r>
    </w:p>
    <w:p w14:paraId="3A1DDC7B">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茶庵镇卫生院</w:t>
      </w:r>
      <w:r>
        <w:rPr>
          <w:rFonts w:ascii="仿宋_GB2312" w:eastAsia="仿宋_GB2312" w:hAnsi="TimesNewRoman" w:cs="TimesNewRoman" w:hint="eastAsia"/>
          <w:sz w:val="32"/>
          <w:szCs w:val="32"/>
        </w:rPr>
        <w:t>2025年没有政府性基金预算拨款收入，也没有使用政府性基金预算拨款安排的支出。</w:t>
      </w:r>
    </w:p>
    <w:p w14:paraId="4608B2AF">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八、关于2025年国有资本经营预算支出表的说明</w:t>
      </w:r>
    </w:p>
    <w:p w14:paraId="3B3C167D">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茶庵镇卫生院</w:t>
      </w:r>
      <w:r>
        <w:rPr>
          <w:rFonts w:ascii="仿宋_GB2312" w:eastAsia="仿宋_GB2312" w:hAnsi="TimesNewRoman" w:cs="TimesNewRoman" w:hint="eastAsia"/>
          <w:sz w:val="32"/>
          <w:szCs w:val="32"/>
        </w:rPr>
        <w:t>2025年没有国有资本经营预算拨款收入，也没有使用国有资本经营预算拨款安排的支出。</w:t>
      </w:r>
    </w:p>
    <w:p w14:paraId="0CDC8D4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九、关于2025年项目支出表的说明</w:t>
      </w:r>
    </w:p>
    <w:p w14:paraId="0D386749">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茶庵镇卫生院</w:t>
      </w:r>
      <w:r>
        <w:rPr>
          <w:rFonts w:ascii="仿宋_GB2312" w:eastAsia="仿宋_GB2312" w:hAnsi="TimesNewRoman" w:cs="TimesNewRoman" w:hint="eastAsia"/>
          <w:sz w:val="32"/>
          <w:szCs w:val="32"/>
        </w:rPr>
        <w:t>2025年预算共安排项目支出</w:t>
      </w:r>
      <w:r>
        <w:rPr>
          <w:rFonts w:ascii="仿宋_GB2312" w:eastAsia="仿宋_GB2312" w:hAnsi="TimesNewRoman" w:cs="TimesNewRoman" w:hint="eastAsia"/>
          <w:sz w:val="32"/>
          <w:szCs w:val="32"/>
          <w:lang w:val="en-US" w:eastAsia="zh-CN"/>
        </w:rPr>
        <w:t>6.35</w:t>
      </w:r>
      <w:r>
        <w:rPr>
          <w:rFonts w:ascii="仿宋_GB2312" w:eastAsia="仿宋_GB2312" w:hAnsi="TimesNewRoman" w:cs="TimesNewRoman" w:hint="eastAsia"/>
          <w:sz w:val="32"/>
          <w:szCs w:val="32"/>
        </w:rPr>
        <w:t>万元，比2024年预算减少</w:t>
      </w:r>
      <w:r>
        <w:rPr>
          <w:rFonts w:ascii="仿宋_GB2312" w:eastAsia="仿宋_GB2312" w:hAnsi="TimesNewRoman" w:cs="TimesNewRoman" w:hint="eastAsia"/>
          <w:sz w:val="32"/>
          <w:szCs w:val="32"/>
          <w:lang w:val="en-US" w:eastAsia="zh-CN"/>
        </w:rPr>
        <w:t>0.22</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lang w:val="en-US" w:eastAsia="zh-CN"/>
        </w:rPr>
        <w:t>3</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lang w:val="en-US" w:eastAsia="zh-CN"/>
        </w:rPr>
        <w:t>项目较2024年度减少</w:t>
      </w:r>
      <w:r>
        <w:rPr>
          <w:rFonts w:ascii="仿宋_GB2312" w:eastAsia="仿宋_GB2312" w:hAnsi="TimesNewRoman" w:cs="TimesNewRoman" w:hint="eastAsia"/>
          <w:sz w:val="32"/>
          <w:szCs w:val="32"/>
        </w:rPr>
        <w:t>。主要包括：本年财政拨款安排</w:t>
      </w:r>
      <w:r>
        <w:rPr>
          <w:rFonts w:ascii="仿宋_GB2312" w:eastAsia="仿宋_GB2312" w:hAnsi="TimesNewRoman" w:cs="TimesNewRoman" w:hint="eastAsia"/>
          <w:sz w:val="32"/>
          <w:szCs w:val="32"/>
          <w:lang w:val="en-US" w:eastAsia="zh-CN"/>
        </w:rPr>
        <w:t>6.35</w:t>
      </w:r>
      <w:r>
        <w:rPr>
          <w:rFonts w:ascii="仿宋_GB2312" w:eastAsia="仿宋_GB2312" w:hAnsi="TimesNewRoman" w:cs="TimesNewRoman" w:hint="eastAsia"/>
          <w:sz w:val="32"/>
          <w:szCs w:val="32"/>
        </w:rPr>
        <w:t>万元（其中，一般公共预算拨款安排</w:t>
      </w:r>
      <w:r>
        <w:rPr>
          <w:rFonts w:ascii="仿宋_GB2312" w:eastAsia="仿宋_GB2312" w:hAnsi="TimesNewRoman" w:cs="TimesNewRoman" w:hint="eastAsia"/>
          <w:sz w:val="32"/>
          <w:szCs w:val="32"/>
          <w:lang w:val="en-US" w:eastAsia="zh-CN"/>
        </w:rPr>
        <w:t>6.35</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w:t>
      </w:r>
    </w:p>
    <w:p w14:paraId="5EBBC8F2">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十、关于2025年政府采购支出表的说明</w:t>
      </w:r>
    </w:p>
    <w:p w14:paraId="1A40E798">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茶庵镇卫生院</w:t>
      </w:r>
      <w:r>
        <w:rPr>
          <w:rFonts w:ascii="仿宋_GB2312" w:eastAsia="仿宋_GB2312" w:hAnsi="TimesNewRoman" w:cs="TimesNewRoman" w:hint="eastAsia"/>
          <w:sz w:val="32"/>
          <w:szCs w:val="32"/>
        </w:rPr>
        <w:t>2025年预算安排政府采购支出</w:t>
      </w:r>
      <w:r>
        <w:rPr>
          <w:rFonts w:ascii="仿宋_GB2312" w:eastAsia="仿宋_GB2312" w:hAnsi="TimesNewRoman" w:cs="TimesNewRoman" w:hint="eastAsia"/>
          <w:sz w:val="32"/>
          <w:szCs w:val="32"/>
          <w:lang w:val="en-US" w:eastAsia="zh-CN"/>
        </w:rPr>
        <w:t>14.54</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val="en-US" w:eastAsia="zh-CN"/>
        </w:rPr>
        <w:t>与</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持平</w:t>
      </w:r>
      <w:r>
        <w:rPr>
          <w:rFonts w:ascii="仿宋_GB2312" w:eastAsia="仿宋_GB2312" w:hAnsi="TimesNewRoman" w:cs="TimesNewRoman" w:hint="eastAsia"/>
          <w:sz w:val="32"/>
          <w:szCs w:val="32"/>
        </w:rPr>
        <w:t>。</w:t>
      </w:r>
    </w:p>
    <w:p w14:paraId="6B986E15">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十一、关于2025年政府购买服务支出表的说明</w:t>
      </w:r>
    </w:p>
    <w:p w14:paraId="203BF712">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茶庵镇卫生院</w:t>
      </w:r>
      <w:r>
        <w:rPr>
          <w:rFonts w:ascii="仿宋_GB2312" w:eastAsia="仿宋_GB2312" w:hAnsi="TimesNewRoman" w:cs="TimesNewRoman" w:hint="eastAsia"/>
          <w:sz w:val="32"/>
          <w:szCs w:val="32"/>
        </w:rPr>
        <w:t>2025年没有安排政府购买服务支出。</w:t>
      </w:r>
    </w:p>
    <w:p w14:paraId="5FC45FEF">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kern w:val="0"/>
          <w:sz w:val="32"/>
          <w:szCs w:val="32"/>
          <w:lang w:val="en-US" w:eastAsia="zh-CN"/>
        </w:rPr>
      </w:pPr>
      <w:r>
        <w:rPr>
          <w:rFonts w:ascii="楷体_GB2312" w:eastAsia="楷体_GB2312" w:hAnsi="TimesNewRoman" w:cs="TimesNewRoman" w:hint="eastAsia"/>
          <w:b/>
          <w:sz w:val="32"/>
          <w:szCs w:val="32"/>
        </w:rPr>
        <w:t>十二、</w:t>
      </w:r>
      <w:r>
        <w:rPr>
          <w:rFonts w:ascii="楷体_GB2312" w:eastAsia="楷体_GB2312" w:hAnsi="TimesNewRoman" w:cs="TimesNewRoman" w:hint="eastAsia"/>
          <w:b/>
          <w:sz w:val="32"/>
          <w:szCs w:val="32"/>
          <w:lang w:eastAsia="zh-CN"/>
        </w:rPr>
        <w:t>关于</w:t>
      </w:r>
      <w:r>
        <w:rPr>
          <w:rFonts w:ascii="楷体_GB2312" w:eastAsia="楷体_GB2312" w:hAnsi="TimesNewRoman" w:cs="TimesNewRoman" w:hint="eastAsia"/>
          <w:b/>
          <w:sz w:val="32"/>
          <w:szCs w:val="32"/>
        </w:rPr>
        <w:t>2025</w:t>
      </w:r>
      <w:r>
        <w:rPr>
          <w:rFonts w:ascii="楷体_GB2312" w:eastAsia="楷体_GB2312" w:hAnsi="TimesNewRoman" w:cs="TimesNewRoman"/>
          <w:b/>
          <w:sz w:val="32"/>
          <w:szCs w:val="32"/>
        </w:rPr>
        <w:t>年一般公共预算“三公”经费支出情况说明</w:t>
      </w:r>
    </w:p>
    <w:p w14:paraId="6276E5D1">
      <w:pPr>
        <w:adjustRightInd w:val="0"/>
        <w:snapToGrid w:val="0"/>
        <w:spacing w:line="560" w:lineRule="exact"/>
        <w:ind w:firstLine="640" w:firstLineChars="200"/>
        <w:rPr>
          <w:rFonts w:ascii="仿宋_GB2312" w:eastAsia="仿宋_GB2312" w:hAnsi="TimesNewRoman" w:cs="TimesNewRoman" w:hint="default"/>
          <w:kern w:val="0"/>
          <w:sz w:val="32"/>
          <w:szCs w:val="32"/>
          <w:lang w:val="en-US" w:eastAsia="zh-CN"/>
        </w:rPr>
      </w:pPr>
      <w:r>
        <w:rPr>
          <w:rFonts w:ascii="仿宋_GB2312" w:eastAsia="仿宋_GB2312" w:hAnsi="TimesNewRoman" w:cs="TimesNewRoman" w:hint="default"/>
          <w:kern w:val="0"/>
          <w:sz w:val="32"/>
          <w:szCs w:val="32"/>
          <w:lang w:val="en-US" w:eastAsia="zh-CN"/>
        </w:rPr>
        <w:t>寿县</w:t>
      </w:r>
      <w:r>
        <w:rPr>
          <w:rFonts w:ascii="仿宋_GB2312" w:eastAsia="仿宋_GB2312" w:hAnsi="TimesNewRoman" w:cs="TimesNewRoman" w:hint="eastAsia"/>
          <w:kern w:val="0"/>
          <w:sz w:val="32"/>
          <w:szCs w:val="32"/>
          <w:lang w:val="en-US" w:eastAsia="zh-CN"/>
        </w:rPr>
        <w:t>茶庵</w:t>
      </w:r>
      <w:r>
        <w:rPr>
          <w:rFonts w:ascii="仿宋_GB2312" w:eastAsia="仿宋_GB2312" w:hAnsi="TimesNewRoman" w:cs="TimesNewRoman" w:hint="default"/>
          <w:kern w:val="0"/>
          <w:sz w:val="32"/>
          <w:szCs w:val="32"/>
          <w:lang w:val="en-US" w:eastAsia="zh-CN"/>
        </w:rPr>
        <w:t>镇卫生院 2024 年一般公共预算“三公”经费支出</w:t>
      </w:r>
    </w:p>
    <w:p w14:paraId="7504999F">
      <w:pPr>
        <w:adjustRightInd w:val="0"/>
        <w:snapToGrid w:val="0"/>
        <w:spacing w:line="560" w:lineRule="exact"/>
        <w:rPr>
          <w:rFonts w:ascii="仿宋_GB2312" w:eastAsia="仿宋_GB2312" w:hAnsi="TimesNewRoman" w:cs="TimesNewRoman" w:hint="default"/>
          <w:kern w:val="0"/>
          <w:sz w:val="32"/>
          <w:szCs w:val="32"/>
          <w:lang w:val="en-US" w:eastAsia="zh-CN"/>
        </w:rPr>
      </w:pPr>
      <w:r>
        <w:rPr>
          <w:rFonts w:ascii="仿宋_GB2312" w:eastAsia="仿宋_GB2312" w:hAnsi="TimesNewRoman" w:cs="TimesNewRoman" w:hint="default"/>
          <w:kern w:val="0"/>
          <w:sz w:val="32"/>
          <w:szCs w:val="32"/>
          <w:lang w:val="en-US" w:eastAsia="zh-CN"/>
        </w:rPr>
        <w:t>预算为0万元。其中:因公出国(境)费支出预算为0万元，公</w:t>
      </w:r>
    </w:p>
    <w:p w14:paraId="406C0E51">
      <w:pPr>
        <w:adjustRightInd w:val="0"/>
        <w:snapToGrid w:val="0"/>
        <w:spacing w:line="560" w:lineRule="exact"/>
        <w:rPr>
          <w:rFonts w:ascii="仿宋_GB2312" w:eastAsia="仿宋_GB2312" w:hAnsi="TimesNewRoman" w:cs="TimesNewRoman" w:hint="default"/>
          <w:kern w:val="0"/>
          <w:sz w:val="32"/>
          <w:szCs w:val="32"/>
          <w:lang w:val="en-US" w:eastAsia="zh-CN"/>
        </w:rPr>
      </w:pPr>
      <w:r>
        <w:rPr>
          <w:rFonts w:ascii="仿宋_GB2312" w:eastAsia="仿宋_GB2312" w:hAnsi="TimesNewRoman" w:cs="TimesNewRoman" w:hint="default"/>
          <w:kern w:val="0"/>
          <w:sz w:val="32"/>
          <w:szCs w:val="32"/>
          <w:lang w:val="en-US" w:eastAsia="zh-CN"/>
        </w:rPr>
        <w:t>务接待费支出预算为0万元，公务用车购置及运行费支出预算为</w:t>
      </w:r>
    </w:p>
    <w:p w14:paraId="6C51B3F4">
      <w:pPr>
        <w:adjustRightInd w:val="0"/>
        <w:snapToGrid w:val="0"/>
        <w:spacing w:line="560" w:lineRule="exact"/>
        <w:rPr>
          <w:rFonts w:ascii="仿宋_GB2312" w:eastAsia="仿宋_GB2312" w:hAnsi="TimesNewRoman" w:cs="TimesNewRoman" w:hint="default"/>
          <w:kern w:val="0"/>
          <w:sz w:val="32"/>
          <w:szCs w:val="32"/>
          <w:lang w:val="en-US" w:eastAsia="zh-CN"/>
        </w:rPr>
      </w:pPr>
      <w:r>
        <w:rPr>
          <w:rFonts w:ascii="仿宋_GB2312" w:eastAsia="仿宋_GB2312" w:hAnsi="TimesNewRoman" w:cs="TimesNewRoman" w:hint="default"/>
          <w:kern w:val="0"/>
          <w:sz w:val="32"/>
          <w:szCs w:val="32"/>
          <w:lang w:val="en-US" w:eastAsia="zh-CN"/>
        </w:rPr>
        <w:t>0万元。具体情况如下:“</w:t>
      </w:r>
    </w:p>
    <w:p w14:paraId="3F68EBFE">
      <w:pPr>
        <w:adjustRightInd w:val="0"/>
        <w:snapToGrid w:val="0"/>
        <w:spacing w:line="560" w:lineRule="exact"/>
        <w:ind w:firstLine="640" w:firstLineChars="200"/>
        <w:rPr>
          <w:rFonts w:ascii="仿宋_GB2312" w:eastAsia="仿宋_GB2312" w:hAnsi="TimesNewRoman" w:cs="TimesNewRoman" w:hint="default"/>
          <w:kern w:val="0"/>
          <w:sz w:val="32"/>
          <w:szCs w:val="32"/>
          <w:lang w:val="en-US" w:eastAsia="zh-CN"/>
        </w:rPr>
      </w:pPr>
      <w:r>
        <w:rPr>
          <w:rFonts w:ascii="仿宋_GB2312" w:eastAsia="仿宋_GB2312" w:hAnsi="TimesNewRoman" w:cs="TimesNewRoman" w:hint="default"/>
          <w:kern w:val="0"/>
          <w:sz w:val="32"/>
          <w:szCs w:val="32"/>
          <w:lang w:val="en-US" w:eastAsia="zh-CN"/>
        </w:rPr>
        <w:t>(一)因公出国(境)费支出预算0万元，与2024年持平</w:t>
      </w:r>
      <w:r>
        <w:rPr>
          <w:rFonts w:ascii="仿宋_GB2312" w:eastAsia="仿宋_GB2312" w:hAnsi="TimesNewRoman" w:cs="TimesNewRoman" w:hint="eastAsia"/>
          <w:kern w:val="0"/>
          <w:sz w:val="32"/>
          <w:szCs w:val="32"/>
          <w:lang w:val="en-US" w:eastAsia="zh-CN"/>
        </w:rPr>
        <w:t>，</w:t>
      </w:r>
    </w:p>
    <w:p w14:paraId="77FAF9EE">
      <w:pPr>
        <w:adjustRightInd w:val="0"/>
        <w:snapToGrid w:val="0"/>
        <w:spacing w:line="560" w:lineRule="exact"/>
        <w:rPr>
          <w:rFonts w:ascii="仿宋_GB2312" w:eastAsia="仿宋_GB2312" w:hAnsi="TimesNewRoman" w:cs="TimesNewRoman" w:hint="default"/>
          <w:kern w:val="0"/>
          <w:sz w:val="32"/>
          <w:szCs w:val="32"/>
          <w:lang w:val="en-US" w:eastAsia="zh-CN"/>
        </w:rPr>
      </w:pPr>
      <w:r>
        <w:rPr>
          <w:rFonts w:ascii="仿宋_GB2312" w:eastAsia="仿宋_GB2312" w:hAnsi="TimesNewRoman" w:cs="TimesNewRoman" w:hint="default"/>
          <w:kern w:val="0"/>
          <w:sz w:val="32"/>
          <w:szCs w:val="32"/>
          <w:lang w:val="en-US" w:eastAsia="zh-CN"/>
        </w:rPr>
        <w:t>主要原因是上年未安排“三公”经费支出。经费使用严格执行《寿</w:t>
      </w:r>
    </w:p>
    <w:p w14:paraId="607CC751">
      <w:pPr>
        <w:adjustRightInd w:val="0"/>
        <w:snapToGrid w:val="0"/>
        <w:spacing w:line="560" w:lineRule="exact"/>
        <w:rPr>
          <w:rFonts w:ascii="仿宋_GB2312" w:eastAsia="仿宋_GB2312" w:hAnsi="TimesNewRoman" w:cs="TimesNewRoman" w:hint="default"/>
          <w:kern w:val="0"/>
          <w:sz w:val="32"/>
          <w:szCs w:val="32"/>
          <w:lang w:val="en-US" w:eastAsia="zh-CN"/>
        </w:rPr>
      </w:pPr>
      <w:r>
        <w:rPr>
          <w:rFonts w:ascii="仿宋_GB2312" w:eastAsia="仿宋_GB2312" w:hAnsi="TimesNewRoman" w:cs="TimesNewRoman" w:hint="default"/>
          <w:kern w:val="0"/>
          <w:sz w:val="32"/>
          <w:szCs w:val="32"/>
          <w:lang w:val="en-US" w:eastAsia="zh-CN"/>
        </w:rPr>
        <w:t>县党政机关因公临时出国经费管理办法的通知》(财行[2016]</w:t>
      </w:r>
    </w:p>
    <w:p w14:paraId="4BBDC2FC">
      <w:pPr>
        <w:adjustRightInd w:val="0"/>
        <w:snapToGrid w:val="0"/>
        <w:spacing w:line="560" w:lineRule="exact"/>
        <w:rPr>
          <w:rFonts w:ascii="仿宋_GB2312" w:eastAsia="仿宋_GB2312" w:hAnsi="TimesNewRoman" w:cs="TimesNewRoman" w:hint="default"/>
          <w:kern w:val="0"/>
          <w:sz w:val="32"/>
          <w:szCs w:val="32"/>
          <w:lang w:val="en-US" w:eastAsia="zh-CN"/>
        </w:rPr>
      </w:pPr>
      <w:r>
        <w:rPr>
          <w:rFonts w:ascii="仿宋_GB2312" w:eastAsia="仿宋_GB2312" w:hAnsi="TimesNewRoman" w:cs="TimesNewRoman" w:hint="default"/>
          <w:kern w:val="0"/>
          <w:sz w:val="32"/>
          <w:szCs w:val="32"/>
          <w:lang w:val="en-US" w:eastAsia="zh-CN"/>
        </w:rPr>
        <w:t>29 号)相关规定。:</w:t>
      </w:r>
    </w:p>
    <w:p w14:paraId="32EEE53F">
      <w:pPr>
        <w:adjustRightInd w:val="0"/>
        <w:snapToGrid w:val="0"/>
        <w:spacing w:line="560" w:lineRule="exact"/>
        <w:ind w:firstLine="640" w:firstLineChars="200"/>
        <w:rPr>
          <w:rFonts w:ascii="仿宋_GB2312" w:eastAsia="仿宋_GB2312" w:hAnsi="TimesNewRoman" w:cs="TimesNewRoman" w:hint="default"/>
          <w:kern w:val="0"/>
          <w:sz w:val="32"/>
          <w:szCs w:val="32"/>
          <w:lang w:val="en-US" w:eastAsia="zh-CN"/>
        </w:rPr>
      </w:pPr>
      <w:r>
        <w:rPr>
          <w:rFonts w:ascii="仿宋_GB2312" w:eastAsia="仿宋_GB2312" w:hAnsi="TimesNewRoman" w:cs="TimesNewRoman" w:hint="default"/>
          <w:kern w:val="0"/>
          <w:sz w:val="32"/>
          <w:szCs w:val="32"/>
          <w:lang w:val="en-US" w:eastAsia="zh-CN"/>
        </w:rPr>
        <w:t>(二)公务用车购置及运行费支出预算0万元，与2024年</w:t>
      </w:r>
    </w:p>
    <w:p w14:paraId="67FD4984">
      <w:pPr>
        <w:adjustRightInd w:val="0"/>
        <w:snapToGrid w:val="0"/>
        <w:spacing w:line="560" w:lineRule="exact"/>
        <w:rPr>
          <w:rFonts w:ascii="仿宋_GB2312" w:eastAsia="仿宋_GB2312" w:hAnsi="TimesNewRoman" w:cs="TimesNewRoman" w:hint="default"/>
          <w:kern w:val="0"/>
          <w:sz w:val="32"/>
          <w:szCs w:val="32"/>
          <w:lang w:val="en-US" w:eastAsia="zh-CN"/>
        </w:rPr>
      </w:pPr>
      <w:r>
        <w:rPr>
          <w:rFonts w:ascii="仿宋_GB2312" w:eastAsia="仿宋_GB2312" w:hAnsi="TimesNewRoman" w:cs="TimesNewRoman" w:hint="default"/>
          <w:kern w:val="0"/>
          <w:sz w:val="32"/>
          <w:szCs w:val="32"/>
          <w:lang w:val="en-US" w:eastAsia="zh-CN"/>
        </w:rPr>
        <w:t>持平。</w:t>
      </w:r>
    </w:p>
    <w:p w14:paraId="5EF7B887">
      <w:pPr>
        <w:adjustRightInd w:val="0"/>
        <w:snapToGrid w:val="0"/>
        <w:spacing w:line="560" w:lineRule="exact"/>
        <w:ind w:firstLine="640" w:firstLineChars="200"/>
        <w:rPr>
          <w:rFonts w:ascii="仿宋_GB2312" w:eastAsia="仿宋_GB2312" w:hAnsi="TimesNewRoman" w:cs="TimesNewRoman" w:hint="default"/>
          <w:kern w:val="0"/>
          <w:sz w:val="32"/>
          <w:szCs w:val="32"/>
          <w:lang w:val="en-US" w:eastAsia="zh-CN"/>
        </w:rPr>
      </w:pPr>
      <w:r>
        <w:rPr>
          <w:rFonts w:ascii="仿宋_GB2312" w:eastAsia="仿宋_GB2312" w:hAnsi="TimesNewRoman" w:cs="TimesNewRoman" w:hint="default"/>
          <w:kern w:val="0"/>
          <w:sz w:val="32"/>
          <w:szCs w:val="32"/>
          <w:lang w:val="en-US" w:eastAsia="zh-CN"/>
        </w:rPr>
        <w:t>(三)公务接待费支出预算0万元，与2024年持平，主要原</w:t>
      </w:r>
    </w:p>
    <w:p w14:paraId="458C19B5">
      <w:pPr>
        <w:adjustRightInd w:val="0"/>
        <w:snapToGrid w:val="0"/>
        <w:spacing w:line="560" w:lineRule="exact"/>
        <w:rPr>
          <w:rFonts w:ascii="仿宋_GB2312" w:eastAsia="仿宋_GB2312" w:hAnsi="TimesNewRoman" w:cs="TimesNewRoman" w:hint="default"/>
          <w:kern w:val="0"/>
          <w:sz w:val="32"/>
          <w:szCs w:val="32"/>
          <w:lang w:val="en-US" w:eastAsia="zh-CN"/>
        </w:rPr>
      </w:pPr>
      <w:r>
        <w:rPr>
          <w:rFonts w:ascii="仿宋_GB2312" w:eastAsia="仿宋_GB2312" w:hAnsi="TimesNewRoman" w:cs="TimesNewRoman" w:hint="default"/>
          <w:kern w:val="0"/>
          <w:sz w:val="32"/>
          <w:szCs w:val="32"/>
          <w:lang w:val="en-US" w:eastAsia="zh-CN"/>
        </w:rPr>
        <w:t>因是上年未安排“三公”经费支出。经费使用严格执行《党政机关厉行节约反对浪费条例》(中发[2013]13号)和《寿县党政机关公务接待管理规定》(寿办发[2015]2号)规定。</w:t>
      </w:r>
    </w:p>
    <w:p w14:paraId="736957A0">
      <w:pPr>
        <w:pStyle w:val="NormalWeb"/>
        <w:topLinePunct/>
        <w:adjustRightInd w:val="0"/>
        <w:snapToGrid w:val="0"/>
        <w:spacing w:beforeAutospacing="0" w:afterAutospacing="0" w:line="56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十三、其他重要事项情况说明</w:t>
      </w:r>
    </w:p>
    <w:p w14:paraId="1FEAF192">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（一）项目及绩效目标情况。</w:t>
      </w:r>
    </w:p>
    <w:p w14:paraId="72CA0ABD">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1.“</w:t>
      </w:r>
      <w:r>
        <w:rPr>
          <w:rFonts w:ascii="仿宋" w:eastAsia="仿宋" w:hAnsi="仿宋" w:cs="仿宋" w:hint="eastAsia"/>
          <w:b/>
          <w:bCs/>
          <w:sz w:val="32"/>
          <w:szCs w:val="32"/>
        </w:rPr>
        <w:t>乡镇卫生院医疗卫生支出</w:t>
      </w:r>
      <w:r>
        <w:rPr>
          <w:rFonts w:ascii="仿宋_GB2312" w:eastAsia="仿宋_GB2312" w:hAnsi="TimesNewRoman" w:cs="TimesNewRoman" w:hint="eastAsia"/>
          <w:b/>
          <w:sz w:val="32"/>
          <w:szCs w:val="32"/>
        </w:rPr>
        <w:t>”项目。</w:t>
      </w:r>
    </w:p>
    <w:p w14:paraId="03F60C8D">
      <w:pPr>
        <w:adjustRightInd w:val="0"/>
        <w:snapToGrid w:val="0"/>
        <w:spacing w:line="600" w:lineRule="exact"/>
        <w:ind w:firstLine="640" w:firstLineChars="200"/>
        <w:rPr>
          <w:rFonts w:ascii="仿宋" w:eastAsia="仿宋" w:hAnsi="仿宋" w:cs="仿宋" w:hint="eastAsia"/>
          <w:sz w:val="32"/>
          <w:szCs w:val="32"/>
        </w:rPr>
      </w:pPr>
      <w:r>
        <w:rPr>
          <w:rFonts w:ascii="仿宋_GB2312" w:eastAsia="仿宋_GB2312" w:hAnsi="TimesNewRoman" w:cs="TimesNewRoman" w:hint="eastAsia"/>
          <w:sz w:val="32"/>
          <w:szCs w:val="32"/>
        </w:rPr>
        <w:t>（1）项目概述</w:t>
      </w:r>
      <w:r>
        <w:rPr>
          <w:rFonts w:ascii="仿宋_GB2312" w:eastAsia="仿宋_GB2312" w:hAnsi="TimesNewRoman" w:cs="TimesNewRoman" w:hint="eastAsia"/>
          <w:sz w:val="32"/>
          <w:szCs w:val="32"/>
          <w:lang w:eastAsia="zh-CN"/>
        </w:rPr>
        <w:t>：</w:t>
      </w:r>
      <w:r>
        <w:rPr>
          <w:rFonts w:ascii="仿宋" w:eastAsia="仿宋" w:hAnsi="仿宋" w:cs="仿宋" w:hint="eastAsia"/>
          <w:sz w:val="32"/>
          <w:szCs w:val="32"/>
        </w:rPr>
        <w:t>1.加快我院的发展，提高我院的医疗安全质量，为患者提供一个安全放心的就医场所;2.保障我院日常开支，确保日常后勤工作顺利开展。</w:t>
      </w:r>
    </w:p>
    <w:p w14:paraId="3DF55F17">
      <w:pPr>
        <w:adjustRightInd w:val="0"/>
        <w:snapToGrid w:val="0"/>
        <w:spacing w:line="60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（2）立项依据</w:t>
      </w:r>
      <w:r>
        <w:rPr>
          <w:rFonts w:ascii="仿宋_GB2312" w:eastAsia="仿宋_GB2312" w:hAnsi="TimesNewRoman" w:cs="TimesNewRoman" w:hint="eastAsia"/>
          <w:sz w:val="32"/>
          <w:szCs w:val="32"/>
          <w:lang w:eastAsia="zh-CN"/>
        </w:rPr>
        <w:t>：</w:t>
      </w:r>
      <w:r>
        <w:rPr>
          <w:rFonts w:ascii="仿宋" w:eastAsia="仿宋" w:hAnsi="仿宋" w:cs="仿宋" w:hint="eastAsia"/>
          <w:sz w:val="32"/>
          <w:szCs w:val="32"/>
        </w:rPr>
        <w:t>为人民身体健康提供医疗保健服务，常见病多发病诊治与护理、卫生防疫、妇幼保健、计划免疫、乡村医生业务培训、卫生</w:t>
      </w:r>
      <w:r>
        <w:rPr>
          <w:rFonts w:ascii="仿宋" w:eastAsia="仿宋" w:hAnsi="仿宋" w:cs="仿宋" w:hint="eastAsia"/>
          <w:sz w:val="32"/>
          <w:szCs w:val="32"/>
          <w:lang w:val="en-US" w:eastAsia="zh-CN"/>
        </w:rPr>
        <w:t>院</w:t>
      </w:r>
      <w:r>
        <w:rPr>
          <w:rFonts w:ascii="仿宋" w:eastAsia="仿宋" w:hAnsi="仿宋" w:cs="仿宋" w:hint="eastAsia"/>
          <w:sz w:val="32"/>
          <w:szCs w:val="32"/>
        </w:rPr>
        <w:t>业务培训、</w:t>
      </w:r>
      <w:r>
        <w:rPr>
          <w:rFonts w:ascii="仿宋" w:eastAsia="仿宋" w:hAnsi="仿宋" w:cs="仿宋" w:hint="eastAsia"/>
          <w:sz w:val="32"/>
          <w:szCs w:val="32"/>
          <w:lang w:val="en-US" w:eastAsia="zh-CN"/>
        </w:rPr>
        <w:t>基本</w:t>
      </w:r>
      <w:r>
        <w:rPr>
          <w:rFonts w:ascii="仿宋" w:eastAsia="仿宋" w:hAnsi="仿宋" w:cs="仿宋" w:hint="eastAsia"/>
          <w:sz w:val="32"/>
          <w:szCs w:val="32"/>
        </w:rPr>
        <w:t>卫生保健规划实施。</w:t>
      </w:r>
    </w:p>
    <w:p w14:paraId="110A673B">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（3）实施主体</w:t>
      </w:r>
      <w:r>
        <w:rPr>
          <w:rFonts w:ascii="仿宋_GB2312" w:eastAsia="仿宋_GB2312" w:hAnsi="TimesNewRoman" w:cs="TimesNewRoman" w:hint="eastAsia"/>
          <w:sz w:val="32"/>
          <w:szCs w:val="32"/>
          <w:lang w:eastAsia="zh-CN"/>
        </w:rPr>
        <w:t>：</w:t>
      </w:r>
      <w:r>
        <w:rPr>
          <w:rFonts w:ascii="仿宋" w:eastAsia="仿宋" w:hAnsi="仿宋" w:cs="仿宋" w:hint="eastAsia"/>
          <w:sz w:val="32"/>
          <w:szCs w:val="32"/>
        </w:rPr>
        <w:t>寿县茶庵镇卫生院</w:t>
      </w:r>
      <w:r>
        <w:rPr>
          <w:rFonts w:ascii="仿宋" w:eastAsia="仿宋" w:hAnsi="仿宋" w:cs="仿宋" w:hint="eastAsia"/>
          <w:sz w:val="32"/>
          <w:szCs w:val="32"/>
          <w:lang w:eastAsia="zh-CN"/>
        </w:rPr>
        <w:t>。</w:t>
      </w:r>
    </w:p>
    <w:p w14:paraId="15609C6D">
      <w:pPr>
        <w:topLinePunct/>
        <w:adjustRightInd w:val="0"/>
        <w:snapToGrid w:val="0"/>
        <w:spacing w:line="560" w:lineRule="exact"/>
        <w:ind w:firstLine="640" w:firstLineChars="200"/>
        <w:rPr>
          <w:rFonts w:ascii="仿宋" w:eastAsia="仿宋" w:hAnsi="仿宋" w:cs="仿宋" w:hint="eastAsia"/>
          <w:sz w:val="32"/>
          <w:szCs w:val="32"/>
          <w:lang w:eastAsia="zh-CN"/>
        </w:rPr>
      </w:pPr>
      <w:r>
        <w:rPr>
          <w:rFonts w:ascii="仿宋_GB2312" w:eastAsia="仿宋_GB2312" w:hAnsi="TimesNewRoman" w:cs="TimesNewRoman" w:hint="eastAsia"/>
          <w:sz w:val="32"/>
          <w:szCs w:val="32"/>
        </w:rPr>
        <w:t>（4）起止时间</w:t>
      </w:r>
      <w:r>
        <w:rPr>
          <w:rFonts w:ascii="仿宋" w:eastAsia="仿宋" w:hAnsi="仿宋" w:cs="仿宋" w:hint="eastAsia"/>
          <w:sz w:val="32"/>
          <w:szCs w:val="32"/>
        </w:rPr>
        <w:t>:202</w:t>
      </w:r>
      <w:r>
        <w:rPr>
          <w:rFonts w:ascii="仿宋" w:eastAsia="仿宋" w:hAnsi="仿宋" w:cs="仿宋" w:hint="eastAsia"/>
          <w:sz w:val="32"/>
          <w:szCs w:val="32"/>
          <w:lang w:val="en-US" w:eastAsia="zh-CN"/>
        </w:rPr>
        <w:t>5</w:t>
      </w:r>
      <w:r>
        <w:rPr>
          <w:rFonts w:ascii="仿宋" w:eastAsia="仿宋" w:hAnsi="仿宋" w:cs="仿宋" w:hint="eastAsia"/>
          <w:sz w:val="32"/>
          <w:szCs w:val="32"/>
        </w:rPr>
        <w:t>年1月1日至202</w:t>
      </w:r>
      <w:r>
        <w:rPr>
          <w:rFonts w:ascii="仿宋" w:eastAsia="仿宋" w:hAnsi="仿宋" w:cs="仿宋" w:hint="eastAsia"/>
          <w:sz w:val="32"/>
          <w:szCs w:val="32"/>
          <w:lang w:val="en-US" w:eastAsia="zh-CN"/>
        </w:rPr>
        <w:t>4</w:t>
      </w:r>
      <w:r>
        <w:rPr>
          <w:rFonts w:ascii="仿宋" w:eastAsia="仿宋" w:hAnsi="仿宋" w:cs="仿宋" w:hint="eastAsia"/>
          <w:sz w:val="32"/>
          <w:szCs w:val="32"/>
        </w:rPr>
        <w:t>年12月31日</w:t>
      </w:r>
      <w:r>
        <w:rPr>
          <w:rFonts w:ascii="仿宋" w:eastAsia="仿宋" w:hAnsi="仿宋" w:cs="仿宋" w:hint="eastAsia"/>
          <w:sz w:val="32"/>
          <w:szCs w:val="32"/>
          <w:lang w:eastAsia="zh-CN"/>
        </w:rPr>
        <w:t>。</w:t>
      </w:r>
    </w:p>
    <w:p w14:paraId="7A884A4C">
      <w:pPr>
        <w:topLinePunct/>
        <w:adjustRightInd w:val="0"/>
        <w:snapToGrid w:val="0"/>
        <w:spacing w:line="580" w:lineRule="exact"/>
        <w:ind w:firstLine="640" w:firstLineChars="200"/>
        <w:rPr>
          <w:rFonts w:ascii="仿宋" w:eastAsia="仿宋" w:hAnsi="仿宋" w:cs="仿宋" w:hint="eastAsia"/>
          <w:sz w:val="32"/>
          <w:szCs w:val="32"/>
        </w:rPr>
      </w:pPr>
      <w:r>
        <w:rPr>
          <w:rFonts w:ascii="仿宋_GB2312" w:eastAsia="仿宋_GB2312" w:hAnsi="TimesNewRoman" w:cs="TimesNewRoman" w:hint="eastAsia"/>
          <w:sz w:val="32"/>
          <w:szCs w:val="32"/>
        </w:rPr>
        <w:t>（5）项目内容</w:t>
      </w:r>
      <w:r>
        <w:rPr>
          <w:rFonts w:ascii="仿宋_GB2312" w:eastAsia="仿宋_GB2312" w:hAnsi="TimesNewRoman" w:cs="TimesNewRoman" w:hint="eastAsia"/>
          <w:sz w:val="32"/>
          <w:szCs w:val="32"/>
          <w:lang w:eastAsia="zh-CN"/>
        </w:rPr>
        <w:t>：</w:t>
      </w:r>
      <w:r>
        <w:rPr>
          <w:rFonts w:ascii="仿宋" w:eastAsia="仿宋" w:hAnsi="仿宋" w:cs="仿宋" w:hint="eastAsia"/>
          <w:sz w:val="32"/>
          <w:szCs w:val="32"/>
        </w:rPr>
        <w:t>为人民身体健康提供医疗保健服务，常见病多发病诊治与护理、卫生防疫、妇幼保健、计划免疫、乡村医生业务培训、卫生员业务培训、初级卫生保健规划实施。</w:t>
      </w:r>
    </w:p>
    <w:p w14:paraId="21D0EE3C">
      <w:pPr>
        <w:topLinePunct/>
        <w:adjustRightInd w:val="0"/>
        <w:snapToGrid w:val="0"/>
        <w:spacing w:line="580" w:lineRule="exact"/>
        <w:ind w:firstLine="640" w:firstLineChars="200"/>
        <w:rPr>
          <w:rFonts w:ascii="仿宋_GB2312" w:eastAsia="仿宋_GB2312" w:hAnsi="TimesNewRoman" w:cs="TimesNewRoman" w:hint="eastAsia"/>
          <w:sz w:val="32"/>
          <w:szCs w:val="32"/>
          <w:lang w:val="en-US" w:eastAsia="zh-CN"/>
        </w:rPr>
      </w:pPr>
      <w:r>
        <w:rPr>
          <w:rFonts w:ascii="仿宋_GB2312" w:eastAsia="仿宋_GB2312" w:hAnsi="TimesNewRoman" w:cs="TimesNewRoman" w:hint="eastAsia"/>
          <w:sz w:val="32"/>
          <w:szCs w:val="32"/>
        </w:rPr>
        <w:t>（6）年度预算安排</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lang w:val="en-US" w:eastAsia="zh-CN"/>
        </w:rPr>
        <w:t>400万元</w:t>
      </w:r>
    </w:p>
    <w:p w14:paraId="0A3E68D3">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（7）绩效目标</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lang w:val="en-US" w:eastAsia="zh-CN"/>
        </w:rPr>
        <w:t>详细见下表。</w:t>
      </w:r>
    </w:p>
    <w:p w14:paraId="4F3CA091">
      <w:pPr>
        <w:topLinePunct/>
        <w:adjustRightInd w:val="0"/>
        <w:snapToGrid w:val="0"/>
        <w:spacing w:line="560" w:lineRule="exact"/>
        <w:ind w:firstLine="640" w:firstLineChars="200"/>
        <w:rPr>
          <w:rFonts w:ascii="仿宋_GB2312" w:eastAsia="仿宋_GB2312" w:hAnsi="楷体" w:hint="eastAsia"/>
          <w:sz w:val="32"/>
          <w:szCs w:val="32"/>
        </w:rPr>
      </w:pPr>
    </w:p>
    <w:p w14:paraId="4DCE524C">
      <w:pPr>
        <w:topLinePunct/>
        <w:adjustRightInd w:val="0"/>
        <w:snapToGrid w:val="0"/>
        <w:spacing w:line="560" w:lineRule="exact"/>
        <w:ind w:firstLine="640" w:firstLineChars="200"/>
        <w:rPr>
          <w:rFonts w:ascii="仿宋_GB2312" w:eastAsia="仿宋_GB2312" w:hAnsi="楷体" w:hint="eastAsia"/>
          <w:sz w:val="32"/>
          <w:szCs w:val="32"/>
        </w:rPr>
      </w:pPr>
    </w:p>
    <w:p w14:paraId="19A1F51B">
      <w:pPr>
        <w:topLinePunct/>
        <w:adjustRightInd w:val="0"/>
        <w:snapToGrid w:val="0"/>
        <w:spacing w:line="560" w:lineRule="exact"/>
        <w:ind w:firstLine="640" w:firstLineChars="200"/>
        <w:rPr>
          <w:rFonts w:ascii="仿宋_GB2312" w:eastAsia="仿宋_GB2312" w:hAnsi="楷体" w:hint="eastAsia"/>
          <w:sz w:val="32"/>
          <w:szCs w:val="32"/>
        </w:rPr>
      </w:pPr>
    </w:p>
    <w:p w14:paraId="50BC9ECD">
      <w:pPr>
        <w:topLinePunct/>
        <w:adjustRightInd w:val="0"/>
        <w:snapToGrid w:val="0"/>
        <w:spacing w:line="560" w:lineRule="exact"/>
        <w:ind w:firstLine="640" w:firstLineChars="200"/>
        <w:rPr>
          <w:rFonts w:ascii="仿宋_GB2312" w:eastAsia="仿宋_GB2312" w:hAnsi="楷体" w:hint="eastAsia"/>
          <w:sz w:val="32"/>
          <w:szCs w:val="32"/>
        </w:rPr>
      </w:pPr>
    </w:p>
    <w:p w14:paraId="5AC44CD9">
      <w:pPr>
        <w:topLinePunct/>
        <w:adjustRightInd w:val="0"/>
        <w:snapToGrid w:val="0"/>
        <w:spacing w:line="560" w:lineRule="exact"/>
        <w:ind w:firstLine="640" w:firstLineChars="200"/>
        <w:rPr>
          <w:rFonts w:ascii="仿宋_GB2312" w:eastAsia="仿宋_GB2312" w:hAnsi="楷体" w:hint="eastAsia"/>
          <w:sz w:val="32"/>
          <w:szCs w:val="32"/>
        </w:rPr>
      </w:pPr>
    </w:p>
    <w:p w14:paraId="2B42418B">
      <w:pPr>
        <w:topLinePunct/>
        <w:adjustRightInd w:val="0"/>
        <w:snapToGrid w:val="0"/>
        <w:spacing w:line="560" w:lineRule="exact"/>
        <w:ind w:firstLine="640" w:firstLineChars="200"/>
        <w:rPr>
          <w:rFonts w:ascii="仿宋_GB2312" w:eastAsia="仿宋_GB2312" w:hAnsi="楷体" w:hint="eastAsia"/>
          <w:sz w:val="32"/>
          <w:szCs w:val="32"/>
        </w:rPr>
      </w:pPr>
    </w:p>
    <w:p w14:paraId="5B3A6D52">
      <w:pPr>
        <w:topLinePunct/>
        <w:adjustRightInd w:val="0"/>
        <w:snapToGrid w:val="0"/>
        <w:spacing w:line="560" w:lineRule="exact"/>
        <w:ind w:firstLine="640" w:firstLineChars="200"/>
        <w:rPr>
          <w:rFonts w:ascii="仿宋_GB2312" w:eastAsia="仿宋_GB2312" w:hAnsi="楷体" w:hint="eastAsia"/>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14:paraId="5420ACA6">
        <w:tblPrEx>
          <w:tblW w:w="0" w:type="auto"/>
          <w:tblInd w:w="0" w:type="dxa"/>
          <w:tblLayout w:type="fixed"/>
        </w:tblPrEx>
        <w:trPr>
          <w:trHeight w:val="253"/>
        </w:trPr>
        <w:tc>
          <w:tcPr>
            <w:tcW w:w="9020" w:type="dxa"/>
            <w:gridSpan w:val="7"/>
            <w:tcBorders>
              <w:top w:val="nil"/>
              <w:left w:val="nil"/>
              <w:bottom w:val="nil"/>
              <w:right w:val="nil"/>
            </w:tcBorders>
            <w:noWrap w:val="0"/>
            <w:vAlign w:val="center"/>
          </w:tcPr>
          <w:p w14:paraId="5D1371A6">
            <w:pPr>
              <w:widowControl/>
              <w:jc w:val="center"/>
              <w:textAlignment w:val="center"/>
              <w:rPr>
                <w:rFonts w:ascii="方正小标宋_GBK" w:eastAsia="方正小标宋_GBK" w:cs="宋体" w:hint="eastAsia"/>
                <w:bCs/>
                <w:szCs w:val="32"/>
              </w:rPr>
            </w:pPr>
            <w:r>
              <w:rPr>
                <w:rFonts w:ascii="方正小标宋_GBK" w:eastAsia="方正小标宋_GBK" w:hAnsi="宋体" w:cs="宋体" w:hint="eastAsia"/>
                <w:color w:val="000000"/>
                <w:kern w:val="0"/>
                <w:sz w:val="28"/>
                <w:szCs w:val="28"/>
                <w:lang w:bidi="ar"/>
              </w:rPr>
              <w:t>项目支出绩效目标表</w:t>
            </w:r>
          </w:p>
        </w:tc>
      </w:tr>
      <w:tr w14:paraId="1F53A7AC">
        <w:tblPrEx>
          <w:tblW w:w="0" w:type="auto"/>
          <w:tblInd w:w="0" w:type="dxa"/>
          <w:tblLayout w:type="fixed"/>
        </w:tblPrEx>
        <w:trPr>
          <w:trHeight w:val="270"/>
        </w:trPr>
        <w:tc>
          <w:tcPr>
            <w:tcW w:w="9020" w:type="dxa"/>
            <w:gridSpan w:val="7"/>
            <w:tcBorders>
              <w:top w:val="nil"/>
              <w:left w:val="nil"/>
              <w:right w:val="nil"/>
            </w:tcBorders>
            <w:noWrap w:val="0"/>
            <w:vAlign w:val="center"/>
          </w:tcPr>
          <w:p w14:paraId="1976A5E9">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（2025年度）                                </w:t>
            </w:r>
          </w:p>
        </w:tc>
      </w:tr>
      <w:tr w14:paraId="5BCF5C6A">
        <w:tblPrEx>
          <w:tblW w:w="0" w:type="auto"/>
          <w:tblInd w:w="0" w:type="dxa"/>
          <w:tblLayout w:type="fixed"/>
        </w:tblPrEx>
        <w:trPr>
          <w:trHeight w:val="330"/>
        </w:trPr>
        <w:tc>
          <w:tcPr>
            <w:tcW w:w="1443" w:type="dxa"/>
            <w:gridSpan w:val="3"/>
            <w:noWrap w:val="0"/>
            <w:vAlign w:val="center"/>
          </w:tcPr>
          <w:p w14:paraId="0475C739">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14:paraId="40F3CB36">
            <w:pPr>
              <w:spacing w:line="260" w:lineRule="exact"/>
              <w:jc w:val="center"/>
              <w:rPr>
                <w:rFonts w:ascii="宋体" w:cs="宋体"/>
                <w:sz w:val="18"/>
                <w:szCs w:val="18"/>
              </w:rPr>
            </w:pPr>
            <w:r>
              <w:rPr>
                <w:rFonts w:hint="eastAsia"/>
                <w:color w:val="000000"/>
                <w:sz w:val="20"/>
                <w:szCs w:val="20"/>
              </w:rPr>
              <w:t>寿县茶庵镇卫生院202</w:t>
            </w:r>
            <w:r>
              <w:rPr>
                <w:rFonts w:hint="eastAsia"/>
                <w:color w:val="000000"/>
                <w:sz w:val="20"/>
                <w:szCs w:val="20"/>
                <w:lang w:val="en-US" w:eastAsia="zh-CN"/>
              </w:rPr>
              <w:t>4</w:t>
            </w:r>
            <w:r>
              <w:rPr>
                <w:rFonts w:hint="eastAsia"/>
                <w:color w:val="000000"/>
                <w:sz w:val="20"/>
                <w:szCs w:val="20"/>
              </w:rPr>
              <w:t>年项目支出</w:t>
            </w:r>
          </w:p>
        </w:tc>
      </w:tr>
      <w:tr w14:paraId="72B564DE">
        <w:tblPrEx>
          <w:tblW w:w="0" w:type="auto"/>
          <w:tblInd w:w="0" w:type="dxa"/>
          <w:tblLayout w:type="fixed"/>
        </w:tblPrEx>
        <w:trPr>
          <w:trHeight w:val="491"/>
        </w:trPr>
        <w:tc>
          <w:tcPr>
            <w:tcW w:w="1443" w:type="dxa"/>
            <w:gridSpan w:val="3"/>
            <w:noWrap w:val="0"/>
            <w:vAlign w:val="center"/>
          </w:tcPr>
          <w:p w14:paraId="38BF2E0F">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主管部门    及代码</w:t>
            </w:r>
          </w:p>
        </w:tc>
        <w:tc>
          <w:tcPr>
            <w:tcW w:w="3349" w:type="dxa"/>
            <w:gridSpan w:val="2"/>
            <w:shd w:val="clear" w:color="auto" w:fill="auto"/>
            <w:noWrap w:val="0"/>
            <w:vAlign w:val="center"/>
          </w:tcPr>
          <w:p w14:paraId="1CC9435C">
            <w:pPr>
              <w:spacing w:line="260" w:lineRule="exact"/>
              <w:jc w:val="center"/>
              <w:rPr>
                <w:rFonts w:ascii="宋体" w:eastAsia="宋体" w:hAnsi="Times New Roman" w:cs="宋体" w:hint="default"/>
                <w:kern w:val="2"/>
                <w:sz w:val="18"/>
                <w:szCs w:val="18"/>
                <w:lang w:val="en-US" w:eastAsia="zh-CN" w:bidi="ar-SA"/>
              </w:rPr>
            </w:pPr>
            <w:r>
              <w:rPr>
                <w:rFonts w:ascii="宋体" w:cs="宋体" w:hint="eastAsia"/>
                <w:sz w:val="18"/>
                <w:szCs w:val="18"/>
                <w:lang w:val="en-US" w:eastAsia="zh-CN"/>
              </w:rPr>
              <w:t>寿县卫生健康委员会</w:t>
            </w:r>
          </w:p>
        </w:tc>
        <w:tc>
          <w:tcPr>
            <w:tcW w:w="1848" w:type="dxa"/>
            <w:noWrap w:val="0"/>
            <w:vAlign w:val="center"/>
          </w:tcPr>
          <w:p w14:paraId="3A0CC26D">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shd w:val="clear" w:color="auto" w:fill="auto"/>
            <w:noWrap w:val="0"/>
            <w:vAlign w:val="center"/>
          </w:tcPr>
          <w:p w14:paraId="0D33D039">
            <w:pPr>
              <w:spacing w:line="260" w:lineRule="exact"/>
              <w:jc w:val="center"/>
              <w:rPr>
                <w:rFonts w:ascii="Times New Roman" w:eastAsia="宋体" w:hAnsi="Times New Roman" w:cs="Times New Roman" w:hint="default"/>
                <w:kern w:val="2"/>
                <w:sz w:val="18"/>
                <w:szCs w:val="18"/>
                <w:lang w:val="en-US" w:eastAsia="zh-CN" w:bidi="ar-SA"/>
              </w:rPr>
            </w:pPr>
            <w:r>
              <w:rPr>
                <w:rFonts w:hint="eastAsia"/>
                <w:sz w:val="18"/>
                <w:szCs w:val="18"/>
                <w:lang w:val="en-US" w:eastAsia="zh-CN"/>
              </w:rPr>
              <w:t>寿县茶庵镇卫生院</w:t>
            </w:r>
          </w:p>
        </w:tc>
      </w:tr>
      <w:tr w14:paraId="043A1A2D">
        <w:tblPrEx>
          <w:tblW w:w="0" w:type="auto"/>
          <w:tblInd w:w="0" w:type="dxa"/>
          <w:tblLayout w:type="fixed"/>
        </w:tblPrEx>
        <w:trPr>
          <w:trHeight w:val="330"/>
        </w:trPr>
        <w:tc>
          <w:tcPr>
            <w:tcW w:w="1443" w:type="dxa"/>
            <w:gridSpan w:val="3"/>
            <w:noWrap w:val="0"/>
            <w:vAlign w:val="center"/>
          </w:tcPr>
          <w:p w14:paraId="1040762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shd w:val="clear" w:color="auto" w:fill="auto"/>
            <w:noWrap w:val="0"/>
            <w:vAlign w:val="center"/>
          </w:tcPr>
          <w:p w14:paraId="4F940C35">
            <w:pPr>
              <w:spacing w:line="260" w:lineRule="exact"/>
              <w:jc w:val="center"/>
              <w:rPr>
                <w:rFonts w:ascii="宋体" w:eastAsia="宋体" w:hAnsi="Times New Roman" w:cs="宋体" w:hint="default"/>
                <w:kern w:val="2"/>
                <w:sz w:val="18"/>
                <w:szCs w:val="18"/>
                <w:lang w:val="en-US" w:eastAsia="zh-CN" w:bidi="ar-SA"/>
              </w:rPr>
            </w:pPr>
            <w:r>
              <w:rPr>
                <w:rFonts w:ascii="宋体" w:cs="宋体" w:hint="eastAsia"/>
                <w:sz w:val="18"/>
                <w:szCs w:val="18"/>
                <w:lang w:val="en-US" w:eastAsia="zh-CN"/>
              </w:rPr>
              <w:t>一般公共预算拨款</w:t>
            </w:r>
          </w:p>
        </w:tc>
        <w:tc>
          <w:tcPr>
            <w:tcW w:w="1848" w:type="dxa"/>
            <w:noWrap w:val="0"/>
            <w:vAlign w:val="center"/>
          </w:tcPr>
          <w:p w14:paraId="242E1E4B">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shd w:val="clear" w:color="auto" w:fill="auto"/>
            <w:noWrap w:val="0"/>
            <w:vAlign w:val="center"/>
          </w:tcPr>
          <w:p w14:paraId="2CCE9D1C">
            <w:pPr>
              <w:spacing w:line="260" w:lineRule="exact"/>
              <w:jc w:val="center"/>
              <w:rPr>
                <w:rFonts w:ascii="Times New Roman" w:eastAsia="宋体" w:hAnsi="Times New Roman" w:cs="Times New Roman" w:hint="default"/>
                <w:kern w:val="2"/>
                <w:sz w:val="18"/>
                <w:szCs w:val="18"/>
                <w:lang w:val="en-US" w:eastAsia="zh-CN" w:bidi="ar-SA"/>
              </w:rPr>
            </w:pPr>
            <w:r>
              <w:rPr>
                <w:rFonts w:hint="eastAsia"/>
                <w:sz w:val="18"/>
                <w:szCs w:val="18"/>
                <w:lang w:val="en-US" w:eastAsia="zh-CN"/>
              </w:rPr>
              <w:t>2025.1.1--2025.12.31</w:t>
            </w:r>
          </w:p>
        </w:tc>
      </w:tr>
      <w:tr w14:paraId="206FF9DF">
        <w:tblPrEx>
          <w:tblW w:w="0" w:type="auto"/>
          <w:tblInd w:w="0" w:type="dxa"/>
          <w:tblLayout w:type="fixed"/>
        </w:tblPrEx>
        <w:trPr>
          <w:trHeight w:val="330"/>
        </w:trPr>
        <w:tc>
          <w:tcPr>
            <w:tcW w:w="1443" w:type="dxa"/>
            <w:gridSpan w:val="3"/>
            <w:vMerge w:val="restart"/>
            <w:noWrap w:val="0"/>
            <w:vAlign w:val="center"/>
          </w:tcPr>
          <w:p w14:paraId="4DF00384">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3349" w:type="dxa"/>
            <w:gridSpan w:val="2"/>
            <w:noWrap w:val="0"/>
            <w:vAlign w:val="center"/>
          </w:tcPr>
          <w:p w14:paraId="521B71F8">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noWrap w:val="0"/>
            <w:vAlign w:val="center"/>
          </w:tcPr>
          <w:p w14:paraId="12ECBCE8">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573.33</w:t>
            </w:r>
          </w:p>
        </w:tc>
      </w:tr>
      <w:tr w14:paraId="59F2720D">
        <w:tblPrEx>
          <w:tblW w:w="0" w:type="auto"/>
          <w:tblInd w:w="0" w:type="dxa"/>
          <w:tblLayout w:type="fixed"/>
        </w:tblPrEx>
        <w:trPr>
          <w:trHeight w:val="330"/>
        </w:trPr>
        <w:tc>
          <w:tcPr>
            <w:tcW w:w="1443" w:type="dxa"/>
            <w:gridSpan w:val="3"/>
            <w:vMerge/>
            <w:noWrap w:val="0"/>
            <w:vAlign w:val="center"/>
          </w:tcPr>
          <w:p w14:paraId="34846E5E">
            <w:pPr>
              <w:spacing w:line="260" w:lineRule="exact"/>
              <w:jc w:val="center"/>
              <w:rPr>
                <w:rFonts w:ascii="宋体" w:cs="宋体"/>
                <w:sz w:val="18"/>
                <w:szCs w:val="18"/>
              </w:rPr>
            </w:pPr>
          </w:p>
        </w:tc>
        <w:tc>
          <w:tcPr>
            <w:tcW w:w="3349" w:type="dxa"/>
            <w:gridSpan w:val="2"/>
            <w:noWrap w:val="0"/>
            <w:vAlign w:val="center"/>
          </w:tcPr>
          <w:p w14:paraId="3D3F4ADA">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14:paraId="3CE2083A">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173.33</w:t>
            </w:r>
          </w:p>
        </w:tc>
      </w:tr>
      <w:tr w14:paraId="46718AF8">
        <w:tblPrEx>
          <w:tblW w:w="0" w:type="auto"/>
          <w:tblInd w:w="0" w:type="dxa"/>
          <w:tblLayout w:type="fixed"/>
        </w:tblPrEx>
        <w:trPr>
          <w:trHeight w:val="330"/>
        </w:trPr>
        <w:tc>
          <w:tcPr>
            <w:tcW w:w="1443" w:type="dxa"/>
            <w:gridSpan w:val="3"/>
            <w:vMerge/>
            <w:noWrap w:val="0"/>
            <w:vAlign w:val="center"/>
          </w:tcPr>
          <w:p w14:paraId="6D92951B">
            <w:pPr>
              <w:spacing w:line="260" w:lineRule="exact"/>
              <w:jc w:val="center"/>
              <w:rPr>
                <w:rFonts w:ascii="宋体" w:cs="宋体"/>
                <w:sz w:val="18"/>
                <w:szCs w:val="18"/>
              </w:rPr>
            </w:pPr>
          </w:p>
        </w:tc>
        <w:tc>
          <w:tcPr>
            <w:tcW w:w="3349" w:type="dxa"/>
            <w:gridSpan w:val="2"/>
            <w:noWrap w:val="0"/>
            <w:vAlign w:val="center"/>
          </w:tcPr>
          <w:p w14:paraId="41A21627">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14:paraId="6DF3EBF7">
            <w:pPr>
              <w:spacing w:line="260" w:lineRule="exact"/>
              <w:jc w:val="center"/>
              <w:rPr>
                <w:rFonts w:ascii="宋体" w:cs="宋体"/>
                <w:sz w:val="18"/>
                <w:szCs w:val="18"/>
              </w:rPr>
            </w:pPr>
          </w:p>
        </w:tc>
      </w:tr>
      <w:tr w14:paraId="2C700C19">
        <w:tblPrEx>
          <w:tblW w:w="0" w:type="auto"/>
          <w:tblInd w:w="0" w:type="dxa"/>
          <w:tblLayout w:type="fixed"/>
        </w:tblPrEx>
        <w:trPr>
          <w:trHeight w:val="330"/>
        </w:trPr>
        <w:tc>
          <w:tcPr>
            <w:tcW w:w="1443" w:type="dxa"/>
            <w:gridSpan w:val="3"/>
            <w:vMerge/>
            <w:noWrap w:val="0"/>
            <w:vAlign w:val="center"/>
          </w:tcPr>
          <w:p w14:paraId="2F041D88">
            <w:pPr>
              <w:spacing w:line="260" w:lineRule="exact"/>
              <w:jc w:val="center"/>
              <w:rPr>
                <w:rFonts w:ascii="宋体" w:cs="宋体"/>
                <w:sz w:val="18"/>
                <w:szCs w:val="18"/>
              </w:rPr>
            </w:pPr>
          </w:p>
        </w:tc>
        <w:tc>
          <w:tcPr>
            <w:tcW w:w="3349" w:type="dxa"/>
            <w:gridSpan w:val="2"/>
            <w:noWrap w:val="0"/>
            <w:vAlign w:val="center"/>
          </w:tcPr>
          <w:p w14:paraId="23CB3448">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14:paraId="1019923C">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400.00</w:t>
            </w:r>
          </w:p>
        </w:tc>
      </w:tr>
      <w:tr w14:paraId="3B9D749C">
        <w:tblPrEx>
          <w:tblW w:w="0" w:type="auto"/>
          <w:tblInd w:w="0" w:type="dxa"/>
          <w:tblLayout w:type="fixed"/>
        </w:tblPrEx>
        <w:trPr>
          <w:trHeight w:val="1015"/>
        </w:trPr>
        <w:tc>
          <w:tcPr>
            <w:tcW w:w="438" w:type="dxa"/>
            <w:noWrap w:val="0"/>
            <w:vAlign w:val="center"/>
          </w:tcPr>
          <w:p w14:paraId="4ED647A9">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年度</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目标</w:t>
            </w:r>
          </w:p>
        </w:tc>
        <w:tc>
          <w:tcPr>
            <w:tcW w:w="8582" w:type="dxa"/>
            <w:gridSpan w:val="6"/>
            <w:noWrap w:val="0"/>
            <w:vAlign w:val="center"/>
          </w:tcPr>
          <w:p w14:paraId="0A8C9D5E">
            <w:pPr>
              <w:rPr>
                <w:rFonts w:eastAsia="宋体" w:hint="eastAsia"/>
                <w:sz w:val="20"/>
                <w:szCs w:val="20"/>
                <w:lang w:eastAsia="zh-CN"/>
              </w:rPr>
            </w:pPr>
            <w:r>
              <w:rPr>
                <w:rFonts w:hint="eastAsia"/>
                <w:sz w:val="20"/>
                <w:szCs w:val="20"/>
              </w:rPr>
              <w:t>目标1：开展健康讲座、健康咨询，制作宣传栏，提高本辖区内居民健康知识。</w:t>
            </w:r>
          </w:p>
          <w:p w14:paraId="24394FDB">
            <w:pPr>
              <w:rPr>
                <w:rFonts w:hint="eastAsia"/>
                <w:sz w:val="20"/>
                <w:szCs w:val="20"/>
              </w:rPr>
            </w:pPr>
            <w:r>
              <w:rPr>
                <w:rFonts w:hint="eastAsia"/>
                <w:sz w:val="20"/>
                <w:szCs w:val="20"/>
              </w:rPr>
              <w:t>目标2：扎实开展基本公共卫生和基本医疗服务。</w:t>
            </w:r>
          </w:p>
          <w:p w14:paraId="5E0BB3CF">
            <w:pPr>
              <w:rPr>
                <w:rFonts w:hint="eastAsia"/>
                <w:sz w:val="20"/>
                <w:szCs w:val="20"/>
              </w:rPr>
            </w:pPr>
            <w:r>
              <w:rPr>
                <w:rFonts w:hint="eastAsia"/>
                <w:sz w:val="20"/>
                <w:szCs w:val="20"/>
              </w:rPr>
              <w:t>目标</w:t>
            </w:r>
            <w:r>
              <w:rPr>
                <w:rFonts w:hint="eastAsia"/>
                <w:sz w:val="20"/>
                <w:szCs w:val="20"/>
                <w:lang w:val="en-US" w:eastAsia="zh-CN"/>
              </w:rPr>
              <w:t>3</w:t>
            </w:r>
            <w:r>
              <w:rPr>
                <w:rFonts w:hint="eastAsia"/>
                <w:sz w:val="20"/>
                <w:szCs w:val="20"/>
              </w:rPr>
              <w:t>：建立居民健康档案，包括老年人、孕产妇、儿童、慢性病患者、精神病患者，做好日常管理；</w:t>
            </w:r>
          </w:p>
          <w:p w14:paraId="75E4BF3E">
            <w:pPr>
              <w:spacing w:line="260" w:lineRule="exact"/>
              <w:jc w:val="left"/>
              <w:rPr>
                <w:rFonts w:ascii="宋体" w:cs="宋体"/>
                <w:sz w:val="18"/>
                <w:szCs w:val="18"/>
              </w:rPr>
            </w:pPr>
            <w:r>
              <w:rPr>
                <w:rFonts w:hint="eastAsia"/>
                <w:sz w:val="20"/>
                <w:szCs w:val="20"/>
              </w:rPr>
              <w:t>目标</w:t>
            </w:r>
            <w:r>
              <w:rPr>
                <w:rFonts w:hint="eastAsia"/>
                <w:sz w:val="20"/>
                <w:szCs w:val="20"/>
                <w:lang w:val="en-US" w:eastAsia="zh-CN"/>
              </w:rPr>
              <w:t>4</w:t>
            </w:r>
            <w:r>
              <w:rPr>
                <w:rFonts w:hint="eastAsia"/>
                <w:sz w:val="20"/>
                <w:szCs w:val="20"/>
              </w:rPr>
              <w:t>：开展家庭医生签约服务，严重精神障碍患者家庭医生签约服务进行全覆盖</w:t>
            </w:r>
          </w:p>
        </w:tc>
      </w:tr>
      <w:tr w14:paraId="1D65B4E7">
        <w:tblPrEx>
          <w:tblW w:w="0" w:type="auto"/>
          <w:tblInd w:w="0" w:type="dxa"/>
          <w:tblLayout w:type="fixed"/>
        </w:tblPrEx>
        <w:trPr>
          <w:trHeight w:val="508"/>
        </w:trPr>
        <w:tc>
          <w:tcPr>
            <w:tcW w:w="438" w:type="dxa"/>
            <w:vMerge w:val="restart"/>
            <w:noWrap w:val="0"/>
            <w:vAlign w:val="center"/>
          </w:tcPr>
          <w:p w14:paraId="4CC11BF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绩</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效</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标</w:t>
            </w:r>
          </w:p>
        </w:tc>
        <w:tc>
          <w:tcPr>
            <w:tcW w:w="723" w:type="dxa"/>
            <w:noWrap w:val="0"/>
            <w:vAlign w:val="center"/>
          </w:tcPr>
          <w:p w14:paraId="74FE77C8">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一级</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指标</w:t>
            </w:r>
          </w:p>
        </w:tc>
        <w:tc>
          <w:tcPr>
            <w:tcW w:w="759" w:type="dxa"/>
            <w:gridSpan w:val="2"/>
            <w:noWrap w:val="0"/>
            <w:vAlign w:val="center"/>
          </w:tcPr>
          <w:p w14:paraId="65D512B2">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872" w:type="dxa"/>
            <w:noWrap w:val="0"/>
            <w:vAlign w:val="center"/>
          </w:tcPr>
          <w:p w14:paraId="242FD268">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14:paraId="21DF6CCD">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14:paraId="088955C1">
        <w:tblPrEx>
          <w:tblW w:w="0" w:type="auto"/>
          <w:tblInd w:w="0" w:type="dxa"/>
          <w:tblLayout w:type="fixed"/>
        </w:tblPrEx>
        <w:trPr>
          <w:trHeight w:val="363"/>
        </w:trPr>
        <w:tc>
          <w:tcPr>
            <w:tcW w:w="438" w:type="dxa"/>
            <w:vMerge/>
            <w:noWrap w:val="0"/>
            <w:vAlign w:val="center"/>
          </w:tcPr>
          <w:p w14:paraId="0BEE6F47">
            <w:pPr>
              <w:spacing w:line="260" w:lineRule="exact"/>
              <w:jc w:val="center"/>
              <w:rPr>
                <w:rFonts w:ascii="宋体" w:cs="宋体"/>
                <w:sz w:val="18"/>
                <w:szCs w:val="18"/>
              </w:rPr>
            </w:pPr>
          </w:p>
        </w:tc>
        <w:tc>
          <w:tcPr>
            <w:tcW w:w="723" w:type="dxa"/>
            <w:vMerge w:val="restart"/>
            <w:noWrap w:val="0"/>
            <w:vAlign w:val="center"/>
          </w:tcPr>
          <w:p w14:paraId="1FDC0022">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759" w:type="dxa"/>
            <w:gridSpan w:val="2"/>
            <w:vMerge w:val="restart"/>
            <w:noWrap w:val="0"/>
            <w:vAlign w:val="center"/>
          </w:tcPr>
          <w:p w14:paraId="244C13EB">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872" w:type="dxa"/>
            <w:shd w:val="clear" w:color="auto" w:fill="auto"/>
            <w:noWrap w:val="0"/>
            <w:vAlign w:val="center"/>
          </w:tcPr>
          <w:p w14:paraId="5D0FAF20">
            <w:pPr>
              <w:rPr>
                <w:rFonts w:ascii="宋体" w:eastAsia="宋体" w:hAnsi="Times New Roman" w:cs="宋体"/>
                <w:kern w:val="2"/>
                <w:sz w:val="18"/>
                <w:szCs w:val="18"/>
                <w:lang w:val="en-US" w:eastAsia="zh-CN" w:bidi="ar-SA"/>
              </w:rPr>
            </w:pPr>
            <w:r>
              <w:rPr>
                <w:rFonts w:hint="eastAsia"/>
                <w:sz w:val="20"/>
                <w:szCs w:val="20"/>
              </w:rPr>
              <w:t>门诊人数</w:t>
            </w:r>
          </w:p>
        </w:tc>
        <w:tc>
          <w:tcPr>
            <w:tcW w:w="4228" w:type="dxa"/>
            <w:gridSpan w:val="2"/>
            <w:shd w:val="clear" w:color="auto" w:fill="auto"/>
            <w:noWrap w:val="0"/>
            <w:vAlign w:val="center"/>
          </w:tcPr>
          <w:p w14:paraId="46CEA310">
            <w:pPr>
              <w:rPr>
                <w:rFonts w:ascii="宋体" w:eastAsia="宋体" w:hAnsi="宋体" w:cs="宋体"/>
                <w:kern w:val="2"/>
                <w:sz w:val="20"/>
                <w:szCs w:val="20"/>
                <w:lang w:val="en-US" w:eastAsia="zh-CN" w:bidi="ar-SA"/>
              </w:rPr>
            </w:pPr>
            <w:r>
              <w:rPr>
                <w:rFonts w:hint="eastAsia"/>
                <w:sz w:val="16"/>
                <w:szCs w:val="20"/>
              </w:rPr>
              <w:t>　＞1</w:t>
            </w:r>
            <w:r>
              <w:rPr>
                <w:rFonts w:hint="eastAsia"/>
                <w:sz w:val="16"/>
                <w:szCs w:val="20"/>
                <w:lang w:val="en-US" w:eastAsia="zh-CN"/>
              </w:rPr>
              <w:t>5</w:t>
            </w:r>
            <w:r>
              <w:rPr>
                <w:rFonts w:hint="eastAsia"/>
                <w:sz w:val="16"/>
                <w:szCs w:val="20"/>
              </w:rPr>
              <w:t>000</w:t>
            </w:r>
          </w:p>
        </w:tc>
      </w:tr>
      <w:tr w14:paraId="4381FCAC">
        <w:tblPrEx>
          <w:tblW w:w="0" w:type="auto"/>
          <w:tblInd w:w="0" w:type="dxa"/>
          <w:tblLayout w:type="fixed"/>
        </w:tblPrEx>
        <w:trPr>
          <w:trHeight w:val="363"/>
        </w:trPr>
        <w:tc>
          <w:tcPr>
            <w:tcW w:w="438" w:type="dxa"/>
            <w:vMerge/>
            <w:noWrap w:val="0"/>
            <w:vAlign w:val="center"/>
          </w:tcPr>
          <w:p w14:paraId="2E73F8DC">
            <w:pPr>
              <w:spacing w:line="260" w:lineRule="exact"/>
              <w:jc w:val="center"/>
              <w:rPr>
                <w:rFonts w:ascii="宋体" w:cs="宋体"/>
                <w:sz w:val="18"/>
                <w:szCs w:val="18"/>
              </w:rPr>
            </w:pPr>
          </w:p>
        </w:tc>
        <w:tc>
          <w:tcPr>
            <w:tcW w:w="723" w:type="dxa"/>
            <w:vMerge/>
            <w:noWrap w:val="0"/>
            <w:vAlign w:val="center"/>
          </w:tcPr>
          <w:p w14:paraId="5D4923A1">
            <w:pPr>
              <w:spacing w:line="260" w:lineRule="exact"/>
              <w:jc w:val="center"/>
              <w:rPr>
                <w:rFonts w:ascii="宋体" w:cs="宋体"/>
                <w:sz w:val="18"/>
                <w:szCs w:val="18"/>
              </w:rPr>
            </w:pPr>
          </w:p>
        </w:tc>
        <w:tc>
          <w:tcPr>
            <w:tcW w:w="759" w:type="dxa"/>
            <w:gridSpan w:val="2"/>
            <w:vMerge/>
            <w:noWrap w:val="0"/>
            <w:vAlign w:val="center"/>
          </w:tcPr>
          <w:p w14:paraId="20DA8E41">
            <w:pPr>
              <w:spacing w:line="260" w:lineRule="exact"/>
              <w:jc w:val="center"/>
              <w:rPr>
                <w:rFonts w:ascii="宋体" w:cs="宋体"/>
                <w:sz w:val="18"/>
                <w:szCs w:val="18"/>
              </w:rPr>
            </w:pPr>
          </w:p>
        </w:tc>
        <w:tc>
          <w:tcPr>
            <w:tcW w:w="2872" w:type="dxa"/>
            <w:shd w:val="clear" w:color="auto" w:fill="auto"/>
            <w:noWrap w:val="0"/>
            <w:vAlign w:val="center"/>
          </w:tcPr>
          <w:p w14:paraId="1D878A9C">
            <w:pPr>
              <w:rPr>
                <w:rFonts w:ascii="宋体" w:eastAsia="宋体" w:hAnsi="Times New Roman" w:cs="宋体"/>
                <w:kern w:val="2"/>
                <w:sz w:val="18"/>
                <w:szCs w:val="18"/>
                <w:lang w:val="en-US" w:eastAsia="zh-CN" w:bidi="ar-SA"/>
              </w:rPr>
            </w:pPr>
            <w:r>
              <w:rPr>
                <w:rFonts w:hint="eastAsia"/>
                <w:sz w:val="20"/>
                <w:szCs w:val="20"/>
              </w:rPr>
              <w:t>住院人数</w:t>
            </w:r>
          </w:p>
        </w:tc>
        <w:tc>
          <w:tcPr>
            <w:tcW w:w="4228" w:type="dxa"/>
            <w:gridSpan w:val="2"/>
            <w:shd w:val="clear" w:color="auto" w:fill="auto"/>
            <w:noWrap w:val="0"/>
            <w:vAlign w:val="center"/>
          </w:tcPr>
          <w:p w14:paraId="779DC5EC">
            <w:pPr>
              <w:rPr>
                <w:rFonts w:ascii="宋体" w:eastAsia="宋体" w:hAnsi="宋体" w:cs="宋体" w:hint="default"/>
                <w:kern w:val="2"/>
                <w:sz w:val="20"/>
                <w:szCs w:val="20"/>
                <w:lang w:val="en-US" w:eastAsia="zh-CN" w:bidi="ar-SA"/>
              </w:rPr>
            </w:pPr>
            <w:r>
              <w:rPr>
                <w:rFonts w:hint="eastAsia"/>
                <w:sz w:val="20"/>
                <w:szCs w:val="20"/>
              </w:rPr>
              <w:t>　＞</w:t>
            </w:r>
            <w:r>
              <w:rPr>
                <w:rFonts w:hint="eastAsia"/>
                <w:sz w:val="20"/>
                <w:szCs w:val="20"/>
                <w:lang w:val="en-US" w:eastAsia="zh-CN"/>
              </w:rPr>
              <w:t>200</w:t>
            </w:r>
          </w:p>
        </w:tc>
      </w:tr>
      <w:tr w14:paraId="63B8C243">
        <w:tblPrEx>
          <w:tblW w:w="0" w:type="auto"/>
          <w:tblInd w:w="0" w:type="dxa"/>
          <w:tblLayout w:type="fixed"/>
        </w:tblPrEx>
        <w:trPr>
          <w:trHeight w:val="363"/>
        </w:trPr>
        <w:tc>
          <w:tcPr>
            <w:tcW w:w="438" w:type="dxa"/>
            <w:vMerge/>
            <w:noWrap w:val="0"/>
            <w:vAlign w:val="center"/>
          </w:tcPr>
          <w:p w14:paraId="6EA18E4A">
            <w:pPr>
              <w:spacing w:line="260" w:lineRule="exact"/>
              <w:jc w:val="center"/>
              <w:rPr>
                <w:rFonts w:ascii="宋体" w:cs="宋体"/>
                <w:sz w:val="18"/>
                <w:szCs w:val="18"/>
              </w:rPr>
            </w:pPr>
          </w:p>
        </w:tc>
        <w:tc>
          <w:tcPr>
            <w:tcW w:w="723" w:type="dxa"/>
            <w:vMerge/>
            <w:noWrap w:val="0"/>
            <w:vAlign w:val="center"/>
          </w:tcPr>
          <w:p w14:paraId="6699FE9A">
            <w:pPr>
              <w:spacing w:line="260" w:lineRule="exact"/>
              <w:jc w:val="center"/>
              <w:rPr>
                <w:rFonts w:ascii="宋体" w:cs="宋体"/>
                <w:sz w:val="18"/>
                <w:szCs w:val="18"/>
              </w:rPr>
            </w:pPr>
          </w:p>
        </w:tc>
        <w:tc>
          <w:tcPr>
            <w:tcW w:w="759" w:type="dxa"/>
            <w:gridSpan w:val="2"/>
            <w:vMerge w:val="restart"/>
            <w:noWrap w:val="0"/>
            <w:vAlign w:val="center"/>
          </w:tcPr>
          <w:p w14:paraId="1C6AF107">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872" w:type="dxa"/>
            <w:shd w:val="clear" w:color="auto" w:fill="auto"/>
            <w:noWrap w:val="0"/>
            <w:vAlign w:val="center"/>
          </w:tcPr>
          <w:p w14:paraId="273FA813">
            <w:pPr>
              <w:rPr>
                <w:rFonts w:ascii="宋体" w:eastAsia="宋体" w:hAnsi="宋体" w:cs="宋体"/>
                <w:kern w:val="2"/>
                <w:sz w:val="20"/>
                <w:szCs w:val="20"/>
                <w:lang w:val="en-US" w:eastAsia="zh-CN" w:bidi="ar-SA"/>
              </w:rPr>
            </w:pPr>
            <w:r>
              <w:rPr>
                <w:rFonts w:hint="eastAsia"/>
                <w:sz w:val="20"/>
                <w:szCs w:val="20"/>
              </w:rPr>
              <w:t>基层患者临床诊断符合率（%）</w:t>
            </w:r>
          </w:p>
        </w:tc>
        <w:tc>
          <w:tcPr>
            <w:tcW w:w="4228" w:type="dxa"/>
            <w:gridSpan w:val="2"/>
            <w:shd w:val="clear" w:color="auto" w:fill="auto"/>
            <w:noWrap w:val="0"/>
            <w:vAlign w:val="center"/>
          </w:tcPr>
          <w:p w14:paraId="33D648DD">
            <w:pPr>
              <w:rPr>
                <w:rFonts w:ascii="宋体" w:eastAsia="宋体" w:hAnsi="宋体" w:cs="宋体"/>
                <w:kern w:val="2"/>
                <w:sz w:val="20"/>
                <w:szCs w:val="20"/>
                <w:lang w:val="en-US" w:eastAsia="zh-CN" w:bidi="ar-SA"/>
              </w:rPr>
            </w:pPr>
            <w:r>
              <w:rPr>
                <w:rFonts w:hint="eastAsia"/>
                <w:sz w:val="20"/>
                <w:szCs w:val="20"/>
              </w:rPr>
              <w:t>　=100%</w:t>
            </w:r>
          </w:p>
        </w:tc>
      </w:tr>
      <w:tr w14:paraId="7AF417C4">
        <w:tblPrEx>
          <w:tblW w:w="0" w:type="auto"/>
          <w:tblInd w:w="0" w:type="dxa"/>
          <w:tblLayout w:type="fixed"/>
        </w:tblPrEx>
        <w:trPr>
          <w:trHeight w:val="363"/>
        </w:trPr>
        <w:tc>
          <w:tcPr>
            <w:tcW w:w="438" w:type="dxa"/>
            <w:vMerge/>
            <w:noWrap w:val="0"/>
            <w:vAlign w:val="center"/>
          </w:tcPr>
          <w:p w14:paraId="67F7FEEC">
            <w:pPr>
              <w:spacing w:line="260" w:lineRule="exact"/>
              <w:jc w:val="center"/>
              <w:rPr>
                <w:rFonts w:ascii="宋体" w:cs="宋体"/>
                <w:sz w:val="18"/>
                <w:szCs w:val="18"/>
              </w:rPr>
            </w:pPr>
          </w:p>
        </w:tc>
        <w:tc>
          <w:tcPr>
            <w:tcW w:w="723" w:type="dxa"/>
            <w:vMerge/>
            <w:noWrap w:val="0"/>
            <w:vAlign w:val="center"/>
          </w:tcPr>
          <w:p w14:paraId="06F0CCD9">
            <w:pPr>
              <w:spacing w:line="260" w:lineRule="exact"/>
              <w:jc w:val="center"/>
              <w:rPr>
                <w:rFonts w:ascii="宋体" w:cs="宋体"/>
                <w:sz w:val="18"/>
                <w:szCs w:val="18"/>
              </w:rPr>
            </w:pPr>
          </w:p>
        </w:tc>
        <w:tc>
          <w:tcPr>
            <w:tcW w:w="759" w:type="dxa"/>
            <w:gridSpan w:val="2"/>
            <w:vMerge/>
            <w:noWrap w:val="0"/>
            <w:vAlign w:val="center"/>
          </w:tcPr>
          <w:p w14:paraId="33DCE587">
            <w:pPr>
              <w:spacing w:line="260" w:lineRule="exact"/>
              <w:jc w:val="center"/>
              <w:rPr>
                <w:rFonts w:ascii="宋体" w:cs="宋体"/>
                <w:sz w:val="18"/>
                <w:szCs w:val="18"/>
              </w:rPr>
            </w:pPr>
          </w:p>
        </w:tc>
        <w:tc>
          <w:tcPr>
            <w:tcW w:w="2872" w:type="dxa"/>
            <w:shd w:val="clear" w:color="auto" w:fill="auto"/>
            <w:noWrap w:val="0"/>
            <w:vAlign w:val="center"/>
          </w:tcPr>
          <w:p w14:paraId="765F55C5">
            <w:pPr>
              <w:spacing w:line="260" w:lineRule="exact"/>
              <w:jc w:val="left"/>
              <w:textAlignment w:val="center"/>
              <w:rPr>
                <w:rFonts w:ascii="宋体" w:eastAsia="宋体" w:hAnsi="Times New Roman" w:cs="宋体" w:hint="default"/>
                <w:kern w:val="2"/>
                <w:sz w:val="18"/>
                <w:szCs w:val="18"/>
                <w:lang w:val="en-US" w:eastAsia="zh-CN" w:bidi="ar-SA"/>
              </w:rPr>
            </w:pPr>
            <w:r>
              <w:rPr>
                <w:rFonts w:ascii="宋体" w:cs="宋体" w:hint="eastAsia"/>
                <w:sz w:val="18"/>
                <w:szCs w:val="18"/>
                <w:lang w:val="en-US" w:eastAsia="zh-CN"/>
              </w:rPr>
              <w:t>患者检查报告准确率（%）</w:t>
            </w:r>
          </w:p>
        </w:tc>
        <w:tc>
          <w:tcPr>
            <w:tcW w:w="4228" w:type="dxa"/>
            <w:gridSpan w:val="2"/>
            <w:shd w:val="clear" w:color="auto" w:fill="auto"/>
            <w:noWrap w:val="0"/>
            <w:vAlign w:val="center"/>
          </w:tcPr>
          <w:p w14:paraId="5E5351A7">
            <w:pPr>
              <w:spacing w:line="260" w:lineRule="exact"/>
              <w:ind w:firstLine="200" w:firstLineChars="100"/>
              <w:jc w:val="both"/>
              <w:rPr>
                <w:rFonts w:ascii="宋体" w:eastAsia="宋体" w:hAnsi="Times New Roman" w:cs="宋体"/>
                <w:kern w:val="2"/>
                <w:sz w:val="18"/>
                <w:szCs w:val="18"/>
                <w:lang w:val="en-US" w:eastAsia="zh-CN" w:bidi="ar-SA"/>
              </w:rPr>
            </w:pPr>
            <w:r>
              <w:rPr>
                <w:rFonts w:hint="eastAsia"/>
                <w:sz w:val="20"/>
                <w:szCs w:val="20"/>
              </w:rPr>
              <w:t>=100%</w:t>
            </w:r>
          </w:p>
        </w:tc>
      </w:tr>
      <w:tr w14:paraId="5478E959">
        <w:tblPrEx>
          <w:tblW w:w="0" w:type="auto"/>
          <w:tblInd w:w="0" w:type="dxa"/>
          <w:tblLayout w:type="fixed"/>
        </w:tblPrEx>
        <w:trPr>
          <w:trHeight w:val="363"/>
        </w:trPr>
        <w:tc>
          <w:tcPr>
            <w:tcW w:w="438" w:type="dxa"/>
            <w:vMerge/>
            <w:noWrap w:val="0"/>
            <w:vAlign w:val="center"/>
          </w:tcPr>
          <w:p w14:paraId="224EC0C4">
            <w:pPr>
              <w:spacing w:line="260" w:lineRule="exact"/>
              <w:jc w:val="center"/>
              <w:rPr>
                <w:rFonts w:ascii="宋体" w:cs="宋体"/>
                <w:sz w:val="18"/>
                <w:szCs w:val="18"/>
              </w:rPr>
            </w:pPr>
          </w:p>
        </w:tc>
        <w:tc>
          <w:tcPr>
            <w:tcW w:w="723" w:type="dxa"/>
            <w:vMerge/>
            <w:noWrap w:val="0"/>
            <w:vAlign w:val="center"/>
          </w:tcPr>
          <w:p w14:paraId="6307D6A1">
            <w:pPr>
              <w:spacing w:line="260" w:lineRule="exact"/>
              <w:jc w:val="center"/>
              <w:rPr>
                <w:rFonts w:ascii="宋体" w:cs="宋体"/>
                <w:sz w:val="18"/>
                <w:szCs w:val="18"/>
              </w:rPr>
            </w:pPr>
          </w:p>
        </w:tc>
        <w:tc>
          <w:tcPr>
            <w:tcW w:w="759" w:type="dxa"/>
            <w:gridSpan w:val="2"/>
            <w:vMerge w:val="restart"/>
            <w:noWrap w:val="0"/>
            <w:vAlign w:val="center"/>
          </w:tcPr>
          <w:p w14:paraId="1E6F2F14">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872" w:type="dxa"/>
            <w:shd w:val="clear" w:color="auto" w:fill="auto"/>
            <w:noWrap w:val="0"/>
            <w:vAlign w:val="center"/>
          </w:tcPr>
          <w:p w14:paraId="20D7D57B">
            <w:pPr>
              <w:rPr>
                <w:rFonts w:ascii="宋体" w:eastAsia="宋体" w:hAnsi="宋体" w:cs="宋体"/>
                <w:kern w:val="2"/>
                <w:sz w:val="20"/>
                <w:szCs w:val="20"/>
                <w:lang w:val="en-US" w:eastAsia="zh-CN" w:bidi="ar-SA"/>
              </w:rPr>
            </w:pPr>
            <w:r>
              <w:rPr>
                <w:rFonts w:hint="eastAsia"/>
                <w:sz w:val="20"/>
                <w:szCs w:val="20"/>
              </w:rPr>
              <w:t>基层传染病报告率（%）</w:t>
            </w:r>
          </w:p>
        </w:tc>
        <w:tc>
          <w:tcPr>
            <w:tcW w:w="4228" w:type="dxa"/>
            <w:gridSpan w:val="2"/>
            <w:shd w:val="clear" w:color="auto" w:fill="auto"/>
            <w:noWrap w:val="0"/>
            <w:vAlign w:val="center"/>
          </w:tcPr>
          <w:p w14:paraId="5B5B15EE">
            <w:pPr>
              <w:rPr>
                <w:rFonts w:ascii="宋体" w:eastAsia="宋体" w:hAnsi="宋体" w:cs="宋体"/>
                <w:kern w:val="2"/>
                <w:sz w:val="20"/>
                <w:szCs w:val="20"/>
                <w:lang w:val="en-US" w:eastAsia="zh-CN" w:bidi="ar-SA"/>
              </w:rPr>
            </w:pPr>
            <w:r>
              <w:rPr>
                <w:rFonts w:hint="eastAsia"/>
                <w:sz w:val="20"/>
                <w:szCs w:val="20"/>
              </w:rPr>
              <w:t>　=100%</w:t>
            </w:r>
          </w:p>
        </w:tc>
      </w:tr>
      <w:tr w14:paraId="75AD2CE8">
        <w:tblPrEx>
          <w:tblW w:w="0" w:type="auto"/>
          <w:tblInd w:w="0" w:type="dxa"/>
          <w:tblLayout w:type="fixed"/>
        </w:tblPrEx>
        <w:trPr>
          <w:trHeight w:val="363"/>
        </w:trPr>
        <w:tc>
          <w:tcPr>
            <w:tcW w:w="438" w:type="dxa"/>
            <w:vMerge/>
            <w:noWrap w:val="0"/>
            <w:vAlign w:val="center"/>
          </w:tcPr>
          <w:p w14:paraId="00C6B62E">
            <w:pPr>
              <w:spacing w:line="260" w:lineRule="exact"/>
              <w:jc w:val="center"/>
              <w:rPr>
                <w:rFonts w:ascii="宋体" w:cs="宋体"/>
                <w:sz w:val="18"/>
                <w:szCs w:val="18"/>
              </w:rPr>
            </w:pPr>
          </w:p>
        </w:tc>
        <w:tc>
          <w:tcPr>
            <w:tcW w:w="723" w:type="dxa"/>
            <w:vMerge/>
            <w:noWrap w:val="0"/>
            <w:vAlign w:val="center"/>
          </w:tcPr>
          <w:p w14:paraId="7C7EB320">
            <w:pPr>
              <w:spacing w:line="260" w:lineRule="exact"/>
              <w:jc w:val="center"/>
              <w:rPr>
                <w:rFonts w:ascii="宋体" w:cs="宋体"/>
                <w:sz w:val="18"/>
                <w:szCs w:val="18"/>
              </w:rPr>
            </w:pPr>
          </w:p>
        </w:tc>
        <w:tc>
          <w:tcPr>
            <w:tcW w:w="759" w:type="dxa"/>
            <w:gridSpan w:val="2"/>
            <w:vMerge/>
            <w:noWrap w:val="0"/>
            <w:vAlign w:val="center"/>
          </w:tcPr>
          <w:p w14:paraId="5BD8151E">
            <w:pPr>
              <w:spacing w:line="260" w:lineRule="exact"/>
              <w:jc w:val="center"/>
              <w:rPr>
                <w:rFonts w:ascii="宋体" w:cs="宋体"/>
                <w:sz w:val="18"/>
                <w:szCs w:val="18"/>
              </w:rPr>
            </w:pPr>
          </w:p>
        </w:tc>
        <w:tc>
          <w:tcPr>
            <w:tcW w:w="2872" w:type="dxa"/>
            <w:shd w:val="clear" w:color="auto" w:fill="auto"/>
            <w:noWrap w:val="0"/>
            <w:vAlign w:val="center"/>
          </w:tcPr>
          <w:p w14:paraId="6C834CD1">
            <w:pPr>
              <w:spacing w:line="260" w:lineRule="exact"/>
              <w:jc w:val="left"/>
              <w:textAlignment w:val="center"/>
              <w:rPr>
                <w:rFonts w:ascii="宋体" w:eastAsia="宋体" w:hAnsi="Times New Roman" w:cs="宋体"/>
                <w:kern w:val="2"/>
                <w:sz w:val="18"/>
                <w:szCs w:val="18"/>
                <w:lang w:val="en-US" w:eastAsia="zh-CN" w:bidi="ar-SA"/>
              </w:rPr>
            </w:pPr>
          </w:p>
        </w:tc>
        <w:tc>
          <w:tcPr>
            <w:tcW w:w="4228" w:type="dxa"/>
            <w:gridSpan w:val="2"/>
            <w:shd w:val="clear" w:color="auto" w:fill="auto"/>
            <w:noWrap w:val="0"/>
            <w:vAlign w:val="center"/>
          </w:tcPr>
          <w:p w14:paraId="1330211D">
            <w:pPr>
              <w:spacing w:line="260" w:lineRule="exact"/>
              <w:jc w:val="center"/>
              <w:rPr>
                <w:rFonts w:ascii="宋体" w:eastAsia="宋体" w:hAnsi="Times New Roman" w:cs="宋体"/>
                <w:kern w:val="2"/>
                <w:sz w:val="18"/>
                <w:szCs w:val="18"/>
                <w:lang w:val="en-US" w:eastAsia="zh-CN" w:bidi="ar-SA"/>
              </w:rPr>
            </w:pPr>
          </w:p>
        </w:tc>
      </w:tr>
      <w:tr w14:paraId="50BD3F5E">
        <w:tblPrEx>
          <w:tblW w:w="0" w:type="auto"/>
          <w:tblInd w:w="0" w:type="dxa"/>
          <w:tblLayout w:type="fixed"/>
        </w:tblPrEx>
        <w:trPr>
          <w:trHeight w:val="363"/>
        </w:trPr>
        <w:tc>
          <w:tcPr>
            <w:tcW w:w="438" w:type="dxa"/>
            <w:vMerge/>
            <w:noWrap w:val="0"/>
            <w:vAlign w:val="center"/>
          </w:tcPr>
          <w:p w14:paraId="640E9B30">
            <w:pPr>
              <w:spacing w:line="260" w:lineRule="exact"/>
              <w:jc w:val="center"/>
              <w:rPr>
                <w:rFonts w:ascii="宋体" w:cs="宋体"/>
                <w:sz w:val="18"/>
                <w:szCs w:val="18"/>
              </w:rPr>
            </w:pPr>
          </w:p>
        </w:tc>
        <w:tc>
          <w:tcPr>
            <w:tcW w:w="723" w:type="dxa"/>
            <w:vMerge/>
            <w:noWrap w:val="0"/>
            <w:vAlign w:val="center"/>
          </w:tcPr>
          <w:p w14:paraId="42255B2B">
            <w:pPr>
              <w:spacing w:line="260" w:lineRule="exact"/>
              <w:jc w:val="center"/>
              <w:rPr>
                <w:rFonts w:ascii="宋体" w:cs="宋体"/>
                <w:sz w:val="18"/>
                <w:szCs w:val="18"/>
              </w:rPr>
            </w:pPr>
          </w:p>
        </w:tc>
        <w:tc>
          <w:tcPr>
            <w:tcW w:w="759" w:type="dxa"/>
            <w:gridSpan w:val="2"/>
            <w:vMerge w:val="restart"/>
            <w:noWrap w:val="0"/>
            <w:vAlign w:val="center"/>
          </w:tcPr>
          <w:p w14:paraId="2685D79B">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872" w:type="dxa"/>
            <w:shd w:val="clear" w:color="auto" w:fill="auto"/>
            <w:noWrap w:val="0"/>
            <w:vAlign w:val="center"/>
          </w:tcPr>
          <w:p w14:paraId="140B3452">
            <w:pPr>
              <w:spacing w:line="260" w:lineRule="exact"/>
              <w:jc w:val="left"/>
              <w:textAlignment w:val="center"/>
              <w:rPr>
                <w:rFonts w:ascii="宋体" w:eastAsia="宋体" w:hAnsi="Times New Roman" w:cs="宋体" w:hint="default"/>
                <w:kern w:val="2"/>
                <w:sz w:val="18"/>
                <w:szCs w:val="18"/>
                <w:lang w:val="en-US" w:eastAsia="zh-CN" w:bidi="ar-SA"/>
              </w:rPr>
            </w:pPr>
            <w:r>
              <w:rPr>
                <w:rFonts w:ascii="宋体" w:hAnsi="宋体" w:cs="宋体" w:hint="eastAsia"/>
                <w:color w:val="000000"/>
                <w:kern w:val="0"/>
                <w:sz w:val="18"/>
                <w:szCs w:val="18"/>
                <w:lang w:val="en-US" w:eastAsia="zh-CN" w:bidi="ar"/>
              </w:rPr>
              <w:t>药品成本</w:t>
            </w:r>
          </w:p>
        </w:tc>
        <w:tc>
          <w:tcPr>
            <w:tcW w:w="4228" w:type="dxa"/>
            <w:gridSpan w:val="2"/>
            <w:shd w:val="clear" w:color="auto" w:fill="auto"/>
            <w:noWrap w:val="0"/>
            <w:vAlign w:val="center"/>
          </w:tcPr>
          <w:p w14:paraId="603C7CE7">
            <w:pPr>
              <w:spacing w:line="260" w:lineRule="exact"/>
              <w:ind w:firstLine="180" w:firstLineChars="100"/>
              <w:jc w:val="both"/>
              <w:rPr>
                <w:rFonts w:ascii="宋体" w:eastAsia="宋体" w:hAnsi="Times New Roman" w:cs="宋体" w:hint="default"/>
                <w:kern w:val="2"/>
                <w:sz w:val="18"/>
                <w:szCs w:val="18"/>
                <w:lang w:val="en-US" w:eastAsia="zh-CN" w:bidi="ar-SA"/>
              </w:rPr>
            </w:pPr>
            <w:r>
              <w:rPr>
                <w:rFonts w:ascii="宋体" w:cs="宋体" w:hint="eastAsia"/>
                <w:sz w:val="18"/>
                <w:szCs w:val="18"/>
                <w:lang w:val="en-US" w:eastAsia="zh-CN"/>
              </w:rPr>
              <w:t>无差价售卖</w:t>
            </w:r>
          </w:p>
        </w:tc>
      </w:tr>
      <w:tr w14:paraId="657A821B">
        <w:tblPrEx>
          <w:tblW w:w="0" w:type="auto"/>
          <w:tblInd w:w="0" w:type="dxa"/>
          <w:tblLayout w:type="fixed"/>
        </w:tblPrEx>
        <w:trPr>
          <w:trHeight w:val="363"/>
        </w:trPr>
        <w:tc>
          <w:tcPr>
            <w:tcW w:w="438" w:type="dxa"/>
            <w:vMerge/>
            <w:noWrap w:val="0"/>
            <w:vAlign w:val="center"/>
          </w:tcPr>
          <w:p w14:paraId="5E762542">
            <w:pPr>
              <w:spacing w:line="260" w:lineRule="exact"/>
              <w:jc w:val="center"/>
              <w:rPr>
                <w:rFonts w:ascii="宋体" w:cs="宋体"/>
                <w:sz w:val="18"/>
                <w:szCs w:val="18"/>
              </w:rPr>
            </w:pPr>
          </w:p>
        </w:tc>
        <w:tc>
          <w:tcPr>
            <w:tcW w:w="723" w:type="dxa"/>
            <w:vMerge/>
            <w:noWrap w:val="0"/>
            <w:vAlign w:val="center"/>
          </w:tcPr>
          <w:p w14:paraId="2A509DCC">
            <w:pPr>
              <w:spacing w:line="260" w:lineRule="exact"/>
              <w:jc w:val="center"/>
              <w:rPr>
                <w:rFonts w:ascii="宋体" w:cs="宋体"/>
                <w:sz w:val="18"/>
                <w:szCs w:val="18"/>
              </w:rPr>
            </w:pPr>
          </w:p>
        </w:tc>
        <w:tc>
          <w:tcPr>
            <w:tcW w:w="759" w:type="dxa"/>
            <w:gridSpan w:val="2"/>
            <w:vMerge/>
            <w:noWrap w:val="0"/>
            <w:vAlign w:val="center"/>
          </w:tcPr>
          <w:p w14:paraId="6F749C78">
            <w:pPr>
              <w:spacing w:line="260" w:lineRule="exact"/>
              <w:jc w:val="center"/>
              <w:rPr>
                <w:rFonts w:ascii="宋体" w:cs="宋体"/>
                <w:sz w:val="18"/>
                <w:szCs w:val="18"/>
              </w:rPr>
            </w:pPr>
          </w:p>
        </w:tc>
        <w:tc>
          <w:tcPr>
            <w:tcW w:w="2872" w:type="dxa"/>
            <w:noWrap w:val="0"/>
            <w:vAlign w:val="center"/>
          </w:tcPr>
          <w:p w14:paraId="55305409">
            <w:pPr>
              <w:spacing w:line="260" w:lineRule="exact"/>
              <w:jc w:val="left"/>
              <w:textAlignment w:val="center"/>
              <w:rPr>
                <w:rFonts w:ascii="宋体" w:cs="宋体"/>
                <w:sz w:val="18"/>
                <w:szCs w:val="18"/>
              </w:rPr>
            </w:pPr>
          </w:p>
        </w:tc>
        <w:tc>
          <w:tcPr>
            <w:tcW w:w="4228" w:type="dxa"/>
            <w:gridSpan w:val="2"/>
            <w:noWrap w:val="0"/>
            <w:vAlign w:val="center"/>
          </w:tcPr>
          <w:p w14:paraId="0477A1A4">
            <w:pPr>
              <w:spacing w:line="260" w:lineRule="exact"/>
              <w:jc w:val="center"/>
              <w:rPr>
                <w:rFonts w:ascii="宋体" w:cs="宋体"/>
                <w:sz w:val="18"/>
                <w:szCs w:val="18"/>
              </w:rPr>
            </w:pPr>
          </w:p>
        </w:tc>
      </w:tr>
      <w:tr w14:paraId="3364B367">
        <w:tblPrEx>
          <w:tblW w:w="0" w:type="auto"/>
          <w:tblInd w:w="0" w:type="dxa"/>
          <w:tblLayout w:type="fixed"/>
        </w:tblPrEx>
        <w:trPr>
          <w:trHeight w:val="363"/>
        </w:trPr>
        <w:tc>
          <w:tcPr>
            <w:tcW w:w="438" w:type="dxa"/>
            <w:vMerge/>
            <w:noWrap w:val="0"/>
            <w:vAlign w:val="center"/>
          </w:tcPr>
          <w:p w14:paraId="5238C643">
            <w:pPr>
              <w:spacing w:line="260" w:lineRule="exact"/>
              <w:jc w:val="center"/>
              <w:rPr>
                <w:rFonts w:ascii="宋体" w:cs="宋体"/>
                <w:sz w:val="18"/>
                <w:szCs w:val="18"/>
              </w:rPr>
            </w:pPr>
          </w:p>
        </w:tc>
        <w:tc>
          <w:tcPr>
            <w:tcW w:w="723" w:type="dxa"/>
            <w:vMerge/>
            <w:noWrap w:val="0"/>
            <w:vAlign w:val="center"/>
          </w:tcPr>
          <w:p w14:paraId="611215FD">
            <w:pPr>
              <w:spacing w:line="260" w:lineRule="exact"/>
              <w:jc w:val="center"/>
              <w:rPr>
                <w:rFonts w:ascii="宋体" w:cs="宋体"/>
                <w:sz w:val="18"/>
                <w:szCs w:val="18"/>
              </w:rPr>
            </w:pPr>
          </w:p>
        </w:tc>
        <w:tc>
          <w:tcPr>
            <w:tcW w:w="759" w:type="dxa"/>
            <w:gridSpan w:val="2"/>
            <w:noWrap w:val="0"/>
            <w:vAlign w:val="center"/>
          </w:tcPr>
          <w:p w14:paraId="32FDE3EC">
            <w:pPr>
              <w:spacing w:line="260" w:lineRule="exact"/>
              <w:jc w:val="both"/>
              <w:textAlignment w:val="center"/>
              <w:rPr>
                <w:rFonts w:ascii="宋体" w:cs="宋体"/>
                <w:sz w:val="18"/>
                <w:szCs w:val="18"/>
              </w:rPr>
            </w:pPr>
          </w:p>
        </w:tc>
        <w:tc>
          <w:tcPr>
            <w:tcW w:w="2872" w:type="dxa"/>
            <w:noWrap w:val="0"/>
            <w:vAlign w:val="center"/>
          </w:tcPr>
          <w:p w14:paraId="4D9D17A4">
            <w:pPr>
              <w:spacing w:line="260" w:lineRule="exact"/>
              <w:jc w:val="left"/>
              <w:rPr>
                <w:rFonts w:ascii="宋体" w:cs="宋体"/>
                <w:sz w:val="18"/>
                <w:szCs w:val="18"/>
              </w:rPr>
            </w:pPr>
          </w:p>
        </w:tc>
        <w:tc>
          <w:tcPr>
            <w:tcW w:w="4228" w:type="dxa"/>
            <w:gridSpan w:val="2"/>
            <w:noWrap w:val="0"/>
            <w:vAlign w:val="center"/>
          </w:tcPr>
          <w:p w14:paraId="64163466">
            <w:pPr>
              <w:spacing w:line="260" w:lineRule="exact"/>
              <w:jc w:val="center"/>
              <w:rPr>
                <w:rFonts w:ascii="宋体" w:cs="宋体"/>
                <w:sz w:val="18"/>
                <w:szCs w:val="18"/>
              </w:rPr>
            </w:pPr>
          </w:p>
        </w:tc>
      </w:tr>
      <w:tr w14:paraId="1CC30F80">
        <w:tblPrEx>
          <w:tblW w:w="0" w:type="auto"/>
          <w:tblInd w:w="0" w:type="dxa"/>
          <w:tblLayout w:type="fixed"/>
        </w:tblPrEx>
        <w:trPr>
          <w:trHeight w:val="363"/>
        </w:trPr>
        <w:tc>
          <w:tcPr>
            <w:tcW w:w="438" w:type="dxa"/>
            <w:vMerge/>
            <w:noWrap w:val="0"/>
            <w:vAlign w:val="center"/>
          </w:tcPr>
          <w:p w14:paraId="29AC78A5">
            <w:pPr>
              <w:spacing w:line="260" w:lineRule="exact"/>
              <w:jc w:val="center"/>
              <w:rPr>
                <w:rFonts w:ascii="宋体" w:cs="宋体"/>
                <w:sz w:val="18"/>
                <w:szCs w:val="18"/>
              </w:rPr>
            </w:pPr>
          </w:p>
        </w:tc>
        <w:tc>
          <w:tcPr>
            <w:tcW w:w="723" w:type="dxa"/>
            <w:vMerge w:val="restart"/>
            <w:noWrap w:val="0"/>
            <w:vAlign w:val="center"/>
          </w:tcPr>
          <w:p w14:paraId="3E3128E7">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759" w:type="dxa"/>
            <w:gridSpan w:val="2"/>
            <w:vMerge w:val="restart"/>
            <w:noWrap w:val="0"/>
            <w:vAlign w:val="center"/>
          </w:tcPr>
          <w:p w14:paraId="04241239">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872" w:type="dxa"/>
            <w:shd w:val="clear" w:color="auto" w:fill="auto"/>
            <w:noWrap w:val="0"/>
            <w:vAlign w:val="center"/>
          </w:tcPr>
          <w:p w14:paraId="0B9B79C3">
            <w:pPr>
              <w:rPr>
                <w:rFonts w:ascii="宋体" w:eastAsia="宋体" w:hAnsi="宋体" w:cs="宋体"/>
                <w:kern w:val="2"/>
                <w:sz w:val="20"/>
                <w:szCs w:val="20"/>
                <w:lang w:val="en-US" w:eastAsia="zh-CN" w:bidi="ar-SA"/>
              </w:rPr>
            </w:pPr>
            <w:r>
              <w:rPr>
                <w:rFonts w:hint="eastAsia"/>
                <w:sz w:val="20"/>
                <w:szCs w:val="20"/>
              </w:rPr>
              <w:t xml:space="preserve"> 全民健康意识提升</w:t>
            </w:r>
          </w:p>
        </w:tc>
        <w:tc>
          <w:tcPr>
            <w:tcW w:w="4228" w:type="dxa"/>
            <w:gridSpan w:val="2"/>
            <w:shd w:val="clear" w:color="auto" w:fill="auto"/>
            <w:noWrap w:val="0"/>
            <w:vAlign w:val="center"/>
          </w:tcPr>
          <w:p w14:paraId="430A3C6E">
            <w:pPr>
              <w:rPr>
                <w:rFonts w:ascii="宋体" w:eastAsia="宋体" w:hAnsi="宋体" w:cs="宋体"/>
                <w:kern w:val="2"/>
                <w:sz w:val="20"/>
                <w:szCs w:val="20"/>
                <w:lang w:val="en-US" w:eastAsia="zh-CN" w:bidi="ar-SA"/>
              </w:rPr>
            </w:pPr>
            <w:r>
              <w:rPr>
                <w:rFonts w:hint="eastAsia"/>
                <w:sz w:val="20"/>
                <w:szCs w:val="20"/>
              </w:rPr>
              <w:t>　逐步提升</w:t>
            </w:r>
          </w:p>
        </w:tc>
      </w:tr>
      <w:tr w14:paraId="2E824ECB">
        <w:tblPrEx>
          <w:tblW w:w="0" w:type="auto"/>
          <w:tblInd w:w="0" w:type="dxa"/>
          <w:tblLayout w:type="fixed"/>
        </w:tblPrEx>
        <w:trPr>
          <w:trHeight w:val="363"/>
        </w:trPr>
        <w:tc>
          <w:tcPr>
            <w:tcW w:w="438" w:type="dxa"/>
            <w:vMerge/>
            <w:noWrap w:val="0"/>
            <w:vAlign w:val="center"/>
          </w:tcPr>
          <w:p w14:paraId="3671A9D9">
            <w:pPr>
              <w:spacing w:line="260" w:lineRule="exact"/>
              <w:jc w:val="center"/>
              <w:rPr>
                <w:rFonts w:ascii="宋体" w:cs="宋体"/>
                <w:sz w:val="18"/>
                <w:szCs w:val="18"/>
              </w:rPr>
            </w:pPr>
          </w:p>
        </w:tc>
        <w:tc>
          <w:tcPr>
            <w:tcW w:w="723" w:type="dxa"/>
            <w:vMerge/>
            <w:noWrap w:val="0"/>
            <w:vAlign w:val="center"/>
          </w:tcPr>
          <w:p w14:paraId="6487547E">
            <w:pPr>
              <w:spacing w:line="260" w:lineRule="exact"/>
              <w:jc w:val="center"/>
              <w:rPr>
                <w:rFonts w:ascii="宋体" w:cs="宋体"/>
                <w:sz w:val="18"/>
                <w:szCs w:val="18"/>
              </w:rPr>
            </w:pPr>
          </w:p>
        </w:tc>
        <w:tc>
          <w:tcPr>
            <w:tcW w:w="759" w:type="dxa"/>
            <w:gridSpan w:val="2"/>
            <w:vMerge/>
            <w:noWrap w:val="0"/>
            <w:vAlign w:val="center"/>
          </w:tcPr>
          <w:p w14:paraId="48F611B2">
            <w:pPr>
              <w:spacing w:line="260" w:lineRule="exact"/>
              <w:jc w:val="center"/>
              <w:rPr>
                <w:rFonts w:ascii="宋体" w:cs="宋体"/>
                <w:sz w:val="18"/>
                <w:szCs w:val="18"/>
              </w:rPr>
            </w:pPr>
          </w:p>
        </w:tc>
        <w:tc>
          <w:tcPr>
            <w:tcW w:w="2872" w:type="dxa"/>
            <w:shd w:val="clear" w:color="auto" w:fill="auto"/>
            <w:noWrap w:val="0"/>
            <w:vAlign w:val="center"/>
          </w:tcPr>
          <w:p w14:paraId="77CBAE4A">
            <w:pPr>
              <w:spacing w:line="260" w:lineRule="exact"/>
              <w:jc w:val="left"/>
              <w:textAlignment w:val="center"/>
              <w:rPr>
                <w:rFonts w:ascii="宋体" w:eastAsia="宋体" w:hAnsi="Times New Roman" w:cs="宋体"/>
                <w:kern w:val="2"/>
                <w:sz w:val="18"/>
                <w:szCs w:val="18"/>
                <w:lang w:val="en-US" w:eastAsia="zh-CN" w:bidi="ar-SA"/>
              </w:rPr>
            </w:pPr>
          </w:p>
        </w:tc>
        <w:tc>
          <w:tcPr>
            <w:tcW w:w="4228" w:type="dxa"/>
            <w:gridSpan w:val="2"/>
            <w:shd w:val="clear" w:color="auto" w:fill="auto"/>
            <w:noWrap w:val="0"/>
            <w:vAlign w:val="center"/>
          </w:tcPr>
          <w:p w14:paraId="03CABC0F">
            <w:pPr>
              <w:spacing w:line="260" w:lineRule="exact"/>
              <w:jc w:val="center"/>
              <w:rPr>
                <w:rFonts w:ascii="宋体" w:eastAsia="宋体" w:hAnsi="Times New Roman" w:cs="宋体"/>
                <w:kern w:val="2"/>
                <w:sz w:val="18"/>
                <w:szCs w:val="18"/>
                <w:lang w:val="en-US" w:eastAsia="zh-CN" w:bidi="ar-SA"/>
              </w:rPr>
            </w:pPr>
          </w:p>
        </w:tc>
      </w:tr>
      <w:tr w14:paraId="043DC049">
        <w:tblPrEx>
          <w:tblW w:w="0" w:type="auto"/>
          <w:tblInd w:w="0" w:type="dxa"/>
          <w:tblLayout w:type="fixed"/>
        </w:tblPrEx>
        <w:trPr>
          <w:trHeight w:val="363"/>
        </w:trPr>
        <w:tc>
          <w:tcPr>
            <w:tcW w:w="438" w:type="dxa"/>
            <w:vMerge/>
            <w:noWrap w:val="0"/>
            <w:vAlign w:val="center"/>
          </w:tcPr>
          <w:p w14:paraId="07D793AE">
            <w:pPr>
              <w:spacing w:line="260" w:lineRule="exact"/>
              <w:jc w:val="center"/>
              <w:rPr>
                <w:rFonts w:ascii="宋体" w:cs="宋体"/>
                <w:sz w:val="18"/>
                <w:szCs w:val="18"/>
              </w:rPr>
            </w:pPr>
          </w:p>
        </w:tc>
        <w:tc>
          <w:tcPr>
            <w:tcW w:w="723" w:type="dxa"/>
            <w:vMerge/>
            <w:noWrap w:val="0"/>
            <w:vAlign w:val="center"/>
          </w:tcPr>
          <w:p w14:paraId="49EEFB74">
            <w:pPr>
              <w:spacing w:line="260" w:lineRule="exact"/>
              <w:jc w:val="center"/>
              <w:rPr>
                <w:rFonts w:ascii="宋体" w:cs="宋体"/>
                <w:sz w:val="18"/>
                <w:szCs w:val="18"/>
              </w:rPr>
            </w:pPr>
          </w:p>
        </w:tc>
        <w:tc>
          <w:tcPr>
            <w:tcW w:w="759" w:type="dxa"/>
            <w:gridSpan w:val="2"/>
            <w:vMerge w:val="restart"/>
            <w:noWrap w:val="0"/>
            <w:vAlign w:val="center"/>
          </w:tcPr>
          <w:p w14:paraId="0E05746C">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872" w:type="dxa"/>
            <w:shd w:val="clear" w:color="auto" w:fill="auto"/>
            <w:noWrap w:val="0"/>
            <w:vAlign w:val="center"/>
          </w:tcPr>
          <w:p w14:paraId="02560F5B">
            <w:pPr>
              <w:rPr>
                <w:rFonts w:ascii="宋体" w:eastAsia="宋体" w:hAnsi="Times New Roman" w:cs="宋体"/>
                <w:kern w:val="2"/>
                <w:sz w:val="18"/>
                <w:szCs w:val="18"/>
                <w:lang w:val="en-US" w:eastAsia="zh-CN" w:bidi="ar-SA"/>
              </w:rPr>
            </w:pPr>
            <w:r>
              <w:rPr>
                <w:rFonts w:hint="eastAsia"/>
                <w:sz w:val="20"/>
                <w:szCs w:val="20"/>
              </w:rPr>
              <w:t xml:space="preserve"> 全民健康意识提升</w:t>
            </w:r>
          </w:p>
        </w:tc>
        <w:tc>
          <w:tcPr>
            <w:tcW w:w="4228" w:type="dxa"/>
            <w:gridSpan w:val="2"/>
            <w:shd w:val="clear" w:color="auto" w:fill="auto"/>
            <w:noWrap w:val="0"/>
            <w:vAlign w:val="center"/>
          </w:tcPr>
          <w:p w14:paraId="39E9AF0F">
            <w:pPr>
              <w:rPr>
                <w:rFonts w:ascii="宋体" w:eastAsia="宋体" w:hAnsi="Times New Roman" w:cs="宋体"/>
                <w:kern w:val="2"/>
                <w:sz w:val="18"/>
                <w:szCs w:val="18"/>
                <w:lang w:val="en-US" w:eastAsia="zh-CN" w:bidi="ar-SA"/>
              </w:rPr>
            </w:pPr>
            <w:r>
              <w:rPr>
                <w:rFonts w:hint="eastAsia"/>
                <w:sz w:val="20"/>
                <w:szCs w:val="20"/>
              </w:rPr>
              <w:t>　逐步提升</w:t>
            </w:r>
          </w:p>
        </w:tc>
      </w:tr>
      <w:tr w14:paraId="744E637C">
        <w:tblPrEx>
          <w:tblW w:w="0" w:type="auto"/>
          <w:tblInd w:w="0" w:type="dxa"/>
          <w:tblLayout w:type="fixed"/>
        </w:tblPrEx>
        <w:trPr>
          <w:trHeight w:val="363"/>
        </w:trPr>
        <w:tc>
          <w:tcPr>
            <w:tcW w:w="438" w:type="dxa"/>
            <w:vMerge/>
            <w:noWrap w:val="0"/>
            <w:vAlign w:val="center"/>
          </w:tcPr>
          <w:p w14:paraId="66256CB8">
            <w:pPr>
              <w:spacing w:line="260" w:lineRule="exact"/>
              <w:jc w:val="center"/>
              <w:rPr>
                <w:rFonts w:ascii="宋体" w:cs="宋体"/>
                <w:sz w:val="18"/>
                <w:szCs w:val="18"/>
              </w:rPr>
            </w:pPr>
          </w:p>
        </w:tc>
        <w:tc>
          <w:tcPr>
            <w:tcW w:w="723" w:type="dxa"/>
            <w:vMerge/>
            <w:noWrap w:val="0"/>
            <w:vAlign w:val="center"/>
          </w:tcPr>
          <w:p w14:paraId="3A5FF417">
            <w:pPr>
              <w:spacing w:line="260" w:lineRule="exact"/>
              <w:jc w:val="center"/>
              <w:rPr>
                <w:rFonts w:ascii="宋体" w:cs="宋体"/>
                <w:sz w:val="18"/>
                <w:szCs w:val="18"/>
              </w:rPr>
            </w:pPr>
          </w:p>
        </w:tc>
        <w:tc>
          <w:tcPr>
            <w:tcW w:w="759" w:type="dxa"/>
            <w:gridSpan w:val="2"/>
            <w:vMerge/>
            <w:noWrap w:val="0"/>
            <w:vAlign w:val="center"/>
          </w:tcPr>
          <w:p w14:paraId="0AF92E76">
            <w:pPr>
              <w:spacing w:line="260" w:lineRule="exact"/>
              <w:jc w:val="center"/>
              <w:rPr>
                <w:rFonts w:ascii="宋体" w:cs="宋体"/>
                <w:sz w:val="18"/>
                <w:szCs w:val="18"/>
              </w:rPr>
            </w:pPr>
          </w:p>
        </w:tc>
        <w:tc>
          <w:tcPr>
            <w:tcW w:w="2872" w:type="dxa"/>
            <w:shd w:val="clear" w:color="auto" w:fill="auto"/>
            <w:noWrap w:val="0"/>
            <w:vAlign w:val="center"/>
          </w:tcPr>
          <w:p w14:paraId="79A3DAF1">
            <w:pPr>
              <w:spacing w:line="260" w:lineRule="exact"/>
              <w:jc w:val="left"/>
              <w:textAlignment w:val="center"/>
              <w:rPr>
                <w:rFonts w:ascii="宋体" w:eastAsia="宋体" w:hAnsi="Times New Roman" w:cs="宋体"/>
                <w:kern w:val="2"/>
                <w:sz w:val="18"/>
                <w:szCs w:val="18"/>
                <w:lang w:val="en-US" w:eastAsia="zh-CN" w:bidi="ar-SA"/>
              </w:rPr>
            </w:pPr>
          </w:p>
        </w:tc>
        <w:tc>
          <w:tcPr>
            <w:tcW w:w="4228" w:type="dxa"/>
            <w:gridSpan w:val="2"/>
            <w:shd w:val="clear" w:color="auto" w:fill="auto"/>
            <w:noWrap w:val="0"/>
            <w:vAlign w:val="center"/>
          </w:tcPr>
          <w:p w14:paraId="3A1911B3">
            <w:pPr>
              <w:spacing w:line="260" w:lineRule="exact"/>
              <w:jc w:val="center"/>
              <w:rPr>
                <w:rFonts w:ascii="宋体" w:eastAsia="宋体" w:hAnsi="Times New Roman" w:cs="宋体"/>
                <w:kern w:val="2"/>
                <w:sz w:val="18"/>
                <w:szCs w:val="18"/>
                <w:lang w:val="en-US" w:eastAsia="zh-CN" w:bidi="ar-SA"/>
              </w:rPr>
            </w:pPr>
          </w:p>
        </w:tc>
      </w:tr>
      <w:tr w14:paraId="41AAC899">
        <w:tblPrEx>
          <w:tblW w:w="0" w:type="auto"/>
          <w:tblInd w:w="0" w:type="dxa"/>
          <w:tblLayout w:type="fixed"/>
        </w:tblPrEx>
        <w:trPr>
          <w:trHeight w:val="363"/>
        </w:trPr>
        <w:tc>
          <w:tcPr>
            <w:tcW w:w="438" w:type="dxa"/>
            <w:vMerge/>
            <w:noWrap w:val="0"/>
            <w:vAlign w:val="center"/>
          </w:tcPr>
          <w:p w14:paraId="075D4C33">
            <w:pPr>
              <w:spacing w:line="260" w:lineRule="exact"/>
              <w:jc w:val="center"/>
              <w:rPr>
                <w:rFonts w:ascii="宋体" w:cs="宋体"/>
                <w:sz w:val="18"/>
                <w:szCs w:val="18"/>
              </w:rPr>
            </w:pPr>
          </w:p>
        </w:tc>
        <w:tc>
          <w:tcPr>
            <w:tcW w:w="723" w:type="dxa"/>
            <w:vMerge/>
            <w:noWrap w:val="0"/>
            <w:vAlign w:val="center"/>
          </w:tcPr>
          <w:p w14:paraId="48DEBAA4">
            <w:pPr>
              <w:spacing w:line="260" w:lineRule="exact"/>
              <w:jc w:val="center"/>
              <w:rPr>
                <w:rFonts w:ascii="宋体" w:cs="宋体"/>
                <w:sz w:val="18"/>
                <w:szCs w:val="18"/>
              </w:rPr>
            </w:pPr>
          </w:p>
        </w:tc>
        <w:tc>
          <w:tcPr>
            <w:tcW w:w="759" w:type="dxa"/>
            <w:gridSpan w:val="2"/>
            <w:vMerge w:val="restart"/>
            <w:noWrap w:val="0"/>
            <w:vAlign w:val="center"/>
          </w:tcPr>
          <w:p w14:paraId="22A2DA7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生态效益指标</w:t>
            </w:r>
          </w:p>
        </w:tc>
        <w:tc>
          <w:tcPr>
            <w:tcW w:w="2872" w:type="dxa"/>
            <w:shd w:val="clear" w:color="auto" w:fill="auto"/>
            <w:noWrap w:val="0"/>
            <w:vAlign w:val="center"/>
          </w:tcPr>
          <w:p w14:paraId="1E9440DE">
            <w:pPr>
              <w:spacing w:line="260" w:lineRule="exact"/>
              <w:jc w:val="left"/>
              <w:textAlignment w:val="center"/>
              <w:rPr>
                <w:rFonts w:ascii="宋体" w:eastAsia="宋体" w:hAnsi="Times New Roman" w:cs="宋体"/>
                <w:kern w:val="2"/>
                <w:sz w:val="18"/>
                <w:szCs w:val="18"/>
                <w:lang w:val="en-US" w:eastAsia="zh-CN" w:bidi="ar-SA"/>
              </w:rPr>
            </w:pPr>
            <w:r>
              <w:rPr>
                <w:rFonts w:ascii="宋体" w:hAnsi="宋体" w:cs="宋体" w:hint="eastAsia"/>
                <w:color w:val="000000"/>
                <w:kern w:val="0"/>
                <w:sz w:val="18"/>
                <w:szCs w:val="18"/>
                <w:lang w:bidi="ar"/>
              </w:rPr>
              <w:t>指标1：</w:t>
            </w:r>
          </w:p>
        </w:tc>
        <w:tc>
          <w:tcPr>
            <w:tcW w:w="4228" w:type="dxa"/>
            <w:gridSpan w:val="2"/>
            <w:shd w:val="clear" w:color="auto" w:fill="auto"/>
            <w:noWrap w:val="0"/>
            <w:vAlign w:val="center"/>
          </w:tcPr>
          <w:p w14:paraId="7A0DC8F0">
            <w:pPr>
              <w:spacing w:line="260" w:lineRule="exact"/>
              <w:jc w:val="center"/>
              <w:rPr>
                <w:rFonts w:ascii="宋体" w:eastAsia="宋体" w:hAnsi="Times New Roman" w:cs="宋体"/>
                <w:kern w:val="2"/>
                <w:sz w:val="18"/>
                <w:szCs w:val="18"/>
                <w:lang w:val="en-US" w:eastAsia="zh-CN" w:bidi="ar-SA"/>
              </w:rPr>
            </w:pPr>
          </w:p>
        </w:tc>
      </w:tr>
      <w:tr w14:paraId="0D992F5B">
        <w:tblPrEx>
          <w:tblW w:w="0" w:type="auto"/>
          <w:tblInd w:w="0" w:type="dxa"/>
          <w:tblLayout w:type="fixed"/>
        </w:tblPrEx>
        <w:trPr>
          <w:trHeight w:val="363"/>
        </w:trPr>
        <w:tc>
          <w:tcPr>
            <w:tcW w:w="438" w:type="dxa"/>
            <w:vMerge/>
            <w:noWrap w:val="0"/>
            <w:vAlign w:val="center"/>
          </w:tcPr>
          <w:p w14:paraId="383019E2">
            <w:pPr>
              <w:spacing w:line="260" w:lineRule="exact"/>
              <w:jc w:val="center"/>
              <w:rPr>
                <w:rFonts w:ascii="宋体" w:cs="宋体"/>
                <w:sz w:val="18"/>
                <w:szCs w:val="18"/>
              </w:rPr>
            </w:pPr>
          </w:p>
        </w:tc>
        <w:tc>
          <w:tcPr>
            <w:tcW w:w="723" w:type="dxa"/>
            <w:vMerge/>
            <w:noWrap w:val="0"/>
            <w:vAlign w:val="center"/>
          </w:tcPr>
          <w:p w14:paraId="3A062C34">
            <w:pPr>
              <w:spacing w:line="260" w:lineRule="exact"/>
              <w:jc w:val="center"/>
              <w:rPr>
                <w:rFonts w:ascii="宋体" w:cs="宋体"/>
                <w:sz w:val="18"/>
                <w:szCs w:val="18"/>
              </w:rPr>
            </w:pPr>
          </w:p>
        </w:tc>
        <w:tc>
          <w:tcPr>
            <w:tcW w:w="759" w:type="dxa"/>
            <w:gridSpan w:val="2"/>
            <w:vMerge/>
            <w:noWrap w:val="0"/>
            <w:vAlign w:val="center"/>
          </w:tcPr>
          <w:p w14:paraId="561523C3">
            <w:pPr>
              <w:spacing w:line="260" w:lineRule="exact"/>
              <w:jc w:val="center"/>
              <w:rPr>
                <w:rFonts w:ascii="宋体" w:cs="宋体"/>
                <w:sz w:val="18"/>
                <w:szCs w:val="18"/>
              </w:rPr>
            </w:pPr>
          </w:p>
        </w:tc>
        <w:tc>
          <w:tcPr>
            <w:tcW w:w="2872" w:type="dxa"/>
            <w:shd w:val="clear" w:color="auto" w:fill="auto"/>
            <w:noWrap w:val="0"/>
            <w:vAlign w:val="center"/>
          </w:tcPr>
          <w:p w14:paraId="6477A9C1">
            <w:pPr>
              <w:spacing w:line="260" w:lineRule="exact"/>
              <w:jc w:val="left"/>
              <w:textAlignment w:val="center"/>
              <w:rPr>
                <w:rFonts w:ascii="汉仪中秀体简" w:eastAsia="汉仪中秀体简" w:hAnsi="汉仪中秀体简" w:cs="汉仪中秀体简" w:hint="eastAsia"/>
                <w:color w:val="000000"/>
                <w:kern w:val="0"/>
                <w:sz w:val="18"/>
                <w:szCs w:val="18"/>
                <w:lang w:val="en-US" w:eastAsia="zh-CN" w:bidi="ar"/>
              </w:rPr>
            </w:pPr>
          </w:p>
        </w:tc>
        <w:tc>
          <w:tcPr>
            <w:tcW w:w="4228" w:type="dxa"/>
            <w:gridSpan w:val="2"/>
            <w:shd w:val="clear" w:color="auto" w:fill="auto"/>
            <w:noWrap w:val="0"/>
            <w:vAlign w:val="center"/>
          </w:tcPr>
          <w:p w14:paraId="07A53F45">
            <w:pPr>
              <w:spacing w:line="260" w:lineRule="exact"/>
              <w:jc w:val="left"/>
              <w:textAlignment w:val="center"/>
              <w:rPr>
                <w:rFonts w:ascii="汉仪中秀体简" w:eastAsia="汉仪中秀体简" w:hAnsi="汉仪中秀体简" w:cs="汉仪中秀体简"/>
                <w:color w:val="000000"/>
                <w:kern w:val="0"/>
                <w:sz w:val="18"/>
                <w:szCs w:val="18"/>
                <w:lang w:val="en-US" w:eastAsia="zh-CN" w:bidi="ar"/>
              </w:rPr>
            </w:pPr>
          </w:p>
        </w:tc>
      </w:tr>
      <w:tr w14:paraId="78891CB3">
        <w:tblPrEx>
          <w:tblW w:w="0" w:type="auto"/>
          <w:tblInd w:w="0" w:type="dxa"/>
          <w:tblLayout w:type="fixed"/>
        </w:tblPrEx>
        <w:trPr>
          <w:trHeight w:val="420"/>
        </w:trPr>
        <w:tc>
          <w:tcPr>
            <w:tcW w:w="438" w:type="dxa"/>
            <w:vMerge/>
            <w:noWrap w:val="0"/>
            <w:vAlign w:val="center"/>
          </w:tcPr>
          <w:p w14:paraId="050ED3AE">
            <w:pPr>
              <w:spacing w:line="260" w:lineRule="exact"/>
              <w:jc w:val="center"/>
              <w:rPr>
                <w:rFonts w:ascii="宋体" w:cs="宋体"/>
                <w:sz w:val="18"/>
                <w:szCs w:val="18"/>
              </w:rPr>
            </w:pPr>
          </w:p>
        </w:tc>
        <w:tc>
          <w:tcPr>
            <w:tcW w:w="723" w:type="dxa"/>
            <w:vMerge/>
            <w:noWrap w:val="0"/>
            <w:vAlign w:val="center"/>
          </w:tcPr>
          <w:p w14:paraId="5DAB33A3">
            <w:pPr>
              <w:spacing w:line="260" w:lineRule="exact"/>
              <w:jc w:val="center"/>
              <w:rPr>
                <w:rFonts w:ascii="宋体" w:cs="宋体"/>
                <w:sz w:val="18"/>
                <w:szCs w:val="18"/>
              </w:rPr>
            </w:pPr>
          </w:p>
        </w:tc>
        <w:tc>
          <w:tcPr>
            <w:tcW w:w="759" w:type="dxa"/>
            <w:gridSpan w:val="2"/>
            <w:vMerge w:val="restart"/>
            <w:noWrap w:val="0"/>
            <w:vAlign w:val="center"/>
          </w:tcPr>
          <w:p w14:paraId="5C3DC78B">
            <w:pPr>
              <w:spacing w:line="260" w:lineRule="exact"/>
              <w:jc w:val="center"/>
              <w:rPr>
                <w:rFonts w:ascii="宋体" w:hAnsi="宋体" w:cs="宋体" w:hint="eastAsia"/>
                <w:sz w:val="18"/>
                <w:szCs w:val="18"/>
              </w:rPr>
            </w:pPr>
            <w:r>
              <w:rPr>
                <w:rFonts w:ascii="宋体" w:hAnsi="宋体" w:cs="宋体" w:hint="eastAsia"/>
                <w:sz w:val="18"/>
                <w:szCs w:val="18"/>
              </w:rPr>
              <w:t>可持续影响指标</w:t>
            </w:r>
          </w:p>
        </w:tc>
        <w:tc>
          <w:tcPr>
            <w:tcW w:w="2872" w:type="dxa"/>
            <w:shd w:val="clear" w:color="auto" w:fill="auto"/>
            <w:noWrap w:val="0"/>
            <w:vAlign w:val="center"/>
          </w:tcPr>
          <w:p w14:paraId="34CCCF09">
            <w:pPr>
              <w:spacing w:line="260" w:lineRule="exact"/>
              <w:jc w:val="left"/>
              <w:textAlignment w:val="center"/>
              <w:rPr>
                <w:rFonts w:ascii="宋体" w:eastAsia="宋体" w:hAnsi="宋体" w:cs="宋体" w:hint="eastAsia"/>
                <w:kern w:val="2"/>
                <w:sz w:val="18"/>
                <w:szCs w:val="18"/>
                <w:lang w:val="en-US" w:eastAsia="zh-CN" w:bidi="ar-SA"/>
              </w:rPr>
            </w:pPr>
            <w:r>
              <w:rPr>
                <w:rFonts w:ascii="宋体" w:hAnsi="宋体" w:cs="宋体" w:hint="eastAsia"/>
                <w:color w:val="000000"/>
                <w:kern w:val="0"/>
                <w:sz w:val="18"/>
                <w:szCs w:val="18"/>
                <w:lang w:val="en-US" w:eastAsia="zh-CN" w:bidi="ar"/>
              </w:rPr>
              <w:t>对基层卫生行业的持续影响影响</w:t>
            </w:r>
          </w:p>
        </w:tc>
        <w:tc>
          <w:tcPr>
            <w:tcW w:w="4228" w:type="dxa"/>
            <w:gridSpan w:val="2"/>
            <w:shd w:val="clear" w:color="auto" w:fill="auto"/>
            <w:noWrap w:val="0"/>
            <w:vAlign w:val="center"/>
          </w:tcPr>
          <w:p w14:paraId="282669A7">
            <w:pPr>
              <w:spacing w:line="260" w:lineRule="exact"/>
              <w:jc w:val="both"/>
              <w:rPr>
                <w:rFonts w:ascii="宋体" w:eastAsia="宋体" w:hAnsi="Times New Roman" w:cs="宋体"/>
                <w:kern w:val="2"/>
                <w:sz w:val="18"/>
                <w:szCs w:val="18"/>
                <w:lang w:val="en-US" w:eastAsia="zh-CN" w:bidi="ar-SA"/>
              </w:rPr>
            </w:pPr>
            <w:r>
              <w:rPr>
                <w:rFonts w:hint="eastAsia"/>
                <w:sz w:val="20"/>
                <w:szCs w:val="20"/>
              </w:rPr>
              <w:t>＞9</w:t>
            </w:r>
            <w:r>
              <w:rPr>
                <w:rFonts w:hint="eastAsia"/>
                <w:sz w:val="20"/>
                <w:szCs w:val="20"/>
                <w:lang w:val="en-US" w:eastAsia="zh-CN"/>
              </w:rPr>
              <w:t>7</w:t>
            </w:r>
            <w:r>
              <w:rPr>
                <w:rFonts w:hint="eastAsia"/>
                <w:sz w:val="20"/>
                <w:szCs w:val="20"/>
              </w:rPr>
              <w:t>%</w:t>
            </w:r>
          </w:p>
        </w:tc>
      </w:tr>
      <w:tr w14:paraId="6023DF81">
        <w:tblPrEx>
          <w:tblW w:w="0" w:type="auto"/>
          <w:tblInd w:w="0" w:type="dxa"/>
          <w:tblLayout w:type="fixed"/>
        </w:tblPrEx>
        <w:trPr>
          <w:trHeight w:val="444"/>
        </w:trPr>
        <w:tc>
          <w:tcPr>
            <w:tcW w:w="438" w:type="dxa"/>
            <w:vMerge/>
            <w:noWrap w:val="0"/>
            <w:vAlign w:val="center"/>
          </w:tcPr>
          <w:p w14:paraId="0968E7C5">
            <w:pPr>
              <w:spacing w:line="260" w:lineRule="exact"/>
              <w:jc w:val="center"/>
              <w:rPr>
                <w:rFonts w:ascii="宋体" w:cs="宋体"/>
                <w:sz w:val="18"/>
                <w:szCs w:val="18"/>
              </w:rPr>
            </w:pPr>
          </w:p>
        </w:tc>
        <w:tc>
          <w:tcPr>
            <w:tcW w:w="723" w:type="dxa"/>
            <w:vMerge/>
            <w:noWrap w:val="0"/>
            <w:vAlign w:val="center"/>
          </w:tcPr>
          <w:p w14:paraId="493765A4">
            <w:pPr>
              <w:spacing w:line="260" w:lineRule="exact"/>
              <w:jc w:val="center"/>
              <w:rPr>
                <w:rFonts w:ascii="宋体" w:cs="宋体"/>
                <w:sz w:val="18"/>
                <w:szCs w:val="18"/>
              </w:rPr>
            </w:pPr>
          </w:p>
        </w:tc>
        <w:tc>
          <w:tcPr>
            <w:tcW w:w="759" w:type="dxa"/>
            <w:gridSpan w:val="2"/>
            <w:vMerge/>
            <w:noWrap w:val="0"/>
            <w:vAlign w:val="center"/>
          </w:tcPr>
          <w:p w14:paraId="3B075931">
            <w:pPr>
              <w:spacing w:line="260" w:lineRule="exact"/>
              <w:jc w:val="center"/>
              <w:rPr>
                <w:rFonts w:ascii="宋体" w:hAnsi="宋体" w:cs="宋体" w:hint="eastAsia"/>
                <w:sz w:val="18"/>
                <w:szCs w:val="18"/>
              </w:rPr>
            </w:pPr>
          </w:p>
        </w:tc>
        <w:tc>
          <w:tcPr>
            <w:tcW w:w="2872" w:type="dxa"/>
            <w:noWrap w:val="0"/>
            <w:vAlign w:val="center"/>
          </w:tcPr>
          <w:p w14:paraId="29B20316">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14:paraId="709C303E">
            <w:pPr>
              <w:spacing w:line="260" w:lineRule="exact"/>
              <w:jc w:val="center"/>
              <w:rPr>
                <w:rFonts w:ascii="宋体" w:cs="宋体"/>
                <w:sz w:val="18"/>
                <w:szCs w:val="18"/>
              </w:rPr>
            </w:pPr>
          </w:p>
        </w:tc>
      </w:tr>
      <w:tr w14:paraId="09CFCCF2">
        <w:tblPrEx>
          <w:tblW w:w="0" w:type="auto"/>
          <w:tblInd w:w="0" w:type="dxa"/>
          <w:tblLayout w:type="fixed"/>
        </w:tblPrEx>
        <w:trPr>
          <w:trHeight w:val="363"/>
        </w:trPr>
        <w:tc>
          <w:tcPr>
            <w:tcW w:w="438" w:type="dxa"/>
            <w:vMerge/>
            <w:noWrap w:val="0"/>
            <w:vAlign w:val="center"/>
          </w:tcPr>
          <w:p w14:paraId="54F94FDB">
            <w:pPr>
              <w:spacing w:line="260" w:lineRule="exact"/>
              <w:jc w:val="center"/>
              <w:rPr>
                <w:rFonts w:ascii="宋体" w:cs="宋体"/>
                <w:sz w:val="18"/>
                <w:szCs w:val="18"/>
              </w:rPr>
            </w:pPr>
          </w:p>
        </w:tc>
        <w:tc>
          <w:tcPr>
            <w:tcW w:w="723" w:type="dxa"/>
            <w:vMerge/>
            <w:noWrap w:val="0"/>
            <w:vAlign w:val="center"/>
          </w:tcPr>
          <w:p w14:paraId="49774C24">
            <w:pPr>
              <w:spacing w:line="260" w:lineRule="exact"/>
              <w:jc w:val="center"/>
              <w:rPr>
                <w:rFonts w:ascii="宋体" w:cs="宋体"/>
                <w:sz w:val="18"/>
                <w:szCs w:val="18"/>
              </w:rPr>
            </w:pPr>
          </w:p>
        </w:tc>
        <w:tc>
          <w:tcPr>
            <w:tcW w:w="759" w:type="dxa"/>
            <w:gridSpan w:val="2"/>
            <w:noWrap w:val="0"/>
            <w:vAlign w:val="center"/>
          </w:tcPr>
          <w:p w14:paraId="2E5360F5">
            <w:pPr>
              <w:spacing w:line="260" w:lineRule="exact"/>
              <w:jc w:val="both"/>
              <w:rPr>
                <w:rFonts w:ascii="宋体" w:hAnsi="宋体" w:cs="宋体" w:hint="eastAsia"/>
                <w:sz w:val="18"/>
                <w:szCs w:val="18"/>
              </w:rPr>
            </w:pPr>
          </w:p>
        </w:tc>
        <w:tc>
          <w:tcPr>
            <w:tcW w:w="2872" w:type="dxa"/>
            <w:noWrap w:val="0"/>
            <w:vAlign w:val="center"/>
          </w:tcPr>
          <w:p w14:paraId="37C5E13B">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14:paraId="60FD2AA9">
            <w:pPr>
              <w:spacing w:line="260" w:lineRule="exact"/>
              <w:jc w:val="center"/>
              <w:rPr>
                <w:rFonts w:ascii="宋体" w:cs="宋体"/>
                <w:sz w:val="18"/>
                <w:szCs w:val="18"/>
              </w:rPr>
            </w:pPr>
          </w:p>
        </w:tc>
      </w:tr>
      <w:tr w14:paraId="5777448F">
        <w:tblPrEx>
          <w:tblW w:w="0" w:type="auto"/>
          <w:tblInd w:w="0" w:type="dxa"/>
          <w:tblLayout w:type="fixed"/>
        </w:tblPrEx>
        <w:trPr>
          <w:trHeight w:val="363"/>
        </w:trPr>
        <w:tc>
          <w:tcPr>
            <w:tcW w:w="438" w:type="dxa"/>
            <w:vMerge/>
            <w:noWrap w:val="0"/>
            <w:vAlign w:val="center"/>
          </w:tcPr>
          <w:p w14:paraId="733DB6AA">
            <w:pPr>
              <w:spacing w:line="260" w:lineRule="exact"/>
              <w:jc w:val="center"/>
              <w:rPr>
                <w:rFonts w:ascii="宋体" w:cs="宋体"/>
                <w:sz w:val="18"/>
                <w:szCs w:val="18"/>
              </w:rPr>
            </w:pPr>
          </w:p>
        </w:tc>
        <w:tc>
          <w:tcPr>
            <w:tcW w:w="723" w:type="dxa"/>
            <w:vMerge w:val="restart"/>
            <w:noWrap w:val="0"/>
            <w:vAlign w:val="center"/>
          </w:tcPr>
          <w:p w14:paraId="5653C4B6">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759" w:type="dxa"/>
            <w:gridSpan w:val="2"/>
            <w:vMerge w:val="restart"/>
            <w:noWrap w:val="0"/>
            <w:vAlign w:val="center"/>
          </w:tcPr>
          <w:p w14:paraId="0FC2EFC3">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2872" w:type="dxa"/>
            <w:shd w:val="clear" w:color="auto" w:fill="auto"/>
            <w:noWrap w:val="0"/>
            <w:vAlign w:val="center"/>
          </w:tcPr>
          <w:p w14:paraId="64997355">
            <w:pPr>
              <w:rPr>
                <w:rFonts w:ascii="宋体" w:eastAsia="宋体" w:hAnsi="宋体" w:cs="宋体" w:hint="eastAsia"/>
                <w:kern w:val="2"/>
                <w:sz w:val="20"/>
                <w:szCs w:val="20"/>
                <w:lang w:val="en-US" w:eastAsia="zh-CN" w:bidi="ar-SA"/>
              </w:rPr>
            </w:pPr>
            <w:r>
              <w:rPr>
                <w:rFonts w:hint="eastAsia"/>
                <w:sz w:val="20"/>
                <w:szCs w:val="20"/>
              </w:rPr>
              <w:t>患者满意度</w:t>
            </w:r>
          </w:p>
        </w:tc>
        <w:tc>
          <w:tcPr>
            <w:tcW w:w="4228" w:type="dxa"/>
            <w:gridSpan w:val="2"/>
            <w:shd w:val="clear" w:color="auto" w:fill="auto"/>
            <w:noWrap w:val="0"/>
            <w:vAlign w:val="center"/>
          </w:tcPr>
          <w:p w14:paraId="6C722397">
            <w:pPr>
              <w:jc w:val="both"/>
              <w:rPr>
                <w:rFonts w:ascii="宋体" w:eastAsia="宋体" w:hAnsi="宋体" w:cs="宋体"/>
                <w:kern w:val="2"/>
                <w:sz w:val="20"/>
                <w:szCs w:val="20"/>
                <w:lang w:val="en-US" w:eastAsia="zh-CN" w:bidi="ar-SA"/>
              </w:rPr>
            </w:pPr>
            <w:r>
              <w:rPr>
                <w:rFonts w:hint="eastAsia"/>
                <w:sz w:val="20"/>
                <w:szCs w:val="20"/>
              </w:rPr>
              <w:t>＞9</w:t>
            </w:r>
            <w:r>
              <w:rPr>
                <w:rFonts w:hint="eastAsia"/>
                <w:sz w:val="20"/>
                <w:szCs w:val="20"/>
                <w:lang w:val="en-US" w:eastAsia="zh-CN"/>
              </w:rPr>
              <w:t>7</w:t>
            </w:r>
            <w:r>
              <w:rPr>
                <w:rFonts w:hint="eastAsia"/>
                <w:sz w:val="20"/>
                <w:szCs w:val="20"/>
              </w:rPr>
              <w:t>%</w:t>
            </w:r>
          </w:p>
        </w:tc>
      </w:tr>
      <w:tr w14:paraId="0472AE88">
        <w:tblPrEx>
          <w:tblW w:w="0" w:type="auto"/>
          <w:tblInd w:w="0" w:type="dxa"/>
          <w:tblLayout w:type="fixed"/>
        </w:tblPrEx>
        <w:trPr>
          <w:trHeight w:val="363"/>
        </w:trPr>
        <w:tc>
          <w:tcPr>
            <w:tcW w:w="438" w:type="dxa"/>
            <w:vMerge/>
            <w:noWrap w:val="0"/>
            <w:vAlign w:val="center"/>
          </w:tcPr>
          <w:p w14:paraId="2B51B556">
            <w:pPr>
              <w:spacing w:line="260" w:lineRule="exact"/>
              <w:jc w:val="center"/>
              <w:rPr>
                <w:rFonts w:ascii="宋体" w:cs="宋体"/>
                <w:sz w:val="18"/>
                <w:szCs w:val="18"/>
              </w:rPr>
            </w:pPr>
          </w:p>
        </w:tc>
        <w:tc>
          <w:tcPr>
            <w:tcW w:w="723" w:type="dxa"/>
            <w:vMerge/>
            <w:noWrap w:val="0"/>
            <w:vAlign w:val="center"/>
          </w:tcPr>
          <w:p w14:paraId="09AA8692">
            <w:pPr>
              <w:spacing w:line="260" w:lineRule="exact"/>
              <w:jc w:val="center"/>
              <w:rPr>
                <w:rFonts w:ascii="宋体" w:hAnsi="宋体" w:cs="宋体" w:hint="eastAsia"/>
                <w:sz w:val="18"/>
                <w:szCs w:val="18"/>
              </w:rPr>
            </w:pPr>
          </w:p>
        </w:tc>
        <w:tc>
          <w:tcPr>
            <w:tcW w:w="759" w:type="dxa"/>
            <w:gridSpan w:val="2"/>
            <w:vMerge/>
            <w:noWrap w:val="0"/>
            <w:vAlign w:val="center"/>
          </w:tcPr>
          <w:p w14:paraId="3ECA9A32">
            <w:pPr>
              <w:spacing w:line="260" w:lineRule="exact"/>
              <w:jc w:val="center"/>
              <w:rPr>
                <w:rFonts w:ascii="宋体" w:hAnsi="宋体" w:cs="宋体" w:hint="eastAsia"/>
                <w:sz w:val="18"/>
                <w:szCs w:val="18"/>
              </w:rPr>
            </w:pPr>
          </w:p>
        </w:tc>
        <w:tc>
          <w:tcPr>
            <w:tcW w:w="2872" w:type="dxa"/>
            <w:shd w:val="clear" w:color="auto" w:fill="auto"/>
            <w:noWrap w:val="0"/>
            <w:vAlign w:val="center"/>
          </w:tcPr>
          <w:p w14:paraId="54426B97">
            <w:pPr>
              <w:spacing w:line="260" w:lineRule="exact"/>
              <w:jc w:val="left"/>
              <w:textAlignment w:val="center"/>
              <w:rPr>
                <w:rFonts w:ascii="宋体" w:eastAsia="宋体" w:hAnsi="宋体" w:cs="宋体" w:hint="eastAsia"/>
                <w:kern w:val="2"/>
                <w:sz w:val="18"/>
                <w:szCs w:val="18"/>
                <w:lang w:val="en-US" w:eastAsia="zh-CN" w:bidi="ar-SA"/>
              </w:rPr>
            </w:pPr>
          </w:p>
        </w:tc>
        <w:tc>
          <w:tcPr>
            <w:tcW w:w="4228" w:type="dxa"/>
            <w:gridSpan w:val="2"/>
            <w:shd w:val="clear" w:color="auto" w:fill="auto"/>
            <w:noWrap w:val="0"/>
            <w:vAlign w:val="center"/>
          </w:tcPr>
          <w:p w14:paraId="7EAF6DF9">
            <w:pPr>
              <w:spacing w:line="260" w:lineRule="exact"/>
              <w:jc w:val="center"/>
              <w:rPr>
                <w:rFonts w:ascii="宋体" w:eastAsia="宋体" w:hAnsi="Times New Roman" w:cs="宋体"/>
                <w:kern w:val="2"/>
                <w:sz w:val="18"/>
                <w:szCs w:val="18"/>
                <w:lang w:val="en-US" w:eastAsia="zh-CN" w:bidi="ar-SA"/>
              </w:rPr>
            </w:pPr>
          </w:p>
        </w:tc>
      </w:tr>
    </w:tbl>
    <w:p w14:paraId="46E18F69">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2.“</w:t>
      </w:r>
      <w:r>
        <w:rPr>
          <w:rFonts w:ascii="仿宋_GB2312" w:eastAsia="仿宋_GB2312" w:hAnsi="楷体" w:hint="eastAsia"/>
          <w:b/>
          <w:sz w:val="32"/>
          <w:szCs w:val="32"/>
        </w:rPr>
        <w:t>三年过渡安置人员补助</w:t>
      </w:r>
      <w:r>
        <w:rPr>
          <w:rFonts w:ascii="仿宋_GB2312" w:eastAsia="仿宋_GB2312" w:hAnsi="TimesNewRoman" w:cs="TimesNewRoman" w:hint="eastAsia"/>
          <w:b/>
          <w:sz w:val="32"/>
          <w:szCs w:val="32"/>
        </w:rPr>
        <w:t>”项目。</w:t>
      </w:r>
    </w:p>
    <w:p w14:paraId="687C5C5C">
      <w:pPr>
        <w:topLinePunct/>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（1）项目概述</w:t>
      </w:r>
      <w:r>
        <w:rPr>
          <w:rFonts w:ascii="仿宋_GB2312" w:eastAsia="仿宋_GB2312" w:hAnsi="TimesNewRoman" w:cs="TimesNewRoman" w:hint="eastAsia"/>
          <w:sz w:val="32"/>
          <w:szCs w:val="32"/>
          <w:lang w:eastAsia="zh-CN"/>
        </w:rPr>
        <w:t>：</w:t>
      </w:r>
      <w:r>
        <w:rPr>
          <w:rFonts w:ascii="仿宋_GB2312" w:eastAsia="仿宋_GB2312" w:hAnsi="仿宋" w:hint="eastAsia"/>
          <w:sz w:val="32"/>
          <w:szCs w:val="32"/>
          <w:lang w:val="en-US" w:eastAsia="zh-CN"/>
        </w:rPr>
        <w:t>三年过度安置及安置退休人员补助</w:t>
      </w:r>
    </w:p>
    <w:p w14:paraId="6B42505B">
      <w:pPr>
        <w:topLinePunct/>
        <w:spacing w:line="56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（2）立项依据</w:t>
      </w:r>
      <w:r>
        <w:rPr>
          <w:rFonts w:ascii="仿宋_GB2312" w:eastAsia="仿宋_GB2312" w:hAnsi="TimesNewRoman" w:cs="TimesNewRoman" w:hint="eastAsia"/>
          <w:sz w:val="32"/>
          <w:szCs w:val="32"/>
          <w:lang w:eastAsia="zh-CN"/>
        </w:rPr>
        <w:t>：</w:t>
      </w:r>
      <w:r>
        <w:rPr>
          <w:rFonts w:ascii="仿宋" w:eastAsia="仿宋" w:hAnsi="仿宋" w:cs="仿宋" w:hint="eastAsia"/>
          <w:sz w:val="32"/>
          <w:szCs w:val="32"/>
          <w:lang w:val="en-US" w:eastAsia="zh-CN"/>
        </w:rPr>
        <w:t>保障三年过渡安置（退休）人员生活最低保障和退休工资。</w:t>
      </w:r>
    </w:p>
    <w:p w14:paraId="334A7A87">
      <w:pPr>
        <w:topLinePunct/>
        <w:spacing w:line="560" w:lineRule="exact"/>
        <w:ind w:firstLine="640" w:firstLineChars="200"/>
        <w:rPr>
          <w:rFonts w:ascii="仿宋_GB2312" w:eastAsia="仿宋_GB2312" w:hAnsi="TimesNewRoman" w:cs="TimesNewRoman" w:hint="eastAsia"/>
          <w:sz w:val="32"/>
          <w:szCs w:val="32"/>
          <w:u w:val="single"/>
        </w:rPr>
      </w:pPr>
      <w:r>
        <w:rPr>
          <w:rFonts w:ascii="仿宋_GB2312" w:eastAsia="仿宋_GB2312" w:hAnsi="TimesNewRoman" w:cs="TimesNewRoman" w:hint="eastAsia"/>
          <w:sz w:val="32"/>
          <w:szCs w:val="32"/>
        </w:rPr>
        <w:t>（3）实施主体</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lang w:val="en-US" w:eastAsia="zh-CN"/>
        </w:rPr>
        <w:t>寿县茶庵镇卫生院</w:t>
      </w:r>
    </w:p>
    <w:p w14:paraId="520BE889">
      <w:pPr>
        <w:topLinePunct/>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（4）起止时间</w:t>
      </w:r>
      <w:r>
        <w:rPr>
          <w:rFonts w:ascii="仿宋_GB2312" w:eastAsia="仿宋_GB2312" w:hAnsi="TimesNewRoman" w:cs="TimesNewRoman" w:hint="eastAsia"/>
          <w:sz w:val="32"/>
          <w:szCs w:val="32"/>
          <w:lang w:eastAsia="zh-CN"/>
        </w:rPr>
        <w:t>：</w:t>
      </w:r>
      <w:r>
        <w:rPr>
          <w:rFonts w:ascii="仿宋" w:eastAsia="仿宋" w:hAnsi="仿宋" w:cs="仿宋" w:hint="eastAsia"/>
          <w:sz w:val="32"/>
          <w:szCs w:val="32"/>
        </w:rPr>
        <w:t>202</w:t>
      </w:r>
      <w:r>
        <w:rPr>
          <w:rFonts w:ascii="仿宋" w:eastAsia="仿宋" w:hAnsi="仿宋" w:cs="仿宋" w:hint="eastAsia"/>
          <w:sz w:val="32"/>
          <w:szCs w:val="32"/>
          <w:lang w:val="en-US" w:eastAsia="zh-CN"/>
        </w:rPr>
        <w:t>5</w:t>
      </w:r>
      <w:r>
        <w:rPr>
          <w:rFonts w:ascii="仿宋" w:eastAsia="仿宋" w:hAnsi="仿宋" w:cs="仿宋" w:hint="eastAsia"/>
          <w:sz w:val="32"/>
          <w:szCs w:val="32"/>
        </w:rPr>
        <w:t>年1月1日至202</w:t>
      </w:r>
      <w:r>
        <w:rPr>
          <w:rFonts w:ascii="仿宋" w:eastAsia="仿宋" w:hAnsi="仿宋" w:cs="仿宋" w:hint="eastAsia"/>
          <w:sz w:val="32"/>
          <w:szCs w:val="32"/>
          <w:lang w:val="en-US" w:eastAsia="zh-CN"/>
        </w:rPr>
        <w:t>5</w:t>
      </w:r>
      <w:r>
        <w:rPr>
          <w:rFonts w:ascii="仿宋" w:eastAsia="仿宋" w:hAnsi="仿宋" w:cs="仿宋" w:hint="eastAsia"/>
          <w:sz w:val="32"/>
          <w:szCs w:val="32"/>
        </w:rPr>
        <w:t>年12月31日</w:t>
      </w:r>
      <w:r>
        <w:rPr>
          <w:rFonts w:ascii="仿宋" w:eastAsia="仿宋" w:hAnsi="仿宋" w:cs="仿宋" w:hint="eastAsia"/>
          <w:sz w:val="32"/>
          <w:szCs w:val="32"/>
          <w:lang w:eastAsia="zh-CN"/>
        </w:rPr>
        <w:t>。</w:t>
      </w:r>
    </w:p>
    <w:p w14:paraId="3313AC07">
      <w:pPr>
        <w:topLinePunct/>
        <w:spacing w:line="560" w:lineRule="exact"/>
        <w:ind w:firstLine="640" w:firstLineChars="200"/>
        <w:rPr>
          <w:rFonts w:ascii="仿宋_GB2312" w:eastAsia="仿宋_GB2312" w:hAnsi="TimesNewRoman" w:cs="TimesNewRoman" w:hint="eastAsia"/>
          <w:bCs/>
          <w:sz w:val="32"/>
          <w:szCs w:val="32"/>
        </w:rPr>
      </w:pPr>
      <w:r>
        <w:rPr>
          <w:rFonts w:ascii="仿宋_GB2312" w:eastAsia="仿宋_GB2312" w:hAnsi="TimesNewRoman" w:cs="TimesNewRoman" w:hint="eastAsia"/>
          <w:sz w:val="32"/>
          <w:szCs w:val="32"/>
        </w:rPr>
        <w:t>（5）项目内容</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lang w:val="en-US" w:eastAsia="zh-CN"/>
        </w:rPr>
        <w:t>2025年度三年安置人员2人，安置退休人员1人。</w:t>
      </w:r>
    </w:p>
    <w:p w14:paraId="78031E31">
      <w:pPr>
        <w:topLinePunct/>
        <w:adjustRightInd w:val="0"/>
        <w:snapToGrid w:val="0"/>
        <w:spacing w:line="560" w:lineRule="exact"/>
        <w:ind w:firstLine="640" w:firstLineChars="200"/>
        <w:rPr>
          <w:rFonts w:ascii="仿宋_GB2312" w:eastAsia="仿宋_GB2312" w:hAnsi="TimesNewRoman" w:cs="TimesNewRoman" w:hint="eastAsia"/>
          <w:sz w:val="32"/>
          <w:szCs w:val="32"/>
          <w:lang w:val="en-US" w:eastAsia="zh-CN"/>
        </w:rPr>
      </w:pPr>
      <w:r>
        <w:rPr>
          <w:rFonts w:ascii="仿宋_GB2312" w:eastAsia="仿宋_GB2312" w:hAnsi="TimesNewRoman" w:cs="TimesNewRoman" w:hint="eastAsia"/>
          <w:sz w:val="32"/>
          <w:szCs w:val="32"/>
        </w:rPr>
        <w:t>（6）年度预算安排</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lang w:val="en-US" w:eastAsia="zh-CN"/>
        </w:rPr>
        <w:t>6.35万元</w:t>
      </w:r>
    </w:p>
    <w:p w14:paraId="579D3B24">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（7）绩效目标</w:t>
      </w:r>
      <w:r>
        <w:rPr>
          <w:rFonts w:ascii="仿宋_GB2312" w:eastAsia="仿宋_GB2312" w:hAnsi="TimesNewRoman" w:cs="TimesNewRoman" w:hint="eastAsia"/>
          <w:sz w:val="32"/>
          <w:szCs w:val="32"/>
          <w:lang w:eastAsia="zh-CN"/>
        </w:rPr>
        <w:t>：</w:t>
      </w:r>
      <w:r>
        <w:rPr>
          <w:rFonts w:ascii="仿宋_GB2312" w:eastAsia="仿宋_GB2312" w:hAnsi="仿宋" w:hint="eastAsia"/>
          <w:sz w:val="32"/>
          <w:szCs w:val="32"/>
          <w:lang w:val="en-US" w:eastAsia="zh-CN"/>
        </w:rPr>
        <w:t>三年过渡安置人员补助，三年安置人员2人，安置转退休人员1人。</w:t>
      </w:r>
    </w:p>
    <w:p w14:paraId="55BF724C">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（二）机关运行经费。</w:t>
      </w:r>
    </w:p>
    <w:p w14:paraId="509149A2">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茶庵镇卫生院</w:t>
      </w:r>
      <w:r>
        <w:rPr>
          <w:rFonts w:ascii="仿宋_GB2312" w:eastAsia="仿宋_GB2312" w:hAnsi="TimesNewRoman" w:cs="TimesNewRoman" w:hint="eastAsia"/>
          <w:sz w:val="32"/>
          <w:szCs w:val="32"/>
        </w:rPr>
        <w:t>为非参照公务员法管理的事业单位，按照部门预算机关运行经费口径，2025年无机关运行经费财政拨款预算。</w:t>
      </w:r>
    </w:p>
    <w:p w14:paraId="44296F0E">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（三）政府采购情况。</w:t>
      </w:r>
    </w:p>
    <w:p w14:paraId="35D0A341">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茶庵镇卫生院</w:t>
      </w:r>
      <w:r>
        <w:rPr>
          <w:rFonts w:ascii="仿宋_GB2312" w:eastAsia="仿宋_GB2312" w:hAnsi="TimesNewRoman" w:cs="TimesNewRoman" w:hint="eastAsia"/>
          <w:sz w:val="32"/>
          <w:szCs w:val="32"/>
        </w:rPr>
        <w:t>2025年政府采购预算</w:t>
      </w:r>
      <w:r>
        <w:rPr>
          <w:rFonts w:ascii="仿宋_GB2312" w:eastAsia="仿宋_GB2312" w:hAnsi="TimesNewRoman" w:cs="TimesNewRoman" w:hint="eastAsia"/>
          <w:sz w:val="32"/>
          <w:szCs w:val="32"/>
          <w:lang w:val="en-US" w:eastAsia="zh-CN"/>
        </w:rPr>
        <w:t>14.54</w:t>
      </w:r>
      <w:r>
        <w:rPr>
          <w:rFonts w:ascii="仿宋_GB2312" w:eastAsia="仿宋_GB2312" w:hAnsi="TimesNewRoman" w:cs="TimesNewRoman" w:hint="eastAsia"/>
          <w:sz w:val="32"/>
          <w:szCs w:val="32"/>
        </w:rPr>
        <w:t>万元。其中：政府采购货物预算</w:t>
      </w:r>
      <w:r>
        <w:rPr>
          <w:rFonts w:ascii="仿宋_GB2312" w:eastAsia="仿宋_GB2312" w:hAnsi="TimesNewRoman" w:cs="TimesNewRoman" w:hint="eastAsia"/>
          <w:sz w:val="32"/>
          <w:szCs w:val="32"/>
          <w:lang w:val="en-US" w:eastAsia="zh-CN"/>
        </w:rPr>
        <w:t>14.54</w:t>
      </w:r>
      <w:r>
        <w:rPr>
          <w:rFonts w:ascii="仿宋_GB2312" w:eastAsia="仿宋_GB2312" w:hAnsi="TimesNewRoman" w:cs="TimesNewRoman" w:hint="eastAsia"/>
          <w:sz w:val="32"/>
          <w:szCs w:val="32"/>
        </w:rPr>
        <w:t>万元。</w:t>
      </w:r>
    </w:p>
    <w:p w14:paraId="3B845046">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（四）国有资产占有使用情况。</w:t>
      </w:r>
    </w:p>
    <w:p w14:paraId="51662D3E">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截至2024年12月31日，</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茶庵镇卫生院</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lang w:val="en-US" w:eastAsia="zh-CN"/>
        </w:rPr>
        <w:t>2</w:t>
      </w:r>
      <w:r>
        <w:rPr>
          <w:rFonts w:ascii="仿宋_GB2312" w:eastAsia="仿宋_GB2312" w:hAnsi="TimesNewRoman" w:cs="TimesNewRoman" w:hint="eastAsia"/>
          <w:sz w:val="32"/>
          <w:szCs w:val="32"/>
        </w:rPr>
        <w:t>辆，其中：特种专业技术用车</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辆、其他用车</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辆。单价50万元以上的通用设备</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台。</w:t>
      </w:r>
    </w:p>
    <w:p w14:paraId="113AA748">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2025年</w:t>
      </w:r>
      <w:r>
        <w:rPr>
          <w:rFonts w:ascii="仿宋_GB2312" w:eastAsia="仿宋_GB2312" w:hAnsi="TimesNewRoman" w:cs="TimesNewRoman" w:hint="eastAsia"/>
          <w:sz w:val="32"/>
          <w:szCs w:val="32"/>
          <w:lang w:val="en-US" w:eastAsia="zh-CN"/>
        </w:rPr>
        <w:t>寿县茶庵镇卫生院</w:t>
      </w:r>
      <w:r>
        <w:rPr>
          <w:rFonts w:ascii="仿宋_GB2312" w:eastAsia="仿宋_GB2312" w:hAnsi="TimesNewRoman" w:cs="TimesNewRoman" w:hint="eastAsia"/>
          <w:sz w:val="32"/>
          <w:szCs w:val="32"/>
        </w:rPr>
        <w:t>预算安排购置公务用车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w:t>
      </w:r>
    </w:p>
    <w:p w14:paraId="3FB56F25">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（五）绩效目标设置情况。</w:t>
      </w:r>
    </w:p>
    <w:p w14:paraId="635AB4D4">
      <w:pPr>
        <w:topLinePunct/>
        <w:adjustRightInd w:val="0"/>
        <w:snapToGrid w:val="0"/>
        <w:spacing w:line="560" w:lineRule="exact"/>
        <w:ind w:firstLine="640" w:firstLineChars="200"/>
        <w:rPr>
          <w:rFonts w:ascii="TimesNewRoman" w:eastAsia="黑体" w:hAnsi="TimesNewRoman" w:cs="TimesNewRoman"/>
          <w:sz w:val="36"/>
          <w:szCs w:val="36"/>
        </w:rPr>
      </w:pPr>
      <w:r>
        <w:rPr>
          <w:rFonts w:ascii="仿宋_GB2312" w:eastAsia="仿宋_GB2312" w:hAnsi="TimesNewRoman" w:cs="TimesNewRoman" w:hint="eastAsia"/>
          <w:sz w:val="32"/>
          <w:szCs w:val="32"/>
        </w:rPr>
        <w:t>2025年，</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茶庵镇卫生院2</w:t>
      </w:r>
      <w:r>
        <w:rPr>
          <w:rFonts w:ascii="仿宋_GB2312" w:eastAsia="仿宋_GB2312" w:hAnsi="TimesNewRoman" w:cs="TimesNewRoman" w:hint="eastAsia"/>
          <w:sz w:val="32"/>
          <w:szCs w:val="32"/>
        </w:rPr>
        <w:t>个项目实行了绩效目标管理，涉及一般公共预算当年财政拨款</w:t>
      </w:r>
      <w:r>
        <w:rPr>
          <w:rFonts w:ascii="仿宋_GB2312" w:eastAsia="仿宋_GB2312" w:hAnsi="TimesNewRoman" w:cs="TimesNewRoman" w:hint="eastAsia"/>
          <w:sz w:val="32"/>
          <w:szCs w:val="32"/>
          <w:lang w:val="en-US" w:eastAsia="zh-CN"/>
        </w:rPr>
        <w:t>6.35</w:t>
      </w:r>
      <w:r>
        <w:rPr>
          <w:rFonts w:ascii="仿宋_GB2312" w:eastAsia="仿宋_GB2312" w:hAnsi="TimesNewRoman" w:cs="TimesNewRoman" w:hint="eastAsia"/>
          <w:sz w:val="32"/>
          <w:szCs w:val="32"/>
        </w:rPr>
        <w:t>万元、单位资金当年安排</w:t>
      </w:r>
      <w:r>
        <w:rPr>
          <w:rFonts w:ascii="仿宋_GB2312" w:eastAsia="仿宋_GB2312" w:hAnsi="TimesNewRoman" w:cs="TimesNewRoman" w:hint="eastAsia"/>
          <w:sz w:val="32"/>
          <w:szCs w:val="32"/>
          <w:lang w:val="en-US" w:eastAsia="zh-CN"/>
        </w:rPr>
        <w:t>400</w:t>
      </w:r>
      <w:r>
        <w:rPr>
          <w:rFonts w:ascii="仿宋_GB2312" w:eastAsia="仿宋_GB2312" w:hAnsi="TimesNewRoman" w:cs="TimesNewRoman" w:hint="eastAsia"/>
          <w:sz w:val="32"/>
          <w:szCs w:val="32"/>
        </w:rPr>
        <w:t>万元。</w:t>
      </w:r>
    </w:p>
    <w:p w14:paraId="7EC4CD44">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w:t>
      </w:r>
      <w:r>
        <w:rPr>
          <w:rFonts w:ascii="TimesNewRoman" w:eastAsia="黑体" w:hAnsi="TimesNewRoman" w:cs="TimesNewRoman" w:hint="eastAsia"/>
          <w:sz w:val="36"/>
          <w:szCs w:val="36"/>
        </w:rPr>
        <w:t>三</w:t>
      </w:r>
      <w:r>
        <w:rPr>
          <w:rFonts w:ascii="TimesNewRoman" w:eastAsia="黑体" w:hAnsi="TimesNewRoman" w:cs="TimesNewRoman"/>
          <w:sz w:val="36"/>
          <w:szCs w:val="36"/>
        </w:rPr>
        <w:t>部分</w:t>
      </w:r>
      <w:r>
        <w:rPr>
          <w:rFonts w:ascii="TimesNewRoman" w:eastAsia="黑体" w:hAnsi="TimesNewRoman" w:cs="TimesNewRoman" w:hint="eastAsia"/>
          <w:sz w:val="36"/>
          <w:szCs w:val="36"/>
        </w:rPr>
        <w:t xml:space="preserve"> </w:t>
      </w:r>
      <w:r>
        <w:rPr>
          <w:rFonts w:ascii="TimesNewRoman" w:eastAsia="黑体" w:hAnsi="TimesNewRoman" w:cs="TimesNewRoman"/>
          <w:sz w:val="36"/>
          <w:szCs w:val="36"/>
        </w:rPr>
        <w:t>名词解释</w:t>
      </w:r>
    </w:p>
    <w:p w14:paraId="58869116">
      <w:pPr>
        <w:topLinePunct/>
        <w:adjustRightInd w:val="0"/>
        <w:snapToGrid w:val="0"/>
        <w:spacing w:line="560" w:lineRule="exact"/>
        <w:rPr>
          <w:rFonts w:ascii="TimesNewRoman" w:eastAsia="黑体" w:hAnsi="TimesNewRoman" w:cs="TimesNewRoman"/>
          <w:szCs w:val="32"/>
        </w:rPr>
      </w:pPr>
    </w:p>
    <w:p w14:paraId="1F8866DD">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14:paraId="06397B1B">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14:paraId="76D119A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14:paraId="7B7B9BC1">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14:paraId="0FDA90C6">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14:paraId="34795C53">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14:paraId="582B5E28">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14:paraId="6B39789E">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14:paraId="4D5F99DC">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14:paraId="72E81C27">
      <w:pPr>
        <w:pStyle w:val="FootnoteText"/>
        <w:rPr>
          <w:rFonts w:ascii="仿宋_GB2312" w:eastAsia="仿宋_GB2312" w:cs="宋体" w:hint="eastAsia"/>
          <w:sz w:val="28"/>
          <w:szCs w:val="28"/>
          <w:u w:val="thick"/>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p>
    <w:p w14:paraId="3F5E3A02">
      <w:pPr>
        <w:pStyle w:val="FootnoteText"/>
        <w:rPr>
          <w:rFonts w:ascii="仿宋_GB2312" w:eastAsia="仿宋_GB2312" w:cs="宋体" w:hint="eastAsia"/>
          <w:sz w:val="28"/>
          <w:szCs w:val="28"/>
          <w:u w:val="thick"/>
        </w:rPr>
      </w:pPr>
    </w:p>
    <w:p w14:paraId="4630A108">
      <w:pPr>
        <w:pStyle w:val="FootnoteText"/>
        <w:rPr>
          <w:rFonts w:ascii="仿宋_GB2312" w:eastAsia="仿宋_GB2312" w:cs="宋体" w:hint="eastAsia"/>
          <w:sz w:val="28"/>
          <w:szCs w:val="28"/>
          <w:u w:val="thick"/>
        </w:rPr>
      </w:pPr>
    </w:p>
    <w:p w14:paraId="46E2CF38">
      <w:pPr>
        <w:pStyle w:val="FootnoteText"/>
        <w:rPr>
          <w:rFonts w:ascii="仿宋_GB2312" w:eastAsia="仿宋_GB2312" w:cs="宋体" w:hint="eastAsia"/>
          <w:sz w:val="28"/>
          <w:szCs w:val="28"/>
          <w:u w:val="thick"/>
        </w:rPr>
      </w:pPr>
    </w:p>
    <w:p w14:paraId="441FAD11">
      <w:pPr>
        <w:pStyle w:val="FootnoteText"/>
        <w:rPr>
          <w:rFonts w:ascii="仿宋_GB2312" w:eastAsia="仿宋_GB2312" w:cs="宋体" w:hint="eastAsia"/>
          <w:sz w:val="28"/>
          <w:szCs w:val="28"/>
          <w:u w:val="thick"/>
        </w:rPr>
      </w:pPr>
    </w:p>
    <w:p w14:paraId="0D4BCDF4">
      <w:pPr>
        <w:pStyle w:val="FootnoteText"/>
        <w:rPr>
          <w:rFonts w:ascii="仿宋_GB2312" w:eastAsia="仿宋_GB2312" w:cs="宋体" w:hint="eastAsia"/>
          <w:sz w:val="28"/>
          <w:szCs w:val="28"/>
          <w:u w:val="thick"/>
        </w:rPr>
      </w:pPr>
    </w:p>
    <w:p w14:paraId="29C0F96E">
      <w:pPr>
        <w:pStyle w:val="FootnoteText"/>
        <w:rPr>
          <w:rFonts w:ascii="仿宋_GB2312" w:eastAsia="仿宋_GB2312" w:cs="宋体" w:hint="eastAsia"/>
          <w:sz w:val="28"/>
          <w:szCs w:val="28"/>
          <w:u w:val="thick"/>
        </w:rPr>
      </w:pPr>
    </w:p>
    <w:p w14:paraId="2657E149">
      <w:pPr>
        <w:pStyle w:val="FootnoteText"/>
        <w:rPr>
          <w:rFonts w:ascii="仿宋_GB2312" w:eastAsia="仿宋_GB2312" w:cs="宋体" w:hint="eastAsia"/>
          <w:sz w:val="28"/>
          <w:szCs w:val="28"/>
          <w:u w:val="thick"/>
        </w:rPr>
      </w:pPr>
    </w:p>
    <w:p w14:paraId="2ADBBF77">
      <w:pPr>
        <w:pStyle w:val="FootnoteText"/>
        <w:rPr>
          <w:rFonts w:ascii="仿宋_GB2312" w:eastAsia="仿宋_GB2312" w:cs="宋体" w:hint="eastAsia"/>
          <w:sz w:val="28"/>
          <w:szCs w:val="28"/>
          <w:u w:val="thick"/>
        </w:rPr>
      </w:pPr>
    </w:p>
    <w:p w14:paraId="793E5D98">
      <w:pPr>
        <w:pStyle w:val="FootnoteText"/>
        <w:rPr>
          <w:rFonts w:ascii="仿宋_GB2312" w:eastAsia="仿宋_GB2312" w:cs="宋体" w:hint="eastAsia"/>
          <w:sz w:val="28"/>
          <w:szCs w:val="28"/>
          <w:u w:val="thick"/>
        </w:rPr>
      </w:pPr>
    </w:p>
    <w:p w14:paraId="3B677AAE">
      <w:pPr>
        <w:pStyle w:val="FootnoteText"/>
        <w:rPr>
          <w:rFonts w:ascii="仿宋_GB2312" w:eastAsia="仿宋_GB2312" w:cs="宋体" w:hint="eastAsia"/>
          <w:sz w:val="28"/>
          <w:szCs w:val="28"/>
          <w:u w:val="thick"/>
        </w:rPr>
      </w:pPr>
    </w:p>
    <w:p w14:paraId="2ABD3ECB">
      <w:pPr>
        <w:rPr>
          <w:szCs w:val="28"/>
        </w:rPr>
      </w:pPr>
    </w:p>
    <w:sectPr>
      <w:footerReference w:type="even" r:id="rId4"/>
      <w:footerReference w:type="default" r:id="rId5"/>
      <w:pgSz w:w="11907" w:h="16840"/>
      <w:pgMar w:top="2098" w:right="1474" w:bottom="1985" w:left="1588" w:header="851" w:footer="1134" w:gutter="0"/>
      <w:cols w:num="1" w:space="72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PMingLiU">
    <w:altName w:val="PMingLiU-ExtB"/>
    <w:panose1 w:val="02020500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Arial Unicode MS">
    <w:panose1 w:val="020B0604020202020204"/>
    <w:charset w:val="86"/>
    <w:family w:val="swiss"/>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00" w:usb3="00000000" w:csb0="00040000" w:csb1="00000000"/>
  </w:font>
  <w:font w:name="TimesNewRoman">
    <w:altName w:val="Arial Unicode MS"/>
    <w:panose1 w:val="02020603050405020304"/>
    <w:charset w:val="00"/>
    <w:family w:val="auto"/>
    <w:pitch w:val="default"/>
    <w:sig w:usb0="00000000" w:usb1="00000000" w:usb2="00000029" w:usb3="00000000" w:csb0="600001FF" w:csb1="FFFF0000"/>
  </w:font>
  <w:font w:name="方正小标宋_GBK">
    <w:altName w:val="Arial Unicode MS"/>
    <w:panose1 w:val="03000509000000000000"/>
    <w:charset w:val="86"/>
    <w:family w:val="script"/>
    <w:pitch w:val="default"/>
    <w:sig w:usb0="00000000" w:usb1="00000000" w:usb2="00000010" w:usb3="00000000" w:csb0="00040000" w:csb1="00000000"/>
  </w:font>
  <w:font w:name="汉仪中秀体简">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1662BE90">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28</w:t>
    </w:r>
    <w:r>
      <w:rPr>
        <w:rFonts w:ascii="宋体" w:hAnsi="宋体" w:hint="eastAsia"/>
        <w:sz w:val="28"/>
        <w:szCs w:val="28"/>
      </w:rPr>
      <w:fldChar w:fldCharType="end"/>
    </w:r>
    <w:r>
      <w:rPr>
        <w:rFonts w:ascii="宋体" w:hAnsi="宋体" w:hint="eastAsia"/>
        <w:sz w:val="28"/>
        <w:szCs w:val="28"/>
      </w:rPr>
      <w:t xml:space="preserve"> —</w:t>
    </w:r>
  </w:p>
  <w:p w14:paraId="4F8564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7EBFC1B4">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27</w:t>
    </w:r>
    <w:r>
      <w:rPr>
        <w:sz w:val="28"/>
        <w:szCs w:val="28"/>
      </w:rPr>
      <w:fldChar w:fldCharType="end"/>
    </w:r>
    <w:r>
      <w:rPr>
        <w:rFonts w:hint="eastAsia"/>
        <w:sz w:val="28"/>
        <w:szCs w:val="28"/>
      </w:rPr>
      <w:t xml:space="preserve"> </w:t>
    </w:r>
    <w:r>
      <w:rPr>
        <w:rFonts w:ascii="宋体" w:hAnsi="宋体" w:hint="eastAsia"/>
        <w:sz w:val="28"/>
        <w:szCs w:val="28"/>
      </w:rPr>
      <w:t xml:space="preserve">— </w:t>
    </w:r>
  </w:p>
  <w:p w14:paraId="6C0DD030">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F47E2FE"/>
    <w:multiLevelType w:val="singleLevel"/>
    <w:tmpl w:val="DF47E2FE"/>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E3F"/>
    <w:rsid w:val="0000232A"/>
    <w:rsid w:val="00010698"/>
    <w:rsid w:val="00015EBA"/>
    <w:rsid w:val="00016C9C"/>
    <w:rsid w:val="00017D67"/>
    <w:rsid w:val="00024256"/>
    <w:rsid w:val="00027E92"/>
    <w:rsid w:val="0004045B"/>
    <w:rsid w:val="00047204"/>
    <w:rsid w:val="00054053"/>
    <w:rsid w:val="000641D7"/>
    <w:rsid w:val="00067428"/>
    <w:rsid w:val="000816DB"/>
    <w:rsid w:val="000826B6"/>
    <w:rsid w:val="000856A0"/>
    <w:rsid w:val="00090C2B"/>
    <w:rsid w:val="000929BA"/>
    <w:rsid w:val="000A2CBC"/>
    <w:rsid w:val="000A7B8C"/>
    <w:rsid w:val="000B27D8"/>
    <w:rsid w:val="000C2198"/>
    <w:rsid w:val="000C2532"/>
    <w:rsid w:val="000E6A6B"/>
    <w:rsid w:val="000F1F41"/>
    <w:rsid w:val="000F4C68"/>
    <w:rsid w:val="001025DC"/>
    <w:rsid w:val="001041A9"/>
    <w:rsid w:val="00106094"/>
    <w:rsid w:val="001076D0"/>
    <w:rsid w:val="00114B22"/>
    <w:rsid w:val="00115FA0"/>
    <w:rsid w:val="001172E4"/>
    <w:rsid w:val="0013208E"/>
    <w:rsid w:val="0013671C"/>
    <w:rsid w:val="00147333"/>
    <w:rsid w:val="001521AF"/>
    <w:rsid w:val="001542E6"/>
    <w:rsid w:val="001645F9"/>
    <w:rsid w:val="00166D42"/>
    <w:rsid w:val="00173919"/>
    <w:rsid w:val="0018379A"/>
    <w:rsid w:val="00183A3A"/>
    <w:rsid w:val="00184793"/>
    <w:rsid w:val="00184BAF"/>
    <w:rsid w:val="00185520"/>
    <w:rsid w:val="00195B5B"/>
    <w:rsid w:val="001978B4"/>
    <w:rsid w:val="001A3D2A"/>
    <w:rsid w:val="001A52C2"/>
    <w:rsid w:val="001B03C4"/>
    <w:rsid w:val="001B694E"/>
    <w:rsid w:val="001C6A11"/>
    <w:rsid w:val="001D4D10"/>
    <w:rsid w:val="001D4E96"/>
    <w:rsid w:val="001D727A"/>
    <w:rsid w:val="001E0044"/>
    <w:rsid w:val="001E35D2"/>
    <w:rsid w:val="002049B3"/>
    <w:rsid w:val="00207369"/>
    <w:rsid w:val="00215700"/>
    <w:rsid w:val="0022408D"/>
    <w:rsid w:val="00233F27"/>
    <w:rsid w:val="00244B05"/>
    <w:rsid w:val="002503CA"/>
    <w:rsid w:val="00251C3B"/>
    <w:rsid w:val="00255D60"/>
    <w:rsid w:val="00255F80"/>
    <w:rsid w:val="002576A1"/>
    <w:rsid w:val="00262599"/>
    <w:rsid w:val="002629C6"/>
    <w:rsid w:val="00262D76"/>
    <w:rsid w:val="00266CFB"/>
    <w:rsid w:val="00281714"/>
    <w:rsid w:val="002823D8"/>
    <w:rsid w:val="00282567"/>
    <w:rsid w:val="00282DBF"/>
    <w:rsid w:val="00282FB5"/>
    <w:rsid w:val="002861C6"/>
    <w:rsid w:val="00287EB7"/>
    <w:rsid w:val="002946DB"/>
    <w:rsid w:val="002960DD"/>
    <w:rsid w:val="002A19D9"/>
    <w:rsid w:val="002A4A87"/>
    <w:rsid w:val="002A51B7"/>
    <w:rsid w:val="002A65E2"/>
    <w:rsid w:val="002A6E75"/>
    <w:rsid w:val="002A6EDB"/>
    <w:rsid w:val="002A7EA6"/>
    <w:rsid w:val="002B2A8E"/>
    <w:rsid w:val="002B6771"/>
    <w:rsid w:val="002C23C3"/>
    <w:rsid w:val="002D3200"/>
    <w:rsid w:val="002E18B1"/>
    <w:rsid w:val="002E1C6C"/>
    <w:rsid w:val="002E5B2B"/>
    <w:rsid w:val="002E64D6"/>
    <w:rsid w:val="00304917"/>
    <w:rsid w:val="00306E22"/>
    <w:rsid w:val="00307133"/>
    <w:rsid w:val="00310D47"/>
    <w:rsid w:val="003232F6"/>
    <w:rsid w:val="00327655"/>
    <w:rsid w:val="003278E6"/>
    <w:rsid w:val="00331A28"/>
    <w:rsid w:val="00331E02"/>
    <w:rsid w:val="0034225D"/>
    <w:rsid w:val="003455BC"/>
    <w:rsid w:val="0034617D"/>
    <w:rsid w:val="00350088"/>
    <w:rsid w:val="003503B4"/>
    <w:rsid w:val="00352D7E"/>
    <w:rsid w:val="00353046"/>
    <w:rsid w:val="00354FB8"/>
    <w:rsid w:val="00360A44"/>
    <w:rsid w:val="00361598"/>
    <w:rsid w:val="00362A04"/>
    <w:rsid w:val="003713E8"/>
    <w:rsid w:val="00373B39"/>
    <w:rsid w:val="00386720"/>
    <w:rsid w:val="0039221C"/>
    <w:rsid w:val="00392C9C"/>
    <w:rsid w:val="003932D0"/>
    <w:rsid w:val="003A14CA"/>
    <w:rsid w:val="003B58A1"/>
    <w:rsid w:val="003B68D1"/>
    <w:rsid w:val="003B6CDE"/>
    <w:rsid w:val="003B6E7A"/>
    <w:rsid w:val="003C37B6"/>
    <w:rsid w:val="003C63E5"/>
    <w:rsid w:val="003D75D1"/>
    <w:rsid w:val="003D7D24"/>
    <w:rsid w:val="003E47AD"/>
    <w:rsid w:val="003F135D"/>
    <w:rsid w:val="003F7095"/>
    <w:rsid w:val="003F72F2"/>
    <w:rsid w:val="0040512A"/>
    <w:rsid w:val="00405642"/>
    <w:rsid w:val="00405DFC"/>
    <w:rsid w:val="004068BA"/>
    <w:rsid w:val="00415D0F"/>
    <w:rsid w:val="0041651B"/>
    <w:rsid w:val="00431628"/>
    <w:rsid w:val="004330AB"/>
    <w:rsid w:val="00434B9B"/>
    <w:rsid w:val="00437DD1"/>
    <w:rsid w:val="0044132D"/>
    <w:rsid w:val="00452C1A"/>
    <w:rsid w:val="00456DE2"/>
    <w:rsid w:val="00460261"/>
    <w:rsid w:val="00471E18"/>
    <w:rsid w:val="00474D75"/>
    <w:rsid w:val="00477779"/>
    <w:rsid w:val="004900A3"/>
    <w:rsid w:val="00490D5D"/>
    <w:rsid w:val="00492453"/>
    <w:rsid w:val="00496864"/>
    <w:rsid w:val="004A4500"/>
    <w:rsid w:val="004A4AE8"/>
    <w:rsid w:val="004C09F0"/>
    <w:rsid w:val="004C2239"/>
    <w:rsid w:val="004C5C63"/>
    <w:rsid w:val="004D0512"/>
    <w:rsid w:val="004D3F38"/>
    <w:rsid w:val="004E05B6"/>
    <w:rsid w:val="004E27FD"/>
    <w:rsid w:val="004E2E7B"/>
    <w:rsid w:val="004E3E03"/>
    <w:rsid w:val="004E40B8"/>
    <w:rsid w:val="004E678E"/>
    <w:rsid w:val="004E738E"/>
    <w:rsid w:val="004E7C81"/>
    <w:rsid w:val="004F0D61"/>
    <w:rsid w:val="004F172C"/>
    <w:rsid w:val="004F3FC0"/>
    <w:rsid w:val="004F5F37"/>
    <w:rsid w:val="00500381"/>
    <w:rsid w:val="005007CB"/>
    <w:rsid w:val="00501118"/>
    <w:rsid w:val="00506D43"/>
    <w:rsid w:val="00507DC4"/>
    <w:rsid w:val="0052516D"/>
    <w:rsid w:val="00526D8B"/>
    <w:rsid w:val="00527A10"/>
    <w:rsid w:val="00530C6C"/>
    <w:rsid w:val="0053317E"/>
    <w:rsid w:val="00533F3F"/>
    <w:rsid w:val="005360CA"/>
    <w:rsid w:val="005378ED"/>
    <w:rsid w:val="00543CF0"/>
    <w:rsid w:val="00544A04"/>
    <w:rsid w:val="005458A5"/>
    <w:rsid w:val="00551CF0"/>
    <w:rsid w:val="00552B1D"/>
    <w:rsid w:val="00555658"/>
    <w:rsid w:val="005608ED"/>
    <w:rsid w:val="005616E9"/>
    <w:rsid w:val="005643DB"/>
    <w:rsid w:val="00564A24"/>
    <w:rsid w:val="00565E35"/>
    <w:rsid w:val="00571EB4"/>
    <w:rsid w:val="00574E9F"/>
    <w:rsid w:val="00580F5C"/>
    <w:rsid w:val="005913A3"/>
    <w:rsid w:val="00597E64"/>
    <w:rsid w:val="005A58BE"/>
    <w:rsid w:val="005B288C"/>
    <w:rsid w:val="005B32C2"/>
    <w:rsid w:val="005B4A39"/>
    <w:rsid w:val="005C32DC"/>
    <w:rsid w:val="005C4469"/>
    <w:rsid w:val="005D1411"/>
    <w:rsid w:val="005D54F6"/>
    <w:rsid w:val="005D7114"/>
    <w:rsid w:val="005E1834"/>
    <w:rsid w:val="005E360D"/>
    <w:rsid w:val="005E743E"/>
    <w:rsid w:val="005F18FB"/>
    <w:rsid w:val="005F4B44"/>
    <w:rsid w:val="00601CC4"/>
    <w:rsid w:val="006027A6"/>
    <w:rsid w:val="006124D4"/>
    <w:rsid w:val="0062014E"/>
    <w:rsid w:val="0062286C"/>
    <w:rsid w:val="00623B7D"/>
    <w:rsid w:val="00632793"/>
    <w:rsid w:val="0063671C"/>
    <w:rsid w:val="00636F19"/>
    <w:rsid w:val="0064175E"/>
    <w:rsid w:val="0064211F"/>
    <w:rsid w:val="00644C2E"/>
    <w:rsid w:val="00652A7F"/>
    <w:rsid w:val="006539FD"/>
    <w:rsid w:val="00661556"/>
    <w:rsid w:val="00662384"/>
    <w:rsid w:val="00666478"/>
    <w:rsid w:val="00667DDC"/>
    <w:rsid w:val="00670EA3"/>
    <w:rsid w:val="0067147D"/>
    <w:rsid w:val="00674D75"/>
    <w:rsid w:val="006808D8"/>
    <w:rsid w:val="006865D6"/>
    <w:rsid w:val="0069149A"/>
    <w:rsid w:val="00691FB3"/>
    <w:rsid w:val="00696C1F"/>
    <w:rsid w:val="006A4913"/>
    <w:rsid w:val="006B2DFD"/>
    <w:rsid w:val="006B62CE"/>
    <w:rsid w:val="006B7323"/>
    <w:rsid w:val="006C2608"/>
    <w:rsid w:val="006C4FBF"/>
    <w:rsid w:val="006C5F43"/>
    <w:rsid w:val="006C6981"/>
    <w:rsid w:val="006D6310"/>
    <w:rsid w:val="006D710E"/>
    <w:rsid w:val="006E1868"/>
    <w:rsid w:val="006E2099"/>
    <w:rsid w:val="006F39F8"/>
    <w:rsid w:val="006F7761"/>
    <w:rsid w:val="00701217"/>
    <w:rsid w:val="00705D45"/>
    <w:rsid w:val="00706BA7"/>
    <w:rsid w:val="00712917"/>
    <w:rsid w:val="00713712"/>
    <w:rsid w:val="0072528F"/>
    <w:rsid w:val="007270A9"/>
    <w:rsid w:val="00730690"/>
    <w:rsid w:val="007312A1"/>
    <w:rsid w:val="007322F0"/>
    <w:rsid w:val="0073320F"/>
    <w:rsid w:val="00735D3A"/>
    <w:rsid w:val="00736E25"/>
    <w:rsid w:val="007420C1"/>
    <w:rsid w:val="00744B44"/>
    <w:rsid w:val="0074527F"/>
    <w:rsid w:val="00760F8D"/>
    <w:rsid w:val="00763AE0"/>
    <w:rsid w:val="00765CCF"/>
    <w:rsid w:val="00771F64"/>
    <w:rsid w:val="0077216F"/>
    <w:rsid w:val="00773599"/>
    <w:rsid w:val="00775C90"/>
    <w:rsid w:val="00775E5A"/>
    <w:rsid w:val="00781F28"/>
    <w:rsid w:val="00783B2D"/>
    <w:rsid w:val="00787CA8"/>
    <w:rsid w:val="00795685"/>
    <w:rsid w:val="00795F52"/>
    <w:rsid w:val="007A1AB1"/>
    <w:rsid w:val="007A5B40"/>
    <w:rsid w:val="007B3D43"/>
    <w:rsid w:val="007B4FE4"/>
    <w:rsid w:val="007C1C69"/>
    <w:rsid w:val="007C3052"/>
    <w:rsid w:val="007C667B"/>
    <w:rsid w:val="007C7F71"/>
    <w:rsid w:val="007D5300"/>
    <w:rsid w:val="007E1FD8"/>
    <w:rsid w:val="007E3448"/>
    <w:rsid w:val="007E3E29"/>
    <w:rsid w:val="007E7BB1"/>
    <w:rsid w:val="007F4B6A"/>
    <w:rsid w:val="007F70F2"/>
    <w:rsid w:val="007F7831"/>
    <w:rsid w:val="00801518"/>
    <w:rsid w:val="00803279"/>
    <w:rsid w:val="00804E3F"/>
    <w:rsid w:val="00807C87"/>
    <w:rsid w:val="00810FC9"/>
    <w:rsid w:val="00815327"/>
    <w:rsid w:val="00815BCC"/>
    <w:rsid w:val="00815E0F"/>
    <w:rsid w:val="00820A39"/>
    <w:rsid w:val="00826B4D"/>
    <w:rsid w:val="0084035D"/>
    <w:rsid w:val="00842BED"/>
    <w:rsid w:val="00844C50"/>
    <w:rsid w:val="008477B8"/>
    <w:rsid w:val="008609B4"/>
    <w:rsid w:val="00860D5D"/>
    <w:rsid w:val="00862924"/>
    <w:rsid w:val="0086779B"/>
    <w:rsid w:val="00876B5D"/>
    <w:rsid w:val="008812EC"/>
    <w:rsid w:val="00897F2A"/>
    <w:rsid w:val="008A13CF"/>
    <w:rsid w:val="008A3D1F"/>
    <w:rsid w:val="008A5893"/>
    <w:rsid w:val="008B0646"/>
    <w:rsid w:val="008B1591"/>
    <w:rsid w:val="008B1916"/>
    <w:rsid w:val="008B4C5B"/>
    <w:rsid w:val="008C21BB"/>
    <w:rsid w:val="008D3985"/>
    <w:rsid w:val="008D3DDE"/>
    <w:rsid w:val="008D4D79"/>
    <w:rsid w:val="008D7724"/>
    <w:rsid w:val="008E0B9B"/>
    <w:rsid w:val="008E1783"/>
    <w:rsid w:val="008E4780"/>
    <w:rsid w:val="008E5937"/>
    <w:rsid w:val="008F1E7D"/>
    <w:rsid w:val="00901239"/>
    <w:rsid w:val="009040A7"/>
    <w:rsid w:val="00907320"/>
    <w:rsid w:val="00907A80"/>
    <w:rsid w:val="00907E2D"/>
    <w:rsid w:val="00914521"/>
    <w:rsid w:val="00921E57"/>
    <w:rsid w:val="00923EB2"/>
    <w:rsid w:val="00924A9C"/>
    <w:rsid w:val="00926DBC"/>
    <w:rsid w:val="00932009"/>
    <w:rsid w:val="00934481"/>
    <w:rsid w:val="0093613D"/>
    <w:rsid w:val="00941B09"/>
    <w:rsid w:val="0094235F"/>
    <w:rsid w:val="00952B0B"/>
    <w:rsid w:val="00955EC9"/>
    <w:rsid w:val="00961DC4"/>
    <w:rsid w:val="00961E01"/>
    <w:rsid w:val="009675AD"/>
    <w:rsid w:val="00967FB2"/>
    <w:rsid w:val="009736DA"/>
    <w:rsid w:val="009753FE"/>
    <w:rsid w:val="009768EE"/>
    <w:rsid w:val="0097694A"/>
    <w:rsid w:val="00984E06"/>
    <w:rsid w:val="00985A51"/>
    <w:rsid w:val="009876FB"/>
    <w:rsid w:val="00996462"/>
    <w:rsid w:val="009A65B1"/>
    <w:rsid w:val="009C117E"/>
    <w:rsid w:val="009C20D0"/>
    <w:rsid w:val="009C7FD9"/>
    <w:rsid w:val="009D1436"/>
    <w:rsid w:val="009D1DE8"/>
    <w:rsid w:val="009D2142"/>
    <w:rsid w:val="009D2AC4"/>
    <w:rsid w:val="009D404E"/>
    <w:rsid w:val="009E1FE5"/>
    <w:rsid w:val="009E250F"/>
    <w:rsid w:val="009E40F4"/>
    <w:rsid w:val="009E50C3"/>
    <w:rsid w:val="009E5235"/>
    <w:rsid w:val="009F02BA"/>
    <w:rsid w:val="009F6863"/>
    <w:rsid w:val="009F6B49"/>
    <w:rsid w:val="00A0050D"/>
    <w:rsid w:val="00A10BF4"/>
    <w:rsid w:val="00A11F4A"/>
    <w:rsid w:val="00A12074"/>
    <w:rsid w:val="00A126B0"/>
    <w:rsid w:val="00A142B3"/>
    <w:rsid w:val="00A21044"/>
    <w:rsid w:val="00A2325B"/>
    <w:rsid w:val="00A2431A"/>
    <w:rsid w:val="00A26D82"/>
    <w:rsid w:val="00A2782E"/>
    <w:rsid w:val="00A3573F"/>
    <w:rsid w:val="00A37D1F"/>
    <w:rsid w:val="00A41F93"/>
    <w:rsid w:val="00A448FA"/>
    <w:rsid w:val="00A46BA4"/>
    <w:rsid w:val="00A46D60"/>
    <w:rsid w:val="00A66634"/>
    <w:rsid w:val="00A76E4C"/>
    <w:rsid w:val="00A77491"/>
    <w:rsid w:val="00A83F75"/>
    <w:rsid w:val="00A84406"/>
    <w:rsid w:val="00A84E58"/>
    <w:rsid w:val="00A90719"/>
    <w:rsid w:val="00A93DE5"/>
    <w:rsid w:val="00AA57F6"/>
    <w:rsid w:val="00AB0625"/>
    <w:rsid w:val="00AB1310"/>
    <w:rsid w:val="00AB2A85"/>
    <w:rsid w:val="00AB3C90"/>
    <w:rsid w:val="00AC3651"/>
    <w:rsid w:val="00AC4DE1"/>
    <w:rsid w:val="00AC672C"/>
    <w:rsid w:val="00AD37C9"/>
    <w:rsid w:val="00AD66F4"/>
    <w:rsid w:val="00AE493F"/>
    <w:rsid w:val="00AF54F0"/>
    <w:rsid w:val="00B01C14"/>
    <w:rsid w:val="00B02A69"/>
    <w:rsid w:val="00B02C2E"/>
    <w:rsid w:val="00B03001"/>
    <w:rsid w:val="00B03AB4"/>
    <w:rsid w:val="00B10C4A"/>
    <w:rsid w:val="00B11F8C"/>
    <w:rsid w:val="00B12235"/>
    <w:rsid w:val="00B2142B"/>
    <w:rsid w:val="00B2273C"/>
    <w:rsid w:val="00B23A99"/>
    <w:rsid w:val="00B30E40"/>
    <w:rsid w:val="00B323B5"/>
    <w:rsid w:val="00B41B79"/>
    <w:rsid w:val="00B43C4B"/>
    <w:rsid w:val="00B50700"/>
    <w:rsid w:val="00B50DB7"/>
    <w:rsid w:val="00B526C5"/>
    <w:rsid w:val="00B53B9A"/>
    <w:rsid w:val="00B612F0"/>
    <w:rsid w:val="00B61833"/>
    <w:rsid w:val="00B634BE"/>
    <w:rsid w:val="00B670CA"/>
    <w:rsid w:val="00B72578"/>
    <w:rsid w:val="00B7330A"/>
    <w:rsid w:val="00B76C32"/>
    <w:rsid w:val="00B84855"/>
    <w:rsid w:val="00B94554"/>
    <w:rsid w:val="00B945A9"/>
    <w:rsid w:val="00BA120C"/>
    <w:rsid w:val="00BA25FD"/>
    <w:rsid w:val="00BC4BC9"/>
    <w:rsid w:val="00BC76D2"/>
    <w:rsid w:val="00BC7C40"/>
    <w:rsid w:val="00BD2C60"/>
    <w:rsid w:val="00BE0161"/>
    <w:rsid w:val="00BE20E9"/>
    <w:rsid w:val="00BE6343"/>
    <w:rsid w:val="00BE7764"/>
    <w:rsid w:val="00BF1E9B"/>
    <w:rsid w:val="00BF744A"/>
    <w:rsid w:val="00C02B47"/>
    <w:rsid w:val="00C13D24"/>
    <w:rsid w:val="00C17CCE"/>
    <w:rsid w:val="00C2319C"/>
    <w:rsid w:val="00C23C2F"/>
    <w:rsid w:val="00C24169"/>
    <w:rsid w:val="00C24F93"/>
    <w:rsid w:val="00C27BE1"/>
    <w:rsid w:val="00C30FC5"/>
    <w:rsid w:val="00C4309A"/>
    <w:rsid w:val="00C44F2A"/>
    <w:rsid w:val="00C47394"/>
    <w:rsid w:val="00C5040A"/>
    <w:rsid w:val="00C55735"/>
    <w:rsid w:val="00C63B2E"/>
    <w:rsid w:val="00C64827"/>
    <w:rsid w:val="00C702AE"/>
    <w:rsid w:val="00C706FB"/>
    <w:rsid w:val="00C74511"/>
    <w:rsid w:val="00C76C49"/>
    <w:rsid w:val="00C77988"/>
    <w:rsid w:val="00C803CA"/>
    <w:rsid w:val="00C80E7E"/>
    <w:rsid w:val="00C81630"/>
    <w:rsid w:val="00C82EF1"/>
    <w:rsid w:val="00C91952"/>
    <w:rsid w:val="00C93B01"/>
    <w:rsid w:val="00C965CF"/>
    <w:rsid w:val="00C96C10"/>
    <w:rsid w:val="00C97439"/>
    <w:rsid w:val="00CA68E2"/>
    <w:rsid w:val="00CC650B"/>
    <w:rsid w:val="00CD2A13"/>
    <w:rsid w:val="00CD7A85"/>
    <w:rsid w:val="00CE0214"/>
    <w:rsid w:val="00CE6C7E"/>
    <w:rsid w:val="00CE6E4F"/>
    <w:rsid w:val="00CF17E0"/>
    <w:rsid w:val="00CF2FF7"/>
    <w:rsid w:val="00CF3582"/>
    <w:rsid w:val="00CF4E72"/>
    <w:rsid w:val="00CF51ED"/>
    <w:rsid w:val="00D02B1E"/>
    <w:rsid w:val="00D12260"/>
    <w:rsid w:val="00D2422B"/>
    <w:rsid w:val="00D330E8"/>
    <w:rsid w:val="00D35ABC"/>
    <w:rsid w:val="00D442E3"/>
    <w:rsid w:val="00D44E68"/>
    <w:rsid w:val="00D47DD0"/>
    <w:rsid w:val="00D52856"/>
    <w:rsid w:val="00D54164"/>
    <w:rsid w:val="00D61080"/>
    <w:rsid w:val="00D62E29"/>
    <w:rsid w:val="00D67F8D"/>
    <w:rsid w:val="00D70FE4"/>
    <w:rsid w:val="00D718D2"/>
    <w:rsid w:val="00D71E88"/>
    <w:rsid w:val="00D72E25"/>
    <w:rsid w:val="00D767F3"/>
    <w:rsid w:val="00D81AB3"/>
    <w:rsid w:val="00D8250E"/>
    <w:rsid w:val="00D82C41"/>
    <w:rsid w:val="00D91B0E"/>
    <w:rsid w:val="00D9215E"/>
    <w:rsid w:val="00D92A4C"/>
    <w:rsid w:val="00D93242"/>
    <w:rsid w:val="00D96B59"/>
    <w:rsid w:val="00DB21EA"/>
    <w:rsid w:val="00DB4B2F"/>
    <w:rsid w:val="00DB5D52"/>
    <w:rsid w:val="00DB5E06"/>
    <w:rsid w:val="00DC0935"/>
    <w:rsid w:val="00DC0AC4"/>
    <w:rsid w:val="00DC1908"/>
    <w:rsid w:val="00DD0B73"/>
    <w:rsid w:val="00DD103A"/>
    <w:rsid w:val="00DD145F"/>
    <w:rsid w:val="00DD1F7E"/>
    <w:rsid w:val="00DD4A6C"/>
    <w:rsid w:val="00DD7134"/>
    <w:rsid w:val="00DD71EA"/>
    <w:rsid w:val="00DD782C"/>
    <w:rsid w:val="00DE0D0C"/>
    <w:rsid w:val="00DE3FE8"/>
    <w:rsid w:val="00DE7F40"/>
    <w:rsid w:val="00E006E2"/>
    <w:rsid w:val="00E00C36"/>
    <w:rsid w:val="00E00CD7"/>
    <w:rsid w:val="00E026E6"/>
    <w:rsid w:val="00E03ADB"/>
    <w:rsid w:val="00E0749F"/>
    <w:rsid w:val="00E13891"/>
    <w:rsid w:val="00E13A67"/>
    <w:rsid w:val="00E14A7A"/>
    <w:rsid w:val="00E250DD"/>
    <w:rsid w:val="00E256D4"/>
    <w:rsid w:val="00E37D65"/>
    <w:rsid w:val="00E43D5E"/>
    <w:rsid w:val="00E46255"/>
    <w:rsid w:val="00E51281"/>
    <w:rsid w:val="00E51A8A"/>
    <w:rsid w:val="00E55818"/>
    <w:rsid w:val="00E572CF"/>
    <w:rsid w:val="00E61ED1"/>
    <w:rsid w:val="00E67AF8"/>
    <w:rsid w:val="00E7470E"/>
    <w:rsid w:val="00E74BFD"/>
    <w:rsid w:val="00E753AC"/>
    <w:rsid w:val="00E76659"/>
    <w:rsid w:val="00E77F14"/>
    <w:rsid w:val="00E815A3"/>
    <w:rsid w:val="00E8398D"/>
    <w:rsid w:val="00E84042"/>
    <w:rsid w:val="00E90F7E"/>
    <w:rsid w:val="00EA6A4C"/>
    <w:rsid w:val="00EB0B89"/>
    <w:rsid w:val="00EC3ABB"/>
    <w:rsid w:val="00EC6ABC"/>
    <w:rsid w:val="00EC6CA7"/>
    <w:rsid w:val="00ED6336"/>
    <w:rsid w:val="00EE58CE"/>
    <w:rsid w:val="00EF0FB6"/>
    <w:rsid w:val="00EF361A"/>
    <w:rsid w:val="00EF6645"/>
    <w:rsid w:val="00EF7F92"/>
    <w:rsid w:val="00F0001B"/>
    <w:rsid w:val="00F01B3E"/>
    <w:rsid w:val="00F02567"/>
    <w:rsid w:val="00F028DD"/>
    <w:rsid w:val="00F02B6C"/>
    <w:rsid w:val="00F0667C"/>
    <w:rsid w:val="00F10CFE"/>
    <w:rsid w:val="00F14E50"/>
    <w:rsid w:val="00F16850"/>
    <w:rsid w:val="00F172EC"/>
    <w:rsid w:val="00F2579A"/>
    <w:rsid w:val="00F264E5"/>
    <w:rsid w:val="00F2680D"/>
    <w:rsid w:val="00F30A52"/>
    <w:rsid w:val="00F33284"/>
    <w:rsid w:val="00F348D3"/>
    <w:rsid w:val="00F42506"/>
    <w:rsid w:val="00F458A1"/>
    <w:rsid w:val="00F4792A"/>
    <w:rsid w:val="00F51C68"/>
    <w:rsid w:val="00F748D9"/>
    <w:rsid w:val="00F754F3"/>
    <w:rsid w:val="00F775C5"/>
    <w:rsid w:val="00F815C2"/>
    <w:rsid w:val="00F87F0F"/>
    <w:rsid w:val="00FA74E1"/>
    <w:rsid w:val="00FB2A91"/>
    <w:rsid w:val="00FB65E4"/>
    <w:rsid w:val="00FB6873"/>
    <w:rsid w:val="00FB775C"/>
    <w:rsid w:val="00FD03E4"/>
    <w:rsid w:val="00FD0E19"/>
    <w:rsid w:val="00FD130E"/>
    <w:rsid w:val="00FD2C8D"/>
    <w:rsid w:val="00FE4249"/>
    <w:rsid w:val="00FE456A"/>
    <w:rsid w:val="00FE7FAA"/>
    <w:rsid w:val="00FF1061"/>
    <w:rsid w:val="00FF15CF"/>
    <w:rsid w:val="00FF272F"/>
    <w:rsid w:val="0BBE7F5D"/>
    <w:rsid w:val="0C433405"/>
    <w:rsid w:val="13D749A0"/>
    <w:rsid w:val="14A34882"/>
    <w:rsid w:val="25D80CAE"/>
    <w:rsid w:val="2C622E1D"/>
    <w:rsid w:val="358118D5"/>
    <w:rsid w:val="377C65F2"/>
    <w:rsid w:val="52D23FA9"/>
    <w:rsid w:val="5A0B6936"/>
    <w:rsid w:val="5DBB7B61"/>
    <w:rsid w:val="5EDD1391"/>
    <w:rsid w:val="600A6B30"/>
    <w:rsid w:val="60122812"/>
    <w:rsid w:val="602F1328"/>
    <w:rsid w:val="624D2976"/>
    <w:rsid w:val="7D3C673B"/>
    <w:rsid w:val="7EB7689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nhideWhenUsed="0" w:qFormat="1"/>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qFormat="1"/>
    <w:lsdException w:name="Body Text" w:semiHidden="0" w:uiPriority="0" w:unhideWhenUsed="0" w:qFormat="1"/>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qFormat="1"/>
    <w:lsdException w:name="Body Text First Indent" w:semiHidden="0" w:uiPriority="0" w:unhideWhenUsed="0" w:qFormat="1"/>
    <w:lsdException w:name="Body Text First Indent 2" w:semiHidden="0" w:uiPriority="0" w:qFormat="1"/>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qFormat="1"/>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1Char"/>
    <w:pPr>
      <w:keepNext/>
      <w:keepLines/>
      <w:spacing w:line="576" w:lineRule="auto"/>
      <w:outlineLvl w:val="0"/>
    </w:pPr>
    <w:rPr>
      <w:rFonts w:ascii="Calibri" w:hAnsi="Calibri"/>
      <w:b/>
      <w:kern w:val="44"/>
      <w:sz w:val="44"/>
    </w:rPr>
  </w:style>
  <w:style w:type="paragraph" w:styleId="Heading2">
    <w:name w:val="heading 2"/>
    <w:basedOn w:val="Normal"/>
    <w:next w:val="Normal"/>
    <w:link w:val="2Char"/>
    <w:unhideWhenUsed/>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unhideWhenUsed/>
    <w:qFormat/>
    <w:pPr>
      <w:keepNext/>
      <w:keepLines/>
      <w:spacing w:before="260" w:after="260" w:line="416" w:lineRule="auto"/>
      <w:outlineLvl w:val="2"/>
    </w:pPr>
    <w:rPr>
      <w:b/>
      <w:bCs/>
      <w:sz w:val="32"/>
      <w:szCs w:val="32"/>
    </w:rPr>
  </w:style>
  <w:style w:type="character" w:default="1" w:styleId="DefaultParagraphFont">
    <w:name w:val="Default Paragraph Font"/>
    <w:uiPriority w:val="1"/>
    <w:unhideWhenUsed/>
    <w:qFormat/>
  </w:style>
  <w:style w:type="table" w:default="1" w:styleId="TableNormal">
    <w:name w:val="Normal Table"/>
    <w:uiPriority w:val="99"/>
    <w:unhideWhenUsed/>
    <w:qFormat/>
    <w:tblPr>
      <w:tblInd w:w="0" w:type="dxa"/>
      <w:tblCellMar>
        <w:top w:w="0" w:type="dxa"/>
        <w:left w:w="108" w:type="dxa"/>
        <w:bottom w:w="0" w:type="dxa"/>
        <w:right w:w="108" w:type="dxa"/>
      </w:tblCellMar>
    </w:tblPr>
  </w:style>
  <w:style w:type="paragraph" w:styleId="NormalIndent">
    <w:name w:val="Normal Indent"/>
    <w:basedOn w:val="Normal"/>
    <w:qFormat/>
    <w:pPr>
      <w:ind w:firstLine="420" w:firstLineChars="200"/>
    </w:pPr>
    <w:rPr>
      <w:szCs w:val="21"/>
    </w:rPr>
  </w:style>
  <w:style w:type="paragraph" w:styleId="BodyText">
    <w:name w:val="Body Text"/>
    <w:basedOn w:val="Normal"/>
    <w:link w:val="Char"/>
    <w:qFormat/>
    <w:pPr>
      <w:jc w:val="center"/>
    </w:pPr>
    <w:rPr>
      <w:rFonts w:eastAsia="黑体"/>
      <w:sz w:val="36"/>
      <w:szCs w:val="20"/>
    </w:rPr>
  </w:style>
  <w:style w:type="paragraph" w:styleId="BodyTextIndent">
    <w:name w:val="Body Text Indent"/>
    <w:basedOn w:val="Normal"/>
    <w:link w:val="Char8"/>
    <w:qFormat/>
    <w:pPr>
      <w:spacing w:after="120"/>
      <w:ind w:left="420" w:leftChars="200"/>
    </w:pPr>
  </w:style>
  <w:style w:type="paragraph" w:styleId="PlainText">
    <w:name w:val="Plain Text"/>
    <w:basedOn w:val="Normal"/>
    <w:link w:val="Char0"/>
    <w:qFormat/>
    <w:rPr>
      <w:rFonts w:ascii="宋体" w:hAnsi="Courier New"/>
    </w:rPr>
  </w:style>
  <w:style w:type="paragraph" w:styleId="Date">
    <w:name w:val="Date"/>
    <w:basedOn w:val="Normal"/>
    <w:next w:val="Normal"/>
    <w:link w:val="Char2"/>
    <w:qFormat/>
    <w:pPr>
      <w:ind w:left="100" w:leftChars="2500"/>
    </w:pPr>
  </w:style>
  <w:style w:type="paragraph" w:styleId="BodyTextIndent2">
    <w:name w:val="Body Text Indent 2"/>
    <w:basedOn w:val="Normal"/>
    <w:link w:val="2Char0"/>
    <w:qFormat/>
    <w:pPr>
      <w:spacing w:after="120" w:line="480" w:lineRule="auto"/>
      <w:ind w:left="420" w:leftChars="200"/>
    </w:pPr>
  </w:style>
  <w:style w:type="paragraph" w:styleId="BalloonText">
    <w:name w:val="Balloon Text"/>
    <w:basedOn w:val="Normal"/>
    <w:link w:val="Char3"/>
    <w:qFormat/>
    <w:rPr>
      <w:sz w:val="18"/>
      <w:szCs w:val="18"/>
    </w:rPr>
  </w:style>
  <w:style w:type="paragraph" w:styleId="Footer">
    <w:name w:val="footer"/>
    <w:basedOn w:val="Normal"/>
    <w:link w:val="Char4"/>
    <w:qFormat/>
    <w:pPr>
      <w:tabs>
        <w:tab w:val="center" w:pos="4153"/>
        <w:tab w:val="right" w:pos="8306"/>
      </w:tabs>
      <w:snapToGrid w:val="0"/>
      <w:jc w:val="left"/>
    </w:pPr>
    <w:rPr>
      <w:sz w:val="18"/>
      <w:szCs w:val="18"/>
    </w:rPr>
  </w:style>
  <w:style w:type="paragraph" w:styleId="Header">
    <w:name w:val="header"/>
    <w:basedOn w:val="Normal"/>
    <w:link w:val="Char5"/>
    <w:qFormat/>
    <w:pPr>
      <w:pBdr>
        <w:bottom w:val="single" w:sz="6" w:space="1" w:color="auto"/>
      </w:pBdr>
      <w:tabs>
        <w:tab w:val="center" w:pos="4153"/>
        <w:tab w:val="right" w:pos="8306"/>
      </w:tabs>
      <w:snapToGrid w:val="0"/>
      <w:jc w:val="center"/>
    </w:pPr>
    <w:rPr>
      <w:sz w:val="18"/>
      <w:szCs w:val="18"/>
    </w:rPr>
  </w:style>
  <w:style w:type="paragraph" w:styleId="FootnoteText">
    <w:name w:val="footnote text"/>
    <w:basedOn w:val="Normal"/>
    <w:link w:val="Char6"/>
    <w:uiPriority w:val="99"/>
    <w:qFormat/>
    <w:pPr>
      <w:snapToGrid w:val="0"/>
      <w:jc w:val="left"/>
    </w:pPr>
    <w:rPr>
      <w:sz w:val="18"/>
      <w:szCs w:val="18"/>
    </w:rPr>
  </w:style>
  <w:style w:type="paragraph" w:styleId="NormalWeb">
    <w:name w:val="Normal (Web)"/>
    <w:basedOn w:val="Normal"/>
    <w:qFormat/>
    <w:pPr>
      <w:spacing w:beforeAutospacing="1" w:afterAutospacing="1"/>
      <w:jc w:val="left"/>
    </w:pPr>
    <w:rPr>
      <w:rFonts w:ascii="Calibri" w:hAnsi="Calibri"/>
      <w:kern w:val="0"/>
      <w:sz w:val="24"/>
    </w:rPr>
  </w:style>
  <w:style w:type="paragraph" w:styleId="BodyTextFirstIndent">
    <w:name w:val="Body Text First Indent"/>
    <w:basedOn w:val="BodyText"/>
    <w:link w:val="Char7"/>
    <w:qFormat/>
    <w:pPr>
      <w:spacing w:after="120"/>
      <w:ind w:firstLine="420" w:firstLineChars="100"/>
      <w:jc w:val="both"/>
    </w:pPr>
    <w:rPr>
      <w:rFonts w:eastAsia="宋体"/>
      <w:sz w:val="21"/>
      <w:szCs w:val="24"/>
    </w:rPr>
  </w:style>
  <w:style w:type="paragraph" w:styleId="BodyTextFirstIndent2">
    <w:name w:val="Body Text First Indent 2"/>
    <w:basedOn w:val="BodyTextIndent"/>
    <w:next w:val="BodyTextFirstIndent"/>
    <w:link w:val="2Char1"/>
    <w:unhideWhenUsed/>
    <w:qFormat/>
    <w:pPr>
      <w:ind w:firstLine="420" w:firstLineChars="200"/>
    </w:pPr>
    <w:rPr>
      <w:rFonts w:ascii="Calibri" w:hAnsi="Calibri"/>
      <w:szCs w:val="22"/>
    </w:rPr>
  </w:style>
  <w:style w:type="character" w:styleId="Strong">
    <w:name w:val="Strong"/>
    <w:basedOn w:val="DefaultParagraphFont"/>
    <w:qFormat/>
    <w:rPr>
      <w:b/>
      <w:bCs/>
    </w:rPr>
  </w:style>
  <w:style w:type="character" w:styleId="Hyperlink">
    <w:name w:val="Hyperlink"/>
    <w:basedOn w:val="DefaultParagraphFont"/>
    <w:qFormat/>
    <w:rPr>
      <w:color w:val="0000FF"/>
      <w:u w:val="single"/>
    </w:rPr>
  </w:style>
  <w:style w:type="character" w:customStyle="1" w:styleId="1Char">
    <w:name w:val="标题 1 Char"/>
    <w:basedOn w:val="DefaultParagraphFont"/>
    <w:link w:val="Heading1"/>
    <w:qFormat/>
    <w:rPr>
      <w:rFonts w:ascii="Calibri" w:eastAsia="宋体" w:hAnsi="Calibri" w:cs="Times New Roman"/>
      <w:b/>
      <w:kern w:val="44"/>
      <w:sz w:val="44"/>
      <w:szCs w:val="24"/>
    </w:rPr>
  </w:style>
  <w:style w:type="character" w:customStyle="1" w:styleId="2Char">
    <w:name w:val="标题 2 Char"/>
    <w:basedOn w:val="DefaultParagraphFont"/>
    <w:link w:val="Heading2"/>
    <w:semiHidden/>
    <w:qFormat/>
    <w:rPr>
      <w:rFonts w:ascii="Cambria" w:eastAsia="宋体" w:hAnsi="Cambria" w:cs="Times New Roman"/>
      <w:b/>
      <w:bCs/>
      <w:kern w:val="2"/>
      <w:sz w:val="32"/>
      <w:szCs w:val="32"/>
    </w:rPr>
  </w:style>
  <w:style w:type="character" w:customStyle="1" w:styleId="3Char">
    <w:name w:val="标题 3 Char"/>
    <w:basedOn w:val="DefaultParagraphFont"/>
    <w:link w:val="Heading3"/>
    <w:semiHidden/>
    <w:qFormat/>
    <w:rPr>
      <w:b/>
      <w:bCs/>
      <w:kern w:val="2"/>
      <w:sz w:val="32"/>
      <w:szCs w:val="32"/>
    </w:rPr>
  </w:style>
  <w:style w:type="character" w:customStyle="1" w:styleId="Char">
    <w:name w:val="正文文本 Char"/>
    <w:basedOn w:val="DefaultParagraphFont"/>
    <w:link w:val="BodyText"/>
    <w:qFormat/>
    <w:rPr>
      <w:rFonts w:eastAsia="黑体"/>
      <w:kern w:val="2"/>
      <w:sz w:val="36"/>
    </w:rPr>
  </w:style>
  <w:style w:type="character" w:customStyle="1" w:styleId="Char1">
    <w:name w:val="正文文本缩进 Char1"/>
    <w:basedOn w:val="DefaultParagraphFont"/>
    <w:link w:val="BodyTextIndent"/>
    <w:qFormat/>
    <w:rPr>
      <w:kern w:val="2"/>
      <w:sz w:val="21"/>
      <w:szCs w:val="24"/>
    </w:rPr>
  </w:style>
  <w:style w:type="character" w:customStyle="1" w:styleId="Char0">
    <w:name w:val="纯文本 Char"/>
    <w:basedOn w:val="DefaultParagraphFont"/>
    <w:link w:val="PlainText"/>
    <w:qFormat/>
    <w:rPr>
      <w:rFonts w:ascii="宋体" w:hAnsi="Courier New"/>
      <w:kern w:val="2"/>
      <w:sz w:val="21"/>
      <w:szCs w:val="24"/>
    </w:rPr>
  </w:style>
  <w:style w:type="character" w:customStyle="1" w:styleId="Char2">
    <w:name w:val="日期 Char"/>
    <w:basedOn w:val="DefaultParagraphFont"/>
    <w:link w:val="Date"/>
    <w:qFormat/>
    <w:rPr>
      <w:kern w:val="2"/>
      <w:sz w:val="21"/>
      <w:szCs w:val="24"/>
    </w:rPr>
  </w:style>
  <w:style w:type="character" w:customStyle="1" w:styleId="2Char0">
    <w:name w:val="正文文本缩进 2 Char"/>
    <w:basedOn w:val="DefaultParagraphFont"/>
    <w:link w:val="BodyTextIndent2"/>
    <w:qFormat/>
    <w:rPr>
      <w:kern w:val="2"/>
      <w:sz w:val="21"/>
      <w:szCs w:val="24"/>
    </w:rPr>
  </w:style>
  <w:style w:type="character" w:customStyle="1" w:styleId="Char3">
    <w:name w:val="批注框文本 Char"/>
    <w:basedOn w:val="DefaultParagraphFont"/>
    <w:link w:val="BalloonText"/>
    <w:qFormat/>
    <w:rPr>
      <w:kern w:val="2"/>
      <w:sz w:val="18"/>
      <w:szCs w:val="18"/>
    </w:rPr>
  </w:style>
  <w:style w:type="character" w:customStyle="1" w:styleId="Char4">
    <w:name w:val="页脚 Char"/>
    <w:basedOn w:val="DefaultParagraphFont"/>
    <w:link w:val="Footer"/>
    <w:uiPriority w:val="99"/>
    <w:qFormat/>
    <w:rPr>
      <w:kern w:val="2"/>
      <w:sz w:val="18"/>
      <w:szCs w:val="18"/>
    </w:rPr>
  </w:style>
  <w:style w:type="character" w:customStyle="1" w:styleId="Char5">
    <w:name w:val="页眉 Char"/>
    <w:basedOn w:val="DefaultParagraphFont"/>
    <w:link w:val="Header"/>
    <w:uiPriority w:val="99"/>
    <w:qFormat/>
    <w:rPr>
      <w:kern w:val="2"/>
      <w:sz w:val="18"/>
      <w:szCs w:val="18"/>
    </w:rPr>
  </w:style>
  <w:style w:type="character" w:customStyle="1" w:styleId="Char6">
    <w:name w:val="脚注文本 Char"/>
    <w:basedOn w:val="DefaultParagraphFont"/>
    <w:link w:val="FootnoteText"/>
    <w:uiPriority w:val="99"/>
    <w:qFormat/>
    <w:rPr>
      <w:kern w:val="2"/>
      <w:sz w:val="18"/>
      <w:szCs w:val="18"/>
    </w:rPr>
  </w:style>
  <w:style w:type="character" w:customStyle="1" w:styleId="Char7">
    <w:name w:val="正文首行缩进 Char"/>
    <w:basedOn w:val="Char"/>
    <w:link w:val="BodyTextFirstIndent"/>
    <w:qFormat/>
    <w:rPr>
      <w:sz w:val="21"/>
      <w:szCs w:val="24"/>
    </w:rPr>
  </w:style>
  <w:style w:type="character" w:customStyle="1" w:styleId="2Char1">
    <w:name w:val="正文首行缩进 2 Char"/>
    <w:basedOn w:val="Char8"/>
    <w:link w:val="BodyTextFirstIndent2"/>
    <w:uiPriority w:val="99"/>
    <w:qFormat/>
    <w:rPr>
      <w:rFonts w:ascii="Calibri" w:hAnsi="Calibri"/>
      <w:szCs w:val="22"/>
    </w:rPr>
  </w:style>
  <w:style w:type="character" w:customStyle="1" w:styleId="Char8">
    <w:name w:val="正文文本缩进 Char"/>
    <w:basedOn w:val="DefaultParagraphFont"/>
    <w:link w:val="BodyTextIndent"/>
    <w:qFormat/>
    <w:rPr>
      <w:kern w:val="2"/>
      <w:sz w:val="21"/>
      <w:szCs w:val="24"/>
    </w:rPr>
  </w:style>
  <w:style w:type="paragraph" w:customStyle="1" w:styleId="Heading20">
    <w:name w:val="Heading 2_0"/>
    <w:basedOn w:val="Normal"/>
    <w:uiPriority w:val="1"/>
    <w:qFormat/>
    <w:pPr>
      <w:jc w:val="left"/>
      <w:outlineLvl w:val="2"/>
    </w:pPr>
    <w:rPr>
      <w:rFonts w:ascii="宋体" w:hAnsi="宋体"/>
      <w:kern w:val="0"/>
      <w:sz w:val="31"/>
      <w:szCs w:val="31"/>
      <w:lang w:eastAsia="en-US"/>
    </w:rPr>
  </w:style>
  <w:style w:type="paragraph" w:customStyle="1" w:styleId="Heading10">
    <w:name w:val="Heading 1_0"/>
    <w:basedOn w:val="Normal"/>
    <w:uiPriority w:val="1"/>
    <w:qFormat/>
    <w:pPr>
      <w:spacing w:before="38"/>
      <w:ind w:left="118"/>
      <w:jc w:val="left"/>
      <w:outlineLvl w:val="1"/>
    </w:pPr>
    <w:rPr>
      <w:rFonts w:ascii="宋体" w:hAnsi="宋体"/>
      <w:kern w:val="0"/>
      <w:sz w:val="32"/>
      <w:szCs w:val="32"/>
      <w:lang w:eastAsia="en-US"/>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1"/>
    <w:uiPriority w:val="99"/>
    <w:unhideWhenUsed/>
    <w:qFormat/>
    <w:locked/>
    <w:rPr>
      <w:rFonts w:ascii="PMingLiU" w:eastAsia="PMingLiU"/>
      <w:sz w:val="30"/>
      <w:shd w:val="clear" w:color="auto" w:fill="FFFFFF"/>
    </w:rPr>
  </w:style>
  <w:style w:type="paragraph" w:customStyle="1" w:styleId="MSGENFONTSTYLENAMETEMPLATEROLENUMBERMSGENFONTSTYLENAMEBYROLETEXT21">
    <w:name w:val="MSG_EN_FONT_STYLE_NAME_TEMPLATE_ROLE_NUMBER MSG_EN_FONT_STYLE_NAME_BY_ROLE_TEXT 21"/>
    <w:basedOn w:val="Normal"/>
    <w:link w:val="MSGENFONTSTYLENAMETEMPLATEROLENUMBERMSGENFONTSTYLENAMEBYROLETEXT2"/>
    <w:uiPriority w:val="99"/>
    <w:unhideWhenUsed/>
    <w:qFormat/>
    <w:pPr>
      <w:shd w:val="clear" w:color="auto" w:fill="FFFFFF"/>
      <w:spacing w:before="560" w:after="280" w:line="300" w:lineRule="exact"/>
    </w:pPr>
    <w:rPr>
      <w:rFonts w:ascii="PMingLiU" w:eastAsia="PMingLiU" w:hint="eastAsia"/>
      <w:kern w:val="0"/>
      <w:sz w:val="30"/>
      <w:szCs w:val="20"/>
    </w:rPr>
  </w:style>
  <w:style w:type="character" w:customStyle="1" w:styleId="a">
    <w:name w:val="正文文本_"/>
    <w:basedOn w:val="DefaultParagraphFont"/>
    <w:link w:val="1"/>
    <w:qFormat/>
    <w:rPr>
      <w:rFonts w:ascii="Arial Unicode MS" w:eastAsia="Arial Unicode MS" w:hAnsi="Arial Unicode MS" w:cs="Arial Unicode MS"/>
      <w:sz w:val="30"/>
      <w:szCs w:val="30"/>
      <w:shd w:val="clear" w:color="auto" w:fill="FFFFFF"/>
    </w:rPr>
  </w:style>
  <w:style w:type="paragraph" w:customStyle="1" w:styleId="1">
    <w:name w:val="正文文本1"/>
    <w:basedOn w:val="Normal"/>
    <w:link w:val="a"/>
    <w:qFormat/>
    <w:pPr>
      <w:shd w:val="clear" w:color="auto" w:fill="FFFFFF"/>
      <w:spacing w:line="619" w:lineRule="exact"/>
      <w:ind w:hanging="1100"/>
      <w:jc w:val="left"/>
    </w:pPr>
    <w:rPr>
      <w:rFonts w:ascii="Arial Unicode MS" w:eastAsia="Arial Unicode MS" w:hAnsi="Arial Unicode MS" w:cs="Arial Unicode MS"/>
      <w:kern w:val="0"/>
      <w:sz w:val="30"/>
      <w:szCs w:val="30"/>
    </w:rPr>
  </w:style>
  <w:style w:type="character" w:customStyle="1" w:styleId="17pt">
    <w:name w:val="正文文本 + 17 pt"/>
    <w:basedOn w:val="a"/>
    <w:qFormat/>
    <w:rPr>
      <w:color w:val="000000"/>
      <w:spacing w:val="0"/>
      <w:w w:val="80"/>
      <w:position w:val="0"/>
      <w:sz w:val="34"/>
      <w:szCs w:val="34"/>
      <w:lang w:val="zh-CN"/>
    </w:rPr>
  </w:style>
  <w:style w:type="character" w:customStyle="1" w:styleId="17pt1">
    <w:name w:val="正文文本 + 17 pt1"/>
    <w:basedOn w:val="a"/>
    <w:qFormat/>
    <w:rPr>
      <w:color w:val="000000"/>
      <w:spacing w:val="0"/>
      <w:w w:val="80"/>
      <w:position w:val="0"/>
      <w:sz w:val="34"/>
      <w:szCs w:val="34"/>
      <w:lang w:val="zh-CN"/>
    </w:rPr>
  </w:style>
  <w:style w:type="character" w:customStyle="1" w:styleId="4">
    <w:name w:val="正文文本 (4)_"/>
    <w:basedOn w:val="DefaultParagraphFont"/>
    <w:link w:val="40"/>
    <w:qFormat/>
    <w:rPr>
      <w:rFonts w:ascii="Arial Unicode MS" w:eastAsia="Arial Unicode MS" w:hAnsi="Arial Unicode MS" w:cs="Arial Unicode MS"/>
      <w:sz w:val="30"/>
      <w:szCs w:val="30"/>
      <w:shd w:val="clear" w:color="auto" w:fill="FFFFFF"/>
    </w:rPr>
  </w:style>
  <w:style w:type="paragraph" w:customStyle="1" w:styleId="40">
    <w:name w:val="正文文本 (4)"/>
    <w:basedOn w:val="Normal"/>
    <w:link w:val="4"/>
    <w:qFormat/>
    <w:pPr>
      <w:shd w:val="clear" w:color="auto" w:fill="FFFFFF"/>
      <w:spacing w:line="619" w:lineRule="exact"/>
      <w:jc w:val="distribute"/>
    </w:pPr>
    <w:rPr>
      <w:rFonts w:ascii="Arial Unicode MS" w:eastAsia="Arial Unicode MS" w:hAnsi="Arial Unicode MS" w:cs="Arial Unicode MS"/>
      <w:kern w:val="0"/>
      <w:sz w:val="30"/>
      <w:szCs w:val="30"/>
    </w:rPr>
  </w:style>
  <w:style w:type="character" w:customStyle="1" w:styleId="80">
    <w:name w:val="正文文本 + 缩放 80%"/>
    <w:basedOn w:val="a"/>
    <w:qFormat/>
    <w:rPr>
      <w:color w:val="000000"/>
      <w:spacing w:val="0"/>
      <w:w w:val="80"/>
      <w:position w:val="0"/>
      <w:lang w:val="zh-CN"/>
    </w:rPr>
  </w:style>
  <w:style w:type="character" w:customStyle="1" w:styleId="9">
    <w:name w:val="正文文本 (9)_"/>
    <w:basedOn w:val="DefaultParagraphFont"/>
    <w:link w:val="90"/>
    <w:qFormat/>
    <w:rPr>
      <w:rFonts w:ascii="Arial Unicode MS" w:eastAsia="Arial Unicode MS" w:hAnsi="Arial Unicode MS" w:cs="Arial Unicode MS"/>
      <w:spacing w:val="20"/>
      <w:w w:val="80"/>
      <w:sz w:val="30"/>
      <w:szCs w:val="30"/>
      <w:shd w:val="clear" w:color="auto" w:fill="FFFFFF"/>
    </w:rPr>
  </w:style>
  <w:style w:type="paragraph" w:customStyle="1" w:styleId="90">
    <w:name w:val="正文文本 (9)"/>
    <w:basedOn w:val="Normal"/>
    <w:link w:val="9"/>
    <w:qFormat/>
    <w:pPr>
      <w:shd w:val="clear" w:color="auto" w:fill="FFFFFF"/>
      <w:spacing w:line="0" w:lineRule="atLeast"/>
      <w:jc w:val="left"/>
    </w:pPr>
    <w:rPr>
      <w:rFonts w:ascii="Arial Unicode MS" w:eastAsia="Arial Unicode MS" w:hAnsi="Arial Unicode MS" w:cs="Arial Unicode MS"/>
      <w:spacing w:val="20"/>
      <w:w w:val="80"/>
      <w:kern w:val="0"/>
      <w:sz w:val="30"/>
      <w:szCs w:val="30"/>
    </w:rPr>
  </w:style>
  <w:style w:type="character" w:customStyle="1" w:styleId="2">
    <w:name w:val="标题 #2_"/>
    <w:basedOn w:val="DefaultParagraphFont"/>
    <w:link w:val="20"/>
    <w:qFormat/>
    <w:rPr>
      <w:rFonts w:ascii="Arial Unicode MS" w:eastAsia="Arial Unicode MS" w:hAnsi="Arial Unicode MS" w:cs="Arial Unicode MS"/>
      <w:sz w:val="36"/>
      <w:szCs w:val="36"/>
      <w:shd w:val="clear" w:color="auto" w:fill="FFFFFF"/>
    </w:rPr>
  </w:style>
  <w:style w:type="paragraph" w:customStyle="1" w:styleId="20">
    <w:name w:val="标题 #2"/>
    <w:basedOn w:val="Normal"/>
    <w:link w:val="2"/>
    <w:qFormat/>
    <w:pPr>
      <w:shd w:val="clear" w:color="auto" w:fill="FFFFFF"/>
      <w:spacing w:after="420" w:line="0" w:lineRule="atLeast"/>
      <w:jc w:val="center"/>
      <w:outlineLvl w:val="1"/>
    </w:pPr>
    <w:rPr>
      <w:rFonts w:ascii="Arial Unicode MS" w:eastAsia="Arial Unicode MS" w:hAnsi="Arial Unicode MS" w:cs="Arial Unicode MS"/>
      <w:kern w:val="0"/>
      <w:sz w:val="36"/>
      <w:szCs w:val="36"/>
    </w:rPr>
  </w:style>
  <w:style w:type="character" w:customStyle="1" w:styleId="13">
    <w:name w:val="正文文本 (13)_"/>
    <w:basedOn w:val="DefaultParagraphFont"/>
    <w:link w:val="130"/>
    <w:qFormat/>
    <w:rPr>
      <w:rFonts w:ascii="Arial Unicode MS" w:eastAsia="Arial Unicode MS" w:hAnsi="Arial Unicode MS" w:cs="Arial Unicode MS"/>
      <w:sz w:val="28"/>
      <w:szCs w:val="28"/>
      <w:shd w:val="clear" w:color="auto" w:fill="FFFFFF"/>
    </w:rPr>
  </w:style>
  <w:style w:type="paragraph" w:customStyle="1" w:styleId="130">
    <w:name w:val="正文文本 (13)"/>
    <w:basedOn w:val="Normal"/>
    <w:link w:val="13"/>
    <w:qFormat/>
    <w:pPr>
      <w:shd w:val="clear" w:color="auto" w:fill="FFFFFF"/>
      <w:spacing w:after="360" w:line="0" w:lineRule="atLeast"/>
      <w:jc w:val="left"/>
    </w:pPr>
    <w:rPr>
      <w:rFonts w:ascii="Arial Unicode MS" w:eastAsia="Arial Unicode MS" w:hAnsi="Arial Unicode MS" w:cs="Arial Unicode MS"/>
      <w:kern w:val="0"/>
      <w:sz w:val="28"/>
      <w:szCs w:val="28"/>
    </w:rPr>
  </w:style>
  <w:style w:type="character" w:customStyle="1" w:styleId="10">
    <w:name w:val="标题 #1_"/>
    <w:basedOn w:val="DefaultParagraphFont"/>
    <w:link w:val="11"/>
    <w:qFormat/>
    <w:rPr>
      <w:rFonts w:ascii="Arial Unicode MS" w:eastAsia="Arial Unicode MS" w:hAnsi="Arial Unicode MS" w:cs="Arial Unicode MS"/>
      <w:sz w:val="46"/>
      <w:szCs w:val="46"/>
      <w:shd w:val="clear" w:color="auto" w:fill="FFFFFF"/>
    </w:rPr>
  </w:style>
  <w:style w:type="paragraph" w:customStyle="1" w:styleId="11">
    <w:name w:val="标题 #1"/>
    <w:basedOn w:val="Normal"/>
    <w:link w:val="10"/>
    <w:qFormat/>
    <w:pPr>
      <w:shd w:val="clear" w:color="auto" w:fill="FFFFFF"/>
      <w:spacing w:before="360" w:after="1020" w:line="946" w:lineRule="exact"/>
      <w:jc w:val="center"/>
      <w:outlineLvl w:val="0"/>
    </w:pPr>
    <w:rPr>
      <w:rFonts w:ascii="Arial Unicode MS" w:eastAsia="Arial Unicode MS" w:hAnsi="Arial Unicode MS" w:cs="Arial Unicode MS"/>
      <w:kern w:val="0"/>
      <w:sz w:val="46"/>
      <w:szCs w:val="46"/>
    </w:rPr>
  </w:style>
  <w:style w:type="character" w:customStyle="1" w:styleId="90pt1">
    <w:name w:val="正文文本 (9) + 间距 0 pt1"/>
    <w:basedOn w:val="9"/>
    <w:qFormat/>
    <w:rPr>
      <w:color w:val="000000"/>
      <w:spacing w:val="0"/>
      <w:w w:val="100"/>
      <w:position w:val="0"/>
      <w:lang w:val="zh-CN"/>
    </w:rPr>
  </w:style>
  <w:style w:type="character" w:customStyle="1" w:styleId="9100">
    <w:name w:val="正文文本 (9) + 缩放 100%"/>
    <w:basedOn w:val="9"/>
    <w:qFormat/>
    <w:rPr>
      <w:color w:val="000000"/>
      <w:w w:val="100"/>
      <w:position w:val="0"/>
      <w:lang w:val="zh-CN"/>
    </w:rPr>
  </w:style>
  <w:style w:type="character" w:customStyle="1" w:styleId="font11">
    <w:name w:val="font11"/>
    <w:basedOn w:val="DefaultParagraphFont"/>
    <w:qFormat/>
    <w:rPr>
      <w:rFonts w:ascii="仿宋_GB2312" w:eastAsia="仿宋_GB2312" w:cs="仿宋_GB2312" w:hint="eastAsia"/>
      <w:color w:val="000000"/>
      <w:sz w:val="32"/>
      <w:szCs w:val="32"/>
      <w:u w:val="none"/>
    </w:rPr>
  </w:style>
  <w:style w:type="character" w:customStyle="1" w:styleId="font41">
    <w:name w:val="font41"/>
    <w:basedOn w:val="DefaultParagraphFont"/>
    <w:qFormat/>
    <w:rPr>
      <w:rFonts w:ascii="宋体" w:eastAsia="宋体" w:hAnsi="宋体" w:cs="宋体" w:hint="eastAsia"/>
      <w:color w:val="000000"/>
      <w:sz w:val="32"/>
      <w:szCs w:val="32"/>
      <w:u w:val="none"/>
    </w:rPr>
  </w:style>
  <w:style w:type="paragraph" w:styleId="ListParagraph">
    <w:name w:val="List Paragraph"/>
    <w:basedOn w:val="Normal"/>
    <w:uiPriority w:val="34"/>
    <w:qFormat/>
    <w:pPr>
      <w:ind w:firstLine="420" w:firstLineChars="200"/>
    </w:pPr>
    <w:rPr>
      <w:rFonts w:ascii="Calibri" w:hAnsi="Calibri"/>
      <w:szCs w:val="22"/>
    </w:rPr>
  </w:style>
  <w:style w:type="paragraph" w:customStyle="1" w:styleId="paragraphtext-align-type-centerpap-line-28ptpap-line-rule-exactpap-spacing-before-0ptpap-spacing-after-0pt">
    <w:name w:val="paragraph text-align-type-center pap-line-28pt pap-line-rule-exact pap-spacing-before-0pt pap-spacing-after-0pt"/>
    <w:basedOn w:val="Normal"/>
    <w:qFormat/>
    <w:pPr>
      <w:widowControl/>
      <w:spacing w:before="100" w:beforeAutospacing="1" w:after="100" w:afterAutospacing="1"/>
      <w:jc w:val="left"/>
    </w:pPr>
    <w:rPr>
      <w:rFonts w:ascii="宋体" w:hAnsi="宋体" w:cs="宋体"/>
      <w:kern w:val="0"/>
      <w:sz w:val="24"/>
    </w:rPr>
  </w:style>
  <w:style w:type="paragraph" w:customStyle="1" w:styleId="paragraphtext-align-type-justifypap-line-28ptpap-line-rule-exactpap-spacing-before-0ptpap-spacing-after-0pt">
    <w:name w:val="paragraph text-align-type-justify pap-line-28pt pap-line-rule-exact pap-spacing-before-0pt pap-spacing-after-0pt"/>
    <w:basedOn w:val="Normal"/>
    <w:qFormat/>
    <w:pPr>
      <w:widowControl/>
      <w:spacing w:before="100" w:beforeAutospacing="1" w:after="100" w:afterAutospacing="1"/>
      <w:jc w:val="left"/>
    </w:pPr>
    <w:rPr>
      <w:rFonts w:ascii="宋体" w:hAnsi="宋体" w:cs="宋体"/>
      <w:kern w:val="0"/>
      <w:sz w:val="24"/>
    </w:rPr>
  </w:style>
  <w:style w:type="character" w:customStyle="1" w:styleId="NormalCharacter">
    <w:name w:val="NormalCharacter"/>
    <w:qFormat/>
  </w:style>
  <w:style w:type="paragraph" w:customStyle="1" w:styleId="ParaCharCharCharChar">
    <w:name w:val="默认段落字体 Para Char Char Char Char"/>
    <w:basedOn w:val="Normal"/>
    <w:qFormat/>
    <w:rPr>
      <w:szCs w:val="21"/>
    </w:rPr>
  </w:style>
  <w:style w:type="paragraph" w:customStyle="1" w:styleId="Default">
    <w:name w:val="Default"/>
    <w:uiPriority w:val="99"/>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character" w:customStyle="1" w:styleId="15">
    <w:name w:val="15"/>
    <w:basedOn w:val="DefaultParagraphFont"/>
    <w:qFormat/>
    <w:rPr>
      <w:rFonts w:ascii="Times New Roman" w:hAnsi="Times New Roman" w:cs="Times New Roman" w:hint="default"/>
    </w:rPr>
  </w:style>
  <w:style w:type="paragraph" w:customStyle="1" w:styleId="p0">
    <w:name w:val="p0"/>
    <w:basedOn w:val="Normal"/>
    <w:qFormat/>
    <w:rPr>
      <w:kern w:val="0"/>
      <w:szCs w:val="21"/>
    </w:rPr>
  </w:style>
  <w:style w:type="character" w:customStyle="1" w:styleId="16">
    <w:name w:val="16"/>
    <w:basedOn w:val="DefaultParagraphFont"/>
    <w:qFormat/>
    <w:rPr>
      <w:rFonts w:ascii="Times New Roman" w:eastAsia="楷体_GB2312" w:hAnsi="Times New Roman" w:cs="楷体_GB2312" w:hint="default"/>
      <w:sz w:val="32"/>
      <w:szCs w:val="32"/>
    </w:rPr>
  </w:style>
  <w:style w:type="paragraph" w:customStyle="1" w:styleId="a0">
    <w:name w:val="正文格式"/>
    <w:basedOn w:val="Normal"/>
    <w:qFormat/>
    <w:pPr>
      <w:tabs>
        <w:tab w:val="left" w:pos="992"/>
      </w:tabs>
      <w:ind w:firstLine="200" w:firstLineChars="200"/>
    </w:pPr>
    <w:rPr>
      <w:rFonts w:ascii="宋体" w:hAnsi="宋体"/>
    </w:rPr>
  </w:style>
  <w:style w:type="paragraph" w:customStyle="1" w:styleId="12">
    <w:name w:val="样式1"/>
    <w:basedOn w:val="Normal"/>
    <w:qFormat/>
    <w:pPr>
      <w:spacing w:line="560" w:lineRule="exact"/>
    </w:pPr>
    <w:rPr>
      <w:rFonts w:ascii="Calibri" w:eastAsia="仿宋_GB2312" w:hAnsi="Calibri"/>
      <w:sz w:val="32"/>
    </w:rPr>
  </w:style>
  <w:style w:type="paragraph" w:customStyle="1" w:styleId="NormalIndent0">
    <w:name w:val="NormalIndent"/>
    <w:qFormat/>
    <w:pPr>
      <w:ind w:firstLine="420" w:firstLineChars="200"/>
      <w:jc w:val="both"/>
      <w:textAlignment w:val="baseline"/>
    </w:pPr>
    <w:rPr>
      <w:rFonts w:ascii="Times New Roman" w:eastAsia="仿宋_GB2312" w:hAnsi="Times New Roman" w:cs="Times New Roman"/>
      <w:kern w:val="2"/>
      <w:sz w:val="32"/>
      <w:szCs w:val="32"/>
      <w:lang w:val="en-US" w:eastAsia="zh-CN" w:bidi="ar-SA"/>
    </w:rPr>
  </w:style>
  <w:style w:type="paragraph" w:customStyle="1" w:styleId="09922">
    <w:name w:val="样式 四号 首行缩进:  0.99 厘米 行距: 固定值 22 磅"/>
    <w:basedOn w:val="Normal"/>
    <w:qFormat/>
    <w:pPr>
      <w:spacing w:line="520" w:lineRule="exact"/>
      <w:ind w:firstLine="567"/>
    </w:pPr>
    <w:rPr>
      <w:rFonts w:ascii="Calibri" w:hAnsi="Calibri" w:cs="宋体"/>
      <w:szCs w:val="20"/>
    </w:rPr>
  </w:style>
  <w:style w:type="character" w:customStyle="1" w:styleId="bjh-p">
    <w:name w:val="bjh-p"/>
    <w:basedOn w:val="DefaultParagraphFont"/>
    <w:qFormat/>
  </w:style>
  <w:style w:type="paragraph" w:customStyle="1" w:styleId="Char9">
    <w:name w:val="普通(网站) Char"/>
    <w:basedOn w:val="Normal"/>
    <w:qFormat/>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0</TotalTime>
  <Pages>13</Pages>
  <Words>4333</Words>
  <Characters>4926</Characters>
  <Application>Microsoft Office Word</Application>
  <DocSecurity>0</DocSecurity>
  <Lines>89</Lines>
  <Paragraphs>25</Paragraphs>
  <ScaleCrop>false</ScaleCrop>
  <Company>china</Company>
  <LinksUpToDate>false</LinksUpToDate>
  <CharactersWithSpaces>5033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…夕颜…</cp:lastModifiedBy>
  <cp:revision>5</cp:revision>
  <cp:lastPrinted>2025-01-06T07:12:00Z</cp:lastPrinted>
  <dcterms:created xsi:type="dcterms:W3CDTF">2025-01-06T07:00:00Z</dcterms:created>
  <dcterms:modified xsi:type="dcterms:W3CDTF">2025-01-14T07:48:05Z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8307E1D9930C4CAA82C0327786BE8FE5_13</vt:lpwstr>
  </property>
  <property fmtid="{D5CDD505-2E9C-101B-9397-08002B2CF9AE}" pid="3" name="KSOProductBuildVer">
    <vt:lpwstr>2052-12.1.0.19770</vt:lpwstr>
  </property>
  <property fmtid="{D5CDD505-2E9C-101B-9397-08002B2CF9AE}" pid="4" name="KSOTemplateDocerSaveRecord">
    <vt:lpwstr>eyJoZGlkIjoiMGVmNDkyM2I2YTkzNTliMmM2MzZhMjgyZWQxNDM4OTQiLCJ1c2VySWQiOiIzMTc0NTAzOSJ9</vt:lpwstr>
  </property>
</Properties>
</file>