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widowControl/>
        <w:spacing w:beforeAutospacing="0" w:afterAutospacing="0" w:line="450" w:lineRule="atLeast"/>
        <w:jc w:val="center"/>
        <w:rPr>
          <w:rFonts w:ascii="方正小标宋简体" w:hAnsi="方正小标宋简体" w:eastAsia="方正小标宋简体" w:cs="方正小标宋简体"/>
          <w:color w:val="000000"/>
          <w:sz w:val="52"/>
          <w:szCs w:val="52"/>
          <w:shd w:val="clear" w:color="auto" w:fill="FFFFFF"/>
        </w:rPr>
      </w:pPr>
    </w:p>
    <w:p>
      <w:pPr>
        <w:pStyle w:val="4"/>
        <w:widowControl/>
        <w:spacing w:beforeAutospacing="0" w:afterAutospacing="0" w:line="450" w:lineRule="atLeast"/>
        <w:jc w:val="center"/>
        <w:rPr>
          <w:rFonts w:ascii="方正小标宋简体" w:hAnsi="方正小标宋简体" w:eastAsia="方正小标宋简体" w:cs="方正小标宋简体"/>
          <w:color w:val="000000"/>
          <w:sz w:val="52"/>
          <w:szCs w:val="52"/>
          <w:shd w:val="clear" w:color="auto" w:fill="FFFFFF"/>
        </w:rPr>
      </w:pPr>
    </w:p>
    <w:p>
      <w:pPr>
        <w:pStyle w:val="4"/>
        <w:widowControl/>
        <w:spacing w:beforeAutospacing="0" w:afterAutospacing="0" w:line="450" w:lineRule="atLeast"/>
        <w:jc w:val="center"/>
        <w:rPr>
          <w:rFonts w:ascii="方正小标宋简体" w:hAnsi="方正小标宋简体" w:eastAsia="方正小标宋简体" w:cs="方正小标宋简体"/>
          <w:color w:val="000000"/>
          <w:sz w:val="52"/>
          <w:szCs w:val="52"/>
          <w:shd w:val="clear" w:color="auto" w:fill="FFFFFF"/>
        </w:rPr>
      </w:pPr>
    </w:p>
    <w:p>
      <w:pPr>
        <w:pStyle w:val="4"/>
        <w:widowControl/>
        <w:spacing w:beforeAutospacing="0" w:afterAutospacing="0" w:line="450" w:lineRule="atLeast"/>
        <w:jc w:val="center"/>
        <w:rPr>
          <w:rFonts w:ascii="方正小标宋简体" w:hAnsi="方正小标宋简体" w:eastAsia="方正小标宋简体" w:cs="方正小标宋简体"/>
          <w:color w:val="000000"/>
          <w:sz w:val="52"/>
          <w:szCs w:val="52"/>
          <w:shd w:val="clear" w:color="auto" w:fill="FFFFFF"/>
        </w:rPr>
      </w:pPr>
    </w:p>
    <w:p>
      <w:pPr>
        <w:pStyle w:val="4"/>
        <w:widowControl/>
        <w:spacing w:beforeAutospacing="0" w:afterAutospacing="0" w:line="450" w:lineRule="atLeast"/>
        <w:jc w:val="center"/>
        <w:rPr>
          <w:rFonts w:ascii="微软雅黑" w:hAnsi="微软雅黑" w:eastAsia="微软雅黑" w:cs="微软雅黑"/>
        </w:rPr>
      </w:pPr>
      <w:r>
        <w:rPr>
          <w:rFonts w:ascii="方正小标宋简体" w:hAnsi="方正小标宋简体" w:eastAsia="方正小标宋简体" w:cs="方正小标宋简体"/>
          <w:color w:val="000000"/>
          <w:sz w:val="52"/>
          <w:szCs w:val="52"/>
          <w:shd w:val="clear" w:color="auto" w:fill="FFFFFF"/>
        </w:rPr>
        <w:t>事前绩效评估报告</w:t>
      </w:r>
    </w:p>
    <w:p>
      <w:pPr>
        <w:pStyle w:val="4"/>
        <w:widowControl/>
        <w:spacing w:beforeAutospacing="0" w:afterAutospacing="0" w:line="450" w:lineRule="atLeast"/>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 </w:t>
      </w:r>
    </w:p>
    <w:p>
      <w:pPr>
        <w:pStyle w:val="4"/>
        <w:widowControl/>
        <w:spacing w:beforeAutospacing="0" w:afterAutospacing="0" w:line="450" w:lineRule="atLeast"/>
        <w:jc w:val="both"/>
        <w:rPr>
          <w:rFonts w:ascii="微软雅黑_GB2312" w:hAnsi="微软雅黑_GB2312" w:eastAsia="微软雅黑_GB2312" w:cs="微软雅黑_GB2312"/>
          <w:color w:val="000000"/>
          <w:sz w:val="31"/>
          <w:szCs w:val="31"/>
          <w:shd w:val="clear" w:color="auto" w:fill="FFFFFF"/>
        </w:rPr>
      </w:pPr>
      <w:r>
        <w:rPr>
          <w:rFonts w:ascii="微软雅黑_GB2312" w:hAnsi="微软雅黑_GB2312" w:eastAsia="微软雅黑_GB2312" w:cs="微软雅黑_GB2312"/>
          <w:color w:val="000000"/>
          <w:sz w:val="31"/>
          <w:szCs w:val="31"/>
          <w:shd w:val="clear" w:color="auto" w:fill="FFFFFF"/>
        </w:rPr>
        <w:t> </w:t>
      </w:r>
    </w:p>
    <w:p>
      <w:pPr>
        <w:pStyle w:val="4"/>
        <w:widowControl/>
        <w:spacing w:beforeAutospacing="0" w:afterAutospacing="0" w:line="450" w:lineRule="atLeast"/>
        <w:jc w:val="both"/>
        <w:rPr>
          <w:rFonts w:ascii="微软雅黑_GB2312" w:hAnsi="微软雅黑_GB2312" w:eastAsia="微软雅黑_GB2312" w:cs="微软雅黑_GB2312"/>
          <w:color w:val="000000"/>
          <w:sz w:val="31"/>
          <w:szCs w:val="31"/>
          <w:shd w:val="clear" w:color="auto" w:fill="FFFFFF"/>
        </w:rPr>
      </w:pPr>
    </w:p>
    <w:p>
      <w:pPr>
        <w:pStyle w:val="4"/>
        <w:widowControl/>
        <w:spacing w:beforeAutospacing="0" w:afterAutospacing="0" w:line="450" w:lineRule="atLeast"/>
        <w:jc w:val="both"/>
        <w:rPr>
          <w:rFonts w:ascii="微软雅黑_GB2312" w:hAnsi="微软雅黑_GB2312" w:eastAsia="微软雅黑_GB2312" w:cs="微软雅黑_GB2312"/>
          <w:color w:val="000000"/>
          <w:sz w:val="31"/>
          <w:szCs w:val="31"/>
          <w:shd w:val="clear" w:color="auto" w:fill="FFFFFF"/>
        </w:rPr>
      </w:pPr>
    </w:p>
    <w:p>
      <w:pPr>
        <w:pStyle w:val="4"/>
        <w:widowControl/>
        <w:spacing w:beforeAutospacing="0" w:afterAutospacing="0" w:line="450" w:lineRule="atLeast"/>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 </w:t>
      </w:r>
    </w:p>
    <w:p>
      <w:pPr>
        <w:pStyle w:val="4"/>
        <w:widowControl/>
        <w:spacing w:beforeAutospacing="0" w:afterAutospacing="0" w:line="450" w:lineRule="atLeast"/>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 </w:t>
      </w:r>
    </w:p>
    <w:p>
      <w:pPr>
        <w:pStyle w:val="4"/>
        <w:widowControl/>
        <w:spacing w:beforeAutospacing="0" w:afterAutospacing="0" w:line="450" w:lineRule="atLeast"/>
        <w:jc w:val="both"/>
        <w:rPr>
          <w:rFonts w:ascii="微软雅黑_GB2312" w:hAnsi="微软雅黑_GB2312" w:eastAsia="微软雅黑_GB2312" w:cs="微软雅黑_GB2312"/>
          <w:color w:val="000000"/>
          <w:sz w:val="31"/>
          <w:szCs w:val="31"/>
          <w:shd w:val="clear" w:color="auto" w:fill="FFFFFF"/>
        </w:rPr>
      </w:pPr>
      <w:r>
        <w:rPr>
          <w:rFonts w:ascii="微软雅黑_GB2312" w:hAnsi="微软雅黑_GB2312" w:eastAsia="微软雅黑_GB2312" w:cs="微软雅黑_GB2312"/>
          <w:color w:val="000000"/>
          <w:sz w:val="31"/>
          <w:szCs w:val="31"/>
          <w:shd w:val="clear" w:color="auto" w:fill="FFFFFF"/>
        </w:rPr>
        <w:t>政策或项目名称：</w:t>
      </w:r>
      <w:r>
        <w:rPr>
          <w:rFonts w:hint="eastAsia" w:ascii="微软雅黑_GB2312" w:hAnsi="微软雅黑_GB2312" w:eastAsia="微软雅黑_GB2312" w:cs="微软雅黑_GB2312"/>
          <w:color w:val="000000"/>
          <w:sz w:val="31"/>
          <w:szCs w:val="31"/>
          <w:shd w:val="clear" w:color="auto" w:fill="FFFFFF"/>
        </w:rPr>
        <w:t>寿县征地拆迁事务所集体土地拆迁项目经费</w:t>
      </w:r>
    </w:p>
    <w:p>
      <w:pPr>
        <w:pStyle w:val="4"/>
        <w:widowControl/>
        <w:spacing w:beforeAutospacing="0" w:afterAutospacing="0" w:line="450" w:lineRule="atLeast"/>
        <w:jc w:val="both"/>
        <w:rPr>
          <w:rFonts w:ascii="微软雅黑_GB2312" w:hAnsi="微软雅黑_GB2312" w:eastAsia="微软雅黑_GB2312" w:cs="微软雅黑_GB2312"/>
          <w:color w:val="000000"/>
          <w:sz w:val="31"/>
          <w:szCs w:val="31"/>
          <w:shd w:val="clear" w:color="auto" w:fill="FFFFFF"/>
        </w:rPr>
      </w:pPr>
      <w:r>
        <w:rPr>
          <w:rFonts w:ascii="微软雅黑_GB2312" w:hAnsi="微软雅黑_GB2312" w:eastAsia="微软雅黑_GB2312" w:cs="微软雅黑_GB2312"/>
          <w:color w:val="000000"/>
          <w:sz w:val="31"/>
          <w:szCs w:val="31"/>
          <w:shd w:val="clear" w:color="auto" w:fill="FFFFFF"/>
        </w:rPr>
        <w:t>单位名称（章）：</w:t>
      </w:r>
      <w:r>
        <w:rPr>
          <w:rFonts w:hint="eastAsia" w:ascii="微软雅黑_GB2312" w:hAnsi="微软雅黑_GB2312" w:eastAsia="微软雅黑_GB2312" w:cs="微软雅黑_GB2312"/>
          <w:color w:val="000000"/>
          <w:sz w:val="31"/>
          <w:szCs w:val="31"/>
          <w:shd w:val="clear" w:color="auto" w:fill="FFFFFF"/>
        </w:rPr>
        <w:t>寿县自然资源和规划局</w:t>
      </w:r>
    </w:p>
    <w:p>
      <w:pPr>
        <w:pStyle w:val="4"/>
        <w:widowControl/>
        <w:spacing w:beforeAutospacing="0" w:afterAutospacing="0" w:line="450" w:lineRule="atLeast"/>
        <w:jc w:val="both"/>
        <w:rPr>
          <w:rFonts w:ascii="微软雅黑_GB2312" w:hAnsi="微软雅黑_GB2312" w:eastAsia="微软雅黑_GB2312" w:cs="微软雅黑_GB2312"/>
          <w:color w:val="000000"/>
          <w:sz w:val="31"/>
          <w:szCs w:val="31"/>
          <w:shd w:val="clear" w:color="auto" w:fill="FFFFFF"/>
        </w:rPr>
      </w:pPr>
      <w:r>
        <w:rPr>
          <w:rFonts w:ascii="微软雅黑_GB2312" w:hAnsi="微软雅黑_GB2312" w:eastAsia="微软雅黑_GB2312" w:cs="微软雅黑_GB2312"/>
          <w:color w:val="000000"/>
          <w:sz w:val="31"/>
          <w:szCs w:val="31"/>
          <w:shd w:val="clear" w:color="auto" w:fill="FFFFFF"/>
        </w:rPr>
        <w:t>主管部门：</w:t>
      </w:r>
      <w:r>
        <w:rPr>
          <w:rFonts w:hint="eastAsia" w:ascii="微软雅黑_GB2312" w:hAnsi="微软雅黑_GB2312" w:eastAsia="微软雅黑_GB2312" w:cs="微软雅黑_GB2312"/>
          <w:color w:val="000000"/>
          <w:sz w:val="31"/>
          <w:szCs w:val="31"/>
          <w:shd w:val="clear" w:color="auto" w:fill="FFFFFF"/>
        </w:rPr>
        <w:t>寿县自然资源和规划局</w:t>
      </w:r>
    </w:p>
    <w:p>
      <w:pPr>
        <w:pStyle w:val="4"/>
        <w:widowControl/>
        <w:spacing w:beforeAutospacing="0" w:afterAutospacing="0" w:line="450" w:lineRule="atLeast"/>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评估组/评估机构（章）：</w:t>
      </w:r>
    </w:p>
    <w:p>
      <w:pPr>
        <w:pStyle w:val="4"/>
        <w:widowControl/>
        <w:spacing w:beforeAutospacing="0" w:afterAutospacing="0" w:line="450" w:lineRule="atLeast"/>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评估日期：20</w:t>
      </w:r>
      <w:r>
        <w:rPr>
          <w:rFonts w:hint="eastAsia" w:ascii="微软雅黑_GB2312" w:hAnsi="微软雅黑_GB2312" w:eastAsia="微软雅黑_GB2312" w:cs="微软雅黑_GB2312"/>
          <w:color w:val="000000"/>
          <w:sz w:val="31"/>
          <w:szCs w:val="31"/>
          <w:shd w:val="clear" w:color="auto" w:fill="FFFFFF"/>
        </w:rPr>
        <w:t>2</w:t>
      </w:r>
      <w:r>
        <w:rPr>
          <w:rFonts w:hint="eastAsia" w:ascii="微软雅黑_GB2312" w:hAnsi="微软雅黑_GB2312" w:eastAsia="微软雅黑_GB2312" w:cs="微软雅黑_GB2312"/>
          <w:color w:val="000000"/>
          <w:sz w:val="31"/>
          <w:szCs w:val="31"/>
          <w:shd w:val="clear" w:color="auto" w:fill="FFFFFF"/>
          <w:lang w:val="en-US" w:eastAsia="zh-CN"/>
        </w:rPr>
        <w:t>1</w:t>
      </w:r>
      <w:bookmarkStart w:id="0" w:name="_GoBack"/>
      <w:bookmarkEnd w:id="0"/>
      <w:r>
        <w:rPr>
          <w:rFonts w:ascii="微软雅黑_GB2312" w:hAnsi="微软雅黑_GB2312" w:eastAsia="微软雅黑_GB2312" w:cs="微软雅黑_GB2312"/>
          <w:color w:val="000000"/>
          <w:sz w:val="31"/>
          <w:szCs w:val="31"/>
          <w:shd w:val="clear" w:color="auto" w:fill="FFFFFF"/>
        </w:rPr>
        <w:t>年</w:t>
      </w:r>
      <w:r>
        <w:rPr>
          <w:rFonts w:hint="eastAsia" w:ascii="微软雅黑_GB2312" w:hAnsi="微软雅黑_GB2312" w:eastAsia="微软雅黑_GB2312" w:cs="微软雅黑_GB2312"/>
          <w:color w:val="000000"/>
          <w:sz w:val="31"/>
          <w:szCs w:val="31"/>
          <w:shd w:val="clear" w:color="auto" w:fill="FFFFFF"/>
        </w:rPr>
        <w:t>10</w:t>
      </w:r>
      <w:r>
        <w:rPr>
          <w:rFonts w:ascii="微软雅黑_GB2312" w:hAnsi="微软雅黑_GB2312" w:eastAsia="微软雅黑_GB2312" w:cs="微软雅黑_GB2312"/>
          <w:color w:val="000000"/>
          <w:sz w:val="31"/>
          <w:szCs w:val="31"/>
          <w:shd w:val="clear" w:color="auto" w:fill="FFFFFF"/>
        </w:rPr>
        <w:t>月</w:t>
      </w:r>
    </w:p>
    <w:p>
      <w:pPr>
        <w:pStyle w:val="4"/>
        <w:widowControl/>
        <w:spacing w:beforeAutospacing="0" w:afterAutospacing="0" w:line="450" w:lineRule="atLeast"/>
        <w:jc w:val="both"/>
        <w:rPr>
          <w:rFonts w:ascii="微软雅黑_GB2312" w:hAnsi="微软雅黑_GB2312" w:eastAsia="微软雅黑_GB2312" w:cs="微软雅黑_GB2312"/>
          <w:color w:val="000000"/>
          <w:sz w:val="31"/>
          <w:szCs w:val="31"/>
          <w:shd w:val="clear" w:color="auto" w:fill="FFFFFF"/>
        </w:rPr>
      </w:pPr>
      <w:r>
        <w:rPr>
          <w:rFonts w:ascii="微软雅黑_GB2312" w:hAnsi="微软雅黑_GB2312" w:eastAsia="微软雅黑_GB2312" w:cs="微软雅黑_GB2312"/>
          <w:color w:val="000000"/>
          <w:sz w:val="31"/>
          <w:szCs w:val="31"/>
          <w:shd w:val="clear" w:color="auto" w:fill="FFFFFF"/>
        </w:rPr>
        <w:t> </w:t>
      </w:r>
    </w:p>
    <w:p>
      <w:pPr>
        <w:pStyle w:val="4"/>
        <w:widowControl/>
        <w:spacing w:beforeAutospacing="0" w:afterAutospacing="0" w:line="450" w:lineRule="atLeast"/>
        <w:jc w:val="both"/>
        <w:rPr>
          <w:rFonts w:ascii="微软雅黑_GB2312" w:hAnsi="微软雅黑_GB2312" w:eastAsia="微软雅黑_GB2312" w:cs="微软雅黑_GB2312"/>
          <w:color w:val="000000"/>
          <w:sz w:val="31"/>
          <w:szCs w:val="31"/>
          <w:shd w:val="clear" w:color="auto" w:fill="FFFFFF"/>
        </w:rPr>
      </w:pPr>
    </w:p>
    <w:p>
      <w:pPr>
        <w:pStyle w:val="4"/>
        <w:widowControl/>
        <w:spacing w:beforeAutospacing="0" w:afterAutospacing="0" w:line="450" w:lineRule="atLeast"/>
        <w:jc w:val="both"/>
        <w:rPr>
          <w:rFonts w:ascii="微软雅黑_GB2312" w:hAnsi="微软雅黑_GB2312" w:eastAsia="微软雅黑_GB2312" w:cs="微软雅黑_GB2312"/>
          <w:color w:val="000000"/>
          <w:sz w:val="31"/>
          <w:szCs w:val="31"/>
          <w:shd w:val="clear" w:color="auto" w:fill="FFFFFF"/>
        </w:rPr>
      </w:pPr>
    </w:p>
    <w:p>
      <w:pPr>
        <w:pStyle w:val="4"/>
        <w:widowControl/>
        <w:spacing w:beforeAutospacing="0" w:afterAutospacing="0" w:line="450" w:lineRule="atLeast"/>
        <w:jc w:val="both"/>
        <w:rPr>
          <w:rFonts w:ascii="微软雅黑" w:hAnsi="微软雅黑" w:eastAsia="微软雅黑" w:cs="微软雅黑"/>
        </w:rPr>
      </w:pPr>
    </w:p>
    <w:p>
      <w:pPr>
        <w:pStyle w:val="4"/>
        <w:widowControl/>
        <w:spacing w:beforeAutospacing="0" w:afterAutospacing="0" w:line="450" w:lineRule="atLeast"/>
        <w:jc w:val="center"/>
        <w:rPr>
          <w:rFonts w:ascii="微软雅黑" w:hAnsi="微软雅黑" w:eastAsia="微软雅黑" w:cs="微软雅黑"/>
        </w:rPr>
      </w:pPr>
      <w:r>
        <w:rPr>
          <w:rStyle w:val="7"/>
          <w:rFonts w:hint="eastAsia" w:ascii="微软雅黑" w:hAnsi="微软雅黑" w:eastAsia="微软雅黑" w:cs="微软雅黑"/>
          <w:color w:val="000000"/>
          <w:sz w:val="43"/>
          <w:szCs w:val="43"/>
          <w:shd w:val="clear" w:color="auto" w:fill="FFFFFF"/>
        </w:rPr>
        <w:t>事前绩效评估报告</w:t>
      </w:r>
    </w:p>
    <w:p>
      <w:pPr>
        <w:pStyle w:val="4"/>
        <w:widowControl/>
        <w:spacing w:beforeAutospacing="0" w:afterAutospacing="0" w:line="450" w:lineRule="atLeast"/>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 </w:t>
      </w:r>
    </w:p>
    <w:p>
      <w:pPr>
        <w:pStyle w:val="4"/>
        <w:widowControl/>
        <w:spacing w:beforeAutospacing="0" w:afterAutospacing="0" w:line="555" w:lineRule="atLeast"/>
        <w:ind w:firstLine="645"/>
        <w:jc w:val="both"/>
        <w:rPr>
          <w:rFonts w:ascii="微软雅黑" w:hAnsi="微软雅黑" w:eastAsia="微软雅黑" w:cs="微软雅黑"/>
        </w:rPr>
      </w:pPr>
      <w:r>
        <w:rPr>
          <w:rFonts w:ascii="黑体" w:hAnsi="宋体" w:eastAsia="黑体" w:cs="黑体"/>
          <w:color w:val="000000"/>
          <w:sz w:val="31"/>
          <w:szCs w:val="31"/>
          <w:shd w:val="clear" w:color="auto" w:fill="FFFFFF"/>
        </w:rPr>
        <w:t>一、评估对象</w:t>
      </w:r>
    </w:p>
    <w:p>
      <w:pPr>
        <w:pStyle w:val="4"/>
        <w:widowControl/>
        <w:spacing w:beforeAutospacing="0" w:afterAutospacing="0" w:line="555" w:lineRule="atLeast"/>
        <w:ind w:firstLine="645"/>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（一）政策或项目名称。</w:t>
      </w:r>
    </w:p>
    <w:p>
      <w:pPr>
        <w:pStyle w:val="4"/>
        <w:widowControl/>
        <w:spacing w:beforeAutospacing="0" w:afterAutospacing="0" w:line="555" w:lineRule="atLeast"/>
        <w:ind w:firstLine="645"/>
        <w:jc w:val="both"/>
        <w:rPr>
          <w:rFonts w:hint="eastAsia" w:ascii="微软雅黑_GB2312" w:hAnsi="微软雅黑_GB2312" w:eastAsia="微软雅黑_GB2312" w:cs="微软雅黑_GB2312"/>
          <w:color w:val="000000"/>
          <w:sz w:val="31"/>
          <w:szCs w:val="31"/>
          <w:shd w:val="clear" w:color="auto" w:fill="FFFFFF"/>
        </w:rPr>
      </w:pPr>
      <w:r>
        <w:rPr>
          <w:rFonts w:hint="eastAsia" w:ascii="微软雅黑_GB2312" w:hAnsi="微软雅黑_GB2312" w:eastAsia="微软雅黑_GB2312" w:cs="微软雅黑_GB2312"/>
          <w:color w:val="000000"/>
          <w:sz w:val="31"/>
          <w:szCs w:val="31"/>
          <w:shd w:val="clear" w:color="auto" w:fill="FFFFFF"/>
        </w:rPr>
        <w:t>寿县征地拆迁事务所集体土地拆迁项目经费</w:t>
      </w:r>
    </w:p>
    <w:p>
      <w:pPr>
        <w:pStyle w:val="4"/>
        <w:widowControl/>
        <w:spacing w:beforeAutospacing="0" w:afterAutospacing="0" w:line="555" w:lineRule="atLeast"/>
        <w:ind w:firstLine="645"/>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（二）政策或项目绩效目标。</w:t>
      </w:r>
    </w:p>
    <w:p>
      <w:pPr>
        <w:pStyle w:val="4"/>
        <w:widowControl/>
        <w:spacing w:beforeAutospacing="0" w:afterAutospacing="0" w:line="450" w:lineRule="atLeast"/>
        <w:ind w:firstLine="645"/>
        <w:jc w:val="both"/>
        <w:rPr>
          <w:rFonts w:ascii="微软雅黑" w:hAnsi="微软雅黑" w:eastAsia="微软雅黑" w:cs="微软雅黑"/>
        </w:rPr>
      </w:pPr>
      <w:r>
        <w:rPr>
          <w:rFonts w:hint="eastAsia" w:ascii="微软雅黑" w:hAnsi="微软雅黑" w:eastAsia="微软雅黑" w:cs="微软雅黑"/>
          <w:color w:val="000000"/>
          <w:sz w:val="31"/>
          <w:szCs w:val="31"/>
          <w:shd w:val="clear" w:color="auto" w:fill="FFFFFF"/>
        </w:rPr>
        <w:t>城市的发展，就必须要搞建设，要建设就必然会征迁，为确保征迁工作顺利开展，按照我县有关文件精神，将集体土地征迁工作纳入重要议事日程，未雨绸缪，统筹规划，科学安排。尤其要做好征迁项目经费的年度预算编制与申请工作，积极协调各有关部门，确保经费、机构、人员、办公条件落到实处，确保集体土地上的征迁工作有序开展。</w:t>
      </w:r>
    </w:p>
    <w:p>
      <w:pPr>
        <w:pStyle w:val="4"/>
        <w:widowControl/>
        <w:spacing w:beforeAutospacing="0" w:afterAutospacing="0" w:line="555" w:lineRule="atLeast"/>
        <w:ind w:firstLine="645"/>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（三）政策或项目资金构成。</w:t>
      </w:r>
    </w:p>
    <w:p>
      <w:pPr>
        <w:pStyle w:val="4"/>
        <w:widowControl/>
        <w:spacing w:beforeAutospacing="0" w:afterAutospacing="0" w:line="555" w:lineRule="atLeast"/>
        <w:ind w:firstLine="645"/>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  </w:t>
      </w:r>
      <w:r>
        <w:rPr>
          <w:rFonts w:hint="eastAsia" w:ascii="微软雅黑_GB2312" w:hAnsi="微软雅黑_GB2312" w:eastAsia="微软雅黑_GB2312" w:cs="微软雅黑_GB2312"/>
          <w:color w:val="000000"/>
          <w:sz w:val="31"/>
          <w:szCs w:val="31"/>
          <w:shd w:val="clear" w:color="auto" w:fill="FFFFFF"/>
        </w:rPr>
        <w:t>集体土地拆迁项目</w:t>
      </w:r>
      <w:r>
        <w:rPr>
          <w:rFonts w:ascii="微软雅黑_GB2312" w:hAnsi="微软雅黑_GB2312" w:eastAsia="微软雅黑_GB2312" w:cs="微软雅黑_GB2312"/>
          <w:color w:val="000000"/>
          <w:sz w:val="31"/>
          <w:szCs w:val="31"/>
          <w:shd w:val="clear" w:color="auto" w:fill="FFFFFF"/>
        </w:rPr>
        <w:t>经费</w:t>
      </w:r>
      <w:r>
        <w:rPr>
          <w:rFonts w:hint="eastAsia" w:ascii="微软雅黑" w:hAnsi="微软雅黑" w:eastAsia="微软雅黑" w:cs="微软雅黑"/>
          <w:color w:val="000000"/>
          <w:sz w:val="31"/>
          <w:szCs w:val="31"/>
          <w:shd w:val="clear" w:color="auto" w:fill="FFFFFF"/>
        </w:rPr>
        <w:t>预算共计17300万元，其中拆迁安置补偿支出费用16000万元，拆迁户购房安置补贴支出费用800万元，超过度期支出费用300万元，安置房结算找补款 200万元。</w:t>
      </w:r>
    </w:p>
    <w:p>
      <w:pPr>
        <w:pStyle w:val="4"/>
        <w:widowControl/>
        <w:spacing w:beforeAutospacing="0" w:afterAutospacing="0" w:line="555" w:lineRule="atLeast"/>
        <w:ind w:firstLine="645"/>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（四）政策或项目概况。</w:t>
      </w:r>
    </w:p>
    <w:p>
      <w:pPr>
        <w:widowControl/>
        <w:spacing w:line="540" w:lineRule="exact"/>
        <w:ind w:firstLine="620" w:firstLineChars="200"/>
        <w:jc w:val="left"/>
        <w:rPr>
          <w:rFonts w:ascii="仿宋_GB2312" w:hAnsi="宋体" w:eastAsia="仿宋_GB2312" w:cs="仿宋_GB2312"/>
          <w:sz w:val="32"/>
          <w:szCs w:val="32"/>
        </w:rPr>
      </w:pPr>
      <w:r>
        <w:rPr>
          <w:rFonts w:hint="eastAsia" w:ascii="微软雅黑" w:hAnsi="微软雅黑" w:eastAsia="微软雅黑" w:cs="微软雅黑"/>
          <w:color w:val="000000"/>
          <w:sz w:val="31"/>
          <w:szCs w:val="31"/>
          <w:shd w:val="clear" w:color="auto" w:fill="FFFFFF"/>
        </w:rPr>
        <w:t>近年来，面对新的机遇，我县新城区内的民生设施，北部园内区的招商引资，老城区内的旅游景点修复等重点工程，频频开工建设，为全力保障上述工程顺利施工，需对建设项目中的地上附着物进行拆除，并提前测算征迁所需经费。针对征迁工作，我局高度重视，采取健全管理制度、充实工作人员、运用宣传手段，高服务质量等方式，顺利实施征迁项目，对城市建设提供了有力保障。征迁工作能否顺利开展实施，需大量人员、物力支持。</w:t>
      </w:r>
    </w:p>
    <w:p>
      <w:pPr>
        <w:pStyle w:val="4"/>
        <w:widowControl/>
        <w:spacing w:beforeAutospacing="0" w:afterAutospacing="0" w:line="555" w:lineRule="atLeast"/>
        <w:ind w:firstLine="645"/>
        <w:jc w:val="both"/>
        <w:rPr>
          <w:rFonts w:ascii="微软雅黑" w:hAnsi="微软雅黑" w:eastAsia="微软雅黑" w:cs="微软雅黑"/>
        </w:rPr>
      </w:pPr>
      <w:r>
        <w:rPr>
          <w:rFonts w:hint="eastAsia" w:ascii="黑体" w:hAnsi="宋体" w:eastAsia="黑体" w:cs="黑体"/>
          <w:color w:val="000000"/>
          <w:sz w:val="31"/>
          <w:szCs w:val="31"/>
          <w:shd w:val="clear" w:color="auto" w:fill="FFFFFF"/>
        </w:rPr>
        <w:t>二、事前绩效评估的基本情况</w:t>
      </w:r>
    </w:p>
    <w:p>
      <w:pPr>
        <w:pStyle w:val="4"/>
        <w:widowControl/>
        <w:spacing w:beforeAutospacing="0" w:afterAutospacing="0" w:line="555" w:lineRule="atLeast"/>
        <w:ind w:firstLine="645"/>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（一）评估程序。</w:t>
      </w:r>
    </w:p>
    <w:p>
      <w:pPr>
        <w:pStyle w:val="4"/>
        <w:widowControl/>
        <w:spacing w:beforeAutospacing="0" w:afterAutospacing="0" w:line="585" w:lineRule="atLeast"/>
        <w:ind w:firstLine="645"/>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1、确定评估对象。</w:t>
      </w:r>
    </w:p>
    <w:p>
      <w:pPr>
        <w:pStyle w:val="4"/>
        <w:widowControl/>
        <w:spacing w:beforeAutospacing="0" w:afterAutospacing="0" w:line="555" w:lineRule="atLeast"/>
        <w:ind w:firstLine="645"/>
        <w:jc w:val="both"/>
        <w:rPr>
          <w:rFonts w:ascii="微软雅黑_GB2312" w:hAnsi="微软雅黑_GB2312" w:eastAsia="微软雅黑_GB2312" w:cs="微软雅黑_GB2312"/>
          <w:color w:val="000000"/>
          <w:sz w:val="31"/>
          <w:szCs w:val="31"/>
          <w:shd w:val="clear" w:color="auto" w:fill="FFFFFF"/>
        </w:rPr>
      </w:pPr>
      <w:r>
        <w:rPr>
          <w:rFonts w:hint="eastAsia" w:ascii="微软雅黑_GB2312" w:hAnsi="微软雅黑_GB2312" w:eastAsia="微软雅黑_GB2312" w:cs="微软雅黑_GB2312"/>
          <w:color w:val="000000"/>
          <w:sz w:val="31"/>
          <w:szCs w:val="31"/>
          <w:shd w:val="clear" w:color="auto" w:fill="FFFFFF"/>
        </w:rPr>
        <w:t>执法监察工作经费</w:t>
      </w:r>
    </w:p>
    <w:p>
      <w:pPr>
        <w:pStyle w:val="4"/>
        <w:widowControl/>
        <w:spacing w:beforeAutospacing="0" w:afterAutospacing="0" w:line="585" w:lineRule="atLeast"/>
        <w:ind w:firstLine="645"/>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2、成立评估组织。</w:t>
      </w:r>
    </w:p>
    <w:p>
      <w:pPr>
        <w:pStyle w:val="4"/>
        <w:widowControl/>
        <w:spacing w:beforeAutospacing="0" w:afterAutospacing="0" w:line="585" w:lineRule="atLeast"/>
        <w:ind w:firstLine="645"/>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应成立评估组。评估组成员：局领导、分管业务副局长、</w:t>
      </w:r>
      <w:r>
        <w:rPr>
          <w:rFonts w:hint="eastAsia" w:ascii="微软雅黑_GB2312" w:hAnsi="微软雅黑_GB2312" w:eastAsia="微软雅黑_GB2312" w:cs="微软雅黑_GB2312"/>
          <w:color w:val="000000"/>
          <w:sz w:val="31"/>
          <w:szCs w:val="31"/>
          <w:shd w:val="clear" w:color="auto" w:fill="FFFFFF"/>
        </w:rPr>
        <w:t>相关业务股室负责人、</w:t>
      </w:r>
      <w:r>
        <w:rPr>
          <w:rFonts w:ascii="微软雅黑_GB2312" w:hAnsi="微软雅黑_GB2312" w:eastAsia="微软雅黑_GB2312" w:cs="微软雅黑_GB2312"/>
          <w:color w:val="000000"/>
          <w:sz w:val="31"/>
          <w:szCs w:val="31"/>
          <w:shd w:val="clear" w:color="auto" w:fill="FFFFFF"/>
        </w:rPr>
        <w:t>业务人员</w:t>
      </w:r>
      <w:r>
        <w:rPr>
          <w:rFonts w:hint="eastAsia" w:ascii="微软雅黑_GB2312" w:hAnsi="微软雅黑_GB2312" w:eastAsia="微软雅黑_GB2312" w:cs="微软雅黑_GB2312"/>
          <w:color w:val="000000"/>
          <w:sz w:val="31"/>
          <w:szCs w:val="31"/>
          <w:shd w:val="clear" w:color="auto" w:fill="FFFFFF"/>
        </w:rPr>
        <w:t>、预算绩效领导小组办公室成员</w:t>
      </w:r>
      <w:r>
        <w:rPr>
          <w:rFonts w:ascii="微软雅黑_GB2312" w:hAnsi="微软雅黑_GB2312" w:eastAsia="微软雅黑_GB2312" w:cs="微软雅黑_GB2312"/>
          <w:color w:val="000000"/>
          <w:sz w:val="31"/>
          <w:szCs w:val="31"/>
          <w:shd w:val="clear" w:color="auto" w:fill="FFFFFF"/>
        </w:rPr>
        <w:t>。</w:t>
      </w:r>
    </w:p>
    <w:p>
      <w:pPr>
        <w:pStyle w:val="4"/>
        <w:widowControl/>
        <w:spacing w:beforeAutospacing="0" w:afterAutospacing="0" w:line="585" w:lineRule="atLeast"/>
        <w:ind w:firstLine="645"/>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3、制定评估方案。按照评估对象概况、评估依据和目的、评估组织和方法、评估内容与重点、必要的评估指标与标准、评估人员、评估时间及要求等制定评估方案。</w:t>
      </w:r>
    </w:p>
    <w:p>
      <w:pPr>
        <w:pStyle w:val="4"/>
        <w:widowControl/>
        <w:spacing w:beforeAutospacing="0" w:afterAutospacing="0" w:line="555" w:lineRule="atLeast"/>
        <w:ind w:firstLine="645"/>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（二）评估思路。</w:t>
      </w:r>
    </w:p>
    <w:p>
      <w:pPr>
        <w:pStyle w:val="4"/>
        <w:widowControl/>
        <w:spacing w:beforeAutospacing="0" w:afterAutospacing="0" w:line="585" w:lineRule="atLeast"/>
        <w:ind w:firstLine="645"/>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1预算部门组织实施的事前评估：</w:t>
      </w:r>
      <w:r>
        <w:rPr>
          <w:rFonts w:hint="eastAsia" w:ascii="微软雅黑_GB2312" w:hAnsi="微软雅黑_GB2312" w:eastAsia="微软雅黑_GB2312" w:cs="微软雅黑_GB2312"/>
          <w:color w:val="000000"/>
          <w:sz w:val="31"/>
          <w:szCs w:val="31"/>
          <w:shd w:val="clear" w:color="auto" w:fill="FFFFFF"/>
        </w:rPr>
        <w:t>上报预算</w:t>
      </w:r>
      <w:r>
        <w:rPr>
          <w:rFonts w:ascii="微软雅黑_GB2312" w:hAnsi="微软雅黑_GB2312" w:eastAsia="微软雅黑_GB2312" w:cs="微软雅黑_GB2312"/>
          <w:color w:val="000000"/>
          <w:sz w:val="31"/>
          <w:szCs w:val="31"/>
          <w:shd w:val="clear" w:color="auto" w:fill="FFFFFF"/>
        </w:rPr>
        <w:t>前完成。</w:t>
      </w:r>
    </w:p>
    <w:p>
      <w:pPr>
        <w:pStyle w:val="4"/>
        <w:widowControl/>
        <w:spacing w:beforeAutospacing="0" w:afterAutospacing="0" w:line="555" w:lineRule="atLeast"/>
        <w:ind w:firstLine="645"/>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（三）评估方式、方法。</w:t>
      </w:r>
    </w:p>
    <w:p>
      <w:pPr>
        <w:pStyle w:val="4"/>
        <w:widowControl/>
        <w:spacing w:beforeAutospacing="0" w:afterAutospacing="0" w:line="555" w:lineRule="atLeast"/>
        <w:ind w:firstLine="645"/>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采用召开座谈会方式及对比分析法进行评估。</w:t>
      </w:r>
    </w:p>
    <w:p>
      <w:pPr>
        <w:pStyle w:val="4"/>
        <w:widowControl/>
        <w:spacing w:beforeAutospacing="0" w:afterAutospacing="0" w:line="555" w:lineRule="atLeast"/>
        <w:ind w:firstLine="645"/>
        <w:jc w:val="both"/>
        <w:rPr>
          <w:rFonts w:ascii="微软雅黑" w:hAnsi="微软雅黑" w:eastAsia="微软雅黑" w:cs="微软雅黑"/>
        </w:rPr>
      </w:pPr>
      <w:r>
        <w:rPr>
          <w:rFonts w:hint="eastAsia" w:ascii="黑体" w:hAnsi="宋体" w:eastAsia="黑体" w:cs="黑体"/>
          <w:color w:val="000000"/>
          <w:sz w:val="31"/>
          <w:szCs w:val="31"/>
          <w:shd w:val="clear" w:color="auto" w:fill="FFFFFF"/>
        </w:rPr>
        <w:t>三、评估内容和结论</w:t>
      </w:r>
    </w:p>
    <w:p>
      <w:pPr>
        <w:pStyle w:val="4"/>
        <w:widowControl/>
        <w:spacing w:beforeAutospacing="0" w:afterAutospacing="0" w:line="555" w:lineRule="atLeast"/>
        <w:ind w:firstLine="645"/>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（一）立项必要性/政策设立必要性。</w:t>
      </w:r>
    </w:p>
    <w:p>
      <w:pPr>
        <w:pStyle w:val="4"/>
        <w:widowControl/>
        <w:spacing w:line="555" w:lineRule="atLeast"/>
        <w:ind w:firstLine="645"/>
        <w:rPr>
          <w:rFonts w:hint="eastAsia" w:ascii="微软雅黑" w:hAnsi="微软雅黑" w:eastAsia="微软雅黑" w:cs="微软雅黑"/>
          <w:color w:val="000000"/>
          <w:sz w:val="31"/>
          <w:szCs w:val="31"/>
          <w:shd w:val="clear" w:color="auto" w:fill="FFFFFF"/>
        </w:rPr>
      </w:pPr>
      <w:r>
        <w:rPr>
          <w:rFonts w:hint="eastAsia" w:ascii="微软雅黑" w:hAnsi="微软雅黑" w:eastAsia="微软雅黑" w:cs="微软雅黑"/>
          <w:color w:val="000000"/>
          <w:sz w:val="31"/>
          <w:szCs w:val="31"/>
          <w:shd w:val="clear" w:color="auto" w:fill="FFFFFF"/>
        </w:rPr>
        <w:t>1、《淮南市人民政府关于印发淮南市征收集体土地地上附着物和青苗补偿标准的通知》(淮府[2020]81号)。2、《寿</w:t>
      </w:r>
    </w:p>
    <w:p>
      <w:pPr>
        <w:pStyle w:val="4"/>
        <w:widowControl/>
        <w:spacing w:line="555" w:lineRule="atLeast"/>
        <w:rPr>
          <w:rFonts w:ascii="微软雅黑" w:hAnsi="微软雅黑" w:eastAsia="微软雅黑" w:cs="微软雅黑"/>
          <w:color w:val="000000"/>
          <w:sz w:val="31"/>
          <w:szCs w:val="31"/>
          <w:shd w:val="clear" w:color="auto" w:fill="FFFFFF"/>
        </w:rPr>
      </w:pPr>
      <w:r>
        <w:rPr>
          <w:rFonts w:hint="eastAsia" w:ascii="微软雅黑" w:hAnsi="微软雅黑" w:eastAsia="微软雅黑" w:cs="微软雅黑"/>
          <w:color w:val="000000"/>
          <w:sz w:val="31"/>
          <w:szCs w:val="31"/>
          <w:shd w:val="clear" w:color="auto" w:fill="FFFFFF"/>
        </w:rPr>
        <w:t>县集体土地房屋安置实施细则》（寿政[2008]38号）。3、《寿县人民政府办公室关于印发寿县县城规划区集体土地房屋拆迁安置补偿政策实施方案的通知》（寿政办[2019]12号）等文件。</w:t>
      </w:r>
    </w:p>
    <w:p>
      <w:pPr>
        <w:pStyle w:val="4"/>
        <w:widowControl/>
        <w:spacing w:beforeAutospacing="0" w:afterAutospacing="0" w:line="555" w:lineRule="atLeast"/>
        <w:ind w:firstLine="645"/>
        <w:jc w:val="both"/>
        <w:rPr>
          <w:rFonts w:hint="eastAsia" w:ascii="微软雅黑_GB2312" w:hAnsi="微软雅黑_GB2312" w:eastAsia="微软雅黑_GB2312" w:cs="微软雅黑_GB2312"/>
          <w:color w:val="000000"/>
          <w:sz w:val="31"/>
          <w:szCs w:val="31"/>
          <w:shd w:val="clear" w:color="auto" w:fill="FFFFFF"/>
        </w:rPr>
      </w:pPr>
    </w:p>
    <w:p>
      <w:pPr>
        <w:pStyle w:val="4"/>
        <w:widowControl/>
        <w:spacing w:beforeAutospacing="0" w:afterAutospacing="0" w:line="555" w:lineRule="atLeast"/>
        <w:ind w:firstLine="645"/>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（二）绩效目标合理性/政策目标合理性。</w:t>
      </w:r>
    </w:p>
    <w:p>
      <w:pPr>
        <w:pStyle w:val="4"/>
        <w:widowControl/>
        <w:spacing w:before="100" w:after="100" w:line="520" w:lineRule="exact"/>
        <w:ind w:firstLine="646"/>
        <w:rPr>
          <w:rFonts w:ascii="微软雅黑" w:hAnsi="微软雅黑" w:eastAsia="微软雅黑" w:cs="微软雅黑"/>
          <w:color w:val="000000"/>
          <w:sz w:val="31"/>
          <w:szCs w:val="31"/>
          <w:shd w:val="clear" w:color="auto" w:fill="FFFFFF"/>
        </w:rPr>
      </w:pPr>
      <w:r>
        <w:rPr>
          <w:rFonts w:hint="eastAsia" w:ascii="微软雅黑" w:hAnsi="微软雅黑" w:eastAsia="微软雅黑" w:cs="微软雅黑"/>
          <w:color w:val="000000"/>
          <w:sz w:val="31"/>
          <w:szCs w:val="31"/>
          <w:shd w:val="clear" w:color="auto" w:fill="FFFFFF"/>
        </w:rPr>
        <w:t>为确保集体土地征迁工作顺利开展，实施的集体土地征迁项目，必须广泛征求了长期从事集体土地征收与补偿工作的乡镇政府有关部门的意见，以及群众和专家的意见，充分考虑了保障被征收人的合法权益和控制政府征收成本之间的平衡和在我县补偿安置政策范围内进行补偿安置，具有合理性。</w:t>
      </w:r>
    </w:p>
    <w:p>
      <w:pPr>
        <w:pStyle w:val="4"/>
        <w:widowControl/>
        <w:spacing w:beforeAutospacing="0" w:afterAutospacing="0" w:line="450" w:lineRule="atLeast"/>
        <w:ind w:firstLine="645"/>
        <w:jc w:val="both"/>
        <w:rPr>
          <w:rFonts w:ascii="微软雅黑" w:hAnsi="微软雅黑" w:eastAsia="微软雅黑" w:cs="微软雅黑"/>
        </w:rPr>
      </w:pPr>
      <w:r>
        <w:rPr>
          <w:rFonts w:hint="eastAsia" w:ascii="微软雅黑" w:hAnsi="微软雅黑" w:eastAsia="微软雅黑" w:cs="微软雅黑"/>
          <w:color w:val="000000"/>
          <w:sz w:val="31"/>
          <w:szCs w:val="31"/>
          <w:shd w:val="clear" w:color="auto" w:fill="FFFFFF"/>
        </w:rPr>
        <w:t>（三）</w:t>
      </w:r>
      <w:r>
        <w:rPr>
          <w:rFonts w:ascii="微软雅黑_GB2312" w:hAnsi="微软雅黑_GB2312" w:eastAsia="微软雅黑_GB2312" w:cs="微软雅黑_GB2312"/>
          <w:color w:val="000000"/>
          <w:sz w:val="31"/>
          <w:szCs w:val="31"/>
          <w:shd w:val="clear" w:color="auto" w:fill="FFFFFF"/>
        </w:rPr>
        <w:t>投入经济性/政策时效性。</w:t>
      </w:r>
    </w:p>
    <w:p>
      <w:pPr>
        <w:pStyle w:val="4"/>
        <w:widowControl/>
        <w:spacing w:beforeAutospacing="0" w:afterAutospacing="0" w:line="555" w:lineRule="atLeast"/>
        <w:ind w:firstLine="645"/>
        <w:jc w:val="both"/>
        <w:rPr>
          <w:rFonts w:ascii="微软雅黑" w:hAnsi="微软雅黑" w:eastAsia="微软雅黑" w:cs="微软雅黑"/>
        </w:rPr>
      </w:pPr>
      <w:r>
        <w:rPr>
          <w:rFonts w:hint="eastAsia" w:ascii="微软雅黑" w:hAnsi="微软雅黑" w:eastAsia="微软雅黑" w:cs="微软雅黑"/>
          <w:color w:val="000000"/>
          <w:sz w:val="31"/>
          <w:szCs w:val="31"/>
          <w:shd w:val="clear" w:color="auto" w:fill="FFFFFF"/>
        </w:rPr>
        <w:t>征迁工作实施是推动经济高质量发展的内在要求。当前,我国经济正处于转变发展方式、优化经济结构、转换增长动力的攻关期。征迁项目的开展能促进土地资源合理利用，才能够更加良好地推动经济高质量发展,建设现代化经济体系提供强有力的支持。</w:t>
      </w:r>
    </w:p>
    <w:p>
      <w:pPr>
        <w:pStyle w:val="4"/>
        <w:widowControl/>
        <w:spacing w:beforeAutospacing="0" w:afterAutospacing="0" w:line="555" w:lineRule="atLeast"/>
        <w:ind w:firstLine="645"/>
        <w:jc w:val="both"/>
        <w:rPr>
          <w:rFonts w:ascii="微软雅黑" w:hAnsi="微软雅黑" w:eastAsia="微软雅黑" w:cs="微软雅黑"/>
        </w:rPr>
      </w:pPr>
      <w:r>
        <w:rPr>
          <w:rFonts w:hint="eastAsia" w:ascii="微软雅黑" w:hAnsi="微软雅黑" w:eastAsia="微软雅黑" w:cs="微软雅黑"/>
          <w:color w:val="000000"/>
          <w:sz w:val="31"/>
          <w:szCs w:val="31"/>
          <w:shd w:val="clear" w:color="auto" w:fill="FFFFFF"/>
        </w:rPr>
        <w:t>（四）筹资合规性/政策资金合规性。</w:t>
      </w:r>
    </w:p>
    <w:p>
      <w:pPr>
        <w:pStyle w:val="4"/>
        <w:widowControl/>
        <w:spacing w:beforeAutospacing="0" w:afterAutospacing="0" w:line="585" w:lineRule="atLeast"/>
        <w:ind w:firstLine="645"/>
        <w:jc w:val="both"/>
        <w:rPr>
          <w:rFonts w:ascii="微软雅黑" w:hAnsi="微软雅黑" w:eastAsia="微软雅黑" w:cs="微软雅黑"/>
        </w:rPr>
      </w:pPr>
      <w:r>
        <w:rPr>
          <w:rFonts w:hint="eastAsia" w:ascii="微软雅黑" w:hAnsi="微软雅黑" w:eastAsia="微软雅黑" w:cs="微软雅黑"/>
          <w:color w:val="000000"/>
          <w:sz w:val="31"/>
          <w:szCs w:val="31"/>
          <w:shd w:val="clear" w:color="auto" w:fill="FFFFFF"/>
        </w:rPr>
        <w:t>集体土地拆迁项目经费由地方人民政府负担，按时拨付、确保到位。经分管领导汇报请示，积极与本地区的财政部门沟通协调，全力做好经费申请，确保所需经费列入当地相应年度的财政预算。</w:t>
      </w:r>
    </w:p>
    <w:p>
      <w:pPr>
        <w:pStyle w:val="4"/>
        <w:widowControl/>
        <w:spacing w:beforeAutospacing="0" w:afterAutospacing="0" w:line="555" w:lineRule="atLeast"/>
        <w:ind w:firstLine="645"/>
        <w:jc w:val="both"/>
        <w:rPr>
          <w:rFonts w:ascii="微软雅黑" w:hAnsi="微软雅黑" w:eastAsia="微软雅黑" w:cs="微软雅黑"/>
        </w:rPr>
      </w:pPr>
      <w:r>
        <w:rPr>
          <w:rFonts w:hint="eastAsia" w:ascii="微软雅黑" w:hAnsi="微软雅黑" w:eastAsia="微软雅黑" w:cs="微软雅黑"/>
          <w:color w:val="000000"/>
          <w:sz w:val="31"/>
          <w:szCs w:val="31"/>
          <w:shd w:val="clear" w:color="auto" w:fill="FFFFFF"/>
        </w:rPr>
        <w:t>（五）总体结论。</w:t>
      </w:r>
    </w:p>
    <w:p>
      <w:pPr>
        <w:pStyle w:val="4"/>
        <w:widowControl/>
        <w:spacing w:beforeAutospacing="0" w:afterAutospacing="0" w:line="360" w:lineRule="atLeast"/>
        <w:ind w:firstLine="645"/>
        <w:jc w:val="both"/>
        <w:rPr>
          <w:rFonts w:ascii="微软雅黑" w:hAnsi="微软雅黑" w:eastAsia="微软雅黑" w:cs="微软雅黑"/>
        </w:rPr>
      </w:pPr>
      <w:r>
        <w:rPr>
          <w:rFonts w:hint="eastAsia" w:ascii="微软雅黑" w:hAnsi="微软雅黑" w:eastAsia="微软雅黑" w:cs="微软雅黑"/>
          <w:color w:val="000000"/>
          <w:sz w:val="31"/>
          <w:szCs w:val="31"/>
          <w:shd w:val="clear" w:color="auto" w:fill="FFFFFF"/>
        </w:rPr>
        <w:t>征迁项目工作是在中国特色社会主义进入新时代开展的重要工作，对促进自然资源有效保护和合理利用、良好地推动经济高质量发展、建设现代化经济体系具有重要意义。</w:t>
      </w:r>
    </w:p>
    <w:p>
      <w:pPr>
        <w:pStyle w:val="4"/>
        <w:widowControl/>
        <w:spacing w:beforeAutospacing="0" w:afterAutospacing="0" w:line="555" w:lineRule="atLeast"/>
        <w:ind w:firstLine="645"/>
        <w:jc w:val="both"/>
        <w:rPr>
          <w:rFonts w:ascii="微软雅黑" w:hAnsi="微软雅黑" w:eastAsia="微软雅黑" w:cs="微软雅黑"/>
        </w:rPr>
      </w:pPr>
      <w:r>
        <w:rPr>
          <w:rFonts w:hint="eastAsia" w:ascii="黑体" w:hAnsi="宋体" w:eastAsia="黑体" w:cs="黑体"/>
          <w:color w:val="000000"/>
          <w:sz w:val="31"/>
          <w:szCs w:val="31"/>
          <w:shd w:val="clear" w:color="auto" w:fill="FFFFFF"/>
        </w:rPr>
        <w:t>四、评估的相关建议</w:t>
      </w:r>
    </w:p>
    <w:p>
      <w:pPr>
        <w:pStyle w:val="4"/>
        <w:widowControl/>
        <w:spacing w:beforeAutospacing="0" w:afterAutospacing="0" w:line="585" w:lineRule="atLeast"/>
        <w:ind w:firstLine="645"/>
        <w:jc w:val="both"/>
        <w:rPr>
          <w:rFonts w:ascii="微软雅黑" w:hAnsi="微软雅黑" w:eastAsia="微软雅黑" w:cs="微软雅黑"/>
        </w:rPr>
      </w:pPr>
      <w:r>
        <w:rPr>
          <w:rFonts w:hint="eastAsia" w:ascii="微软雅黑_GB2312" w:hAnsi="微软雅黑_GB2312" w:eastAsia="微软雅黑_GB2312" w:cs="微软雅黑_GB2312"/>
          <w:color w:val="000000"/>
          <w:sz w:val="31"/>
          <w:szCs w:val="31"/>
          <w:shd w:val="clear" w:color="auto" w:fill="FFFFFF"/>
        </w:rPr>
        <w:t>征迁工作意义重大，影响深远，对地方经济发展具有重要促进作用，</w:t>
      </w:r>
      <w:r>
        <w:rPr>
          <w:rFonts w:ascii="微软雅黑_GB2312" w:hAnsi="微软雅黑_GB2312" w:eastAsia="微软雅黑_GB2312" w:cs="微软雅黑_GB2312"/>
          <w:color w:val="000000"/>
          <w:sz w:val="31"/>
          <w:szCs w:val="31"/>
          <w:shd w:val="clear" w:color="auto" w:fill="FFFFFF"/>
        </w:rPr>
        <w:t>请财政部门在年度预算批复时予以优先考虑。</w:t>
      </w:r>
    </w:p>
    <w:p>
      <w:pPr>
        <w:pStyle w:val="4"/>
        <w:widowControl/>
        <w:spacing w:beforeAutospacing="0" w:afterAutospacing="0" w:line="555" w:lineRule="atLeast"/>
        <w:ind w:firstLine="645"/>
        <w:jc w:val="both"/>
        <w:rPr>
          <w:rFonts w:ascii="微软雅黑" w:hAnsi="微软雅黑" w:eastAsia="微软雅黑" w:cs="微软雅黑"/>
        </w:rPr>
      </w:pPr>
      <w:r>
        <w:rPr>
          <w:rFonts w:hint="eastAsia" w:ascii="黑体" w:hAnsi="宋体" w:eastAsia="黑体" w:cs="黑体"/>
          <w:color w:val="000000"/>
          <w:sz w:val="31"/>
          <w:szCs w:val="31"/>
          <w:shd w:val="clear" w:color="auto" w:fill="FFFFFF"/>
        </w:rPr>
        <w:t>五、其他需要说明的问题</w:t>
      </w:r>
    </w:p>
    <w:p>
      <w:pPr>
        <w:pStyle w:val="4"/>
        <w:widowControl/>
        <w:spacing w:beforeAutospacing="0" w:afterAutospacing="0" w:line="555" w:lineRule="atLeast"/>
        <w:ind w:firstLine="645"/>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无。</w:t>
      </w:r>
    </w:p>
    <w:p>
      <w:pPr>
        <w:pStyle w:val="4"/>
        <w:widowControl/>
        <w:spacing w:beforeAutospacing="0" w:afterAutospacing="0" w:line="555" w:lineRule="atLeast"/>
        <w:ind w:firstLine="645"/>
        <w:jc w:val="both"/>
        <w:rPr>
          <w:rFonts w:ascii="微软雅黑" w:hAnsi="微软雅黑" w:eastAsia="微软雅黑" w:cs="微软雅黑"/>
        </w:rPr>
      </w:pPr>
      <w:r>
        <w:rPr>
          <w:rFonts w:hint="eastAsia" w:ascii="黑体" w:hAnsi="宋体" w:eastAsia="黑体" w:cs="黑体"/>
          <w:color w:val="000000"/>
          <w:sz w:val="31"/>
          <w:szCs w:val="31"/>
          <w:shd w:val="clear" w:color="auto" w:fill="FFFFFF"/>
        </w:rPr>
        <w:t>六、评估人员签名</w:t>
      </w:r>
    </w:p>
    <w:p>
      <w:pPr>
        <w:pStyle w:val="4"/>
        <w:widowControl/>
        <w:spacing w:beforeAutospacing="0" w:afterAutospacing="0" w:line="555" w:lineRule="atLeast"/>
        <w:ind w:firstLine="645"/>
        <w:jc w:val="both"/>
        <w:rPr>
          <w:rFonts w:ascii="微软雅黑" w:hAnsi="微软雅黑" w:eastAsia="微软雅黑" w:cs="微软雅黑"/>
        </w:rPr>
      </w:pPr>
      <w:r>
        <w:rPr>
          <w:rFonts w:hint="eastAsia" w:ascii="黑体" w:hAnsi="宋体" w:eastAsia="黑体" w:cs="黑体"/>
          <w:color w:val="000000"/>
          <w:sz w:val="31"/>
          <w:szCs w:val="31"/>
          <w:shd w:val="clear" w:color="auto" w:fill="FFFFFF"/>
        </w:rPr>
        <w:t>七、附件材料</w:t>
      </w:r>
    </w:p>
    <w:p>
      <w:pPr>
        <w:pStyle w:val="4"/>
        <w:widowControl/>
        <w:spacing w:beforeAutospacing="0" w:afterAutospacing="0" w:line="450" w:lineRule="atLeast"/>
        <w:jc w:val="both"/>
        <w:rPr>
          <w:rFonts w:ascii="微软雅黑" w:hAnsi="微软雅黑" w:eastAsia="微软雅黑" w:cs="微软雅黑"/>
        </w:rPr>
      </w:pPr>
      <w:r>
        <w:rPr>
          <w:rFonts w:ascii="微软雅黑_GB2312" w:hAnsi="微软雅黑_GB2312" w:eastAsia="微软雅黑_GB2312" w:cs="微软雅黑_GB2312"/>
          <w:color w:val="000000"/>
          <w:sz w:val="31"/>
          <w:szCs w:val="31"/>
          <w:shd w:val="clear" w:color="auto" w:fill="FFFFFF"/>
        </w:rPr>
        <w:t>（政策或项目相关申报资料、专家评估意见、其他应作为附件的佐证材料）</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黑体"/>
    <w:panose1 w:val="00000000000000000000"/>
    <w:charset w:val="86"/>
    <w:family w:val="auto"/>
    <w:pitch w:val="default"/>
    <w:sig w:usb0="00000000" w:usb1="0000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微软雅黑_GB2312">
    <w:altName w:val="黑体"/>
    <w:panose1 w:val="00000000000000000000"/>
    <w:charset w:val="00"/>
    <w:family w:val="auto"/>
    <w:pitch w:val="default"/>
    <w:sig w:usb0="00000000" w:usb1="00000000" w:usb2="00000000" w:usb3="00000000" w:csb0="0000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ZmU3MjQyOTI2YzU2YmU5ZDljOGE2ZjZiZmJlOGMxNmUifQ=="/>
  </w:docVars>
  <w:rsids>
    <w:rsidRoot w:val="614044A6"/>
    <w:rsid w:val="00512096"/>
    <w:rsid w:val="00647B9F"/>
    <w:rsid w:val="00A64AB6"/>
    <w:rsid w:val="00B62CA3"/>
    <w:rsid w:val="00D77277"/>
    <w:rsid w:val="00E07DB6"/>
    <w:rsid w:val="00EB3859"/>
    <w:rsid w:val="28F75E94"/>
    <w:rsid w:val="478C6CC7"/>
    <w:rsid w:val="47A224DB"/>
    <w:rsid w:val="5BF678CE"/>
    <w:rsid w:val="614044A6"/>
    <w:rsid w:val="6BA82A6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iPriority w:val="0"/>
    <w:pPr>
      <w:tabs>
        <w:tab w:val="center" w:pos="4153"/>
        <w:tab w:val="right" w:pos="8306"/>
      </w:tabs>
      <w:snapToGrid w:val="0"/>
      <w:jc w:val="left"/>
    </w:pPr>
    <w:rPr>
      <w:sz w:val="18"/>
      <w:szCs w:val="18"/>
    </w:rPr>
  </w:style>
  <w:style w:type="paragraph" w:styleId="3">
    <w:name w:val="header"/>
    <w:basedOn w:val="1"/>
    <w:link w:val="8"/>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spacing w:beforeAutospacing="1" w:afterAutospacing="1"/>
      <w:jc w:val="left"/>
    </w:pPr>
    <w:rPr>
      <w:rFonts w:cs="Times New Roman"/>
      <w:kern w:val="0"/>
      <w:sz w:val="24"/>
    </w:rPr>
  </w:style>
  <w:style w:type="character" w:styleId="7">
    <w:name w:val="Strong"/>
    <w:basedOn w:val="6"/>
    <w:qFormat/>
    <w:uiPriority w:val="0"/>
    <w:rPr>
      <w:b/>
    </w:rPr>
  </w:style>
  <w:style w:type="character" w:customStyle="1" w:styleId="8">
    <w:name w:val="页眉 Char"/>
    <w:basedOn w:val="6"/>
    <w:link w:val="3"/>
    <w:uiPriority w:val="0"/>
    <w:rPr>
      <w:rFonts w:asciiTheme="minorHAnsi" w:hAnsiTheme="minorHAnsi" w:eastAsiaTheme="minorEastAsia" w:cstheme="minorBidi"/>
      <w:kern w:val="2"/>
      <w:sz w:val="18"/>
      <w:szCs w:val="18"/>
    </w:rPr>
  </w:style>
  <w:style w:type="character" w:customStyle="1" w:styleId="9">
    <w:name w:val="页脚 Char"/>
    <w:basedOn w:val="6"/>
    <w:link w:val="2"/>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5</Pages>
  <Words>1559</Words>
  <Characters>1598</Characters>
  <Lines>11</Lines>
  <Paragraphs>3</Paragraphs>
  <TotalTime>48</TotalTime>
  <ScaleCrop>false</ScaleCrop>
  <LinksUpToDate>false</LinksUpToDate>
  <CharactersWithSpaces>1607</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2021-12-16T09:22:00Z</dcterms:created>
  <dc:creator>Ann</dc:creator>
  <cp:lastModifiedBy>Administrator</cp:lastModifiedBy>
  <cp:lastPrinted>2022-12-30T07:43:50Z</cp:lastPrinted>
  <dcterms:modified xsi:type="dcterms:W3CDTF">2022-12-30T07:47:28Z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7714E7712CDF458AA164E35D78EB666A</vt:lpwstr>
  </property>
</Properties>
</file>