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2A1" w:rsidRDefault="00E602A1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E602A1" w:rsidRDefault="00085BF5">
      <w:pPr>
        <w:pStyle w:val="a3"/>
        <w:widowControl/>
        <w:spacing w:beforeAutospacing="0" w:afterAutospacing="0" w:line="450" w:lineRule="atLeast"/>
        <w:jc w:val="center"/>
        <w:rPr>
          <w:rFonts w:ascii="微软雅黑" w:eastAsia="微软雅黑" w:hAnsi="微软雅黑" w:cs="微软雅黑"/>
        </w:rPr>
      </w:pPr>
      <w:r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  <w:t>事前绩效评估报告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085BF5" w:rsidP="00713BF7">
      <w:pPr>
        <w:pStyle w:val="a3"/>
        <w:widowControl/>
        <w:spacing w:beforeAutospacing="0" w:afterAutospacing="0" w:line="450" w:lineRule="atLeast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政策或项目名称：</w:t>
      </w:r>
      <w:r w:rsidR="00713BF7" w:rsidRPr="00713BF7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房地一体农村宅基地和集体建设用地使用权登记发证</w:t>
      </w:r>
    </w:p>
    <w:p w:rsidR="004F7838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FF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单位名称（章）：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</w:t>
      </w:r>
      <w:r w:rsidR="004F7838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自然资源确权登记中心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主管部门：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寿县自然资源和规划局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评估组/评估机构（章）：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_GB2312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评估日期：20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2</w:t>
      </w:r>
      <w:r w:rsidR="00713BF7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1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年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10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月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</w:p>
    <w:p w:rsidR="00E602A1" w:rsidRDefault="00085BF5">
      <w:pPr>
        <w:pStyle w:val="a3"/>
        <w:widowControl/>
        <w:spacing w:beforeAutospacing="0" w:afterAutospacing="0" w:line="450" w:lineRule="atLeast"/>
        <w:jc w:val="center"/>
        <w:rPr>
          <w:rFonts w:ascii="微软雅黑" w:eastAsia="微软雅黑" w:hAnsi="微软雅黑" w:cs="微软雅黑"/>
        </w:rPr>
      </w:pPr>
      <w:r>
        <w:rPr>
          <w:rStyle w:val="a4"/>
          <w:rFonts w:ascii="微软雅黑" w:eastAsia="微软雅黑" w:hAnsi="微软雅黑" w:cs="微软雅黑" w:hint="eastAsia"/>
          <w:color w:val="000000"/>
          <w:sz w:val="43"/>
          <w:szCs w:val="43"/>
          <w:shd w:val="clear" w:color="auto" w:fill="FFFFFF"/>
        </w:rPr>
        <w:t>事前绩效评估报告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  <w:t>一、评估对象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（一）政策或项目名称。</w:t>
      </w:r>
    </w:p>
    <w:p w:rsidR="00D44994" w:rsidRDefault="00713BF7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 w:rsidRPr="00713BF7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房地一体农村宅基地和集体建设用地使用权登记发证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（二）政策或项目绩效目标。</w:t>
      </w:r>
    </w:p>
    <w:p w:rsidR="00E602A1" w:rsidRDefault="00085BF5">
      <w:pPr>
        <w:pStyle w:val="a3"/>
        <w:widowControl/>
        <w:spacing w:beforeAutospacing="0" w:afterAutospacing="0" w:line="450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为确保</w:t>
      </w:r>
      <w:r w:rsidR="000C6427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D44994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不动产登记与权籍调查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工作顺利开展，按照国家、省政府有关文件精神，将</w:t>
      </w:r>
      <w:r w:rsidR="000C6427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D44994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不动产登记与权籍调查工作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纳入重要议事日程，未雨绸缪，统筹规划，科学安排。积极协调各有关部门，确保经费、机构、人员、办公条件落到实处，确保</w:t>
      </w:r>
      <w:r w:rsidR="000C6427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D44994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不动产登记与权籍调查工作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的有序开展。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（三）政策或项目资金构成。</w:t>
      </w:r>
    </w:p>
    <w:p w:rsidR="00DA19C3" w:rsidRDefault="000C6427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000000"/>
          <w:sz w:val="31"/>
          <w:szCs w:val="3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</w:t>
      </w:r>
      <w:r w:rsidR="00713BF7" w:rsidRPr="00713BF7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房地一体农村宅基地和集体建设用地使用权登记发证</w:t>
      </w:r>
      <w:r w:rsidR="00D44994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</w:t>
      </w:r>
      <w:r w:rsidR="00085BF5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经费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预算共计</w:t>
      </w:r>
      <w:r w:rsidR="00713BF7">
        <w:rPr>
          <w:rFonts w:ascii="微软雅黑" w:eastAsia="微软雅黑" w:hAnsi="微软雅黑" w:cs="微软雅黑"/>
          <w:color w:val="000000"/>
          <w:sz w:val="31"/>
          <w:szCs w:val="31"/>
          <w:shd w:val="clear" w:color="auto" w:fill="FFFFFF"/>
        </w:rPr>
        <w:t>1526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万元</w:t>
      </w:r>
      <w:r w:rsidR="00DA19C3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（四）政策或项目概况。</w:t>
      </w:r>
    </w:p>
    <w:p w:rsidR="00E91CE1" w:rsidRDefault="00554E0B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000000"/>
          <w:sz w:val="31"/>
          <w:szCs w:val="3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根据《寿县人民政府关于不动产登记工作运转存在问题的批复》（寿政秘【2017】94号），</w:t>
      </w:r>
      <w:r w:rsidR="00E91CE1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我中心高度重视，采取健全管理制度、充实窗口工作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人员、配齐</w:t>
      </w:r>
      <w:r w:rsidR="00E91CE1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硬件设施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等方式，</w:t>
      </w:r>
      <w:r w:rsidR="00E91CE1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提高为民办实事效率，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E91CE1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不动产权籍调查与确权登记发证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lastRenderedPageBreak/>
        <w:t>作常年动态开展，我</w:t>
      </w:r>
      <w:r w:rsidR="00E91CE1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中心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工作任务量极大，需大量人员、物力支持。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二、事前绩效评估的基本情况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（一）评估程序。</w:t>
      </w:r>
    </w:p>
    <w:p w:rsidR="00E602A1" w:rsidRDefault="00085BF5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1、确定评估对象。</w:t>
      </w:r>
    </w:p>
    <w:p w:rsidR="00E602A1" w:rsidRDefault="00AE7D59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划拨土地</w:t>
      </w:r>
      <w:r w:rsidR="0073331B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不动产权籍调查与确权登记发证</w:t>
      </w:r>
      <w:r w:rsidR="00085BF5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工作经费</w:t>
      </w:r>
      <w:r w:rsidR="00713BF7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1526</w:t>
      </w:r>
      <w:r w:rsidR="0073331B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万元</w:t>
      </w:r>
    </w:p>
    <w:p w:rsidR="00E602A1" w:rsidRDefault="00085BF5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2、成立评估组织。</w:t>
      </w:r>
    </w:p>
    <w:p w:rsidR="00E602A1" w:rsidRDefault="00085BF5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应成立评估组。评估组成员：局领导、分管业务副局长、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相关业务股室负责人、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业务人员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、预算绩效领导小组办公室成员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。</w:t>
      </w:r>
    </w:p>
    <w:p w:rsidR="00E602A1" w:rsidRDefault="00085BF5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3、制定评估方案。按照评估对象概况、评估依据和目的、评估组织和方法、评估内容与重点、必要的评估指标与标准、评估人员、评估时间及要求等制定评估方案。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（二）评估思路。</w:t>
      </w:r>
    </w:p>
    <w:p w:rsidR="00E602A1" w:rsidRDefault="00085BF5" w:rsidP="0073331B">
      <w:pPr>
        <w:pStyle w:val="a3"/>
        <w:widowControl/>
        <w:spacing w:beforeAutospacing="0" w:afterAutospacing="0" w:line="585" w:lineRule="atLeast"/>
        <w:ind w:firstLineChars="258" w:firstLine="800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预算部门组织实施的事前评估：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上报预算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前完成。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（三）评估方式、方法。</w:t>
      </w:r>
    </w:p>
    <w:p w:rsidR="0073331B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采用召开座谈会方式及对比分析法进行评估。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三、评估内容和结论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（一）立项必要性/政策设立必要性。</w:t>
      </w:r>
    </w:p>
    <w:p w:rsidR="00AE7D59" w:rsidRDefault="00AE7D59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《寿县人民政府关于不动产登记工作运转存在问题的批复》（寿政秘【2017】94号）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lastRenderedPageBreak/>
        <w:t>（二）绩效目标合理性/政策目标合理性。</w:t>
      </w:r>
    </w:p>
    <w:p w:rsidR="00E602A1" w:rsidRDefault="00085BF5">
      <w:pPr>
        <w:pStyle w:val="a3"/>
        <w:widowControl/>
        <w:spacing w:beforeAutospacing="0" w:afterAutospacing="0" w:line="450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为确保</w:t>
      </w:r>
      <w:r w:rsidR="00AE7D59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73331B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工作顺利开展，按照</w:t>
      </w:r>
      <w:r w:rsidR="00AE7D59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县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政府有关文件精神，持续加强对</w:t>
      </w:r>
      <w:r w:rsidR="0073331B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全县</w:t>
      </w:r>
      <w:r w:rsidR="00AE7D59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不动产登记发证工作。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维护公民、法人和其他组织的合法权益。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（三）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投入经济性/政策时效性。</w:t>
      </w:r>
    </w:p>
    <w:p w:rsidR="0038574E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开展</w:t>
      </w:r>
      <w:r w:rsidR="00AE7D59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不动产登记与发证工作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是推动经济高质量发展的内在要求。当前,我国经济正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处于转变发展方式、优化经济结构、转换增长动力的攻关期。持续加强</w:t>
      </w:r>
      <w:r w:rsidR="00AE7D59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不动产登记与发证工作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，才能够更加良好地推动经济高质量发展,建设现代化经济体系提供强有力的支持。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（四）筹资合规性/政策资金合规性。</w:t>
      </w:r>
    </w:p>
    <w:p w:rsidR="00E602A1" w:rsidRDefault="00AE7D59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权籍调查与发证工作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所需经费由地方人民政府负担，主要为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土地收益金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收入款项返还所得，按时拨付、确保到位。积极与本地区的财政部门沟通协调，全力做好经费申请，确保普查所需经费列入当地相应年度的财政预算。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（五）总体结论。</w:t>
      </w:r>
    </w:p>
    <w:p w:rsidR="00E602A1" w:rsidRDefault="00AE7D59">
      <w:pPr>
        <w:pStyle w:val="a3"/>
        <w:widowControl/>
        <w:spacing w:beforeAutospacing="0" w:afterAutospacing="0" w:line="360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划拨土地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不动产权籍调查与发证</w:t>
      </w:r>
      <w:r w:rsidR="00636DE4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工作是在中国特色社会主义进入新时代开展的重要登记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工作，对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保护当事人的合法权益、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良好地推动经济高质量发展、建设现代化经济体系具有重要意义。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四、评估的相关建议</w:t>
      </w:r>
    </w:p>
    <w:p w:rsidR="0073331B" w:rsidRDefault="0073331B" w:rsidP="0073331B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lastRenderedPageBreak/>
        <w:t>我县</w:t>
      </w:r>
      <w:r w:rsidR="00AE7D59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划拨土地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不动产确权与登记发证工作</w:t>
      </w:r>
      <w:r w:rsidR="00085BF5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，影响深远，对地方经济发展具有重要促进作用，</w:t>
      </w:r>
      <w:r w:rsidR="00085BF5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请财政部门在年度预算批复时予以优先考虑。</w:t>
      </w:r>
    </w:p>
    <w:p w:rsidR="00E602A1" w:rsidRDefault="0073331B" w:rsidP="0073331B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五、</w:t>
      </w:r>
      <w:r w:rsidR="00085BF5"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其他需要说明的问题</w:t>
      </w:r>
    </w:p>
    <w:p w:rsidR="00713BF7" w:rsidRDefault="00713BF7" w:rsidP="0073331B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无</w:t>
      </w:r>
      <w:bookmarkStart w:id="0" w:name="_GoBack"/>
      <w:bookmarkEnd w:id="0"/>
    </w:p>
    <w:p w:rsidR="00E602A1" w:rsidRDefault="00085BF5" w:rsidP="0073331B">
      <w:pPr>
        <w:pStyle w:val="a3"/>
        <w:widowControl/>
        <w:numPr>
          <w:ilvl w:val="0"/>
          <w:numId w:val="3"/>
        </w:numPr>
        <w:spacing w:beforeAutospacing="0" w:afterAutospacing="0" w:line="555" w:lineRule="atLeast"/>
        <w:ind w:firstLine="645"/>
        <w:jc w:val="both"/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评估人员签名</w:t>
      </w:r>
    </w:p>
    <w:p w:rsidR="0073331B" w:rsidRPr="0073331B" w:rsidRDefault="0073331B" w:rsidP="0073331B">
      <w:pPr>
        <w:pStyle w:val="a3"/>
        <w:widowControl/>
        <w:spacing w:beforeAutospacing="0" w:afterAutospacing="0" w:line="555" w:lineRule="atLeast"/>
        <w:ind w:left="645"/>
        <w:jc w:val="both"/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</w:pPr>
    </w:p>
    <w:p w:rsidR="0073331B" w:rsidRDefault="00085BF5" w:rsidP="0073331B">
      <w:pPr>
        <w:pStyle w:val="a3"/>
        <w:widowControl/>
        <w:numPr>
          <w:ilvl w:val="0"/>
          <w:numId w:val="3"/>
        </w:numPr>
        <w:spacing w:beforeAutospacing="0" w:afterAutospacing="0" w:line="555" w:lineRule="atLeast"/>
        <w:ind w:firstLine="645"/>
        <w:jc w:val="both"/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附件材料</w:t>
      </w:r>
    </w:p>
    <w:sectPr w:rsidR="0073331B" w:rsidSect="00E60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7F8A" w:rsidRDefault="007D7F8A" w:rsidP="00D80543">
      <w:r>
        <w:separator/>
      </w:r>
    </w:p>
  </w:endnote>
  <w:endnote w:type="continuationSeparator" w:id="0">
    <w:p w:rsidR="007D7F8A" w:rsidRDefault="007D7F8A" w:rsidP="00D8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微软雅黑_GB2312">
    <w:altName w:val="黑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7F8A" w:rsidRDefault="007D7F8A" w:rsidP="00D80543">
      <w:r>
        <w:separator/>
      </w:r>
    </w:p>
  </w:footnote>
  <w:footnote w:type="continuationSeparator" w:id="0">
    <w:p w:rsidR="007D7F8A" w:rsidRDefault="007D7F8A" w:rsidP="00D80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C917B91"/>
    <w:multiLevelType w:val="singleLevel"/>
    <w:tmpl w:val="9C917B9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5F226FF"/>
    <w:multiLevelType w:val="singleLevel"/>
    <w:tmpl w:val="E5F226F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CA9503E"/>
    <w:multiLevelType w:val="singleLevel"/>
    <w:tmpl w:val="6CA9503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M1NzVmZjEzMWQ0Zjg3NDJhZjk5MGVlMmMxZjMwYTAifQ=="/>
  </w:docVars>
  <w:rsids>
    <w:rsidRoot w:val="614044A6"/>
    <w:rsid w:val="00085BF5"/>
    <w:rsid w:val="000B4B3A"/>
    <w:rsid w:val="000C6427"/>
    <w:rsid w:val="00242D0C"/>
    <w:rsid w:val="0038574E"/>
    <w:rsid w:val="00417D33"/>
    <w:rsid w:val="004F7838"/>
    <w:rsid w:val="00554E0B"/>
    <w:rsid w:val="005634EF"/>
    <w:rsid w:val="005E4C06"/>
    <w:rsid w:val="005F2365"/>
    <w:rsid w:val="00636DE4"/>
    <w:rsid w:val="00713BF7"/>
    <w:rsid w:val="0073331B"/>
    <w:rsid w:val="007D7F8A"/>
    <w:rsid w:val="00903398"/>
    <w:rsid w:val="00AC5C8A"/>
    <w:rsid w:val="00AE7D59"/>
    <w:rsid w:val="00AF3195"/>
    <w:rsid w:val="00C3509E"/>
    <w:rsid w:val="00D277C5"/>
    <w:rsid w:val="00D44994"/>
    <w:rsid w:val="00D7655C"/>
    <w:rsid w:val="00D80543"/>
    <w:rsid w:val="00DA19C3"/>
    <w:rsid w:val="00E602A1"/>
    <w:rsid w:val="00E91CE1"/>
    <w:rsid w:val="00EF1BC6"/>
    <w:rsid w:val="00F456B6"/>
    <w:rsid w:val="00FC18A4"/>
    <w:rsid w:val="10970041"/>
    <w:rsid w:val="2D524718"/>
    <w:rsid w:val="478C6CC7"/>
    <w:rsid w:val="47A224DB"/>
    <w:rsid w:val="5BF678CE"/>
    <w:rsid w:val="614044A6"/>
    <w:rsid w:val="64E0426D"/>
    <w:rsid w:val="6BA82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D45EBF7"/>
  <w15:docId w15:val="{A0E2CD8F-371B-4BCF-A2F4-ABEA0439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02A1"/>
    <w:pPr>
      <w:widowControl w:val="0"/>
      <w:jc w:val="both"/>
    </w:pPr>
    <w:rPr>
      <w:rFonts w:asciiTheme="minorHAnsi" w:eastAsiaTheme="minorEastAsia" w:hAnsiTheme="minorHAnsi" w:cstheme="minorBidi"/>
      <w:kern w:val="2"/>
      <w:sz w:val="32"/>
      <w:szCs w:val="24"/>
    </w:rPr>
  </w:style>
  <w:style w:type="paragraph" w:styleId="2">
    <w:name w:val="heading 2"/>
    <w:basedOn w:val="a"/>
    <w:next w:val="a"/>
    <w:unhideWhenUsed/>
    <w:qFormat/>
    <w:rsid w:val="00E602A1"/>
    <w:pPr>
      <w:keepNext/>
      <w:keepLines/>
      <w:spacing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602A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E602A1"/>
    <w:rPr>
      <w:b/>
    </w:rPr>
  </w:style>
  <w:style w:type="paragraph" w:styleId="a5">
    <w:name w:val="header"/>
    <w:basedOn w:val="a"/>
    <w:link w:val="a6"/>
    <w:rsid w:val="00D805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8054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D805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D8054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5</Pages>
  <Words>210</Words>
  <Characters>1198</Characters>
  <Application>Microsoft Office Word</Application>
  <DocSecurity>0</DocSecurity>
  <Lines>9</Lines>
  <Paragraphs>2</Paragraphs>
  <ScaleCrop>false</ScaleCrop>
  <Company>微软中国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hefei</cp:lastModifiedBy>
  <cp:revision>15</cp:revision>
  <dcterms:created xsi:type="dcterms:W3CDTF">2021-12-16T09:22:00Z</dcterms:created>
  <dcterms:modified xsi:type="dcterms:W3CDTF">2022-12-30T02:38:00Z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7714E7712CDF458AA164E35D78EB666A</vt:lpwstr>
  </property>
</Properties>
</file>