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14:paraId="472FB490">
      <w:pPr>
        <w:jc w:val="center"/>
        <w:rPr>
          <w:b/>
          <w:bCs/>
          <w:sz w:val="36"/>
          <w:szCs w:val="36"/>
        </w:rPr>
      </w:pPr>
      <w:r>
        <w:rPr>
          <w:rFonts w:hint="eastAsia"/>
          <w:b/>
          <w:bCs/>
          <w:sz w:val="36"/>
          <w:szCs w:val="36"/>
        </w:rPr>
        <w:t>寿县公安局202</w:t>
      </w:r>
      <w:r>
        <w:rPr>
          <w:rFonts w:hint="eastAsia"/>
          <w:b/>
          <w:bCs/>
          <w:sz w:val="36"/>
          <w:szCs w:val="36"/>
          <w:lang w:val="en-US" w:eastAsia="zh-CN"/>
        </w:rPr>
        <w:t>5</w:t>
      </w:r>
      <w:r>
        <w:rPr>
          <w:rFonts w:hint="eastAsia"/>
          <w:b/>
          <w:bCs/>
          <w:sz w:val="36"/>
          <w:szCs w:val="36"/>
        </w:rPr>
        <w:t>年人民警察执勤岗位津贴事前绩效评估报告</w:t>
      </w:r>
    </w:p>
    <w:p w14:paraId="24570D90">
      <w:pPr>
        <w:numPr>
          <w:ilvl w:val="0"/>
          <w:numId w:val="1"/>
        </w:numPr>
        <w:rPr>
          <w:rFonts w:ascii="仿宋" w:eastAsia="仿宋" w:hAnsi="仿宋"/>
          <w:b/>
          <w:sz w:val="32"/>
          <w:szCs w:val="32"/>
        </w:rPr>
      </w:pPr>
      <w:r>
        <w:rPr>
          <w:rFonts w:ascii="仿宋" w:eastAsia="仿宋" w:hAnsi="仿宋" w:hint="eastAsia"/>
          <w:b/>
          <w:sz w:val="32"/>
          <w:szCs w:val="32"/>
        </w:rPr>
        <w:t>评估对象</w:t>
      </w:r>
    </w:p>
    <w:p w14:paraId="442E3D13">
      <w:pPr>
        <w:numPr>
          <w:ilvl w:val="0"/>
          <w:numId w:val="2"/>
        </w:numPr>
        <w:rPr>
          <w:rFonts w:ascii="仿宋" w:eastAsia="仿宋" w:hAnsi="仿宋"/>
          <w:sz w:val="32"/>
          <w:szCs w:val="32"/>
        </w:rPr>
      </w:pPr>
      <w:r>
        <w:rPr>
          <w:rFonts w:ascii="仿宋" w:eastAsia="仿宋" w:hAnsi="仿宋" w:hint="eastAsia"/>
          <w:sz w:val="32"/>
          <w:szCs w:val="32"/>
        </w:rPr>
        <w:t>项目名称：人民警察执勤岗位津贴</w:t>
      </w:r>
    </w:p>
    <w:p w14:paraId="43563406">
      <w:pPr>
        <w:numPr>
          <w:ilvl w:val="0"/>
          <w:numId w:val="2"/>
        </w:numPr>
        <w:rPr>
          <w:rFonts w:ascii="仿宋" w:eastAsia="仿宋" w:hAnsi="仿宋"/>
          <w:sz w:val="32"/>
          <w:szCs w:val="32"/>
        </w:rPr>
      </w:pPr>
      <w:r>
        <w:rPr>
          <w:rFonts w:ascii="仿宋" w:eastAsia="仿宋" w:hAnsi="仿宋" w:hint="eastAsia"/>
          <w:sz w:val="32"/>
          <w:szCs w:val="32"/>
        </w:rPr>
        <w:t>项目绩效目标：</w:t>
      </w:r>
    </w:p>
    <w:p w14:paraId="55259E5B">
      <w:pPr>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rPr>
        <w:t>202</w:t>
      </w:r>
      <w:r>
        <w:rPr>
          <w:rFonts w:ascii="仿宋" w:eastAsia="仿宋" w:hAnsi="仿宋" w:cs="仿宋_GB2312" w:hint="eastAsia"/>
          <w:sz w:val="32"/>
          <w:szCs w:val="32"/>
          <w:lang w:val="en-US" w:eastAsia="zh-CN"/>
        </w:rPr>
        <w:t>5</w:t>
      </w:r>
      <w:r>
        <w:rPr>
          <w:rFonts w:ascii="仿宋" w:eastAsia="仿宋" w:hAnsi="仿宋" w:cs="仿宋_GB2312" w:hint="eastAsia"/>
          <w:sz w:val="32"/>
          <w:szCs w:val="32"/>
        </w:rPr>
        <w:t>年度</w:t>
      </w:r>
      <w:r>
        <w:rPr>
          <w:rFonts w:ascii="仿宋" w:eastAsia="仿宋" w:hAnsi="仿宋" w:hint="eastAsia"/>
          <w:sz w:val="32"/>
          <w:szCs w:val="32"/>
        </w:rPr>
        <w:t>人民警察执勤岗位津贴</w:t>
      </w:r>
      <w:r>
        <w:rPr>
          <w:rFonts w:ascii="仿宋" w:eastAsia="仿宋" w:hAnsi="仿宋" w:cs="仿宋_GB2312" w:hint="eastAsia"/>
          <w:sz w:val="32"/>
          <w:szCs w:val="32"/>
        </w:rPr>
        <w:t>整体绩效目标为：通过项目实施对公安机关中承担维护稳定、行使治安行政管理和履行刑事执法等职能的人民警察进一步落实从优待警政策，稳定人民警察队伍，增强凝聚力和战斗力，保证社会长治久安，促进社会主义和谐社会建设。</w:t>
      </w:r>
    </w:p>
    <w:p w14:paraId="291C6071">
      <w:pPr>
        <w:spacing w:line="600" w:lineRule="exact"/>
        <w:rPr>
          <w:rFonts w:ascii="仿宋" w:eastAsia="仿宋" w:hAnsi="仿宋"/>
          <w:sz w:val="32"/>
          <w:szCs w:val="32"/>
        </w:rPr>
      </w:pPr>
      <w:r>
        <w:rPr>
          <w:rFonts w:ascii="仿宋" w:eastAsia="仿宋" w:hAnsi="仿宋" w:cs="仿宋_GB2312" w:hint="eastAsia"/>
          <w:sz w:val="32"/>
          <w:szCs w:val="32"/>
        </w:rPr>
        <w:t>（三）</w:t>
      </w:r>
      <w:r>
        <w:rPr>
          <w:rFonts w:ascii="仿宋" w:eastAsia="仿宋" w:hAnsi="仿宋" w:hint="eastAsia"/>
          <w:sz w:val="32"/>
          <w:szCs w:val="32"/>
        </w:rPr>
        <w:t>项目资金构成：</w:t>
      </w:r>
    </w:p>
    <w:p w14:paraId="4D826A72">
      <w:pPr>
        <w:pStyle w:val="1"/>
        <w:ind w:firstLine="640"/>
        <w:jc w:val="left"/>
        <w:rPr>
          <w:rFonts w:ascii="仿宋" w:eastAsia="仿宋" w:hAnsi="仿宋" w:cs="仿宋_GB2312"/>
          <w:sz w:val="32"/>
          <w:szCs w:val="32"/>
        </w:rPr>
      </w:pPr>
      <w:r>
        <w:rPr>
          <w:rFonts w:ascii="仿宋" w:eastAsia="仿宋" w:hAnsi="仿宋" w:hint="eastAsia"/>
          <w:sz w:val="32"/>
          <w:szCs w:val="32"/>
        </w:rPr>
        <w:t>202</w:t>
      </w:r>
      <w:r>
        <w:rPr>
          <w:rFonts w:ascii="仿宋" w:eastAsia="仿宋" w:hAnsi="仿宋" w:hint="eastAsia"/>
          <w:sz w:val="32"/>
          <w:szCs w:val="32"/>
          <w:lang w:val="en-US" w:eastAsia="zh-CN"/>
        </w:rPr>
        <w:t>5</w:t>
      </w:r>
      <w:r>
        <w:rPr>
          <w:rFonts w:ascii="仿宋" w:eastAsia="仿宋" w:hAnsi="仿宋" w:hint="eastAsia"/>
          <w:sz w:val="32"/>
          <w:szCs w:val="32"/>
        </w:rPr>
        <w:t>年度人民警察执勤岗位津贴按照每人每月人均968元标准，202</w:t>
      </w:r>
      <w:r>
        <w:rPr>
          <w:rFonts w:ascii="仿宋" w:eastAsia="仿宋" w:hAnsi="仿宋" w:hint="eastAsia"/>
          <w:sz w:val="32"/>
          <w:szCs w:val="32"/>
          <w:lang w:val="en-US" w:eastAsia="zh-CN"/>
        </w:rPr>
        <w:t>5</w:t>
      </w:r>
      <w:r>
        <w:rPr>
          <w:rFonts w:ascii="仿宋" w:eastAsia="仿宋" w:hAnsi="仿宋" w:hint="eastAsia"/>
          <w:sz w:val="32"/>
          <w:szCs w:val="32"/>
        </w:rPr>
        <w:t>年预计在职民警52</w:t>
      </w:r>
      <w:r>
        <w:rPr>
          <w:rFonts w:ascii="仿宋" w:eastAsia="仿宋" w:hAnsi="仿宋" w:hint="eastAsia"/>
          <w:sz w:val="32"/>
          <w:szCs w:val="32"/>
          <w:lang w:val="en-US" w:eastAsia="zh-CN"/>
        </w:rPr>
        <w:t>0</w:t>
      </w:r>
      <w:r>
        <w:rPr>
          <w:rFonts w:ascii="仿宋" w:eastAsia="仿宋" w:hAnsi="仿宋" w:hint="eastAsia"/>
          <w:sz w:val="32"/>
          <w:szCs w:val="32"/>
        </w:rPr>
        <w:t>人计算，共需资金</w:t>
      </w:r>
      <w:r>
        <w:rPr>
          <w:rFonts w:ascii="仿宋" w:eastAsia="仿宋" w:hAnsi="仿宋" w:hint="eastAsia"/>
          <w:sz w:val="32"/>
          <w:szCs w:val="32"/>
          <w:lang w:val="en-US" w:eastAsia="zh-CN"/>
        </w:rPr>
        <w:t>604.03万</w:t>
      </w:r>
      <w:r>
        <w:rPr>
          <w:rFonts w:ascii="仿宋" w:eastAsia="仿宋" w:hAnsi="仿宋" w:hint="eastAsia"/>
          <w:sz w:val="32"/>
          <w:szCs w:val="32"/>
        </w:rPr>
        <w:t>元。</w:t>
      </w:r>
    </w:p>
    <w:p w14:paraId="4A9A891A">
      <w:pPr>
        <w:rPr>
          <w:rFonts w:ascii="仿宋" w:eastAsia="仿宋" w:hAnsi="仿宋"/>
          <w:sz w:val="32"/>
          <w:szCs w:val="32"/>
        </w:rPr>
      </w:pPr>
      <w:r>
        <w:rPr>
          <w:rFonts w:ascii="仿宋" w:eastAsia="仿宋" w:hAnsi="仿宋" w:hint="eastAsia"/>
          <w:sz w:val="32"/>
          <w:szCs w:val="32"/>
        </w:rPr>
        <w:t>（四）项目概况：</w:t>
      </w:r>
    </w:p>
    <w:p w14:paraId="3F4CA531">
      <w:pPr>
        <w:pStyle w:val="1"/>
        <w:ind w:firstLine="640"/>
        <w:jc w:val="left"/>
        <w:rPr>
          <w:rFonts w:ascii="仿宋" w:eastAsia="仿宋" w:hAnsi="仿宋" w:cs="仿宋_GB2312"/>
          <w:sz w:val="32"/>
          <w:szCs w:val="32"/>
        </w:rPr>
      </w:pPr>
      <w:r>
        <w:rPr>
          <w:rFonts w:ascii="仿宋" w:eastAsia="仿宋" w:hAnsi="仿宋" w:cs="仿宋_GB2312" w:hint="eastAsia"/>
          <w:sz w:val="32"/>
          <w:szCs w:val="32"/>
        </w:rPr>
        <w:t>寿县公安局现有内设机构4个（监察室、政工监督室、警务保障室、工会），直属机构18个（情指实战中心、法制大队、国内安全保卫大队、出入境管理大队、刑事侦查大队、特巡警大队、交通管理大队、禁毒大队、经济犯罪侦查大队、治安管理大队、警务督察大队、城管警察大队、保安管理大队、网络安全保卫大队、情报信息中心、司法鉴定中心、教育训练中心、行政审批服务中心），公安派出所30个，监管场所2个，共计54个二级机构。主要职能是维护社会治安秩序；保护公民的人身安全和人身自由；预防、制止和惩治违法犯罪活动等。</w:t>
      </w:r>
    </w:p>
    <w:p w14:paraId="05BE2454">
      <w:pPr>
        <w:numPr>
          <w:ilvl w:val="0"/>
          <w:numId w:val="1"/>
        </w:numPr>
        <w:rPr>
          <w:rFonts w:ascii="仿宋" w:eastAsia="仿宋" w:hAnsi="仿宋"/>
          <w:b/>
          <w:sz w:val="32"/>
          <w:szCs w:val="32"/>
        </w:rPr>
      </w:pPr>
      <w:r>
        <w:rPr>
          <w:rFonts w:ascii="仿宋" w:eastAsia="仿宋" w:hAnsi="仿宋" w:hint="eastAsia"/>
          <w:b/>
          <w:sz w:val="32"/>
          <w:szCs w:val="32"/>
        </w:rPr>
        <w:t>事前绩效评估的基本情况</w:t>
      </w:r>
    </w:p>
    <w:p w14:paraId="14BC4E62">
      <w:pPr>
        <w:rPr>
          <w:rFonts w:ascii="仿宋" w:eastAsia="仿宋" w:hAnsi="仿宋"/>
          <w:b/>
          <w:sz w:val="32"/>
          <w:szCs w:val="32"/>
        </w:rPr>
      </w:pPr>
      <w:r>
        <w:rPr>
          <w:rFonts w:ascii="仿宋" w:eastAsia="仿宋" w:hAnsi="仿宋" w:hint="eastAsia"/>
          <w:sz w:val="32"/>
          <w:szCs w:val="32"/>
        </w:rPr>
        <w:t>（一）评估程序。</w:t>
      </w:r>
    </w:p>
    <w:p w14:paraId="3575E02B">
      <w:pPr>
        <w:spacing w:line="620" w:lineRule="exact"/>
        <w:ind w:firstLine="640" w:firstLineChars="20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、准备阶段。</w:t>
      </w:r>
    </w:p>
    <w:p w14:paraId="09748F76">
      <w:pPr>
        <w:spacing w:line="620" w:lineRule="exact"/>
        <w:ind w:firstLine="640" w:firstLineChars="200"/>
        <w:rPr>
          <w:rFonts w:ascii="仿宋" w:eastAsia="仿宋" w:hAnsi="仿宋"/>
          <w:sz w:val="32"/>
          <w:szCs w:val="32"/>
        </w:rPr>
      </w:pPr>
      <w:r>
        <w:rPr>
          <w:rFonts w:ascii="仿宋" w:eastAsia="仿宋" w:hAnsi="仿宋" w:hint="eastAsia"/>
          <w:sz w:val="32"/>
          <w:szCs w:val="32"/>
        </w:rPr>
        <w:t>①确定评估对象。根据部门职能，按照县委、县政府决策部署，依据年度预算编制管理的有关要求，确定事前评估对象。</w:t>
      </w:r>
    </w:p>
    <w:p w14:paraId="6DDDE748">
      <w:pPr>
        <w:spacing w:line="620" w:lineRule="exact"/>
        <w:ind w:firstLine="640" w:firstLineChars="200"/>
        <w:rPr>
          <w:rFonts w:ascii="仿宋" w:eastAsia="仿宋" w:hAnsi="仿宋"/>
          <w:sz w:val="32"/>
          <w:szCs w:val="32"/>
        </w:rPr>
      </w:pPr>
      <w:r>
        <w:rPr>
          <w:rFonts w:ascii="仿宋" w:eastAsia="仿宋" w:hAnsi="仿宋" w:hint="eastAsia"/>
          <w:sz w:val="32"/>
          <w:szCs w:val="32"/>
        </w:rPr>
        <w:t>②成立评估组织。成立评估组，确定评估工作人员，明确责任和任务。</w:t>
      </w:r>
    </w:p>
    <w:p w14:paraId="74B887E6">
      <w:pPr>
        <w:spacing w:line="620" w:lineRule="exact"/>
        <w:ind w:firstLine="640" w:firstLineChars="200"/>
        <w:rPr>
          <w:rFonts w:ascii="仿宋" w:eastAsia="仿宋" w:hAnsi="仿宋"/>
          <w:sz w:val="32"/>
          <w:szCs w:val="32"/>
        </w:rPr>
      </w:pPr>
      <w:r>
        <w:rPr>
          <w:rFonts w:ascii="仿宋" w:eastAsia="仿宋" w:hAnsi="仿宋" w:hint="eastAsia"/>
          <w:sz w:val="32"/>
          <w:szCs w:val="32"/>
        </w:rPr>
        <w:t>③制定评估方案。</w:t>
      </w:r>
    </w:p>
    <w:p w14:paraId="063160B3">
      <w:pPr>
        <w:spacing w:line="620" w:lineRule="exact"/>
        <w:ind w:firstLine="640" w:firstLineChars="20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、实施阶段</w:t>
      </w:r>
    </w:p>
    <w:p w14:paraId="057A1353">
      <w:pPr>
        <w:spacing w:line="620" w:lineRule="exact"/>
        <w:ind w:firstLine="640" w:firstLineChars="200"/>
        <w:rPr>
          <w:rFonts w:ascii="仿宋" w:eastAsia="仿宋" w:hAnsi="仿宋"/>
          <w:sz w:val="32"/>
          <w:szCs w:val="32"/>
        </w:rPr>
      </w:pPr>
      <w:r>
        <w:rPr>
          <w:rFonts w:ascii="仿宋" w:eastAsia="仿宋" w:hAnsi="仿宋" w:hint="eastAsia"/>
          <w:sz w:val="32"/>
          <w:szCs w:val="32"/>
        </w:rPr>
        <w:t>①资料收集与审核。全面收集与被评估政策和项目有关的数据和资料，并进行审核与分析。</w:t>
      </w:r>
    </w:p>
    <w:p w14:paraId="5E4AC5D1">
      <w:pPr>
        <w:spacing w:line="620" w:lineRule="exact"/>
        <w:ind w:firstLine="640" w:firstLineChars="200"/>
        <w:rPr>
          <w:rFonts w:ascii="仿宋" w:eastAsia="仿宋" w:hAnsi="仿宋"/>
          <w:sz w:val="32"/>
          <w:szCs w:val="32"/>
        </w:rPr>
      </w:pPr>
      <w:r>
        <w:rPr>
          <w:rFonts w:ascii="仿宋" w:eastAsia="仿宋" w:hAnsi="仿宋" w:hint="eastAsia"/>
          <w:sz w:val="32"/>
          <w:szCs w:val="32"/>
        </w:rPr>
        <w:t>②开展非现场评估。评估组对有关资料进行分类、整理与分析，提出评估意见。</w:t>
      </w:r>
    </w:p>
    <w:p w14:paraId="13BE6780">
      <w:pPr>
        <w:spacing w:line="620" w:lineRule="exact"/>
        <w:ind w:firstLine="640" w:firstLineChars="200"/>
        <w:rPr>
          <w:rFonts w:ascii="仿宋" w:eastAsia="仿宋" w:hAnsi="仿宋"/>
          <w:sz w:val="32"/>
          <w:szCs w:val="32"/>
        </w:rPr>
      </w:pPr>
      <w:r>
        <w:rPr>
          <w:rFonts w:ascii="仿宋" w:eastAsia="仿宋" w:hAnsi="仿宋" w:hint="eastAsia"/>
          <w:sz w:val="32"/>
          <w:szCs w:val="32"/>
        </w:rPr>
        <w:t>③综合评估。评估组选择因素分析方法，对照评估方案中内容，对政策和项目立项必要性、投入经济性、绩效目标合理性、实施方案可行性、筹资合规性等情况进行综合评判。</w:t>
      </w:r>
    </w:p>
    <w:p w14:paraId="3452F135">
      <w:pPr>
        <w:spacing w:line="620" w:lineRule="exact"/>
        <w:ind w:firstLine="640" w:firstLineChars="20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、报告阶段。</w:t>
      </w:r>
    </w:p>
    <w:p w14:paraId="16CFD16E">
      <w:pPr>
        <w:spacing w:line="620" w:lineRule="exact"/>
        <w:ind w:firstLine="640" w:firstLineChars="200"/>
        <w:rPr>
          <w:rFonts w:ascii="仿宋" w:eastAsia="仿宋" w:hAnsi="仿宋"/>
          <w:sz w:val="32"/>
          <w:szCs w:val="32"/>
        </w:rPr>
      </w:pPr>
      <w:r>
        <w:rPr>
          <w:rFonts w:ascii="仿宋" w:eastAsia="仿宋" w:hAnsi="仿宋" w:hint="eastAsia"/>
          <w:sz w:val="32"/>
          <w:szCs w:val="32"/>
        </w:rPr>
        <w:t>根据评估情况出具事前评估报告。</w:t>
      </w:r>
    </w:p>
    <w:p w14:paraId="5E368D48">
      <w:pPr>
        <w:spacing w:line="620" w:lineRule="exact"/>
        <w:ind w:firstLine="480" w:firstLineChars="150"/>
        <w:rPr>
          <w:rFonts w:ascii="仿宋" w:eastAsia="仿宋" w:hAnsi="仿宋"/>
          <w:sz w:val="32"/>
          <w:szCs w:val="32"/>
        </w:rPr>
      </w:pPr>
      <w:r>
        <w:rPr>
          <w:rFonts w:ascii="仿宋" w:eastAsia="仿宋" w:hAnsi="仿宋" w:hint="eastAsia"/>
          <w:sz w:val="32"/>
          <w:szCs w:val="32"/>
        </w:rPr>
        <w:t>（二）评估思路。</w:t>
      </w:r>
    </w:p>
    <w:p w14:paraId="7E916B32">
      <w:pPr>
        <w:spacing w:line="620" w:lineRule="exact"/>
        <w:ind w:firstLine="640" w:firstLineChars="200"/>
        <w:rPr>
          <w:rFonts w:ascii="仿宋" w:eastAsia="仿宋" w:hAnsi="仿宋"/>
          <w:sz w:val="32"/>
          <w:szCs w:val="32"/>
        </w:rPr>
      </w:pPr>
      <w:r>
        <w:rPr>
          <w:rFonts w:ascii="仿宋" w:eastAsia="仿宋" w:hAnsi="仿宋" w:hint="eastAsia"/>
          <w:sz w:val="32"/>
          <w:szCs w:val="32"/>
        </w:rPr>
        <w:t>本次评估主要依据安徽</w:t>
      </w:r>
      <w:r>
        <w:rPr>
          <w:rFonts w:ascii="仿宋" w:eastAsia="仿宋" w:hAnsi="仿宋" w:hint="eastAsia"/>
          <w:sz w:val="32"/>
          <w:szCs w:val="32"/>
        </w:rPr>
        <w:t>省财政厅</w:t>
      </w:r>
      <w:r>
        <w:rPr>
          <w:rFonts w:ascii="仿宋" w:eastAsia="仿宋" w:hAnsi="仿宋" w:hint="eastAsia"/>
          <w:sz w:val="32"/>
          <w:szCs w:val="32"/>
        </w:rPr>
        <w:t>印发的《安徽省省级政策和项目预算事前绩效评估管理暂行办法》（皖财绩</w:t>
      </w:r>
      <w:r>
        <w:rPr>
          <w:rFonts w:ascii="仿宋" w:eastAsia="仿宋" w:hAnsi="仿宋"/>
          <w:sz w:val="32"/>
          <w:szCs w:val="32"/>
        </w:rPr>
        <w:t>[20</w:t>
      </w:r>
      <w:r>
        <w:rPr>
          <w:rFonts w:ascii="仿宋" w:eastAsia="仿宋" w:hAnsi="仿宋" w:hint="eastAsia"/>
          <w:sz w:val="32"/>
          <w:szCs w:val="32"/>
        </w:rPr>
        <w:t>20</w:t>
      </w:r>
      <w:r>
        <w:rPr>
          <w:rFonts w:ascii="仿宋" w:eastAsia="仿宋" w:hAnsi="仿宋"/>
          <w:sz w:val="32"/>
          <w:szCs w:val="32"/>
        </w:rPr>
        <w:t>]</w:t>
      </w:r>
      <w:r>
        <w:rPr>
          <w:rFonts w:ascii="仿宋" w:eastAsia="仿宋" w:hAnsi="仿宋" w:hint="eastAsia"/>
          <w:sz w:val="32"/>
          <w:szCs w:val="32"/>
        </w:rPr>
        <w:t>666号）、《安徽省省级预算绩效管理暂行办法》（皖财绩</w:t>
      </w:r>
      <w:r>
        <w:rPr>
          <w:rFonts w:ascii="仿宋" w:eastAsia="仿宋" w:hAnsi="仿宋"/>
          <w:sz w:val="32"/>
          <w:szCs w:val="32"/>
        </w:rPr>
        <w:t>[2019]</w:t>
      </w:r>
      <w:r>
        <w:rPr>
          <w:rFonts w:ascii="仿宋" w:eastAsia="仿宋" w:hAnsi="仿宋" w:hint="eastAsia"/>
          <w:sz w:val="32"/>
          <w:szCs w:val="32"/>
        </w:rPr>
        <w:t>1018号）以及寿县财政局印发的《寿县县级政策和项目事前绩效评估管理暂行办法》（寿财绩</w:t>
      </w:r>
      <w:r>
        <w:rPr>
          <w:rFonts w:ascii="仿宋" w:eastAsia="仿宋" w:hAnsi="仿宋"/>
          <w:sz w:val="32"/>
          <w:szCs w:val="32"/>
        </w:rPr>
        <w:t>[20</w:t>
      </w:r>
      <w:r>
        <w:rPr>
          <w:rFonts w:ascii="仿宋" w:eastAsia="仿宋" w:hAnsi="仿宋" w:hint="eastAsia"/>
          <w:sz w:val="32"/>
          <w:szCs w:val="32"/>
        </w:rPr>
        <w:t>21</w:t>
      </w:r>
      <w:r>
        <w:rPr>
          <w:rFonts w:ascii="仿宋" w:eastAsia="仿宋" w:hAnsi="仿宋"/>
          <w:sz w:val="32"/>
          <w:szCs w:val="32"/>
        </w:rPr>
        <w:t>]</w:t>
      </w:r>
      <w:r>
        <w:rPr>
          <w:rFonts w:ascii="仿宋" w:eastAsia="仿宋" w:hAnsi="仿宋" w:hint="eastAsia"/>
          <w:sz w:val="32"/>
          <w:szCs w:val="32"/>
        </w:rPr>
        <w:t>39号）等相关规定执行，运动科学、合理的评估方法，对政策或项目立项必要性、投入经济性、绩效目标合理性、实施方案可行性、筹资和规定等进行客观、公正的评估</w:t>
      </w:r>
    </w:p>
    <w:p w14:paraId="0E26EFDF">
      <w:pPr>
        <w:spacing w:line="620" w:lineRule="exact"/>
        <w:ind w:firstLine="480" w:firstLineChars="150"/>
        <w:rPr>
          <w:rFonts w:ascii="仿宋" w:eastAsia="仿宋" w:hAnsi="仿宋"/>
          <w:sz w:val="32"/>
          <w:szCs w:val="32"/>
        </w:rPr>
      </w:pPr>
      <w:r>
        <w:rPr>
          <w:rFonts w:ascii="仿宋" w:eastAsia="仿宋" w:hAnsi="仿宋" w:hint="eastAsia"/>
          <w:sz w:val="32"/>
          <w:szCs w:val="32"/>
        </w:rPr>
        <w:t>（三）评估方式、方法。</w:t>
      </w:r>
    </w:p>
    <w:p w14:paraId="1E0979C4">
      <w:pPr>
        <w:spacing w:line="620" w:lineRule="exact"/>
        <w:ind w:firstLine="640" w:firstLineChars="20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、评估方式</w:t>
      </w:r>
    </w:p>
    <w:p w14:paraId="16E813D6">
      <w:pPr>
        <w:spacing w:line="620" w:lineRule="exact"/>
        <w:ind w:firstLine="640" w:firstLineChars="200"/>
        <w:rPr>
          <w:rFonts w:ascii="仿宋" w:eastAsia="仿宋" w:hAnsi="仿宋"/>
          <w:sz w:val="32"/>
          <w:szCs w:val="32"/>
        </w:rPr>
      </w:pPr>
      <w:r>
        <w:rPr>
          <w:rFonts w:ascii="仿宋" w:eastAsia="仿宋" w:hAnsi="仿宋" w:hint="eastAsia"/>
          <w:sz w:val="32"/>
          <w:szCs w:val="32"/>
        </w:rPr>
        <w:t>本次评估采用参考相关文件资料，评审组自评的方式。</w:t>
      </w:r>
    </w:p>
    <w:p w14:paraId="6D616745">
      <w:pPr>
        <w:spacing w:line="620" w:lineRule="exact"/>
        <w:ind w:firstLine="640" w:firstLineChars="20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、评估方法</w:t>
      </w:r>
    </w:p>
    <w:p w14:paraId="3E747B06">
      <w:pPr>
        <w:spacing w:line="620" w:lineRule="exact"/>
        <w:ind w:firstLine="640" w:firstLineChars="200"/>
        <w:rPr>
          <w:rFonts w:ascii="仿宋" w:eastAsia="仿宋" w:hAnsi="仿宋"/>
          <w:sz w:val="32"/>
          <w:szCs w:val="32"/>
        </w:rPr>
      </w:pPr>
      <w:r>
        <w:rPr>
          <w:rFonts w:ascii="仿宋" w:eastAsia="仿宋" w:hAnsi="仿宋" w:hint="eastAsia"/>
          <w:sz w:val="32"/>
          <w:szCs w:val="32"/>
        </w:rPr>
        <w:t>本次事前评估方法采用因素分析法、自评法、文献法等。</w:t>
      </w:r>
    </w:p>
    <w:p w14:paraId="7E869DEC">
      <w:pPr>
        <w:spacing w:line="620" w:lineRule="exact"/>
        <w:rPr>
          <w:rFonts w:ascii="仿宋" w:eastAsia="仿宋" w:hAnsi="仿宋"/>
          <w:b/>
          <w:sz w:val="32"/>
          <w:szCs w:val="32"/>
        </w:rPr>
      </w:pPr>
      <w:r>
        <w:rPr>
          <w:rFonts w:ascii="仿宋" w:eastAsia="仿宋" w:hAnsi="仿宋" w:hint="eastAsia"/>
          <w:b/>
          <w:sz w:val="32"/>
          <w:szCs w:val="32"/>
        </w:rPr>
        <w:t>三、评估内容和结论</w:t>
      </w:r>
    </w:p>
    <w:p w14:paraId="7B55BAA9">
      <w:pPr>
        <w:spacing w:line="620" w:lineRule="exact"/>
        <w:ind w:firstLine="640" w:firstLineChars="200"/>
        <w:rPr>
          <w:rFonts w:ascii="仿宋" w:eastAsia="仿宋" w:hAnsi="仿宋"/>
          <w:sz w:val="32"/>
          <w:szCs w:val="32"/>
        </w:rPr>
      </w:pPr>
      <w:r>
        <w:rPr>
          <w:rFonts w:ascii="仿宋" w:eastAsia="仿宋" w:hAnsi="仿宋" w:hint="eastAsia"/>
          <w:sz w:val="32"/>
          <w:szCs w:val="32"/>
        </w:rPr>
        <w:t>（一）立项必要性。</w:t>
      </w:r>
    </w:p>
    <w:p w14:paraId="23FEE72B">
      <w:pPr>
        <w:spacing w:line="620" w:lineRule="exact"/>
        <w:ind w:firstLine="640" w:firstLineChars="200"/>
        <w:rPr>
          <w:rFonts w:ascii="仿宋" w:eastAsia="仿宋" w:hAnsi="仿宋" w:cs="仿宋_GB2312"/>
          <w:sz w:val="32"/>
          <w:szCs w:val="32"/>
        </w:rPr>
      </w:pPr>
      <w:r>
        <w:rPr>
          <w:rFonts w:ascii="仿宋" w:eastAsia="仿宋" w:hAnsi="仿宋" w:hint="eastAsia"/>
          <w:color w:val="333333"/>
          <w:sz w:val="32"/>
          <w:szCs w:val="32"/>
          <w:shd w:val="clear" w:color="auto" w:fill="FFFFFF"/>
        </w:rPr>
        <w:t>根据人力资源社会保障部、财政部《关于执行人民警察执勤岗位津贴有关问题的通知》（人社部规[2017]10号），安徽省人力资源和社会保障厅、安徽省财政厅《转发人力资源社会保障部、财政部关于执行人民警察执勤岗位津贴有关问题的通知》（皖人社秘[2017]254号）202</w:t>
      </w:r>
      <w:r>
        <w:rPr>
          <w:rFonts w:ascii="仿宋" w:eastAsia="仿宋" w:hAnsi="仿宋" w:hint="eastAsia"/>
          <w:color w:val="333333"/>
          <w:sz w:val="32"/>
          <w:szCs w:val="32"/>
          <w:shd w:val="clear" w:color="auto" w:fill="FFFFFF"/>
          <w:lang w:val="en-US" w:eastAsia="zh-CN"/>
        </w:rPr>
        <w:t>5</w:t>
      </w:r>
      <w:r>
        <w:rPr>
          <w:rFonts w:ascii="仿宋" w:eastAsia="仿宋" w:hAnsi="仿宋" w:hint="eastAsia"/>
          <w:color w:val="333333"/>
          <w:sz w:val="32"/>
          <w:szCs w:val="32"/>
          <w:shd w:val="clear" w:color="auto" w:fill="FFFFFF"/>
        </w:rPr>
        <w:t xml:space="preserve"> </w:t>
      </w:r>
      <w:bookmarkStart w:id="0" w:name="_GoBack"/>
      <w:bookmarkEnd w:id="0"/>
      <w:r>
        <w:rPr>
          <w:rFonts w:ascii="仿宋" w:eastAsia="仿宋" w:hAnsi="仿宋" w:hint="eastAsia"/>
          <w:color w:val="333333"/>
          <w:sz w:val="32"/>
          <w:szCs w:val="32"/>
          <w:shd w:val="clear" w:color="auto" w:fill="FFFFFF"/>
        </w:rPr>
        <w:t>年年初预算投入资金主要用于</w:t>
      </w:r>
      <w:r>
        <w:rPr>
          <w:rFonts w:ascii="仿宋" w:eastAsia="仿宋" w:hAnsi="仿宋" w:cs="仿宋_GB2312" w:hint="eastAsia"/>
          <w:sz w:val="32"/>
          <w:szCs w:val="32"/>
        </w:rPr>
        <w:t>对公安机关中承担维护稳定、行使治安行政管理和履行刑事执法等智能的人民警察进一步落实从优待警政策，稳定人民警察队伍，增强凝聚力和战斗力，保证社会长治久安，促进社会主义和谐社会建设。</w:t>
      </w:r>
    </w:p>
    <w:p w14:paraId="21B1F4FC">
      <w:pPr>
        <w:spacing w:line="620" w:lineRule="exact"/>
        <w:ind w:firstLine="640" w:firstLineChars="200"/>
        <w:rPr>
          <w:rFonts w:ascii="仿宋" w:eastAsia="仿宋" w:hAnsi="仿宋"/>
          <w:sz w:val="32"/>
          <w:szCs w:val="32"/>
        </w:rPr>
      </w:pPr>
      <w:r>
        <w:rPr>
          <w:rFonts w:ascii="仿宋" w:eastAsia="仿宋" w:hAnsi="仿宋" w:hint="eastAsia"/>
          <w:sz w:val="32"/>
          <w:szCs w:val="32"/>
        </w:rPr>
        <w:t>（二）绩效目标合理性。</w:t>
      </w:r>
    </w:p>
    <w:p w14:paraId="63E2EE22">
      <w:pPr>
        <w:spacing w:line="620" w:lineRule="exact"/>
        <w:ind w:firstLine="640" w:firstLineChars="200"/>
        <w:rPr>
          <w:rFonts w:ascii="仿宋" w:eastAsia="仿宋" w:hAnsi="仿宋"/>
          <w:sz w:val="32"/>
          <w:szCs w:val="32"/>
        </w:rPr>
      </w:pPr>
      <w:bookmarkStart w:id="1" w:name="_Hlk53502147"/>
      <w:r>
        <w:rPr>
          <w:rFonts w:ascii="仿宋" w:eastAsia="仿宋" w:hAnsi="仿宋" w:hint="eastAsia"/>
          <w:sz w:val="32"/>
          <w:szCs w:val="32"/>
        </w:rPr>
        <w:t>项目绩效目标明确，绩效目标与预计解决的问题、现实需要相对匹配，需进一步量化效益指标。</w:t>
      </w:r>
    </w:p>
    <w:bookmarkEnd w:id="1"/>
    <w:p w14:paraId="317E9817">
      <w:pPr>
        <w:spacing w:line="620" w:lineRule="exact"/>
        <w:ind w:firstLine="480" w:firstLineChars="150"/>
        <w:rPr>
          <w:rFonts w:ascii="仿宋" w:eastAsia="仿宋" w:hAnsi="仿宋"/>
          <w:sz w:val="32"/>
          <w:szCs w:val="32"/>
        </w:rPr>
      </w:pPr>
      <w:r>
        <w:rPr>
          <w:rFonts w:ascii="仿宋" w:eastAsia="仿宋" w:hAnsi="仿宋" w:hint="eastAsia"/>
          <w:sz w:val="32"/>
          <w:szCs w:val="32"/>
        </w:rPr>
        <w:t>（三）投入经济性</w:t>
      </w:r>
    </w:p>
    <w:p w14:paraId="5E7AC55F">
      <w:pPr>
        <w:spacing w:line="620" w:lineRule="exact"/>
        <w:ind w:firstLine="640" w:firstLineChars="200"/>
        <w:rPr>
          <w:rFonts w:ascii="仿宋" w:eastAsia="仿宋" w:hAnsi="仿宋"/>
          <w:sz w:val="32"/>
          <w:szCs w:val="32"/>
        </w:rPr>
      </w:pPr>
      <w:r>
        <w:rPr>
          <w:rFonts w:ascii="仿宋" w:eastAsia="仿宋" w:hAnsi="仿宋" w:hint="eastAsia"/>
          <w:sz w:val="32"/>
          <w:szCs w:val="32"/>
        </w:rPr>
        <w:t>投入产出及效果较匹配，测算相对合理。</w:t>
      </w:r>
    </w:p>
    <w:p w14:paraId="3CFFD4E5">
      <w:pPr>
        <w:spacing w:line="620" w:lineRule="exact"/>
        <w:ind w:firstLine="480" w:firstLineChars="150"/>
        <w:rPr>
          <w:rFonts w:ascii="仿宋" w:eastAsia="仿宋" w:hAnsi="仿宋"/>
          <w:sz w:val="32"/>
          <w:szCs w:val="32"/>
        </w:rPr>
      </w:pPr>
      <w:r>
        <w:rPr>
          <w:rFonts w:ascii="仿宋" w:eastAsia="仿宋" w:hAnsi="仿宋" w:hint="eastAsia"/>
          <w:sz w:val="32"/>
          <w:szCs w:val="32"/>
        </w:rPr>
        <w:t>（四）实施方案可行性</w:t>
      </w:r>
    </w:p>
    <w:p w14:paraId="6D482909">
      <w:pPr>
        <w:spacing w:line="620" w:lineRule="exact"/>
        <w:ind w:firstLine="640" w:firstLineChars="200"/>
        <w:rPr>
          <w:rFonts w:ascii="仿宋" w:eastAsia="仿宋" w:hAnsi="仿宋"/>
          <w:sz w:val="32"/>
          <w:szCs w:val="32"/>
        </w:rPr>
      </w:pPr>
      <w:r>
        <w:rPr>
          <w:rFonts w:ascii="仿宋" w:eastAsia="仿宋" w:hAnsi="仿宋" w:hint="eastAsia"/>
          <w:sz w:val="32"/>
          <w:szCs w:val="32"/>
        </w:rPr>
        <w:t>项目实施思路正确，工作内容较全面，但需细化，方法手段、进度安排合理，基础条件有保障，保障措施基本完备。</w:t>
      </w:r>
    </w:p>
    <w:p w14:paraId="64313484">
      <w:pPr>
        <w:spacing w:line="620" w:lineRule="exact"/>
        <w:ind w:firstLine="480" w:firstLineChars="150"/>
        <w:rPr>
          <w:rFonts w:ascii="仿宋" w:eastAsia="仿宋" w:hAnsi="仿宋"/>
          <w:sz w:val="32"/>
          <w:szCs w:val="32"/>
        </w:rPr>
      </w:pPr>
      <w:r>
        <w:rPr>
          <w:rFonts w:ascii="仿宋" w:eastAsia="仿宋" w:hAnsi="仿宋" w:hint="eastAsia"/>
          <w:sz w:val="32"/>
          <w:szCs w:val="32"/>
        </w:rPr>
        <w:t>（五）筹资合规性</w:t>
      </w:r>
    </w:p>
    <w:p w14:paraId="02CB35CC">
      <w:pPr>
        <w:spacing w:line="620" w:lineRule="exact"/>
        <w:ind w:firstLine="640" w:firstLineChars="200"/>
        <w:rPr>
          <w:rFonts w:ascii="仿宋" w:eastAsia="仿宋" w:hAnsi="仿宋"/>
          <w:sz w:val="32"/>
          <w:szCs w:val="32"/>
        </w:rPr>
      </w:pPr>
      <w:r>
        <w:rPr>
          <w:rFonts w:ascii="仿宋" w:eastAsia="仿宋" w:hAnsi="仿宋" w:hint="eastAsia"/>
          <w:sz w:val="32"/>
          <w:szCs w:val="32"/>
        </w:rPr>
        <w:t>资金来源符合相关规定，总体风险合理。</w:t>
      </w:r>
    </w:p>
    <w:p w14:paraId="014A8E6D">
      <w:pPr>
        <w:spacing w:line="620" w:lineRule="exact"/>
        <w:ind w:firstLine="480" w:firstLineChars="150"/>
        <w:rPr>
          <w:rFonts w:ascii="仿宋" w:eastAsia="仿宋" w:hAnsi="仿宋"/>
          <w:sz w:val="32"/>
          <w:szCs w:val="32"/>
        </w:rPr>
      </w:pPr>
      <w:r>
        <w:rPr>
          <w:rFonts w:ascii="仿宋" w:eastAsia="仿宋" w:hAnsi="仿宋" w:hint="eastAsia"/>
          <w:sz w:val="32"/>
          <w:szCs w:val="32"/>
        </w:rPr>
        <w:t>（六）总体结论。</w:t>
      </w:r>
    </w:p>
    <w:p w14:paraId="37924454">
      <w:pPr>
        <w:spacing w:line="620" w:lineRule="exact"/>
        <w:ind w:firstLine="640" w:firstLineChars="200"/>
        <w:rPr>
          <w:rFonts w:ascii="仿宋" w:eastAsia="仿宋" w:hAnsi="仿宋"/>
          <w:sz w:val="32"/>
          <w:szCs w:val="32"/>
        </w:rPr>
      </w:pPr>
      <w:r>
        <w:rPr>
          <w:rFonts w:ascii="仿宋" w:eastAsia="仿宋" w:hAnsi="仿宋" w:hint="eastAsia"/>
          <w:sz w:val="32"/>
          <w:szCs w:val="32"/>
        </w:rPr>
        <w:t>项目方案总体可行，建议立项实施。</w:t>
      </w:r>
    </w:p>
    <w:p w14:paraId="136A5859">
      <w:pPr>
        <w:spacing w:line="620" w:lineRule="exact"/>
        <w:rPr>
          <w:rFonts w:ascii="仿宋" w:eastAsia="仿宋" w:hAnsi="仿宋"/>
          <w:b/>
          <w:sz w:val="32"/>
          <w:szCs w:val="32"/>
        </w:rPr>
      </w:pPr>
      <w:r>
        <w:rPr>
          <w:rFonts w:ascii="仿宋" w:eastAsia="仿宋" w:hAnsi="仿宋" w:hint="eastAsia"/>
          <w:b/>
          <w:sz w:val="32"/>
          <w:szCs w:val="32"/>
        </w:rPr>
        <w:t>四、评估的相关建议</w:t>
      </w:r>
    </w:p>
    <w:p w14:paraId="0B457F61">
      <w:pPr>
        <w:spacing w:line="620" w:lineRule="exact"/>
        <w:ind w:firstLine="640" w:firstLineChars="200"/>
        <w:rPr>
          <w:rFonts w:ascii="仿宋" w:eastAsia="仿宋" w:hAnsi="仿宋"/>
          <w:sz w:val="32"/>
          <w:szCs w:val="32"/>
        </w:rPr>
      </w:pPr>
      <w:bookmarkStart w:id="2" w:name="_Hlk53502312"/>
      <w:r>
        <w:rPr>
          <w:rFonts w:ascii="仿宋" w:eastAsia="仿宋" w:hAnsi="仿宋"/>
          <w:sz w:val="32"/>
          <w:szCs w:val="32"/>
        </w:rPr>
        <w:t>1</w:t>
      </w:r>
      <w:r>
        <w:rPr>
          <w:rFonts w:ascii="仿宋" w:eastAsia="仿宋" w:hAnsi="仿宋" w:hint="eastAsia"/>
          <w:sz w:val="32"/>
          <w:szCs w:val="32"/>
        </w:rPr>
        <w:t>、进一步量化效益指标。</w:t>
      </w:r>
    </w:p>
    <w:p w14:paraId="6501BDD5">
      <w:pPr>
        <w:spacing w:line="620" w:lineRule="exact"/>
        <w:ind w:firstLine="640" w:firstLineChars="20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、进一步提高开源节流力度。</w:t>
      </w:r>
    </w:p>
    <w:p w14:paraId="5DC236F0">
      <w:pPr>
        <w:spacing w:line="620" w:lineRule="exact"/>
        <w:ind w:firstLine="640" w:firstLineChars="200"/>
        <w:rPr>
          <w:rFonts w:ascii="仿宋" w:eastAsia="仿宋" w:hAnsi="仿宋"/>
          <w:sz w:val="32"/>
          <w:szCs w:val="32"/>
        </w:rPr>
      </w:pPr>
      <w:r>
        <w:rPr>
          <w:rFonts w:ascii="仿宋" w:eastAsia="仿宋" w:hAnsi="仿宋" w:hint="eastAsia"/>
          <w:sz w:val="32"/>
          <w:szCs w:val="32"/>
        </w:rPr>
        <w:t>3、有些评价指标没有统一计算口径，不容易获取。</w:t>
      </w:r>
    </w:p>
    <w:bookmarkEnd w:id="2"/>
    <w:p w14:paraId="7EA65720">
      <w:pPr>
        <w:spacing w:line="620" w:lineRule="exact"/>
        <w:rPr>
          <w:rFonts w:ascii="仿宋" w:eastAsia="仿宋" w:hAnsi="仿宋"/>
          <w:b/>
          <w:sz w:val="32"/>
          <w:szCs w:val="32"/>
        </w:rPr>
      </w:pPr>
      <w:bookmarkStart w:id="3" w:name="page15"/>
      <w:bookmarkEnd w:id="3"/>
      <w:r>
        <w:rPr>
          <w:rFonts w:ascii="仿宋" w:eastAsia="仿宋" w:hAnsi="仿宋" w:hint="eastAsia"/>
          <w:b/>
          <w:sz w:val="32"/>
          <w:szCs w:val="32"/>
        </w:rPr>
        <w:t>五、其他需要说明的问题</w:t>
      </w:r>
    </w:p>
    <w:p w14:paraId="15E79760">
      <w:pPr>
        <w:spacing w:line="620" w:lineRule="exact"/>
        <w:ind w:firstLine="640" w:firstLineChars="200"/>
        <w:rPr>
          <w:rFonts w:ascii="仿宋" w:eastAsia="仿宋" w:hAnsi="仿宋"/>
          <w:sz w:val="32"/>
          <w:szCs w:val="32"/>
        </w:rPr>
      </w:pPr>
      <w:r>
        <w:rPr>
          <w:rFonts w:ascii="仿宋" w:eastAsia="仿宋" w:hAnsi="仿宋" w:hint="eastAsia"/>
          <w:sz w:val="32"/>
          <w:szCs w:val="32"/>
        </w:rPr>
        <w:t>无</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E87853"/>
    <w:multiLevelType w:val="multilevel"/>
    <w:tmpl w:val="1DE8785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7EE97852"/>
    <w:multiLevelType w:val="multilevel"/>
    <w:tmpl w:val="7EE97852"/>
    <w:lvl w:ilvl="0">
      <w:start w:val="1"/>
      <w:numFmt w:val="japaneseCounting"/>
      <w:lvlText w:val="（%1）"/>
      <w:lvlJc w:val="left"/>
      <w:pPr>
        <w:tabs>
          <w:tab w:val="left" w:pos="1080"/>
        </w:tabs>
        <w:ind w:left="1080"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D6"/>
    <w:rsid w:val="002470E8"/>
    <w:rsid w:val="00493142"/>
    <w:rsid w:val="00546334"/>
    <w:rsid w:val="00626A47"/>
    <w:rsid w:val="006B5142"/>
    <w:rsid w:val="00796F32"/>
    <w:rsid w:val="0098367B"/>
    <w:rsid w:val="00A948EE"/>
    <w:rsid w:val="00BC23C0"/>
    <w:rsid w:val="00BD4CD6"/>
    <w:rsid w:val="00C90FF3"/>
    <w:rsid w:val="00DE2A89"/>
    <w:rsid w:val="00E52FFF"/>
    <w:rsid w:val="00E80C74"/>
    <w:rsid w:val="14D3566C"/>
    <w:rsid w:val="549C09F6"/>
  </w:rsids>
  <w:docVars>
    <w:docVar w:name="commondata" w:val="eyJoZGlkIjoiZWQ5ZGMzOWU0OWRiY2VkMjQ0YTEwYWMzMTg0NGU2MT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0"/>
    <w:uiPriority w:val="99"/>
    <w:semiHidden/>
    <w:unhideWhenUsed/>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Normal"/>
    <w:qFormat/>
    <w:pPr>
      <w:ind w:firstLine="420" w:firstLineChars="200"/>
    </w:pPr>
    <w:rPr>
      <w:rFonts w:ascii="Calibri" w:hAnsi="Calibri"/>
      <w:szCs w:val="22"/>
    </w:rPr>
  </w:style>
  <w:style w:type="character" w:customStyle="1" w:styleId="Char">
    <w:name w:val="页眉 Char"/>
    <w:basedOn w:val="DefaultParagraphFont"/>
    <w:link w:val="Header"/>
    <w:uiPriority w:val="99"/>
    <w:semiHidden/>
    <w:rPr>
      <w:rFonts w:ascii="Times New Roman" w:eastAsia="宋体" w:hAnsi="Times New Roman" w:cs="Times New Roman"/>
      <w:sz w:val="18"/>
      <w:szCs w:val="18"/>
    </w:rPr>
  </w:style>
  <w:style w:type="character" w:customStyle="1" w:styleId="Char0">
    <w:name w:val="页脚 Char"/>
    <w:basedOn w:val="DefaultParagraphFont"/>
    <w:link w:val="Footer"/>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22</TotalTime>
  <Pages>4</Pages>
  <Words>1531</Words>
  <Characters>1598</Characters>
  <Application>Microsoft Office Word</Application>
  <DocSecurity>0</DocSecurity>
  <Lines>11</Lines>
  <Paragraphs>3</Paragraphs>
  <ScaleCrop>false</ScaleCrop>
  <Company>Micorosoft</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名傳肆方</cp:lastModifiedBy>
  <cp:revision>5</cp:revision>
  <cp:lastPrinted>2024-10-21T09:32:28Z</cp:lastPrinted>
  <dcterms:created xsi:type="dcterms:W3CDTF">2022-09-21T01:35:00Z</dcterms:created>
  <dcterms:modified xsi:type="dcterms:W3CDTF">2024-10-21T09:33:16Z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CBE34E566505431DB7BFACDAA35F0CF2_12</vt:lpwstr>
  </property>
  <property fmtid="{D5CDD505-2E9C-101B-9397-08002B2CF9AE}" pid="3" name="KSOProductBuildVer">
    <vt:lpwstr>2052-12.1.0.18608</vt:lpwstr>
  </property>
</Properties>
</file>