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adjustRightInd w:val="0"/>
        <w:snapToGrid w:val="0"/>
        <w:spacing w:line="360" w:lineRule="auto"/>
        <w:jc w:val="center"/>
        <w:rPr>
          <w:rFonts w:ascii="方正小标宋简体" w:eastAsia="方正小标宋简体" w:hAnsi="方正小标宋简体" w:cs="华文中宋" w:hint="eastAsia"/>
          <w:b/>
          <w:sz w:val="44"/>
          <w:szCs w:val="44"/>
        </w:rPr>
      </w:pPr>
      <w:r>
        <w:rPr>
          <w:rFonts w:ascii="方正小标宋简体" w:eastAsia="方正小标宋简体" w:hAnsi="方正小标宋简体" w:cs="华文中宋" w:hint="eastAsia"/>
          <w:b/>
          <w:sz w:val="44"/>
          <w:szCs w:val="44"/>
        </w:rPr>
        <w:t>寿县</w:t>
      </w:r>
      <w:r>
        <w:rPr>
          <w:rFonts w:ascii="方正小标宋简体" w:eastAsia="方正小标宋简体" w:hAnsi="方正小标宋简体" w:cs="华文中宋" w:hint="eastAsia"/>
          <w:b/>
          <w:sz w:val="44"/>
          <w:szCs w:val="44"/>
          <w:lang w:eastAsia="zh-CN"/>
        </w:rPr>
        <w:t>安丰镇杨仙分院</w:t>
      </w:r>
      <w:r>
        <w:rPr>
          <w:rFonts w:ascii="方正小标宋简体" w:eastAsia="方正小标宋简体" w:hAnsi="方正小标宋简体" w:cs="华文中宋" w:hint="eastAsia"/>
          <w:b/>
          <w:sz w:val="44"/>
          <w:szCs w:val="44"/>
        </w:rPr>
        <w:t>202</w:t>
      </w:r>
      <w:r>
        <w:rPr>
          <w:rFonts w:ascii="方正小标宋简体" w:eastAsia="方正小标宋简体" w:hAnsi="方正小标宋简体" w:cs="华文中宋" w:hint="eastAsia"/>
          <w:b/>
          <w:sz w:val="44"/>
          <w:szCs w:val="44"/>
          <w:lang w:val="en-US" w:eastAsia="zh-CN"/>
        </w:rPr>
        <w:t>4</w:t>
      </w:r>
      <w:r>
        <w:rPr>
          <w:rFonts w:ascii="方正小标宋简体" w:eastAsia="方正小标宋简体" w:hAnsi="方正小标宋简体" w:cs="华文中宋" w:hint="eastAsia"/>
          <w:b/>
          <w:sz w:val="44"/>
          <w:szCs w:val="44"/>
        </w:rPr>
        <w:t>年</w:t>
      </w:r>
      <w:r>
        <w:rPr>
          <w:rFonts w:ascii="方正小标宋简体" w:eastAsia="方正小标宋简体" w:hAnsi="方正小标宋简体" w:cs="华文中宋" w:hint="eastAsia"/>
          <w:b/>
          <w:sz w:val="44"/>
          <w:szCs w:val="44"/>
          <w:lang w:eastAsia="zh-CN"/>
        </w:rPr>
        <w:t>单位</w:t>
      </w:r>
      <w:r>
        <w:rPr>
          <w:rFonts w:ascii="方正小标宋简体" w:eastAsia="方正小标宋简体" w:hAnsi="方正小标宋简体" w:cs="华文中宋" w:hint="eastAsia"/>
          <w:b/>
          <w:sz w:val="44"/>
          <w:szCs w:val="44"/>
        </w:rPr>
        <w:t>预算</w:t>
      </w:r>
    </w:p>
    <w:p>
      <w:pPr>
        <w:spacing w:line="560" w:lineRule="exact"/>
        <w:jc w:val="center"/>
        <w:rPr>
          <w:rFonts w:ascii="方正小标宋_GBK" w:eastAsia="方正小标宋_GBK" w:hAnsi="TimesNewRoman" w:cs="TimesNewRoman" w:hint="eastAsia"/>
          <w:sz w:val="44"/>
          <w:szCs w:val="44"/>
        </w:rPr>
      </w:pP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w:t>
      </w:r>
      <w:r>
        <w:rPr>
          <w:rFonts w:ascii="仿宋_GB2312" w:eastAsia="仿宋_GB2312" w:hAnsi="TimesNewRoman" w:cs="TimesNewRoman" w:hint="eastAsia"/>
          <w:bCs/>
          <w:sz w:val="36"/>
          <w:szCs w:val="32"/>
          <w:lang w:val="en-US" w:eastAsia="zh-CN"/>
        </w:rPr>
        <w:t>4</w:t>
      </w:r>
      <w:r>
        <w:rPr>
          <w:rFonts w:ascii="仿宋_GB2312" w:eastAsia="仿宋_GB2312" w:hAnsi="TimesNewRoman" w:cs="TimesNewRoman" w:hint="eastAsia"/>
          <w:bCs/>
          <w:sz w:val="36"/>
          <w:szCs w:val="32"/>
        </w:rPr>
        <w:t>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安丰镇杨仙分院</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adjustRightInd w:val="0"/>
        <w:snapToGrid w:val="0"/>
        <w:spacing w:before="0" w:beforeAutospacing="0" w:after="0" w:afterAutospacing="0" w:line="500" w:lineRule="exact"/>
        <w:ind w:firstLine="640" w:firstLineChars="200"/>
        <w:rPr>
          <w:rFonts w:ascii="仿宋_GB2312" w:eastAsia="仿宋_GB2312" w:hAnsi="仿宋" w:cs="仿宋" w:hint="eastAsia"/>
          <w:bCs/>
          <w:sz w:val="32"/>
          <w:szCs w:val="32"/>
        </w:rPr>
      </w:pPr>
      <w:r>
        <w:rPr>
          <w:rFonts w:ascii="仿宋_GB2312" w:eastAsia="仿宋_GB2312" w:hAnsi="TimesNewRoman" w:cs="TimesNewRoman" w:hint="eastAsia"/>
          <w:bCs/>
          <w:sz w:val="32"/>
          <w:szCs w:val="32"/>
        </w:rPr>
        <w:t>1.</w:t>
      </w:r>
      <w:r>
        <w:rPr>
          <w:rFonts w:ascii="仿宋_GB2312" w:eastAsia="仿宋_GB2312" w:hAnsi="仿宋" w:cs="仿宋"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仿宋" w:cs="仿宋" w:hint="eastAsia"/>
          <w:bCs/>
          <w:sz w:val="32"/>
          <w:szCs w:val="32"/>
        </w:rPr>
        <w:t>2.部门预算</w:t>
      </w:r>
      <w:r>
        <w:rPr>
          <w:rFonts w:ascii="仿宋_GB2312" w:eastAsia="仿宋_GB2312" w:hAnsi="仿宋" w:cs="仿宋" w:hint="eastAsia"/>
          <w:bCs/>
          <w:sz w:val="32"/>
          <w:szCs w:val="32"/>
          <w:lang w:eastAsia="zh-CN"/>
        </w:rPr>
        <w:t>单位</w:t>
      </w:r>
      <w:r>
        <w:rPr>
          <w:rFonts w:ascii="仿宋_GB2312" w:eastAsia="仿宋_GB2312" w:hAnsi="仿宋" w:cs="仿宋" w:hint="eastAsia"/>
          <w:bCs/>
          <w:sz w:val="32"/>
          <w:szCs w:val="32"/>
        </w:rPr>
        <w:t>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w:t>
      </w:r>
      <w:r>
        <w:rPr>
          <w:rFonts w:ascii="仿宋_GB2312" w:eastAsia="仿宋_GB2312" w:hAnsi="TimesNewRoman" w:cs="TimesNewRoman" w:hint="eastAsia"/>
          <w:bCs/>
          <w:sz w:val="32"/>
          <w:szCs w:val="32"/>
          <w:lang w:val="en-US" w:eastAsia="zh-CN"/>
        </w:rPr>
        <w:t>县安丰镇杨仙分院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val="en-US" w:eastAsia="zh-CN"/>
        </w:rPr>
        <w:t>安丰镇杨仙分院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w:t>
      </w:r>
      <w:r>
        <w:rPr>
          <w:rFonts w:ascii="TimesNewRoman" w:eastAsia="仿宋_GB2312" w:hAnsi="TimesNewRoman" w:cs="TimesNewRoman" w:hint="eastAsia"/>
          <w:bCs/>
          <w:sz w:val="32"/>
          <w:szCs w:val="32"/>
          <w:lang w:eastAsia="zh-CN"/>
        </w:rPr>
        <w:t>安丰镇杨仙分院</w:t>
      </w:r>
      <w:r>
        <w:rPr>
          <w:rFonts w:ascii="TimesNewRoman" w:eastAsia="仿宋_GB2312" w:hAnsi="TimesNewRoman" w:cs="TimesNewRoman"/>
          <w:bCs/>
          <w:sz w:val="32"/>
          <w:szCs w:val="32"/>
        </w:rPr>
        <w:t>要职责是：</w:t>
      </w:r>
      <w:r>
        <w:rPr>
          <w:rFonts w:ascii="TimesNewRoman" w:eastAsia="仿宋_GB2312" w:hAnsi="TimesNewRoman" w:cs="TimesNewRoman" w:hint="eastAsia"/>
          <w:bCs/>
          <w:sz w:val="32"/>
          <w:szCs w:val="32"/>
          <w:lang w:eastAsia="zh-CN"/>
        </w:rPr>
        <w:t>为</w:t>
      </w:r>
      <w:r>
        <w:rPr>
          <w:rFonts w:ascii="TimesNewRoman" w:eastAsia="仿宋_GB2312" w:hAnsi="TimesNewRoman" w:cs="TimesNewRoman"/>
          <w:bCs/>
          <w:sz w:val="32"/>
          <w:szCs w:val="32"/>
        </w:rPr>
        <w:t>人民群众身体健康和</w:t>
      </w:r>
      <w:r>
        <w:rPr>
          <w:rFonts w:ascii="TimesNewRoman" w:eastAsia="仿宋_GB2312" w:hAnsi="TimesNewRoman" w:cs="TimesNewRoman" w:hint="eastAsia"/>
          <w:bCs/>
          <w:sz w:val="32"/>
          <w:szCs w:val="32"/>
          <w:lang w:eastAsia="zh-CN"/>
        </w:rPr>
        <w:t>街道</w:t>
      </w:r>
      <w:r>
        <w:rPr>
          <w:rFonts w:ascii="TimesNewRoman" w:eastAsia="仿宋_GB2312" w:hAnsi="TimesNewRoman" w:cs="TimesNewRoman"/>
          <w:bCs/>
          <w:sz w:val="32"/>
          <w:szCs w:val="32"/>
        </w:rPr>
        <w:t>公共卫生提供管理服务。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w:t>
      </w:r>
      <w:r>
        <w:rPr>
          <w:rFonts w:ascii="TimesNewRoman" w:eastAsia="仿宋_GB2312" w:hAnsi="TimesNewRoman" w:cs="TimesNewRoman" w:hint="eastAsia"/>
          <w:bCs/>
          <w:sz w:val="32"/>
          <w:szCs w:val="32"/>
          <w:lang w:eastAsia="zh-CN"/>
        </w:rPr>
        <w:t>街道</w:t>
      </w:r>
      <w:r>
        <w:rPr>
          <w:rFonts w:ascii="TimesNewRoman" w:eastAsia="仿宋_GB2312" w:hAnsi="TimesNewRoman" w:cs="TimesNewRoman" w:hint="eastAsia"/>
          <w:bCs/>
          <w:sz w:val="32"/>
          <w:szCs w:val="32"/>
        </w:rPr>
        <w:t>内公共卫生管理。</w:t>
      </w:r>
    </w:p>
    <w:p>
      <w:pPr>
        <w:shd w:val="solid" w:color="FFFFFF" w:fill="auto"/>
        <w:autoSpaceDN w:val="0"/>
        <w:spacing w:line="600" w:lineRule="exact"/>
        <w:ind w:firstLine="640" w:firstLineChars="200"/>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pPr>
        <w:pStyle w:val="NormalWeb"/>
        <w:topLinePunct/>
        <w:adjustRightInd w:val="0"/>
        <w:snapToGrid w:val="0"/>
        <w:spacing w:beforeAutospacing="0" w:afterAutospacing="0" w:line="580" w:lineRule="exact"/>
        <w:ind w:firstLine="960" w:firstLineChars="300"/>
        <w:jc w:val="both"/>
        <w:rPr>
          <w:rFonts w:ascii="TimesNewRoman" w:eastAsia="仿宋_GB2312" w:hAnsi="TimesNewRoman" w:cs="TimesNewRoman"/>
          <w:sz w:val="32"/>
          <w:szCs w:val="32"/>
        </w:rPr>
      </w:pPr>
      <w:r>
        <w:rPr>
          <w:rFonts w:ascii="仿宋_GB2312" w:eastAsia="仿宋_GB2312" w:hAnsi="仿宋" w:hint="eastAsia"/>
          <w:sz w:val="32"/>
          <w:szCs w:val="32"/>
          <w:lang w:eastAsia="zh-CN"/>
        </w:rPr>
        <w:t>寿县安丰镇杨仙分院202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年度部门预算仅包括</w:t>
      </w:r>
      <w:r>
        <w:rPr>
          <w:rFonts w:ascii="仿宋_GB2312" w:eastAsia="仿宋_GB2312" w:hAnsi="仿宋" w:hint="eastAsia"/>
          <w:sz w:val="32"/>
          <w:szCs w:val="32"/>
          <w:lang w:eastAsia="zh-CN"/>
        </w:rPr>
        <w:t>单位</w:t>
      </w:r>
      <w:r>
        <w:rPr>
          <w:rFonts w:ascii="仿宋_GB2312" w:eastAsia="仿宋_GB2312" w:hAnsi="仿宋" w:hint="eastAsia"/>
          <w:sz w:val="32"/>
          <w:szCs w:val="32"/>
        </w:rPr>
        <w:t>本级预算，无其他下属单位预算</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spacing w:before="0" w:beforeAutospacing="0" w:after="0" w:afterAutospacing="0" w:line="580" w:lineRule="atLeast"/>
        <w:ind w:firstLine="640"/>
        <w:jc w:val="both"/>
        <w:rPr>
          <w:rFonts w:ascii="Times New Roman" w:eastAsia="仿宋" w:hAnsi="Times New Roman" w:cs="Times New Roman"/>
          <w:sz w:val="32"/>
          <w:szCs w:val="32"/>
        </w:rPr>
      </w:pPr>
      <w:r>
        <w:rPr>
          <w:rFonts w:ascii="TimesNewRoman" w:eastAsia="仿宋_GB2312" w:hAnsi="TimesNewRoman" w:cs="TimesNewRoman"/>
          <w:bCs/>
          <w:sz w:val="32"/>
          <w:szCs w:val="32"/>
        </w:rPr>
        <w:t>（一）</w:t>
      </w:r>
      <w:r>
        <w:rPr>
          <w:rFonts w:ascii="仿宋" w:eastAsia="仿宋" w:hAnsi="仿宋" w:cs="仿宋" w:hint="eastAsia"/>
          <w:color w:val="333333"/>
          <w:sz w:val="32"/>
          <w:szCs w:val="32"/>
          <w:shd w:val="clear" w:color="auto" w:fill="FFFFFF"/>
        </w:rPr>
        <w:t>加强医护质量管理，保障医疗安全,提供基本医疗服务，开展常见病多发病的诊治与护理;</w:t>
      </w:r>
    </w:p>
    <w:p>
      <w:pPr>
        <w:pStyle w:val="NormalWeb"/>
        <w:spacing w:before="0" w:beforeAutospacing="0" w:after="0" w:afterAutospacing="0" w:line="580" w:lineRule="atLeast"/>
        <w:ind w:firstLine="640"/>
        <w:jc w:val="both"/>
        <w:rPr>
          <w:rFonts w:ascii="Times New Roman" w:eastAsia="仿宋" w:hAnsi="Times New Roman" w:cs="Times New Roman"/>
          <w:sz w:val="32"/>
          <w:szCs w:val="32"/>
        </w:rPr>
      </w:pPr>
      <w:r>
        <w:rPr>
          <w:rFonts w:ascii="仿宋" w:eastAsia="仿宋" w:hAnsi="仿宋" w:cs="仿宋" w:hint="eastAsia"/>
          <w:color w:val="333333"/>
          <w:sz w:val="32"/>
          <w:szCs w:val="32"/>
          <w:shd w:val="clear" w:color="auto" w:fill="FFFFFF"/>
        </w:rPr>
        <w:t>（二）着力做好重大疾病预防控制工作,继续稳步推进国家基本公共卫生服务;</w:t>
      </w:r>
    </w:p>
    <w:p>
      <w:pPr>
        <w:pStyle w:val="NormalWeb"/>
        <w:spacing w:before="0" w:beforeAutospacing="0" w:after="0" w:afterAutospacing="0" w:line="580" w:lineRule="atLeast"/>
        <w:ind w:firstLine="640" w:firstLineChars="200"/>
        <w:jc w:val="both"/>
        <w:rPr>
          <w:rFonts w:ascii="Times New Roman" w:eastAsia="仿宋" w:hAnsi="Times New Roman" w:cs="Times New Roman"/>
          <w:sz w:val="32"/>
          <w:szCs w:val="32"/>
        </w:rPr>
      </w:pPr>
      <w:r>
        <w:rPr>
          <w:rFonts w:ascii="仿宋" w:eastAsia="仿宋" w:hAnsi="仿宋" w:cs="仿宋" w:hint="eastAsia"/>
          <w:color w:val="333333"/>
          <w:sz w:val="32"/>
          <w:szCs w:val="32"/>
          <w:shd w:val="clear" w:color="auto" w:fill="FFFFFF"/>
        </w:rPr>
        <w:t>（三）做好医保结算工作；</w:t>
      </w:r>
    </w:p>
    <w:p>
      <w:pPr>
        <w:pStyle w:val="NormalWeb"/>
        <w:spacing w:before="0" w:beforeAutospacing="0" w:after="0" w:afterAutospacing="0" w:line="580" w:lineRule="atLeast"/>
        <w:ind w:firstLine="640"/>
        <w:jc w:val="both"/>
        <w:rPr>
          <w:rFonts w:ascii="Times New Roman" w:eastAsia="仿宋" w:hAnsi="Times New Roman" w:cs="Times New Roman"/>
          <w:sz w:val="32"/>
          <w:szCs w:val="32"/>
        </w:rPr>
      </w:pPr>
      <w:r>
        <w:rPr>
          <w:rFonts w:ascii="仿宋" w:eastAsia="仿宋" w:hAnsi="仿宋" w:cs="仿宋" w:hint="eastAsia"/>
          <w:color w:val="333333"/>
          <w:sz w:val="32"/>
          <w:szCs w:val="32"/>
          <w:shd w:val="clear" w:color="auto" w:fill="FFFFFF"/>
        </w:rPr>
        <w:t>（四）加强党风及行风建设工作；</w:t>
      </w:r>
    </w:p>
    <w:p>
      <w:pPr>
        <w:pStyle w:val="NormalWeb"/>
        <w:spacing w:before="0" w:beforeAutospacing="0" w:after="0" w:afterAutospacing="0" w:line="580" w:lineRule="atLeast"/>
        <w:ind w:firstLine="640"/>
        <w:jc w:val="both"/>
        <w:rPr>
          <w:rFonts w:ascii="Times New Roman" w:eastAsia="仿宋" w:hAnsi="Times New Roman" w:cs="Times New Roman"/>
          <w:sz w:val="32"/>
          <w:szCs w:val="32"/>
        </w:rPr>
      </w:pPr>
      <w:r>
        <w:rPr>
          <w:rFonts w:ascii="仿宋" w:eastAsia="仿宋" w:hAnsi="仿宋" w:cs="仿宋" w:hint="eastAsia"/>
          <w:color w:val="333333"/>
          <w:sz w:val="32"/>
          <w:szCs w:val="32"/>
          <w:shd w:val="clear" w:color="auto" w:fill="FFFFFF"/>
        </w:rPr>
        <w:t>（五）加强财务管理工作；</w:t>
      </w:r>
    </w:p>
    <w:p>
      <w:pPr>
        <w:pStyle w:val="NormalWeb"/>
        <w:spacing w:before="0" w:beforeAutospacing="0" w:after="0" w:afterAutospacing="0" w:line="580" w:lineRule="atLeast"/>
        <w:ind w:firstLine="640"/>
        <w:jc w:val="both"/>
        <w:rPr>
          <w:rFonts w:ascii="仿宋_GB2312" w:eastAsia="仿宋_GB2312" w:hAnsi="黑体" w:hint="eastAsia"/>
          <w:bCs/>
          <w:sz w:val="32"/>
          <w:szCs w:val="32"/>
        </w:rPr>
      </w:pPr>
      <w:r>
        <w:rPr>
          <w:rFonts w:ascii="仿宋" w:eastAsia="仿宋" w:hAnsi="仿宋" w:cs="仿宋" w:hint="eastAsia"/>
          <w:color w:val="333333"/>
          <w:sz w:val="32"/>
          <w:szCs w:val="32"/>
          <w:shd w:val="clear" w:color="auto" w:fill="FFFFFF"/>
        </w:rPr>
        <w:t>（六）全面统筹抓好其他工作。</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95.71</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25.17</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64.22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215.71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215.71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215.71</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215.71</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type w:val="oddPage"/>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寿县安丰镇杨仙分院</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215.17</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215.17</w:t>
            </w:r>
            <w:r>
              <w:rPr>
                <w:rFonts w:ascii="TimesNewRoman" w:hAnsi="TimesNewRoman" w:cs="TimesNewRoman"/>
                <w:kern w:val="0"/>
                <w:sz w:val="18"/>
                <w:szCs w:val="18"/>
              </w:rPr>
              <w:t>　</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95.71</w:t>
            </w: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120</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120</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bookmarkStart w:id="0" w:name="_GoBack"/>
      <w:bookmarkEnd w:id="0"/>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113.55</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112.09</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62.18</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12.53</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33.27</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8.43</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16.64</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4.21</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122.82</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2.82</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2.82</w:t>
            </w:r>
            <w:r>
              <w:rPr>
                <w:rFonts w:ascii="TimesNewRoman" w:hAnsi="TimesNewRoman" w:cs="TimesNewRoman"/>
                <w:color w:val="auto"/>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21099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120</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r>
              <w:rPr>
                <w:rFonts w:ascii="TimesNewRoman" w:hAnsi="TimesNewRoman" w:cs="TimesNewRoman"/>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rPr>
              <w:t xml:space="preserve">    210</w:t>
            </w:r>
            <w:r>
              <w:rPr>
                <w:rFonts w:ascii="TimesNewRoman" w:hAnsi="TimesNewRoman" w:cs="TimesNewRoman" w:hint="eastAsia"/>
                <w:kern w:val="0"/>
                <w:sz w:val="18"/>
                <w:szCs w:val="18"/>
                <w:lang w:val="en-US" w:eastAsia="zh-CN"/>
              </w:rPr>
              <w:t>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120</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6.325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color w:val="auto"/>
                <w:kern w:val="0"/>
                <w:sz w:val="18"/>
                <w:szCs w:val="18"/>
                <w:lang w:val="en-US"/>
              </w:rPr>
            </w:pPr>
            <w:r>
              <w:rPr>
                <w:rFonts w:ascii="TimesNewRoman" w:hAnsi="TimesNewRoman" w:cs="TimesNewRoman" w:hint="eastAsia"/>
                <w:color w:val="auto"/>
                <w:kern w:val="0"/>
                <w:sz w:val="18"/>
                <w:szCs w:val="18"/>
                <w:lang w:val="en-US" w:eastAsia="zh-CN"/>
              </w:rPr>
              <w:t>6.32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24.95</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rPr>
            </w:pPr>
            <w:r>
              <w:rPr>
                <w:rFonts w:ascii="TimesNewRoman" w:hAnsi="TimesNewRoman" w:cs="TimesNewRoman" w:hint="eastAsia"/>
                <w:color w:val="auto"/>
                <w:kern w:val="0"/>
                <w:sz w:val="18"/>
                <w:szCs w:val="18"/>
                <w:lang w:val="en-US" w:eastAsia="zh-CN"/>
              </w:rPr>
              <w:t>6.32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auto"/>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color w:val="0000FF"/>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215.71</w:t>
            </w:r>
            <w:r>
              <w:rPr>
                <w:rFonts w:ascii="TimesNewRoman" w:hAnsi="TimesNewRoman" w:cs="TimesNewRoman"/>
                <w:b/>
                <w:bCs/>
                <w:color w:val="auto"/>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92.89</w:t>
            </w:r>
            <w:r>
              <w:rPr>
                <w:rFonts w:ascii="TimesNewRoman" w:hAnsi="TimesNewRoman" w:cs="TimesNewRoman"/>
                <w:b/>
                <w:bCs/>
                <w:color w:val="auto"/>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hint="default"/>
                <w:b/>
                <w:bCs/>
                <w:color w:val="auto"/>
                <w:kern w:val="0"/>
                <w:sz w:val="18"/>
                <w:szCs w:val="18"/>
                <w:lang w:val="en-US"/>
              </w:rPr>
            </w:pPr>
            <w:r>
              <w:rPr>
                <w:rFonts w:ascii="TimesNewRoman" w:hAnsi="TimesNewRoman" w:cs="TimesNewRoman" w:hint="eastAsia"/>
                <w:b/>
                <w:bCs/>
                <w:color w:val="auto"/>
                <w:kern w:val="0"/>
                <w:sz w:val="18"/>
                <w:szCs w:val="18"/>
                <w:lang w:val="en-US" w:eastAsia="zh-CN"/>
              </w:rPr>
              <w:t>122.82</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color w:val="0000FF"/>
                <w:kern w:val="0"/>
                <w:sz w:val="18"/>
                <w:szCs w:val="18"/>
              </w:rPr>
            </w:pPr>
            <w:r>
              <w:rPr>
                <w:rFonts w:ascii="TimesNewRoman" w:hAnsi="TimesNewRoman" w:cs="TimesNewRoman"/>
                <w:b/>
                <w:bCs/>
                <w:color w:val="0000FF"/>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95.71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95.71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hint="eastAsia"/>
                <w:color w:val="auto"/>
                <w:kern w:val="0"/>
                <w:sz w:val="18"/>
                <w:szCs w:val="18"/>
                <w:lang w:val="en-US" w:eastAsia="zh-CN"/>
              </w:rPr>
              <w:t>95.71</w:t>
            </w: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25.17</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64.22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color w:val="auto"/>
                <w:kern w:val="0"/>
                <w:sz w:val="18"/>
                <w:szCs w:val="18"/>
              </w:rPr>
            </w:pPr>
            <w:r>
              <w:rPr>
                <w:rFonts w:ascii="TimesNewRoman" w:hAnsi="TimesNewRoman" w:cs="TimesNewRoman"/>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color w:val="auto"/>
                <w:kern w:val="0"/>
                <w:sz w:val="18"/>
                <w:szCs w:val="18"/>
              </w:rPr>
            </w:pPr>
            <w:r>
              <w:rPr>
                <w:rFonts w:ascii="TimesNewRoman" w:hAnsi="TimesNewRoman" w:cs="TimesNewRoman" w:hint="eastAsia"/>
                <w:b/>
                <w:bCs/>
                <w:color w:val="auto"/>
                <w:kern w:val="0"/>
                <w:sz w:val="18"/>
                <w:szCs w:val="18"/>
                <w:lang w:val="en-US" w:eastAsia="zh-CN"/>
              </w:rPr>
              <w:t>95.71</w:t>
            </w:r>
            <w:r>
              <w:rPr>
                <w:rFonts w:ascii="TimesNewRoman" w:hAnsi="TimesNewRoman" w:cs="TimesNewRoman"/>
                <w:b/>
                <w:bCs/>
                <w:color w:val="auto"/>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95.71</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安丰镇杨仙分院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592"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gridCol w:w="1752"/>
      </w:tblGrid>
      <w:tr>
        <w:tblPrEx>
          <w:tblW w:w="15592" w:type="dxa"/>
          <w:tblInd w:w="0" w:type="dxa"/>
          <w:tblLayout w:type="fixed"/>
          <w:tblCellMar>
            <w:top w:w="0" w:type="dxa"/>
            <w:left w:w="108" w:type="dxa"/>
            <w:bottom w:w="0" w:type="dxa"/>
            <w:right w:w="108" w:type="dxa"/>
          </w:tblCellMar>
        </w:tblPrEx>
        <w:trPr>
          <w:gridAfter w:val="1"/>
          <w:wAfter w:w="1752" w:type="dxa"/>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5592" w:type="dxa"/>
          <w:tblInd w:w="0" w:type="dxa"/>
          <w:tblLayout w:type="fixed"/>
          <w:tblCellMar>
            <w:top w:w="0" w:type="dxa"/>
            <w:left w:w="108" w:type="dxa"/>
            <w:bottom w:w="0" w:type="dxa"/>
            <w:right w:w="108" w:type="dxa"/>
          </w:tblCellMar>
        </w:tblPrEx>
        <w:trPr>
          <w:gridAfter w:val="1"/>
          <w:wAfter w:w="1752" w:type="dxa"/>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113.55</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112.09</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25.17</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62.18</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12.53</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12.53</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33.27</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8.43</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8.43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16.64</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4.21</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4.21</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2.82</w:t>
            </w:r>
            <w:r>
              <w:rPr>
                <w:rFonts w:ascii="TimesNewRoman" w:hAnsi="TimesNewRoman" w:cs="TimesNewRoman"/>
                <w:color w:val="auto"/>
                <w:kern w:val="0"/>
                <w:sz w:val="18"/>
                <w:szCs w:val="18"/>
              </w:rPr>
              <w:t>　</w:t>
            </w: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2.82</w:t>
            </w:r>
            <w:r>
              <w:rPr>
                <w:rFonts w:ascii="TimesNewRoman" w:hAnsi="TimesNewRoman" w:cs="TimesNewRoman"/>
                <w:color w:val="auto"/>
                <w:kern w:val="0"/>
                <w:sz w:val="18"/>
                <w:szCs w:val="18"/>
              </w:rPr>
              <w:t>　</w:t>
            </w: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919.31</w:t>
            </w: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61.39</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2.82</w:t>
            </w:r>
            <w:r>
              <w:rPr>
                <w:rFonts w:ascii="TimesNewRoman" w:hAnsi="TimesNewRoman" w:cs="TimesNewRoman"/>
                <w:color w:val="auto"/>
                <w:kern w:val="0"/>
                <w:sz w:val="18"/>
                <w:szCs w:val="18"/>
              </w:rPr>
              <w:t>　</w:t>
            </w: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21099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120</w:t>
            </w:r>
            <w:r>
              <w:rPr>
                <w:rFonts w:ascii="TimesNewRoman" w:hAnsi="TimesNewRoman" w:cs="TimesNewRoman"/>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120</w:t>
            </w:r>
            <w:r>
              <w:rPr>
                <w:rFonts w:ascii="TimesNewRoman" w:hAnsi="TimesNewRoman" w:cs="TimesNewRoman"/>
                <w:color w:val="auto"/>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w:t>
            </w:r>
            <w:r>
              <w:rPr>
                <w:rFonts w:ascii="TimesNewRoman" w:hAnsi="TimesNewRoman" w:cs="TimesNewRoman" w:hint="eastAsia"/>
                <w:kern w:val="0"/>
                <w:sz w:val="18"/>
                <w:szCs w:val="18"/>
                <w:lang w:val="en-US" w:eastAsia="zh-CN"/>
              </w:rPr>
              <w:t>9999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6.325</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6.325</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bidi="ar-SA"/>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宋体" w:hAnsi="TimesNewRoman" w:cs="TimesNewRoman" w:hint="eastAsia"/>
                <w:kern w:val="0"/>
                <w:sz w:val="18"/>
                <w:szCs w:val="18"/>
                <w:lang w:val="en-US" w:eastAsia="zh-CN" w:bidi="ar-SA"/>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6.32</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eastAsia"/>
                <w:color w:val="auto"/>
                <w:kern w:val="0"/>
                <w:sz w:val="18"/>
                <w:szCs w:val="18"/>
                <w:lang w:val="en-US" w:eastAsia="zh-CN" w:bidi="ar-SA"/>
              </w:rPr>
            </w:pPr>
            <w:r>
              <w:rPr>
                <w:rFonts w:ascii="TimesNewRoman" w:hAnsi="TimesNewRoman" w:cs="TimesNewRoman" w:hint="eastAsia"/>
                <w:color w:val="auto"/>
                <w:kern w:val="0"/>
                <w:sz w:val="18"/>
                <w:szCs w:val="18"/>
                <w:lang w:val="en-US" w:eastAsia="zh-CN"/>
              </w:rPr>
              <w:t>6.32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color w:val="auto"/>
                <w:kern w:val="0"/>
                <w:sz w:val="18"/>
                <w:szCs w:val="18"/>
                <w:lang w:val="en-US" w:eastAsia="zh-CN" w:bidi="ar-SA"/>
              </w:rPr>
            </w:pPr>
          </w:p>
        </w:tc>
      </w:tr>
      <w:tr>
        <w:tblPrEx>
          <w:tblW w:w="15592" w:type="dxa"/>
          <w:tblInd w:w="0" w:type="dxa"/>
          <w:tblLayout w:type="fixed"/>
          <w:tblCellMar>
            <w:top w:w="0" w:type="dxa"/>
            <w:left w:w="108" w:type="dxa"/>
            <w:bottom w:w="0" w:type="dxa"/>
            <w:right w:w="108" w:type="dxa"/>
          </w:tblCellMar>
        </w:tblPrEx>
        <w:trPr>
          <w:gridAfter w:val="1"/>
          <w:wAfter w:w="1752" w:type="dxa"/>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24.95</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color w:val="auto"/>
                <w:kern w:val="0"/>
                <w:sz w:val="18"/>
                <w:szCs w:val="18"/>
                <w:lang w:val="en-US" w:eastAsia="zh-CN"/>
              </w:rPr>
              <w:t>6.32</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color w:val="auto"/>
                <w:kern w:val="0"/>
                <w:sz w:val="18"/>
                <w:szCs w:val="18"/>
                <w:lang w:val="en-US" w:eastAsia="zh-CN"/>
              </w:rPr>
              <w:t>6.32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p>
        </w:tc>
      </w:tr>
      <w:tr>
        <w:tblPrEx>
          <w:tblW w:w="15592" w:type="dxa"/>
          <w:tblInd w:w="0" w:type="dxa"/>
          <w:tblLayout w:type="fixed"/>
          <w:tblCellMar>
            <w:top w:w="0" w:type="dxa"/>
            <w:left w:w="108" w:type="dxa"/>
            <w:bottom w:w="0" w:type="dxa"/>
            <w:right w:w="108" w:type="dxa"/>
          </w:tblCellMar>
        </w:tblPrEx>
        <w:trPr>
          <w:trHeight w:val="312"/>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b/>
                <w:bCs/>
                <w:color w:val="auto"/>
                <w:kern w:val="0"/>
                <w:sz w:val="18"/>
                <w:szCs w:val="18"/>
                <w:lang w:val="en-US" w:eastAsia="zh-CN"/>
              </w:rPr>
              <w:t>215.71</w:t>
            </w:r>
            <w:r>
              <w:rPr>
                <w:rFonts w:ascii="TimesNewRoman" w:hAnsi="TimesNewRoman" w:cs="TimesNewRoman"/>
                <w:b/>
                <w:bCs/>
                <w:color w:val="auto"/>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b/>
                <w:bCs/>
                <w:color w:val="auto"/>
                <w:kern w:val="0"/>
                <w:sz w:val="18"/>
                <w:szCs w:val="18"/>
                <w:lang w:val="en-US" w:eastAsia="zh-CN"/>
              </w:rPr>
              <w:t>215.71</w:t>
            </w:r>
            <w:r>
              <w:rPr>
                <w:rFonts w:ascii="TimesNewRoman" w:hAnsi="TimesNewRoman" w:cs="TimesNewRoman"/>
                <w:b/>
                <w:bCs/>
                <w:color w:val="auto"/>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b/>
                <w:bCs/>
                <w:color w:val="auto"/>
                <w:kern w:val="0"/>
                <w:sz w:val="18"/>
                <w:szCs w:val="18"/>
                <w:lang w:val="en-US" w:eastAsia="zh-CN"/>
              </w:rPr>
              <w:t>215.71</w:t>
            </w:r>
          </w:p>
        </w:tc>
        <w:tc>
          <w:tcPr>
            <w:tcW w:w="170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b/>
                <w:bCs/>
                <w:color w:val="auto"/>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b/>
                <w:bCs/>
                <w:color w:val="auto"/>
                <w:kern w:val="0"/>
                <w:sz w:val="18"/>
                <w:szCs w:val="18"/>
                <w:lang w:val="en-US" w:eastAsia="zh-CN"/>
              </w:rPr>
              <w:t>2</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298.62</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75.66</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129.69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33.35</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78.18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19.34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33.27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8.43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16.64</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4.21</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14.35</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3.64</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1.46</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0.37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24.95</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6.32</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66.88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17.23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62.18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12.53</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4.7</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4.7</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92.89</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92.89</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安丰镇杨仙分院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w:t>
            </w:r>
            <w:r>
              <w:rPr>
                <w:rFonts w:ascii="TimesNewRoman" w:hAnsi="TimesNewRoman" w:cs="TimesNewRoman" w:hint="eastAsia"/>
                <w:kern w:val="0"/>
                <w:sz w:val="24"/>
                <w:lang w:eastAsia="zh-CN"/>
              </w:rPr>
              <w:t>安丰镇杨仙分院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46"/>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lang w:eastAsia="zh-CN"/>
              </w:rPr>
              <w:t>寿县安丰镇杨仙分院</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2.82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lang w:val="en-US" w:eastAsia="zh-CN"/>
              </w:rPr>
              <w:t>2.82</w:t>
            </w:r>
            <w:r>
              <w:rPr>
                <w:rFonts w:ascii="TimesNewRoman" w:hAnsi="TimesNewRoman" w:cs="TimesNewRoman"/>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b/>
                <w:bCs/>
                <w:kern w:val="0"/>
                <w:sz w:val="18"/>
                <w:szCs w:val="18"/>
                <w:lang w:eastAsia="zh-CN"/>
              </w:rPr>
              <w:t>其他运转类</w:t>
            </w: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寿县安丰镇杨仙分院</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120</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hint="eastAsia"/>
                <w:b/>
                <w:bCs/>
                <w:kern w:val="0"/>
                <w:sz w:val="18"/>
                <w:szCs w:val="18"/>
              </w:rPr>
            </w:pP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eastAsia"/>
                <w:b/>
                <w:bCs/>
                <w:kern w:val="0"/>
                <w:sz w:val="18"/>
                <w:szCs w:val="18"/>
                <w:lang w:val="en-US" w:eastAsia="zh-CN"/>
              </w:rPr>
            </w:pP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122.82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2.82</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120</w:t>
            </w: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安丰镇杨仙分院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6</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lang w:val="en-US" w:eastAsia="zh-CN"/>
              </w:rPr>
              <w:t>2.1</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空调机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r>
              <w:rPr>
                <w:rFonts w:ascii="TimesNewRoman" w:hAnsi="TimesNewRoman" w:cs="TimesNewRoman" w:hint="eastAsia"/>
                <w:kern w:val="0"/>
                <w:sz w:val="20"/>
                <w:lang w:val="en-US" w:eastAsia="zh-CN"/>
              </w:rPr>
              <w:t>2</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0.7</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r>
              <w:rPr>
                <w:rFonts w:ascii="TimesNewRoman" w:hAnsi="TimesNewRoman" w:cs="TimesNewRoman" w:hint="eastAsia"/>
                <w:kern w:val="0"/>
                <w:sz w:val="20"/>
                <w:lang w:eastAsia="zh-CN"/>
              </w:rPr>
              <w:t>复印机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r>
              <w:rPr>
                <w:rFonts w:ascii="TimesNewRoman" w:hAnsi="TimesNewRoman" w:cs="TimesNewRoman" w:hint="eastAsia"/>
                <w:kern w:val="0"/>
                <w:sz w:val="20"/>
                <w:lang w:val="en-US" w:eastAsia="zh-CN"/>
              </w:rPr>
              <w:t>1</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0.2</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eastAsia="宋体" w:hAnsi="TimesNewRoman" w:cs="TimesNewRoman" w:hint="eastAsia"/>
                <w:kern w:val="0"/>
                <w:sz w:val="20"/>
                <w:lang w:eastAsia="zh-CN"/>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eastAsia"/>
                <w:kern w:val="0"/>
                <w:sz w:val="20"/>
                <w:lang w:val="en-US" w:eastAsia="zh-CN"/>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hint="eastAsia"/>
                <w:kern w:val="0"/>
                <w:sz w:val="20"/>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hint="eastAsia"/>
                <w:kern w:val="0"/>
                <w:sz w:val="20"/>
              </w:rPr>
              <w:t xml:space="preserve">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szCs w:val="24"/>
                <w:lang w:val="en-US" w:eastAsia="zh-CN" w:bidi="ar-SA"/>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szCs w:val="24"/>
                <w:lang w:val="en-US" w:eastAsia="zh-CN" w:bidi="ar-SA"/>
              </w:rPr>
            </w:pP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kern w:val="0"/>
                <w:sz w:val="20"/>
                <w:szCs w:val="24"/>
                <w:lang w:val="en-US" w:eastAsia="zh-CN" w:bidi="ar-SA"/>
              </w:rPr>
            </w:pP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9</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3</w:t>
            </w: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安丰镇杨仙分院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w:t>
      </w:r>
      <w:r>
        <w:rPr>
          <w:rFonts w:ascii="TimesNewRoman" w:hAnsi="TimesNewRoman" w:cs="TimesNewRoman" w:hint="eastAsia"/>
          <w:kern w:val="0"/>
          <w:sz w:val="22"/>
          <w:lang w:eastAsia="zh-CN"/>
        </w:rPr>
        <w:t>安丰镇杨仙分院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adjustRightInd w:val="0"/>
        <w:snapToGrid w:val="0"/>
        <w:spacing w:before="0" w:beforeAutospacing="0" w:after="0" w:afterAutospacing="0" w:line="500" w:lineRule="exact"/>
        <w:ind w:firstLine="640" w:firstLineChars="200"/>
        <w:rPr>
          <w:rFonts w:ascii="仿宋_GB2312" w:eastAsia="仿宋_GB2312" w:hAnsi="仿宋" w:cs="仿宋" w:hint="eastAsia"/>
          <w:bCs/>
          <w:sz w:val="32"/>
          <w:szCs w:val="32"/>
          <w:lang w:val="en-US" w:eastAsia="zh-CN"/>
        </w:rPr>
      </w:pPr>
    </w:p>
    <w:p>
      <w:pPr>
        <w:bidi w:val="0"/>
        <w:rPr>
          <w:rFonts w:ascii="Calibri" w:eastAsia="宋体" w:hAnsi="Calibri" w:cs="Times New Roman"/>
          <w:kern w:val="2"/>
          <w:sz w:val="21"/>
          <w:szCs w:val="22"/>
          <w:lang w:val="en-US" w:eastAsia="zh-CN" w:bidi="ar-SA"/>
        </w:r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adjustRightInd w:val="0"/>
        <w:snapToGrid w:val="0"/>
        <w:spacing w:before="0" w:beforeAutospacing="0" w:after="0" w:afterAutospacing="0" w:line="600" w:lineRule="exact"/>
        <w:ind w:firstLine="640" w:firstLineChars="200"/>
        <w:rPr>
          <w:rFonts w:ascii="仿宋_GB2312" w:eastAsia="仿宋_GB2312" w:hAnsi="仿宋" w:cs="Times New Roman" w:hint="eastAsia"/>
          <w:kern w:val="2"/>
          <w:sz w:val="32"/>
          <w:szCs w:val="32"/>
          <w:lang w:val="en-US" w:eastAsia="zh-CN"/>
        </w:rPr>
      </w:pPr>
      <w:r>
        <w:rPr>
          <w:rFonts w:ascii="仿宋_GB2312" w:eastAsia="仿宋_GB2312" w:hAnsi="仿宋" w:cs="Times New Roman" w:hint="eastAsia"/>
          <w:kern w:val="2"/>
          <w:sz w:val="32"/>
          <w:szCs w:val="32"/>
          <w:lang w:eastAsia="zh-CN"/>
        </w:rPr>
        <w:t>寿县安丰镇杨仙分院202</w:t>
      </w:r>
      <w:r>
        <w:rPr>
          <w:rFonts w:ascii="仿宋_GB2312" w:eastAsia="仿宋_GB2312" w:hAnsi="仿宋" w:cs="Times New Roman" w:hint="eastAsia"/>
          <w:kern w:val="2"/>
          <w:sz w:val="32"/>
          <w:szCs w:val="32"/>
          <w:lang w:val="en-US" w:eastAsia="zh-CN"/>
        </w:rPr>
        <w:t>4</w:t>
      </w:r>
      <w:r>
        <w:rPr>
          <w:rFonts w:ascii="仿宋_GB2312" w:eastAsia="仿宋_GB2312" w:hAnsi="仿宋" w:cs="Times New Roman" w:hint="eastAsia"/>
          <w:kern w:val="2"/>
          <w:sz w:val="32"/>
          <w:szCs w:val="32"/>
        </w:rPr>
        <w:t>年财政拨款收支预算</w:t>
      </w:r>
      <w:r>
        <w:rPr>
          <w:rFonts w:ascii="仿宋_GB2312" w:eastAsia="仿宋_GB2312" w:hAnsi="仿宋" w:cs="Times New Roman" w:hint="eastAsia"/>
          <w:kern w:val="2"/>
          <w:sz w:val="32"/>
          <w:szCs w:val="32"/>
          <w:lang w:val="en-US" w:eastAsia="zh-CN"/>
        </w:rPr>
        <w:t>95.71</w:t>
      </w:r>
      <w:r>
        <w:rPr>
          <w:rFonts w:ascii="仿宋_GB2312" w:eastAsia="仿宋_GB2312" w:hAnsi="仿宋" w:cs="Times New Roman" w:hint="eastAsia"/>
          <w:kern w:val="2"/>
          <w:sz w:val="32"/>
          <w:szCs w:val="32"/>
        </w:rPr>
        <w:t>万元。收入按资金来源分为：一般公共预算拨款</w:t>
      </w:r>
      <w:r>
        <w:rPr>
          <w:rFonts w:ascii="仿宋_GB2312" w:eastAsia="仿宋_GB2312" w:hAnsi="仿宋" w:cs="Times New Roman" w:hint="eastAsia"/>
          <w:kern w:val="2"/>
          <w:sz w:val="32"/>
          <w:szCs w:val="32"/>
          <w:lang w:val="en-US" w:eastAsia="zh-CN"/>
        </w:rPr>
        <w:t>78.85</w:t>
      </w:r>
      <w:r>
        <w:rPr>
          <w:rFonts w:ascii="仿宋_GB2312" w:eastAsia="仿宋_GB2312" w:hAnsi="仿宋" w:cs="Times New Roman" w:hint="eastAsia"/>
          <w:kern w:val="2"/>
          <w:sz w:val="32"/>
          <w:szCs w:val="32"/>
        </w:rPr>
        <w:t>万元；按资金年度分为：</w:t>
      </w:r>
      <w:r>
        <w:rPr>
          <w:rFonts w:ascii="仿宋_GB2312" w:eastAsia="仿宋_GB2312" w:hAnsi="仿宋" w:cs="Times New Roman" w:hint="eastAsia"/>
          <w:kern w:val="2"/>
          <w:sz w:val="32"/>
          <w:szCs w:val="32"/>
          <w:lang w:eastAsia="zh-CN"/>
        </w:rPr>
        <w:t>当</w:t>
      </w:r>
      <w:r>
        <w:rPr>
          <w:rFonts w:ascii="仿宋_GB2312" w:eastAsia="仿宋_GB2312" w:hAnsi="仿宋" w:cs="Times New Roman" w:hint="eastAsia"/>
          <w:kern w:val="2"/>
          <w:sz w:val="32"/>
          <w:szCs w:val="32"/>
        </w:rPr>
        <w:t>年财政拨款收入</w:t>
      </w:r>
      <w:r>
        <w:rPr>
          <w:rFonts w:ascii="仿宋_GB2312" w:eastAsia="仿宋_GB2312" w:hAnsi="仿宋" w:cs="Times New Roman" w:hint="eastAsia"/>
          <w:kern w:val="2"/>
          <w:sz w:val="32"/>
          <w:szCs w:val="32"/>
          <w:lang w:val="en-US" w:eastAsia="zh-CN"/>
        </w:rPr>
        <w:t>95.71</w:t>
      </w:r>
      <w:r>
        <w:rPr>
          <w:rFonts w:ascii="仿宋_GB2312" w:eastAsia="仿宋_GB2312" w:hAnsi="仿宋" w:cs="Times New Roman" w:hint="eastAsia"/>
          <w:kern w:val="2"/>
          <w:sz w:val="32"/>
          <w:szCs w:val="32"/>
        </w:rPr>
        <w:t>万元。支出按功能分类分为：社会保障和就业支出</w:t>
      </w:r>
      <w:r>
        <w:rPr>
          <w:rFonts w:ascii="仿宋_GB2312" w:eastAsia="仿宋_GB2312" w:hAnsi="仿宋" w:cs="Times New Roman" w:hint="eastAsia"/>
          <w:kern w:val="2"/>
          <w:sz w:val="32"/>
          <w:szCs w:val="32"/>
          <w:lang w:val="en-US" w:eastAsia="zh-CN"/>
        </w:rPr>
        <w:t>25.17</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26.29</w:t>
      </w:r>
      <w:r>
        <w:rPr>
          <w:rFonts w:ascii="仿宋_GB2312" w:eastAsia="仿宋_GB2312" w:hAnsi="仿宋" w:cs="Times New Roman" w:hint="eastAsia"/>
          <w:kern w:val="2"/>
          <w:sz w:val="32"/>
          <w:szCs w:val="32"/>
        </w:rPr>
        <w:t>%；卫生健康支出</w:t>
      </w:r>
      <w:r>
        <w:rPr>
          <w:rFonts w:ascii="仿宋_GB2312" w:eastAsia="仿宋_GB2312" w:hAnsi="仿宋" w:cs="Times New Roman" w:hint="eastAsia"/>
          <w:kern w:val="2"/>
          <w:sz w:val="32"/>
          <w:szCs w:val="32"/>
          <w:lang w:val="en-US" w:eastAsia="zh-CN"/>
        </w:rPr>
        <w:t>64.22</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67.09</w:t>
      </w:r>
      <w:r>
        <w:rPr>
          <w:rFonts w:ascii="仿宋_GB2312" w:eastAsia="仿宋_GB2312" w:hAnsi="仿宋" w:cs="Times New Roman" w:hint="eastAsia"/>
          <w:kern w:val="2"/>
          <w:sz w:val="32"/>
          <w:szCs w:val="32"/>
        </w:rPr>
        <w:t>%；住房保障支出</w:t>
      </w:r>
      <w:r>
        <w:rPr>
          <w:rFonts w:ascii="仿宋_GB2312" w:eastAsia="仿宋_GB2312" w:hAnsi="仿宋" w:cs="Times New Roman" w:hint="eastAsia"/>
          <w:kern w:val="2"/>
          <w:sz w:val="32"/>
          <w:szCs w:val="32"/>
          <w:lang w:val="en-US" w:eastAsia="zh-CN"/>
        </w:rPr>
        <w:t>6.32</w:t>
      </w:r>
      <w:r>
        <w:rPr>
          <w:rFonts w:ascii="仿宋_GB2312" w:eastAsia="仿宋_GB2312" w:hAnsi="仿宋" w:cs="Times New Roman" w:hint="eastAsia"/>
          <w:kern w:val="2"/>
          <w:sz w:val="32"/>
          <w:szCs w:val="32"/>
        </w:rPr>
        <w:t>万元，占</w:t>
      </w:r>
      <w:r>
        <w:rPr>
          <w:rFonts w:ascii="仿宋_GB2312" w:eastAsia="仿宋_GB2312" w:hAnsi="仿宋" w:cs="Times New Roman" w:hint="eastAsia"/>
          <w:kern w:val="2"/>
          <w:sz w:val="32"/>
          <w:szCs w:val="32"/>
          <w:lang w:val="en-US" w:eastAsia="zh-CN"/>
        </w:rPr>
        <w:t>6.62</w:t>
      </w:r>
      <w:r>
        <w:rPr>
          <w:rFonts w:ascii="仿宋_GB2312" w:eastAsia="仿宋_GB2312" w:hAnsi="仿宋" w:cs="Times New Roman" w:hint="eastAsia"/>
          <w:kern w:val="2"/>
          <w:sz w:val="32"/>
          <w:szCs w:val="32"/>
        </w:rPr>
        <w:t>%。</w:t>
      </w:r>
      <w:r>
        <w:rPr>
          <w:rFonts w:ascii="仿宋_GB2312" w:eastAsia="仿宋_GB2312" w:hAnsi="仿宋" w:cs="Times New Roman" w:hint="eastAsia"/>
          <w:kern w:val="2"/>
          <w:sz w:val="32"/>
          <w:szCs w:val="32"/>
          <w:lang w:val="en-US" w:eastAsia="zh-CN"/>
        </w:rPr>
        <w:t xml:space="preserve"> </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安丰镇杨仙分院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215.71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120</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215.71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44.36</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16.86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17.61</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人员增加经费增加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215.71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36.86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17.08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人员经费和业务收入</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44.36</w:t>
      </w:r>
      <w:r>
        <w:rPr>
          <w:rFonts w:ascii="仿宋_GB2312" w:eastAsia="仿宋_GB2312" w:hAnsi="TimesNewRoman" w:cs="TimesNewRoman" w:hint="eastAsia"/>
          <w:sz w:val="32"/>
          <w:szCs w:val="32"/>
        </w:rPr>
        <w:t>%，主要用于</w:t>
      </w:r>
      <w:r>
        <w:rPr>
          <w:rFonts w:ascii="仿宋_GB2312" w:eastAsia="仿宋_GB2312" w:hAnsi="仿宋" w:hint="eastAsia"/>
          <w:sz w:val="32"/>
          <w:szCs w:val="32"/>
        </w:rPr>
        <w:t>基本工资、津贴补贴、绩效工资、机关事业单位基本养老保险缴费、职业年金缴费、职工基本医疗保险缴费、住房公积金支出等</w:t>
      </w:r>
      <w:r>
        <w:rPr>
          <w:rFonts w:ascii="仿宋_GB2312" w:eastAsia="仿宋_GB2312" w:hAnsi="仿宋" w:hint="eastAsia"/>
          <w:sz w:val="32"/>
          <w:szCs w:val="32"/>
          <w:lang w:eastAsia="zh-CN"/>
        </w:rPr>
        <w:t>。</w:t>
      </w:r>
      <w:r>
        <w:rPr>
          <w:rFonts w:ascii="仿宋_GB2312" w:eastAsia="仿宋_GB2312" w:hAnsi="TimesNewRoman" w:cs="TimesNewRoman" w:hint="eastAsia"/>
          <w:sz w:val="32"/>
          <w:szCs w:val="32"/>
        </w:rPr>
        <w:t>事业支出</w:t>
      </w:r>
      <w:r>
        <w:rPr>
          <w:rFonts w:ascii="仿宋_GB2312" w:eastAsia="仿宋_GB2312" w:hAnsi="TimesNewRoman" w:cs="TimesNewRoman" w:hint="eastAsia"/>
          <w:sz w:val="32"/>
          <w:szCs w:val="32"/>
          <w:lang w:val="en-US" w:eastAsia="zh-CN"/>
        </w:rPr>
        <w:t>120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55.64</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药品、维修费、办公费、绩效、其他零星支出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本年财政拨款收入</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25.17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26.29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64.22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67.09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6.32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6.62</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95.71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16.86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17.61</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人员增加经费一同增加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25.17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26.29</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64.22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67.09</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6.32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6.62</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 w:eastAsia="仿宋" w:hAnsi="仿宋" w:cs="仿宋" w:hint="eastAsia"/>
          <w:i w:val="0"/>
          <w:iCs w:val="0"/>
          <w:caps w:val="0"/>
          <w:color w:val="333333"/>
          <w:spacing w:val="0"/>
          <w:sz w:val="32"/>
          <w:szCs w:val="32"/>
          <w:shd w:val="clear" w:color="auto" w:fill="FFFFFF"/>
          <w:lang w:val="en-US" w:eastAsia="zh-CN"/>
        </w:rPr>
      </w:pPr>
      <w:r>
        <w:rPr>
          <w:rFonts w:ascii="仿宋" w:eastAsia="仿宋" w:hAnsi="仿宋" w:hint="eastAsia"/>
          <w:b/>
          <w:sz w:val="32"/>
          <w:szCs w:val="32"/>
        </w:rPr>
        <w:t>1.</w:t>
      </w:r>
      <w:r>
        <w:rPr>
          <w:rFonts w:ascii="仿宋" w:eastAsia="仿宋" w:hAnsi="仿宋" w:hint="eastAsia"/>
          <w:b/>
          <w:szCs w:val="32"/>
        </w:rPr>
        <w:t xml:space="preserve"> </w:t>
      </w:r>
      <w:r>
        <w:rPr>
          <w:rFonts w:ascii="仿宋" w:eastAsia="仿宋" w:hAnsi="仿宋" w:hint="eastAsia"/>
          <w:b/>
          <w:sz w:val="30"/>
          <w:szCs w:val="30"/>
          <w:lang w:eastAsia="zh-CN"/>
        </w:rPr>
        <w:t>卫生健康支出</w:t>
      </w:r>
      <w:r>
        <w:rPr>
          <w:rFonts w:ascii="仿宋" w:eastAsia="仿宋" w:hAnsi="仿宋" w:hint="eastAsia"/>
          <w:b/>
          <w:sz w:val="30"/>
          <w:szCs w:val="30"/>
        </w:rPr>
        <w:t>（类）</w:t>
      </w:r>
      <w:r>
        <w:rPr>
          <w:rFonts w:ascii="仿宋" w:eastAsia="仿宋" w:hAnsi="仿宋" w:hint="eastAsia"/>
          <w:b/>
          <w:sz w:val="30"/>
          <w:szCs w:val="30"/>
          <w:lang w:eastAsia="zh-CN"/>
        </w:rPr>
        <w:t>基层医疗卫生机构</w:t>
      </w:r>
      <w:r>
        <w:rPr>
          <w:rFonts w:ascii="仿宋" w:eastAsia="仿宋" w:hAnsi="仿宋" w:hint="eastAsia"/>
          <w:b/>
          <w:sz w:val="30"/>
          <w:szCs w:val="30"/>
        </w:rPr>
        <w:t>（款）</w:t>
      </w:r>
      <w:r>
        <w:rPr>
          <w:rFonts w:ascii="仿宋" w:eastAsia="仿宋" w:hAnsi="仿宋" w:hint="eastAsia"/>
          <w:b/>
          <w:sz w:val="30"/>
          <w:szCs w:val="30"/>
          <w:lang w:eastAsia="zh-CN"/>
        </w:rPr>
        <w:t>乡镇卫生院</w:t>
      </w:r>
      <w:r>
        <w:rPr>
          <w:rFonts w:ascii="仿宋" w:eastAsia="仿宋" w:hAnsi="仿宋" w:hint="eastAsia"/>
          <w:b/>
          <w:sz w:val="30"/>
          <w:szCs w:val="30"/>
        </w:rPr>
        <w:t>（项</w:t>
      </w:r>
      <w:r>
        <w:rPr>
          <w:rFonts w:ascii="仿宋" w:eastAsia="仿宋" w:hAnsi="仿宋" w:hint="eastAsia"/>
          <w:b/>
          <w:sz w:val="30"/>
          <w:szCs w:val="30"/>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年预算</w:t>
      </w:r>
      <w:r>
        <w:rPr>
          <w:rFonts w:ascii="仿宋" w:eastAsia="仿宋" w:hAnsi="仿宋" w:hint="eastAsia"/>
          <w:sz w:val="32"/>
          <w:szCs w:val="32"/>
          <w:lang w:val="en-US" w:eastAsia="zh-CN"/>
        </w:rPr>
        <w:t>95.71</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增加</w:t>
      </w:r>
      <w:r>
        <w:rPr>
          <w:rFonts w:ascii="仿宋" w:eastAsia="仿宋" w:hAnsi="仿宋" w:hint="eastAsia"/>
          <w:sz w:val="32"/>
          <w:szCs w:val="32"/>
          <w:lang w:val="en-US" w:eastAsia="zh-CN"/>
        </w:rPr>
        <w:t>16.86</w:t>
      </w:r>
      <w:r>
        <w:rPr>
          <w:rFonts w:ascii="仿宋" w:eastAsia="仿宋" w:hAnsi="仿宋" w:hint="eastAsia"/>
          <w:sz w:val="32"/>
          <w:szCs w:val="32"/>
        </w:rPr>
        <w:t>万元，</w:t>
      </w:r>
      <w:r>
        <w:rPr>
          <w:rFonts w:ascii="仿宋" w:eastAsia="仿宋" w:hAnsi="仿宋" w:hint="eastAsia"/>
          <w:sz w:val="32"/>
          <w:szCs w:val="32"/>
          <w:lang w:eastAsia="zh-CN"/>
        </w:rPr>
        <w:t>增加</w:t>
      </w:r>
      <w:r>
        <w:rPr>
          <w:rFonts w:ascii="仿宋" w:eastAsia="仿宋" w:hAnsi="仿宋" w:hint="eastAsia"/>
          <w:sz w:val="32"/>
          <w:szCs w:val="32"/>
          <w:lang w:val="en-US" w:eastAsia="zh-CN"/>
        </w:rPr>
        <w:t>17.61</w:t>
      </w:r>
      <w:r>
        <w:rPr>
          <w:rFonts w:ascii="仿宋" w:eastAsia="仿宋" w:hAnsi="仿宋" w:hint="eastAsia"/>
          <w:sz w:val="32"/>
          <w:szCs w:val="32"/>
        </w:rPr>
        <w:t>%，</w:t>
      </w:r>
      <w:r>
        <w:rPr>
          <w:rFonts w:ascii="仿宋" w:eastAsia="仿宋" w:hAnsi="仿宋" w:hint="eastAsia"/>
          <w:sz w:val="32"/>
          <w:szCs w:val="32"/>
          <w:lang w:eastAsia="zh-CN"/>
        </w:rPr>
        <w:t>增长</w:t>
      </w:r>
      <w:r>
        <w:rPr>
          <w:rFonts w:ascii="仿宋" w:eastAsia="仿宋" w:hAnsi="仿宋" w:hint="eastAsia"/>
          <w:sz w:val="32"/>
          <w:szCs w:val="32"/>
        </w:rPr>
        <w:t>原因主要</w:t>
      </w:r>
      <w:r>
        <w:rPr>
          <w:rFonts w:ascii="仿宋" w:eastAsia="仿宋" w:hAnsi="仿宋" w:hint="eastAsia"/>
          <w:sz w:val="32"/>
          <w:szCs w:val="32"/>
          <w:lang w:eastAsia="zh-CN"/>
        </w:rPr>
        <w:t>：是人员增加</w:t>
      </w:r>
      <w:r>
        <w:rPr>
          <w:rFonts w:ascii="仿宋" w:eastAsia="仿宋" w:hAnsi="仿宋" w:cs="仿宋" w:hint="eastAsia"/>
          <w:i w:val="0"/>
          <w:iCs w:val="0"/>
          <w:caps w:val="0"/>
          <w:color w:val="333333"/>
          <w:spacing w:val="0"/>
          <w:sz w:val="32"/>
          <w:szCs w:val="32"/>
          <w:shd w:val="clear" w:color="auto" w:fill="FFFFFF"/>
        </w:rPr>
        <w:t>。</w:t>
      </w:r>
      <w:r>
        <w:rPr>
          <w:rFonts w:ascii="仿宋" w:eastAsia="仿宋" w:hAnsi="仿宋" w:cs="仿宋" w:hint="eastAsia"/>
          <w:i w:val="0"/>
          <w:iCs w:val="0"/>
          <w:caps w:val="0"/>
          <w:color w:val="333333"/>
          <w:spacing w:val="0"/>
          <w:sz w:val="32"/>
          <w:szCs w:val="32"/>
          <w:shd w:val="clear" w:color="auto" w:fill="FFFFFF"/>
          <w:lang w:val="en-US" w:eastAsia="zh-CN"/>
        </w:rPr>
        <w:t xml:space="preserve"> </w:t>
      </w:r>
    </w:p>
    <w:p>
      <w:pPr>
        <w:adjustRightInd w:val="0"/>
        <w:snapToGrid w:val="0"/>
        <w:spacing w:line="600" w:lineRule="exact"/>
        <w:ind w:firstLine="640" w:firstLineChars="200"/>
        <w:rPr>
          <w:rFonts w:ascii="仿宋" w:eastAsia="仿宋" w:hAnsi="仿宋" w:hint="eastAsia"/>
          <w:sz w:val="32"/>
          <w:szCs w:val="32"/>
        </w:rPr>
      </w:pPr>
      <w:r>
        <w:rPr>
          <w:rFonts w:ascii="仿宋" w:eastAsia="仿宋" w:hAnsi="仿宋" w:hint="eastAsia"/>
          <w:b/>
          <w:sz w:val="32"/>
          <w:szCs w:val="32"/>
          <w:lang w:val="en-US" w:eastAsia="zh-CN"/>
        </w:rPr>
        <w:t>2</w:t>
      </w:r>
      <w:r>
        <w:rPr>
          <w:rFonts w:ascii="仿宋" w:eastAsia="仿宋" w:hAnsi="仿宋" w:hint="eastAsia"/>
          <w:b/>
          <w:sz w:val="32"/>
          <w:szCs w:val="32"/>
        </w:rPr>
        <w:t>.</w:t>
      </w:r>
      <w:r>
        <w:rPr>
          <w:rFonts w:ascii="仿宋_GB2312" w:eastAsia="仿宋_GB2312" w:hAnsi="仿宋" w:hint="eastAsia"/>
          <w:b/>
          <w:sz w:val="32"/>
          <w:szCs w:val="32"/>
          <w:lang w:eastAsia="zh-CN"/>
        </w:rPr>
        <w:t>卫生健康支出</w:t>
      </w:r>
      <w:r>
        <w:rPr>
          <w:rFonts w:ascii="仿宋_GB2312" w:eastAsia="仿宋_GB2312" w:hAnsi="仿宋" w:hint="eastAsia"/>
          <w:b/>
          <w:sz w:val="32"/>
          <w:szCs w:val="32"/>
        </w:rPr>
        <w:t>（类）</w:t>
      </w:r>
      <w:r>
        <w:rPr>
          <w:rFonts w:ascii="仿宋_GB2312" w:eastAsia="仿宋_GB2312" w:hAnsi="仿宋" w:hint="eastAsia"/>
          <w:b/>
          <w:sz w:val="30"/>
          <w:szCs w:val="30"/>
          <w:lang w:eastAsia="zh-CN"/>
        </w:rPr>
        <w:t>行政事业单位医疗</w:t>
      </w:r>
      <w:r>
        <w:rPr>
          <w:rFonts w:ascii="仿宋_GB2312" w:eastAsia="仿宋_GB2312" w:hAnsi="仿宋" w:hint="eastAsia"/>
          <w:b/>
          <w:sz w:val="30"/>
          <w:szCs w:val="30"/>
        </w:rPr>
        <w:t>（</w:t>
      </w:r>
      <w:r>
        <w:rPr>
          <w:rFonts w:ascii="仿宋_GB2312" w:eastAsia="仿宋_GB2312" w:hAnsi="仿宋" w:hint="eastAsia"/>
          <w:b/>
          <w:sz w:val="32"/>
          <w:szCs w:val="32"/>
        </w:rPr>
        <w:t>款）</w:t>
      </w:r>
      <w:r>
        <w:rPr>
          <w:rFonts w:ascii="仿宋_GB2312" w:eastAsia="仿宋_GB2312" w:hAnsi="仿宋" w:hint="eastAsia"/>
          <w:b/>
          <w:sz w:val="32"/>
          <w:szCs w:val="32"/>
          <w:lang w:eastAsia="zh-CN"/>
        </w:rPr>
        <w:t>事业单位医疗</w:t>
      </w:r>
      <w:r>
        <w:rPr>
          <w:rFonts w:ascii="仿宋_GB2312" w:eastAsia="仿宋_GB2312" w:hAnsi="仿宋" w:hint="eastAsia"/>
          <w:b/>
          <w:sz w:val="32"/>
          <w:szCs w:val="32"/>
        </w:rPr>
        <w:t>（项）</w:t>
      </w:r>
      <w:r>
        <w:rPr>
          <w:rFonts w:ascii="仿宋_GB2312" w:eastAsia="仿宋_GB2312" w:hAnsi="仿宋" w:hint="eastAsia"/>
          <w:b/>
          <w:sz w:val="32"/>
          <w:szCs w:val="32"/>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年预算</w:t>
      </w:r>
      <w:r>
        <w:rPr>
          <w:rFonts w:ascii="仿宋" w:eastAsia="仿宋" w:hAnsi="仿宋" w:hint="eastAsia"/>
          <w:sz w:val="32"/>
          <w:szCs w:val="32"/>
          <w:lang w:val="en-US" w:eastAsia="zh-CN"/>
        </w:rPr>
        <w:t>3.64</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增加</w:t>
      </w:r>
      <w:r>
        <w:rPr>
          <w:rFonts w:ascii="仿宋" w:eastAsia="仿宋" w:hAnsi="仿宋" w:hint="eastAsia"/>
          <w:sz w:val="32"/>
          <w:szCs w:val="32"/>
          <w:lang w:val="en-US" w:eastAsia="zh-CN"/>
        </w:rPr>
        <w:t>0.19</w:t>
      </w:r>
      <w:r>
        <w:rPr>
          <w:rFonts w:ascii="仿宋" w:eastAsia="仿宋" w:hAnsi="仿宋" w:hint="eastAsia"/>
          <w:sz w:val="32"/>
          <w:szCs w:val="32"/>
        </w:rPr>
        <w:t>万元，</w:t>
      </w:r>
      <w:r>
        <w:rPr>
          <w:rFonts w:ascii="仿宋" w:eastAsia="仿宋" w:hAnsi="仿宋" w:hint="eastAsia"/>
          <w:sz w:val="32"/>
          <w:szCs w:val="32"/>
          <w:lang w:eastAsia="zh-CN"/>
        </w:rPr>
        <w:t>增加</w:t>
      </w:r>
      <w:r>
        <w:rPr>
          <w:rFonts w:ascii="仿宋" w:eastAsia="仿宋" w:hAnsi="仿宋" w:hint="eastAsia"/>
          <w:sz w:val="32"/>
          <w:szCs w:val="32"/>
          <w:lang w:val="en-US" w:eastAsia="zh-CN"/>
        </w:rPr>
        <w:t>5.21</w:t>
      </w:r>
      <w:r>
        <w:rPr>
          <w:rFonts w:ascii="仿宋" w:eastAsia="仿宋" w:hAnsi="仿宋" w:hint="eastAsia"/>
          <w:sz w:val="32"/>
          <w:szCs w:val="32"/>
        </w:rPr>
        <w:t>%，</w:t>
      </w:r>
      <w:r>
        <w:rPr>
          <w:rFonts w:ascii="仿宋" w:eastAsia="仿宋" w:hAnsi="仿宋" w:hint="eastAsia"/>
          <w:sz w:val="32"/>
          <w:szCs w:val="32"/>
          <w:lang w:eastAsia="zh-CN"/>
        </w:rPr>
        <w:t>增加</w:t>
      </w:r>
      <w:r>
        <w:rPr>
          <w:rFonts w:ascii="仿宋" w:eastAsia="仿宋" w:hAnsi="仿宋" w:hint="eastAsia"/>
          <w:sz w:val="32"/>
          <w:szCs w:val="32"/>
        </w:rPr>
        <w:t>原因主要</w:t>
      </w:r>
      <w:r>
        <w:rPr>
          <w:rFonts w:ascii="仿宋" w:eastAsia="仿宋" w:hAnsi="仿宋" w:hint="eastAsia"/>
          <w:sz w:val="32"/>
          <w:szCs w:val="32"/>
          <w:lang w:eastAsia="zh-CN"/>
        </w:rPr>
        <w:t>是</w:t>
      </w:r>
      <w:r>
        <w:rPr>
          <w:rFonts w:ascii="仿宋" w:eastAsia="仿宋" w:hAnsi="仿宋" w:hint="eastAsia"/>
          <w:sz w:val="32"/>
          <w:szCs w:val="32"/>
          <w:lang w:val="en-US" w:eastAsia="zh-CN"/>
        </w:rPr>
        <w:t>人员增加2人</w:t>
      </w:r>
      <w:r>
        <w:rPr>
          <w:rFonts w:ascii="仿宋" w:eastAsia="仿宋" w:hAnsi="仿宋" w:hint="eastAsia"/>
          <w:sz w:val="32"/>
          <w:szCs w:val="32"/>
          <w:lang w:eastAsia="zh-CN"/>
        </w:rPr>
        <w:t>，人员经费增加</w:t>
      </w:r>
      <w:r>
        <w:rPr>
          <w:rFonts w:ascii="仿宋" w:eastAsia="仿宋" w:hAnsi="仿宋" w:cs="仿宋" w:hint="eastAsia"/>
          <w:i w:val="0"/>
          <w:iCs w:val="0"/>
          <w:caps w:val="0"/>
          <w:color w:val="333333"/>
          <w:spacing w:val="0"/>
          <w:sz w:val="32"/>
          <w:szCs w:val="32"/>
          <w:shd w:val="clear" w:color="auto" w:fill="FFFFFF"/>
          <w:lang w:eastAsia="zh-CN"/>
        </w:rPr>
        <w:t>，</w:t>
      </w:r>
      <w:r>
        <w:rPr>
          <w:rFonts w:ascii="仿宋" w:eastAsia="仿宋" w:hAnsi="仿宋" w:cs="仿宋"/>
          <w:i w:val="0"/>
          <w:iCs w:val="0"/>
          <w:caps w:val="0"/>
          <w:color w:val="333333"/>
          <w:spacing w:val="0"/>
          <w:sz w:val="32"/>
          <w:szCs w:val="32"/>
          <w:shd w:val="clear" w:color="auto" w:fill="FFFFFF"/>
        </w:rPr>
        <w:t>缴费基数</w:t>
      </w:r>
      <w:r>
        <w:rPr>
          <w:rFonts w:ascii="仿宋" w:eastAsia="仿宋" w:hAnsi="仿宋" w:cs="仿宋" w:hint="eastAsia"/>
          <w:i w:val="0"/>
          <w:iCs w:val="0"/>
          <w:caps w:val="0"/>
          <w:color w:val="333333"/>
          <w:spacing w:val="0"/>
          <w:sz w:val="32"/>
          <w:szCs w:val="32"/>
          <w:shd w:val="clear" w:color="auto" w:fill="FFFFFF"/>
          <w:lang w:eastAsia="zh-CN"/>
        </w:rPr>
        <w:t>增加。</w:t>
      </w:r>
    </w:p>
    <w:p>
      <w:pPr>
        <w:pStyle w:val="NormalWeb"/>
        <w:numPr>
          <w:ilvl w:val="0"/>
          <w:numId w:val="0"/>
        </w:numPr>
        <w:adjustRightInd w:val="0"/>
        <w:snapToGrid w:val="0"/>
        <w:spacing w:before="0" w:beforeAutospacing="0" w:after="0" w:afterAutospacing="0" w:line="600" w:lineRule="exact"/>
        <w:ind w:firstLine="640" w:firstLineChars="200"/>
        <w:rPr>
          <w:rFonts w:ascii="仿宋" w:eastAsia="仿宋" w:hAnsi="仿宋" w:cs="Times New Roman" w:hint="eastAsia"/>
          <w:kern w:val="2"/>
          <w:sz w:val="32"/>
          <w:szCs w:val="32"/>
          <w:lang w:eastAsia="zh-CN"/>
        </w:rPr>
      </w:pPr>
      <w:r>
        <w:rPr>
          <w:rFonts w:ascii="仿宋_GB2312" w:eastAsia="仿宋_GB2312" w:hAnsi="仿宋" w:hint="eastAsia"/>
          <w:b/>
          <w:sz w:val="32"/>
          <w:szCs w:val="32"/>
          <w:lang w:val="en-US" w:eastAsia="zh-CN"/>
        </w:rPr>
        <w:t>3.</w:t>
      </w:r>
      <w:r>
        <w:rPr>
          <w:rFonts w:ascii="仿宋_GB2312" w:eastAsia="仿宋_GB2312" w:hAnsi="仿宋" w:hint="eastAsia"/>
          <w:b/>
          <w:sz w:val="32"/>
          <w:szCs w:val="32"/>
        </w:rPr>
        <w:t>社会保障和就业支出（类）行政事业</w:t>
      </w:r>
      <w:r>
        <w:rPr>
          <w:rFonts w:ascii="仿宋_GB2312" w:eastAsia="仿宋_GB2312" w:hAnsi="仿宋" w:hint="eastAsia"/>
          <w:b/>
          <w:sz w:val="32"/>
          <w:szCs w:val="32"/>
          <w:lang w:eastAsia="zh-CN"/>
        </w:rPr>
        <w:t>单位养老</w:t>
      </w:r>
      <w:r>
        <w:rPr>
          <w:rFonts w:ascii="仿宋_GB2312" w:eastAsia="仿宋_GB2312" w:hAnsi="仿宋" w:hint="eastAsia"/>
          <w:b/>
          <w:sz w:val="32"/>
          <w:szCs w:val="32"/>
        </w:rPr>
        <w:t>（款）</w:t>
      </w:r>
      <w:r>
        <w:rPr>
          <w:rFonts w:ascii="仿宋_GB2312" w:eastAsia="仿宋_GB2312" w:hAnsi="仿宋" w:hint="eastAsia"/>
          <w:b/>
          <w:sz w:val="32"/>
          <w:szCs w:val="32"/>
          <w:lang w:eastAsia="zh-CN"/>
        </w:rPr>
        <w:t>机关事业单位基本养老保险缴费</w:t>
      </w:r>
      <w:r>
        <w:rPr>
          <w:rFonts w:ascii="仿宋_GB2312" w:eastAsia="仿宋_GB2312" w:hAnsi="仿宋" w:hint="eastAsia"/>
          <w:b/>
          <w:sz w:val="32"/>
          <w:szCs w:val="32"/>
        </w:rPr>
        <w:t>（项）</w:t>
      </w:r>
      <w:r>
        <w:rPr>
          <w:rFonts w:ascii="仿宋_GB2312" w:eastAsia="仿宋_GB2312" w:hAnsi="仿宋" w:hint="eastAsia"/>
          <w:b/>
          <w:sz w:val="32"/>
          <w:szCs w:val="32"/>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年预算</w:t>
      </w:r>
      <w:r>
        <w:rPr>
          <w:rFonts w:ascii="仿宋" w:eastAsia="仿宋" w:hAnsi="仿宋" w:hint="eastAsia"/>
          <w:sz w:val="32"/>
          <w:szCs w:val="32"/>
          <w:lang w:val="en-US" w:eastAsia="zh-CN"/>
        </w:rPr>
        <w:t>8.43</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增加</w:t>
      </w:r>
      <w:r>
        <w:rPr>
          <w:rFonts w:ascii="仿宋" w:eastAsia="仿宋" w:hAnsi="仿宋" w:hint="eastAsia"/>
          <w:sz w:val="32"/>
          <w:szCs w:val="32"/>
          <w:lang w:val="en-US" w:eastAsia="zh-CN"/>
        </w:rPr>
        <w:t>0.42</w:t>
      </w:r>
      <w:r>
        <w:rPr>
          <w:rFonts w:ascii="仿宋" w:eastAsia="仿宋" w:hAnsi="仿宋" w:hint="eastAsia"/>
          <w:sz w:val="32"/>
          <w:szCs w:val="32"/>
        </w:rPr>
        <w:t>万元，</w:t>
      </w:r>
      <w:r>
        <w:rPr>
          <w:rFonts w:ascii="仿宋" w:eastAsia="仿宋" w:hAnsi="仿宋" w:hint="eastAsia"/>
          <w:sz w:val="32"/>
          <w:szCs w:val="32"/>
          <w:lang w:eastAsia="zh-CN"/>
        </w:rPr>
        <w:t>增加</w:t>
      </w:r>
      <w:r>
        <w:rPr>
          <w:rFonts w:ascii="仿宋" w:eastAsia="仿宋" w:hAnsi="仿宋" w:hint="eastAsia"/>
          <w:sz w:val="32"/>
          <w:szCs w:val="32"/>
          <w:lang w:val="en-US" w:eastAsia="zh-CN"/>
        </w:rPr>
        <w:t>4.98</w:t>
      </w:r>
      <w:r>
        <w:rPr>
          <w:rFonts w:ascii="仿宋" w:eastAsia="仿宋" w:hAnsi="仿宋" w:hint="eastAsia"/>
          <w:sz w:val="32"/>
          <w:szCs w:val="32"/>
        </w:rPr>
        <w:t>%，</w:t>
      </w:r>
      <w:r>
        <w:rPr>
          <w:rFonts w:ascii="仿宋" w:eastAsia="仿宋" w:hAnsi="仿宋" w:hint="eastAsia"/>
          <w:sz w:val="32"/>
          <w:szCs w:val="32"/>
          <w:lang w:eastAsia="zh-CN"/>
        </w:rPr>
        <w:t>增加</w:t>
      </w:r>
      <w:r>
        <w:rPr>
          <w:rFonts w:ascii="仿宋" w:eastAsia="仿宋" w:hAnsi="仿宋" w:hint="eastAsia"/>
          <w:sz w:val="32"/>
          <w:szCs w:val="32"/>
        </w:rPr>
        <w:t>原因主要是</w:t>
      </w:r>
      <w:r>
        <w:rPr>
          <w:rFonts w:ascii="仿宋" w:eastAsia="仿宋" w:hAnsi="仿宋" w:hint="eastAsia"/>
          <w:sz w:val="32"/>
          <w:szCs w:val="32"/>
          <w:lang w:eastAsia="zh-CN"/>
        </w:rPr>
        <w:t>在</w:t>
      </w:r>
      <w:r>
        <w:rPr>
          <w:rFonts w:ascii="仿宋" w:eastAsia="仿宋" w:hAnsi="仿宋" w:cs="仿宋" w:hint="eastAsia"/>
          <w:i w:val="0"/>
          <w:iCs w:val="0"/>
          <w:caps w:val="0"/>
          <w:color w:val="333333"/>
          <w:spacing w:val="0"/>
          <w:sz w:val="32"/>
          <w:szCs w:val="32"/>
          <w:shd w:val="clear" w:color="auto" w:fill="FFFFFF"/>
          <w:lang w:eastAsia="zh-CN"/>
        </w:rPr>
        <w:t>人员增加，</w:t>
      </w:r>
      <w:r>
        <w:rPr>
          <w:rFonts w:ascii="仿宋" w:eastAsia="仿宋" w:hAnsi="仿宋" w:cs="仿宋"/>
          <w:i w:val="0"/>
          <w:iCs w:val="0"/>
          <w:caps w:val="0"/>
          <w:color w:val="333333"/>
          <w:spacing w:val="0"/>
          <w:sz w:val="32"/>
          <w:szCs w:val="32"/>
          <w:shd w:val="clear" w:color="auto" w:fill="FFFFFF"/>
        </w:rPr>
        <w:t>缴费基数</w:t>
      </w:r>
      <w:r>
        <w:rPr>
          <w:rFonts w:ascii="仿宋" w:eastAsia="仿宋" w:hAnsi="仿宋" w:cs="仿宋" w:hint="eastAsia"/>
          <w:i w:val="0"/>
          <w:iCs w:val="0"/>
          <w:caps w:val="0"/>
          <w:color w:val="333333"/>
          <w:spacing w:val="0"/>
          <w:sz w:val="32"/>
          <w:szCs w:val="32"/>
          <w:shd w:val="clear" w:color="auto" w:fill="FFFFFF"/>
          <w:lang w:eastAsia="zh-CN"/>
        </w:rPr>
        <w:t>增加。</w:t>
      </w:r>
    </w:p>
    <w:p>
      <w:pPr>
        <w:pStyle w:val="NormalWeb"/>
        <w:numPr>
          <w:ilvl w:val="0"/>
          <w:numId w:val="0"/>
        </w:numPr>
        <w:adjustRightInd w:val="0"/>
        <w:snapToGrid w:val="0"/>
        <w:spacing w:before="0" w:beforeAutospacing="0" w:after="0" w:afterAutospacing="0" w:line="600" w:lineRule="exact"/>
        <w:ind w:firstLine="640" w:firstLineChars="200"/>
        <w:rPr>
          <w:rFonts w:ascii="仿宋" w:eastAsia="仿宋" w:hAnsi="仿宋" w:cs="仿宋" w:hint="eastAsia"/>
          <w:i w:val="0"/>
          <w:iCs w:val="0"/>
          <w:caps w:val="0"/>
          <w:color w:val="333333"/>
          <w:spacing w:val="0"/>
          <w:sz w:val="32"/>
          <w:szCs w:val="32"/>
          <w:shd w:val="clear" w:color="auto" w:fill="FFFFFF"/>
          <w:lang w:eastAsia="zh-CN"/>
        </w:rPr>
      </w:pPr>
      <w:r>
        <w:rPr>
          <w:rFonts w:ascii="仿宋_GB2312" w:eastAsia="仿宋_GB2312" w:hAnsi="仿宋" w:hint="eastAsia"/>
          <w:b/>
          <w:sz w:val="32"/>
          <w:szCs w:val="32"/>
          <w:lang w:val="en-US" w:eastAsia="zh-CN"/>
        </w:rPr>
        <w:t>4</w:t>
      </w:r>
      <w:r>
        <w:rPr>
          <w:rFonts w:ascii="仿宋_GB2312" w:eastAsia="仿宋_GB2312" w:hAnsi="仿宋" w:hint="eastAsia"/>
          <w:b/>
          <w:sz w:val="32"/>
          <w:szCs w:val="32"/>
        </w:rPr>
        <w:t>.社会保障和就业支出（类）行政事业</w:t>
      </w:r>
      <w:r>
        <w:rPr>
          <w:rFonts w:ascii="仿宋_GB2312" w:eastAsia="仿宋_GB2312" w:hAnsi="仿宋" w:hint="eastAsia"/>
          <w:b/>
          <w:sz w:val="32"/>
          <w:szCs w:val="32"/>
          <w:lang w:eastAsia="zh-CN"/>
        </w:rPr>
        <w:t>单位养老</w:t>
      </w:r>
      <w:r>
        <w:rPr>
          <w:rFonts w:ascii="仿宋_GB2312" w:eastAsia="仿宋_GB2312" w:hAnsi="仿宋" w:hint="eastAsia"/>
          <w:b/>
          <w:sz w:val="32"/>
          <w:szCs w:val="32"/>
        </w:rPr>
        <w:t>（款）</w:t>
      </w:r>
      <w:r>
        <w:rPr>
          <w:rFonts w:ascii="仿宋_GB2312" w:eastAsia="仿宋_GB2312" w:hAnsi="仿宋" w:hint="eastAsia"/>
          <w:b/>
          <w:sz w:val="32"/>
          <w:szCs w:val="32"/>
          <w:lang w:eastAsia="zh-CN"/>
        </w:rPr>
        <w:t>职业年金缴费</w:t>
      </w:r>
      <w:r>
        <w:rPr>
          <w:rFonts w:ascii="仿宋_GB2312" w:eastAsia="仿宋_GB2312" w:hAnsi="仿宋" w:hint="eastAsia"/>
          <w:b/>
          <w:sz w:val="32"/>
          <w:szCs w:val="32"/>
        </w:rPr>
        <w:t>（项）</w:t>
      </w:r>
      <w:r>
        <w:rPr>
          <w:rFonts w:ascii="仿宋_GB2312" w:eastAsia="仿宋_GB2312" w:hAnsi="仿宋" w:hint="eastAsia"/>
          <w:b/>
          <w:sz w:val="32"/>
          <w:szCs w:val="32"/>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年预算</w:t>
      </w:r>
      <w:r>
        <w:rPr>
          <w:rFonts w:ascii="仿宋" w:eastAsia="仿宋" w:hAnsi="仿宋" w:hint="eastAsia"/>
          <w:sz w:val="32"/>
          <w:szCs w:val="32"/>
          <w:lang w:val="en-US" w:eastAsia="zh-CN"/>
        </w:rPr>
        <w:t>4.21</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增加</w:t>
      </w:r>
      <w:r>
        <w:rPr>
          <w:rFonts w:ascii="仿宋" w:eastAsia="仿宋" w:hAnsi="仿宋" w:hint="eastAsia"/>
          <w:sz w:val="32"/>
          <w:szCs w:val="32"/>
          <w:lang w:val="en-US" w:eastAsia="zh-CN"/>
        </w:rPr>
        <w:t>0.2</w:t>
      </w:r>
      <w:r>
        <w:rPr>
          <w:rFonts w:ascii="仿宋" w:eastAsia="仿宋" w:hAnsi="仿宋" w:hint="eastAsia"/>
          <w:sz w:val="32"/>
          <w:szCs w:val="32"/>
        </w:rPr>
        <w:t>万元，</w:t>
      </w:r>
      <w:r>
        <w:rPr>
          <w:rFonts w:ascii="仿宋" w:eastAsia="仿宋" w:hAnsi="仿宋" w:hint="eastAsia"/>
          <w:sz w:val="32"/>
          <w:szCs w:val="32"/>
          <w:lang w:eastAsia="zh-CN"/>
        </w:rPr>
        <w:t>下降</w:t>
      </w:r>
      <w:r>
        <w:rPr>
          <w:rFonts w:ascii="仿宋" w:eastAsia="仿宋" w:hAnsi="仿宋" w:hint="eastAsia"/>
          <w:sz w:val="32"/>
          <w:szCs w:val="32"/>
          <w:lang w:val="en-US" w:eastAsia="zh-CN"/>
        </w:rPr>
        <w:t>4.75</w:t>
      </w:r>
      <w:r>
        <w:rPr>
          <w:rFonts w:ascii="仿宋" w:eastAsia="仿宋" w:hAnsi="仿宋" w:hint="eastAsia"/>
          <w:sz w:val="32"/>
          <w:szCs w:val="32"/>
        </w:rPr>
        <w:t>%</w:t>
      </w:r>
      <w:r>
        <w:rPr>
          <w:rFonts w:ascii="仿宋" w:eastAsia="仿宋" w:hAnsi="仿宋" w:hint="eastAsia"/>
          <w:sz w:val="32"/>
          <w:szCs w:val="32"/>
          <w:lang w:eastAsia="zh-CN"/>
        </w:rPr>
        <w:t>，增加</w:t>
      </w:r>
      <w:r>
        <w:rPr>
          <w:rFonts w:ascii="仿宋" w:eastAsia="仿宋" w:hAnsi="仿宋" w:hint="eastAsia"/>
          <w:sz w:val="32"/>
          <w:szCs w:val="32"/>
        </w:rPr>
        <w:t>原因主要</w:t>
      </w:r>
      <w:r>
        <w:rPr>
          <w:rFonts w:ascii="仿宋" w:eastAsia="仿宋" w:hAnsi="仿宋" w:hint="eastAsia"/>
          <w:sz w:val="32"/>
          <w:szCs w:val="32"/>
          <w:lang w:eastAsia="zh-CN"/>
        </w:rPr>
        <w:t>人员增加</w:t>
      </w:r>
      <w:r>
        <w:rPr>
          <w:rFonts w:ascii="仿宋" w:eastAsia="仿宋" w:hAnsi="仿宋" w:cs="仿宋" w:hint="eastAsia"/>
          <w:i w:val="0"/>
          <w:iCs w:val="0"/>
          <w:caps w:val="0"/>
          <w:color w:val="333333"/>
          <w:spacing w:val="0"/>
          <w:sz w:val="32"/>
          <w:szCs w:val="32"/>
          <w:shd w:val="clear" w:color="auto" w:fill="FFFFFF"/>
          <w:lang w:eastAsia="zh-CN"/>
        </w:rPr>
        <w:t>，</w:t>
      </w:r>
      <w:r>
        <w:rPr>
          <w:rFonts w:ascii="仿宋" w:eastAsia="仿宋" w:hAnsi="仿宋" w:cs="仿宋"/>
          <w:i w:val="0"/>
          <w:iCs w:val="0"/>
          <w:caps w:val="0"/>
          <w:color w:val="333333"/>
          <w:spacing w:val="0"/>
          <w:sz w:val="32"/>
          <w:szCs w:val="32"/>
          <w:shd w:val="clear" w:color="auto" w:fill="FFFFFF"/>
        </w:rPr>
        <w:t>缴费基数</w:t>
      </w:r>
      <w:r>
        <w:rPr>
          <w:rFonts w:ascii="仿宋" w:eastAsia="仿宋" w:hAnsi="仿宋" w:cs="仿宋" w:hint="eastAsia"/>
          <w:i w:val="0"/>
          <w:iCs w:val="0"/>
          <w:caps w:val="0"/>
          <w:color w:val="333333"/>
          <w:spacing w:val="0"/>
          <w:sz w:val="32"/>
          <w:szCs w:val="32"/>
          <w:shd w:val="clear" w:color="auto" w:fill="FFFFFF"/>
          <w:lang w:eastAsia="zh-CN"/>
        </w:rPr>
        <w:t>增加。</w:t>
      </w:r>
    </w:p>
    <w:p>
      <w:pPr>
        <w:pStyle w:val="NormalWeb"/>
        <w:numPr>
          <w:ilvl w:val="0"/>
          <w:numId w:val="0"/>
        </w:numPr>
        <w:adjustRightInd w:val="0"/>
        <w:snapToGrid w:val="0"/>
        <w:spacing w:before="0" w:beforeAutospacing="0" w:after="0" w:afterAutospacing="0" w:line="600" w:lineRule="exact"/>
        <w:ind w:firstLine="640" w:firstLineChars="200"/>
        <w:rPr>
          <w:rFonts w:ascii="仿宋" w:eastAsia="仿宋" w:hAnsi="仿宋" w:cs="仿宋" w:hint="eastAsia"/>
          <w:i w:val="0"/>
          <w:iCs w:val="0"/>
          <w:caps w:val="0"/>
          <w:color w:val="333333"/>
          <w:spacing w:val="0"/>
          <w:sz w:val="32"/>
          <w:szCs w:val="32"/>
          <w:shd w:val="clear" w:color="auto" w:fill="FFFFFF"/>
          <w:lang w:eastAsia="zh-CN"/>
        </w:rPr>
      </w:pPr>
      <w:r>
        <w:rPr>
          <w:rFonts w:ascii="仿宋_GB2312" w:eastAsia="仿宋_GB2312" w:hAnsi="仿宋" w:hint="eastAsia"/>
          <w:b/>
          <w:sz w:val="32"/>
          <w:szCs w:val="32"/>
          <w:lang w:val="en-US" w:eastAsia="zh-CN"/>
        </w:rPr>
        <w:t>5</w:t>
      </w:r>
      <w:r>
        <w:rPr>
          <w:rFonts w:ascii="仿宋_GB2312" w:eastAsia="仿宋_GB2312" w:hAnsi="仿宋" w:hint="eastAsia"/>
          <w:b/>
          <w:sz w:val="32"/>
          <w:szCs w:val="32"/>
        </w:rPr>
        <w:t>.社会保障和就业支出（类）</w:t>
      </w:r>
      <w:r>
        <w:rPr>
          <w:rFonts w:ascii="仿宋_GB2312" w:eastAsia="仿宋_GB2312" w:hAnsi="仿宋" w:hint="eastAsia"/>
          <w:b/>
          <w:sz w:val="32"/>
          <w:szCs w:val="32"/>
          <w:lang w:eastAsia="zh-CN"/>
        </w:rPr>
        <w:t>其他社会保障和就业支出</w:t>
      </w:r>
      <w:r>
        <w:rPr>
          <w:rFonts w:ascii="仿宋_GB2312" w:eastAsia="仿宋_GB2312" w:hAnsi="仿宋" w:hint="eastAsia"/>
          <w:b/>
          <w:sz w:val="32"/>
          <w:szCs w:val="32"/>
        </w:rPr>
        <w:t>（款）</w:t>
      </w:r>
      <w:r>
        <w:rPr>
          <w:rFonts w:ascii="仿宋_GB2312" w:eastAsia="仿宋_GB2312" w:hAnsi="仿宋" w:hint="eastAsia"/>
          <w:b/>
          <w:sz w:val="32"/>
          <w:szCs w:val="32"/>
          <w:lang w:eastAsia="zh-CN"/>
        </w:rPr>
        <w:t>其他社会保障和就业支出</w:t>
      </w:r>
      <w:r>
        <w:rPr>
          <w:rFonts w:ascii="仿宋_GB2312" w:eastAsia="仿宋_GB2312" w:hAnsi="仿宋" w:hint="eastAsia"/>
          <w:b/>
          <w:sz w:val="32"/>
          <w:szCs w:val="32"/>
        </w:rPr>
        <w:t>（项）</w:t>
      </w:r>
      <w:r>
        <w:rPr>
          <w:rFonts w:ascii="仿宋_GB2312" w:eastAsia="仿宋_GB2312" w:hAnsi="仿宋" w:hint="eastAsia"/>
          <w:b/>
          <w:sz w:val="32"/>
          <w:szCs w:val="32"/>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val="en-US" w:eastAsia="zh-CN"/>
        </w:rPr>
        <w:t>25.17</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增加</w:t>
      </w:r>
      <w:r>
        <w:rPr>
          <w:rFonts w:ascii="仿宋" w:eastAsia="仿宋" w:hAnsi="仿宋" w:hint="eastAsia"/>
          <w:sz w:val="32"/>
          <w:szCs w:val="32"/>
          <w:lang w:val="en-US" w:eastAsia="zh-CN"/>
        </w:rPr>
        <w:t>9.35</w:t>
      </w:r>
      <w:r>
        <w:rPr>
          <w:rFonts w:ascii="仿宋" w:eastAsia="仿宋" w:hAnsi="仿宋" w:hint="eastAsia"/>
          <w:sz w:val="32"/>
          <w:szCs w:val="32"/>
        </w:rPr>
        <w:t>万元，</w:t>
      </w:r>
      <w:r>
        <w:rPr>
          <w:rFonts w:ascii="仿宋" w:eastAsia="仿宋" w:hAnsi="仿宋" w:hint="eastAsia"/>
          <w:sz w:val="32"/>
          <w:szCs w:val="32"/>
          <w:lang w:eastAsia="zh-CN"/>
        </w:rPr>
        <w:t>增长</w:t>
      </w:r>
      <w:r>
        <w:rPr>
          <w:rFonts w:ascii="仿宋" w:eastAsia="仿宋" w:hAnsi="仿宋" w:hint="eastAsia"/>
          <w:sz w:val="32"/>
          <w:szCs w:val="32"/>
          <w:lang w:val="en-US" w:eastAsia="zh-CN"/>
        </w:rPr>
        <w:t>37.14</w:t>
      </w:r>
      <w:r>
        <w:rPr>
          <w:rFonts w:ascii="仿宋" w:eastAsia="仿宋" w:hAnsi="仿宋" w:hint="eastAsia"/>
          <w:sz w:val="32"/>
          <w:szCs w:val="32"/>
        </w:rPr>
        <w:t>%</w:t>
      </w:r>
      <w:r>
        <w:rPr>
          <w:rFonts w:ascii="仿宋" w:eastAsia="仿宋" w:hAnsi="仿宋" w:hint="eastAsia"/>
          <w:sz w:val="32"/>
          <w:szCs w:val="32"/>
          <w:lang w:eastAsia="zh-CN"/>
        </w:rPr>
        <w:t>，增长</w:t>
      </w:r>
      <w:r>
        <w:rPr>
          <w:rFonts w:ascii="仿宋" w:eastAsia="仿宋" w:hAnsi="仿宋" w:hint="eastAsia"/>
          <w:sz w:val="32"/>
          <w:szCs w:val="32"/>
        </w:rPr>
        <w:t>原因主要</w:t>
      </w:r>
      <w:r>
        <w:rPr>
          <w:rFonts w:ascii="仿宋" w:eastAsia="仿宋" w:hAnsi="仿宋" w:hint="eastAsia"/>
          <w:sz w:val="32"/>
          <w:szCs w:val="32"/>
          <w:lang w:eastAsia="zh-CN"/>
        </w:rPr>
        <w:t>是预算支出功能科目调整和人员增加</w:t>
      </w:r>
      <w:r>
        <w:rPr>
          <w:rFonts w:ascii="仿宋" w:eastAsia="仿宋" w:hAnsi="仿宋" w:cs="仿宋" w:hint="eastAsia"/>
          <w:i w:val="0"/>
          <w:iCs w:val="0"/>
          <w:caps w:val="0"/>
          <w:color w:val="333333"/>
          <w:spacing w:val="0"/>
          <w:sz w:val="32"/>
          <w:szCs w:val="32"/>
          <w:shd w:val="clear" w:color="auto" w:fill="FFFFFF"/>
          <w:lang w:eastAsia="zh-CN"/>
        </w:rPr>
        <w:t>。</w:t>
      </w:r>
    </w:p>
    <w:p>
      <w:pPr>
        <w:pStyle w:val="NormalWeb"/>
        <w:numPr>
          <w:ilvl w:val="0"/>
          <w:numId w:val="0"/>
        </w:numPr>
        <w:adjustRightInd w:val="0"/>
        <w:snapToGrid w:val="0"/>
        <w:spacing w:before="0" w:beforeAutospacing="0" w:after="0" w:afterAutospacing="0" w:line="600" w:lineRule="exact"/>
        <w:ind w:firstLine="640" w:firstLineChars="200"/>
        <w:rPr>
          <w:rFonts w:ascii="仿宋_GB2312" w:eastAsia="仿宋_GB2312" w:hAnsi="仿宋" w:hint="eastAsia"/>
          <w:sz w:val="32"/>
          <w:szCs w:val="32"/>
          <w:lang w:val="en-US" w:eastAsia="zh-CN"/>
        </w:rPr>
      </w:pPr>
      <w:r>
        <w:rPr>
          <w:rFonts w:ascii="仿宋" w:eastAsia="仿宋" w:hAnsi="仿宋" w:cs="仿宋" w:hint="eastAsia"/>
          <w:i w:val="0"/>
          <w:iCs w:val="0"/>
          <w:caps w:val="0"/>
          <w:color w:val="333333"/>
          <w:spacing w:val="0"/>
          <w:sz w:val="32"/>
          <w:szCs w:val="32"/>
          <w:shd w:val="clear" w:color="auto" w:fill="FFFFFF"/>
          <w:lang w:val="en-US" w:eastAsia="zh-CN"/>
        </w:rPr>
        <w:t>6</w:t>
      </w:r>
      <w:r>
        <w:rPr>
          <w:rFonts w:ascii="仿宋_GB2312" w:eastAsia="仿宋_GB2312" w:hAnsi="仿宋" w:hint="eastAsia"/>
          <w:b/>
          <w:sz w:val="32"/>
          <w:szCs w:val="32"/>
          <w:lang w:val="en-US" w:eastAsia="zh-CN"/>
        </w:rPr>
        <w:t>.</w:t>
      </w:r>
      <w:r>
        <w:rPr>
          <w:rFonts w:ascii="仿宋_GB2312" w:eastAsia="仿宋_GB2312" w:hAnsi="仿宋" w:hint="eastAsia"/>
          <w:b/>
          <w:sz w:val="32"/>
          <w:szCs w:val="32"/>
        </w:rPr>
        <w:t>住房保障支出（类）住房改革支出（款）住房公积金（项</w:t>
      </w:r>
      <w:r>
        <w:rPr>
          <w:rFonts w:ascii="仿宋_GB2312" w:eastAsia="仿宋_GB2312" w:hAnsi="仿宋" w:hint="eastAsia"/>
          <w:b/>
          <w:sz w:val="32"/>
          <w:szCs w:val="32"/>
          <w:lang w:val="en-US" w:eastAsia="zh-CN"/>
        </w:rPr>
        <w:t>):</w:t>
      </w:r>
      <w:r>
        <w:rPr>
          <w:rFonts w:ascii="仿宋" w:eastAsia="仿宋" w:hAnsi="仿宋" w:hint="eastAsia"/>
          <w:sz w:val="32"/>
          <w:szCs w:val="32"/>
        </w:rPr>
        <w:t>202</w:t>
      </w:r>
      <w:r>
        <w:rPr>
          <w:rFonts w:ascii="仿宋" w:eastAsia="仿宋" w:hAnsi="仿宋" w:hint="eastAsia"/>
          <w:sz w:val="32"/>
          <w:szCs w:val="32"/>
          <w:lang w:val="en-US" w:eastAsia="zh-CN"/>
        </w:rPr>
        <w:t>4</w:t>
      </w:r>
      <w:r>
        <w:rPr>
          <w:rFonts w:ascii="仿宋" w:eastAsia="仿宋" w:hAnsi="仿宋" w:hint="eastAsia"/>
          <w:sz w:val="32"/>
          <w:szCs w:val="32"/>
        </w:rPr>
        <w:t>年预算</w:t>
      </w:r>
      <w:r>
        <w:rPr>
          <w:rFonts w:ascii="仿宋" w:eastAsia="仿宋" w:hAnsi="仿宋" w:hint="eastAsia"/>
          <w:sz w:val="32"/>
          <w:szCs w:val="32"/>
          <w:lang w:val="en-US" w:eastAsia="zh-CN"/>
        </w:rPr>
        <w:t>6.32</w:t>
      </w:r>
      <w:r>
        <w:rPr>
          <w:rFonts w:ascii="仿宋" w:eastAsia="仿宋" w:hAnsi="仿宋" w:hint="eastAsia"/>
          <w:sz w:val="32"/>
          <w:szCs w:val="32"/>
        </w:rPr>
        <w:t>万元，比202</w:t>
      </w:r>
      <w:r>
        <w:rPr>
          <w:rFonts w:ascii="仿宋" w:eastAsia="仿宋" w:hAnsi="仿宋" w:hint="eastAsia"/>
          <w:sz w:val="32"/>
          <w:szCs w:val="32"/>
          <w:lang w:val="en-US" w:eastAsia="zh-CN"/>
        </w:rPr>
        <w:t>3</w:t>
      </w:r>
      <w:r>
        <w:rPr>
          <w:rFonts w:ascii="仿宋" w:eastAsia="仿宋" w:hAnsi="仿宋" w:hint="eastAsia"/>
          <w:sz w:val="32"/>
          <w:szCs w:val="32"/>
        </w:rPr>
        <w:t>年预算</w:t>
      </w:r>
      <w:r>
        <w:rPr>
          <w:rFonts w:ascii="仿宋" w:eastAsia="仿宋" w:hAnsi="仿宋" w:hint="eastAsia"/>
          <w:sz w:val="32"/>
          <w:szCs w:val="32"/>
          <w:lang w:eastAsia="zh-CN"/>
        </w:rPr>
        <w:t>减少</w:t>
      </w:r>
      <w:r>
        <w:rPr>
          <w:rFonts w:ascii="仿宋" w:eastAsia="仿宋" w:hAnsi="仿宋" w:hint="eastAsia"/>
          <w:sz w:val="32"/>
          <w:szCs w:val="32"/>
          <w:lang w:val="en-US" w:eastAsia="zh-CN"/>
        </w:rPr>
        <w:t>0.31</w:t>
      </w:r>
      <w:r>
        <w:rPr>
          <w:rFonts w:ascii="仿宋" w:eastAsia="仿宋" w:hAnsi="仿宋" w:hint="eastAsia"/>
          <w:sz w:val="32"/>
          <w:szCs w:val="32"/>
        </w:rPr>
        <w:t>万元，</w:t>
      </w:r>
      <w:r>
        <w:rPr>
          <w:rFonts w:ascii="仿宋" w:eastAsia="仿宋" w:hAnsi="仿宋" w:hint="eastAsia"/>
          <w:sz w:val="32"/>
          <w:szCs w:val="32"/>
          <w:lang w:eastAsia="zh-CN"/>
        </w:rPr>
        <w:t>下降</w:t>
      </w:r>
      <w:r>
        <w:rPr>
          <w:rFonts w:ascii="仿宋" w:eastAsia="仿宋" w:hAnsi="仿宋" w:hint="eastAsia"/>
          <w:sz w:val="32"/>
          <w:szCs w:val="32"/>
          <w:lang w:val="en-US" w:eastAsia="zh-CN"/>
        </w:rPr>
        <w:t>4.9</w:t>
      </w:r>
      <w:r>
        <w:rPr>
          <w:rFonts w:ascii="仿宋" w:eastAsia="仿宋" w:hAnsi="仿宋" w:hint="eastAsia"/>
          <w:sz w:val="32"/>
          <w:szCs w:val="32"/>
        </w:rPr>
        <w:t>%</w:t>
      </w:r>
      <w:r>
        <w:rPr>
          <w:rFonts w:ascii="仿宋" w:eastAsia="仿宋" w:hAnsi="仿宋" w:hint="eastAsia"/>
          <w:sz w:val="32"/>
          <w:szCs w:val="32"/>
          <w:lang w:eastAsia="zh-CN"/>
        </w:rPr>
        <w:t>，增加</w:t>
      </w:r>
      <w:r>
        <w:rPr>
          <w:rFonts w:ascii="仿宋" w:eastAsia="仿宋" w:hAnsi="仿宋" w:hint="eastAsia"/>
          <w:sz w:val="32"/>
          <w:szCs w:val="32"/>
        </w:rPr>
        <w:t>原因主要是</w:t>
      </w:r>
      <w:r>
        <w:rPr>
          <w:rFonts w:ascii="仿宋" w:eastAsia="仿宋" w:hAnsi="仿宋" w:hint="eastAsia"/>
          <w:sz w:val="32"/>
          <w:szCs w:val="32"/>
          <w:lang w:val="en-US" w:eastAsia="zh-CN"/>
        </w:rPr>
        <w:t>人员增加，</w:t>
      </w:r>
      <w:r>
        <w:rPr>
          <w:rFonts w:ascii="仿宋" w:eastAsia="仿宋" w:hAnsi="仿宋" w:cs="仿宋"/>
          <w:i w:val="0"/>
          <w:iCs w:val="0"/>
          <w:caps w:val="0"/>
          <w:color w:val="333333"/>
          <w:spacing w:val="0"/>
          <w:sz w:val="32"/>
          <w:szCs w:val="32"/>
          <w:shd w:val="clear" w:color="auto" w:fill="FFFFFF"/>
        </w:rPr>
        <w:t>缴费基数</w:t>
      </w:r>
      <w:r>
        <w:rPr>
          <w:rFonts w:ascii="仿宋" w:eastAsia="仿宋" w:hAnsi="仿宋" w:cs="仿宋" w:hint="eastAsia"/>
          <w:i w:val="0"/>
          <w:iCs w:val="0"/>
          <w:caps w:val="0"/>
          <w:color w:val="333333"/>
          <w:spacing w:val="0"/>
          <w:sz w:val="32"/>
          <w:szCs w:val="32"/>
          <w:shd w:val="clear" w:color="auto" w:fill="FFFFFF"/>
          <w:lang w:eastAsia="zh-CN"/>
        </w:rPr>
        <w:t>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ind w:firstLine="640" w:firstLineChars="200"/>
        <w:rPr>
          <w:rFonts w:ascii="楷体_GB2312" w:eastAsia="楷体_GB2312" w:hAnsi="仿宋"/>
          <w:sz w:val="32"/>
          <w:szCs w:val="32"/>
        </w:rPr>
      </w:pPr>
      <w:r>
        <w:rPr>
          <w:rFonts w:ascii="仿宋_GB2312" w:eastAsia="仿宋_GB2312" w:hAnsi="仿宋" w:hint="eastAsia"/>
          <w:sz w:val="32"/>
          <w:szCs w:val="32"/>
          <w:lang w:eastAsia="zh-CN"/>
        </w:rPr>
        <w:t>寿县安丰镇杨仙分院202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年一般公共预算基本支出</w:t>
      </w:r>
      <w:r>
        <w:rPr>
          <w:rFonts w:ascii="仿宋_GB2312" w:eastAsia="仿宋_GB2312" w:hAnsi="仿宋" w:hint="eastAsia"/>
          <w:sz w:val="32"/>
          <w:szCs w:val="32"/>
          <w:lang w:val="en-US" w:eastAsia="zh-CN"/>
        </w:rPr>
        <w:t>95.71</w:t>
      </w:r>
      <w:r>
        <w:rPr>
          <w:rFonts w:ascii="仿宋_GB2312" w:eastAsia="仿宋_GB2312" w:hAnsi="仿宋" w:hint="eastAsia"/>
          <w:sz w:val="32"/>
          <w:szCs w:val="32"/>
        </w:rPr>
        <w:t>万元，其中</w:t>
      </w:r>
      <w:r>
        <w:rPr>
          <w:rFonts w:ascii="仿宋_GB2312" w:eastAsia="仿宋_GB2312" w:hAnsi="仿宋" w:hint="eastAsia"/>
          <w:sz w:val="32"/>
          <w:szCs w:val="32"/>
          <w:lang w:eastAsia="zh-CN"/>
        </w:rPr>
        <w:t>：工资福利支出</w:t>
      </w:r>
      <w:r>
        <w:rPr>
          <w:rFonts w:ascii="仿宋_GB2312" w:eastAsia="仿宋_GB2312" w:hAnsi="仿宋" w:hint="eastAsia"/>
          <w:sz w:val="32"/>
          <w:szCs w:val="32"/>
          <w:lang w:val="en-US" w:eastAsia="zh-CN"/>
        </w:rPr>
        <w:t>95.71</w:t>
      </w:r>
      <w:r>
        <w:rPr>
          <w:rFonts w:ascii="仿宋_GB2312" w:eastAsia="仿宋_GB2312" w:hAnsi="仿宋" w:hint="eastAsia"/>
          <w:sz w:val="32"/>
          <w:szCs w:val="32"/>
        </w:rPr>
        <w:t>万元</w:t>
      </w:r>
      <w:r>
        <w:rPr>
          <w:rFonts w:ascii="仿宋_GB2312" w:eastAsia="仿宋_GB2312" w:hAnsi="仿宋" w:hint="eastAsia"/>
          <w:sz w:val="32"/>
          <w:szCs w:val="32"/>
          <w:lang w:val="en-US" w:eastAsia="zh-CN"/>
        </w:rPr>
        <w:t>，</w:t>
      </w:r>
      <w:r>
        <w:rPr>
          <w:rFonts w:ascii="仿宋_GB2312" w:eastAsia="仿宋_GB2312" w:hAnsi="仿宋" w:hint="eastAsia"/>
          <w:sz w:val="32"/>
          <w:szCs w:val="32"/>
        </w:rPr>
        <w:t>主要包括：基本工资、津贴补贴、绩效工资、机关事业单位基本养老保险缴费、职业年金缴费、职工基本医疗保险缴费、住房公积金支出等。</w:t>
      </w:r>
    </w:p>
    <w:p>
      <w:pPr>
        <w:topLinePunct/>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adjustRightInd w:val="0"/>
        <w:snapToGrid w:val="0"/>
        <w:spacing w:before="0" w:beforeAutospacing="0" w:after="0" w:afterAutospacing="0" w:line="600" w:lineRule="exact"/>
        <w:ind w:firstLine="640" w:firstLineChars="200"/>
        <w:rPr>
          <w:rFonts w:ascii="仿宋_GB2312" w:eastAsia="仿宋_GB2312" w:hAnsi="仿宋"/>
          <w:sz w:val="32"/>
          <w:szCs w:val="32"/>
        </w:rPr>
      </w:pPr>
      <w:r>
        <w:rPr>
          <w:rFonts w:ascii="楷体_GB2312" w:eastAsia="楷体_GB2312" w:hAnsi="仿宋" w:cs="Times New Roman" w:hint="eastAsia"/>
          <w:color w:val="FF0000"/>
          <w:kern w:val="2"/>
          <w:sz w:val="32"/>
          <w:szCs w:val="32"/>
          <w:lang w:val="en-US" w:eastAsia="zh-CN"/>
        </w:rPr>
        <w:t xml:space="preserve"> </w:t>
      </w:r>
      <w:r>
        <w:rPr>
          <w:rFonts w:ascii="仿宋_GB2312" w:eastAsia="仿宋_GB2312" w:hAnsi="仿宋" w:hint="eastAsia"/>
          <w:sz w:val="32"/>
          <w:szCs w:val="32"/>
          <w:lang w:eastAsia="zh-CN"/>
        </w:rPr>
        <w:t>寿县安丰镇杨仙分院202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仿宋" w:hint="eastAsia"/>
          <w:sz w:val="32"/>
          <w:szCs w:val="32"/>
          <w:lang w:eastAsia="zh-CN"/>
        </w:rPr>
      </w:pPr>
      <w:r>
        <w:rPr>
          <w:rFonts w:ascii="仿宋_GB2312" w:eastAsia="仿宋_GB2312" w:hAnsi="仿宋" w:hint="eastAsia"/>
          <w:sz w:val="32"/>
          <w:szCs w:val="32"/>
          <w:lang w:eastAsia="zh-CN"/>
        </w:rPr>
        <w:t>寿县安丰镇杨仙分院202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年没有国有资本经营预算拨款收入，也没有使用国有资本经营预算拨款安排的支出</w:t>
      </w:r>
      <w:r>
        <w:rPr>
          <w:rFonts w:ascii="仿宋_GB2312" w:eastAsia="仿宋_GB2312" w:hAnsi="仿宋"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adjustRightInd w:val="0"/>
        <w:snapToGrid w:val="0"/>
        <w:spacing w:line="600" w:lineRule="exact"/>
        <w:ind w:firstLine="800" w:firstLineChars="250"/>
        <w:rPr>
          <w:rFonts w:ascii="仿宋_GB2312" w:eastAsia="仿宋_GB2312" w:hAnsi="楷体" w:hint="eastAsia"/>
          <w:b/>
          <w:sz w:val="32"/>
          <w:szCs w:val="32"/>
          <w:lang w:eastAsia="zh-CN"/>
        </w:rPr>
      </w:pPr>
      <w:r>
        <w:rPr>
          <w:rFonts w:ascii="仿宋_GB2312" w:eastAsia="仿宋_GB2312" w:hAnsi="楷体" w:hint="eastAsia"/>
          <w:b/>
          <w:sz w:val="32"/>
          <w:szCs w:val="32"/>
        </w:rPr>
        <w:t>1.“</w:t>
      </w:r>
      <w:r>
        <w:rPr>
          <w:rFonts w:ascii="仿宋_GB2312" w:eastAsia="仿宋_GB2312" w:hAnsi="楷体" w:hint="eastAsia"/>
          <w:b/>
          <w:sz w:val="32"/>
          <w:szCs w:val="32"/>
          <w:lang w:eastAsia="zh-CN"/>
        </w:rPr>
        <w:t>三年过渡安置人员补助</w:t>
      </w:r>
      <w:r>
        <w:rPr>
          <w:rFonts w:ascii="仿宋_GB2312" w:eastAsia="仿宋_GB2312" w:hAnsi="楷体" w:hint="eastAsia"/>
          <w:b/>
          <w:sz w:val="32"/>
          <w:szCs w:val="32"/>
        </w:rPr>
        <w:t>”项目</w:t>
      </w:r>
      <w:r>
        <w:rPr>
          <w:rFonts w:ascii="仿宋_GB2312" w:eastAsia="仿宋_GB2312" w:hAnsi="楷体" w:hint="eastAsia"/>
          <w:b/>
          <w:sz w:val="32"/>
          <w:szCs w:val="32"/>
          <w:lang w:eastAsia="zh-CN"/>
        </w:rPr>
        <w:t>。</w:t>
      </w:r>
    </w:p>
    <w:p>
      <w:pPr>
        <w:spacing w:line="600" w:lineRule="exact"/>
        <w:ind w:firstLine="642"/>
        <w:rPr>
          <w:rFonts w:ascii="仿宋_GB2312" w:eastAsia="仿宋_GB2312" w:hAnsi="仿宋_GB2312" w:cs="仿宋_GB2312" w:hint="eastAsia"/>
          <w:bCs/>
          <w:sz w:val="30"/>
          <w:szCs w:val="30"/>
          <w:lang w:eastAsia="zh-CN"/>
        </w:rPr>
      </w:pPr>
      <w:r>
        <w:rPr>
          <w:rFonts w:ascii="仿宋_GB2312" w:eastAsia="仿宋_GB2312" w:hAnsi="楷体" w:hint="eastAsia"/>
          <w:sz w:val="32"/>
          <w:szCs w:val="32"/>
        </w:rPr>
        <w:t>（1）项目概述</w:t>
      </w:r>
      <w:r>
        <w:rPr>
          <w:rFonts w:ascii="仿宋_GB2312" w:eastAsia="仿宋_GB2312" w:hAnsi="楷体" w:hint="eastAsia"/>
          <w:sz w:val="32"/>
          <w:szCs w:val="32"/>
          <w:lang w:eastAsia="zh-CN"/>
        </w:rPr>
        <w:t>和内容</w:t>
      </w:r>
      <w:r>
        <w:rPr>
          <w:rFonts w:ascii="仿宋_GB2312" w:eastAsia="仿宋_GB2312" w:hAnsi="楷体" w:hint="eastAsia"/>
          <w:sz w:val="32"/>
          <w:szCs w:val="32"/>
        </w:rPr>
        <w:t>。</w:t>
      </w:r>
      <w:r>
        <w:rPr>
          <w:rFonts w:ascii="仿宋_GB2312" w:eastAsia="仿宋_GB2312" w:hAnsi="楷体" w:hint="eastAsia"/>
          <w:sz w:val="32"/>
          <w:szCs w:val="32"/>
          <w:lang w:eastAsia="zh-CN"/>
        </w:rPr>
        <w:t>履行医疗卫生服务职能，发挥基层医疗卫生枢纽作用，做好医疗卫生服务，推动基层医疗卫生事业发展。主要用于支付三年过渡安置人员补助。</w:t>
      </w:r>
    </w:p>
    <w:p>
      <w:pPr>
        <w:spacing w:line="600" w:lineRule="exact"/>
        <w:ind w:firstLine="640" w:firstLineChars="200"/>
        <w:rPr>
          <w:rFonts w:ascii="仿宋_GB2312" w:eastAsia="仿宋_GB2312" w:hAnsi="楷体" w:hint="eastAsia"/>
          <w:sz w:val="32"/>
          <w:szCs w:val="32"/>
          <w:lang w:eastAsia="zh-CN"/>
        </w:rPr>
      </w:pPr>
      <w:r>
        <w:rPr>
          <w:rFonts w:ascii="仿宋_GB2312" w:eastAsia="仿宋_GB2312" w:hAnsi="楷体" w:hint="eastAsia"/>
          <w:sz w:val="32"/>
          <w:szCs w:val="32"/>
        </w:rPr>
        <w:t>（2）立项依据</w:t>
      </w:r>
      <w:r>
        <w:rPr>
          <w:rFonts w:ascii="仿宋_GB2312" w:eastAsia="仿宋_GB2312" w:hAnsi="楷体" w:hint="eastAsia"/>
          <w:sz w:val="32"/>
          <w:szCs w:val="32"/>
          <w:lang w:eastAsia="zh-CN"/>
        </w:rPr>
        <w:t>。寿县安丰镇杨仙分院为基层医疗卫生机构，依据</w:t>
      </w:r>
      <w:r>
        <w:rPr>
          <w:rFonts w:ascii="仿宋_GB2312" w:eastAsia="仿宋_GB2312" w:hAnsi="楷体" w:hint="eastAsia"/>
          <w:sz w:val="32"/>
          <w:szCs w:val="32"/>
          <w:lang w:val="en-US" w:eastAsia="zh-CN"/>
        </w:rPr>
        <w:t>2024年人员经费审批花名册</w:t>
      </w:r>
      <w:r>
        <w:rPr>
          <w:rFonts w:ascii="仿宋_GB2312" w:eastAsia="仿宋_GB2312" w:hAnsi="楷体" w:hint="eastAsia"/>
          <w:sz w:val="32"/>
          <w:szCs w:val="32"/>
          <w:lang w:eastAsia="zh-CN"/>
        </w:rPr>
        <w:t>。</w:t>
      </w:r>
    </w:p>
    <w:p>
      <w:pPr>
        <w:spacing w:line="600" w:lineRule="exact"/>
        <w:ind w:firstLine="586" w:firstLineChars="183"/>
        <w:rPr>
          <w:rFonts w:ascii="仿宋_GB2312" w:eastAsia="仿宋_GB2312" w:hAnsi="楷体" w:hint="eastAsia"/>
          <w:sz w:val="32"/>
          <w:szCs w:val="32"/>
          <w:u w:val="single"/>
          <w:lang w:eastAsia="zh-CN"/>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和</w:t>
      </w:r>
      <w:r>
        <w:rPr>
          <w:rFonts w:ascii="仿宋_GB2312" w:eastAsia="仿宋_GB2312" w:hAnsi="楷体" w:hint="eastAsia"/>
          <w:sz w:val="32"/>
          <w:szCs w:val="32"/>
        </w:rPr>
        <w:t>起止时间</w:t>
      </w:r>
      <w:r>
        <w:rPr>
          <w:rFonts w:ascii="仿宋_GB2312" w:eastAsia="仿宋_GB2312" w:hAnsi="楷体" w:hint="eastAsia"/>
          <w:sz w:val="32"/>
          <w:szCs w:val="32"/>
          <w:lang w:eastAsia="zh-CN"/>
        </w:rPr>
        <w:t>。寿县安丰镇杨仙分院，</w:t>
      </w:r>
      <w:r>
        <w:rPr>
          <w:rFonts w:ascii="仿宋_GB2312" w:eastAsia="仿宋_GB2312" w:hAnsi="楷体" w:hint="eastAsia"/>
          <w:sz w:val="32"/>
          <w:szCs w:val="32"/>
          <w:lang w:val="en-US" w:eastAsia="zh-CN"/>
        </w:rPr>
        <w:t>2024年1月1日至2024年12月31日。</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楷体" w:hint="eastAsia"/>
          <w:sz w:val="32"/>
          <w:szCs w:val="32"/>
        </w:rPr>
        <w:t>（4）年度预算安排</w:t>
      </w: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2.82万元。</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2.82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0.21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7.44</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经费增加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2024年没有使用一般公共预算拨款、政府性基金预算拨款、国有资本经营预算拨款、财政专户管理资金和单位资金安排的政府采购支出。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安丰镇杨仙分院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lang w:eastAsia="zh-CN"/>
        </w:rPr>
        <w:t>三年过渡安置人员补助</w:t>
      </w:r>
      <w:r>
        <w:rPr>
          <w:rFonts w:ascii="仿宋_GB2312" w:eastAsia="仿宋_GB2312" w:hAnsi="TimesNewRoman" w:cs="TimesNewRoman" w:hint="eastAsia"/>
          <w:b/>
          <w:sz w:val="32"/>
          <w:szCs w:val="32"/>
        </w:rPr>
        <w:t>”项目。</w:t>
      </w:r>
    </w:p>
    <w:p>
      <w:pPr>
        <w:spacing w:line="600" w:lineRule="exact"/>
        <w:ind w:firstLine="642"/>
        <w:rPr>
          <w:rFonts w:ascii="仿宋_GB2312" w:eastAsia="仿宋_GB2312" w:hAnsi="仿宋_GB2312" w:cs="仿宋_GB2312" w:hint="eastAsia"/>
          <w:bCs/>
          <w:sz w:val="30"/>
          <w:szCs w:val="30"/>
          <w:lang w:eastAsia="zh-CN"/>
        </w:rPr>
      </w:pPr>
      <w:r>
        <w:rPr>
          <w:rFonts w:ascii="仿宋_GB2312" w:eastAsia="仿宋_GB2312" w:hAnsi="楷体" w:hint="eastAsia"/>
          <w:sz w:val="32"/>
          <w:szCs w:val="32"/>
        </w:rPr>
        <w:t>（1）项目概述</w:t>
      </w:r>
      <w:r>
        <w:rPr>
          <w:rFonts w:ascii="仿宋_GB2312" w:eastAsia="仿宋_GB2312" w:hAnsi="楷体" w:hint="eastAsia"/>
          <w:sz w:val="32"/>
          <w:szCs w:val="32"/>
          <w:lang w:eastAsia="zh-CN"/>
        </w:rPr>
        <w:t>和内容</w:t>
      </w:r>
      <w:r>
        <w:rPr>
          <w:rFonts w:ascii="仿宋_GB2312" w:eastAsia="仿宋_GB2312" w:hAnsi="楷体" w:hint="eastAsia"/>
          <w:sz w:val="32"/>
          <w:szCs w:val="32"/>
        </w:rPr>
        <w:t>。</w:t>
      </w:r>
      <w:r>
        <w:rPr>
          <w:rFonts w:ascii="仿宋_GB2312" w:eastAsia="仿宋_GB2312" w:hAnsi="楷体" w:hint="eastAsia"/>
          <w:sz w:val="32"/>
          <w:szCs w:val="32"/>
          <w:lang w:eastAsia="zh-CN"/>
        </w:rPr>
        <w:t>履行医疗卫生服务职能，发挥基层医疗卫生枢纽作用，做好医疗卫生服务，推动基层医疗卫生事业发展。主要用于支付三年过渡安置人员补助。</w:t>
      </w:r>
    </w:p>
    <w:p>
      <w:pPr>
        <w:spacing w:line="600" w:lineRule="exact"/>
        <w:ind w:firstLine="640" w:firstLineChars="200"/>
        <w:rPr>
          <w:rFonts w:ascii="仿宋_GB2312" w:eastAsia="仿宋_GB2312" w:hAnsi="楷体" w:hint="eastAsia"/>
          <w:sz w:val="32"/>
          <w:szCs w:val="32"/>
          <w:lang w:eastAsia="zh-CN"/>
        </w:rPr>
      </w:pPr>
      <w:r>
        <w:rPr>
          <w:rFonts w:ascii="仿宋_GB2312" w:eastAsia="仿宋_GB2312" w:hAnsi="楷体" w:hint="eastAsia"/>
          <w:sz w:val="32"/>
          <w:szCs w:val="32"/>
        </w:rPr>
        <w:t>（2）立项依据</w:t>
      </w:r>
      <w:r>
        <w:rPr>
          <w:rFonts w:ascii="仿宋_GB2312" w:eastAsia="仿宋_GB2312" w:hAnsi="楷体" w:hint="eastAsia"/>
          <w:sz w:val="32"/>
          <w:szCs w:val="32"/>
          <w:lang w:eastAsia="zh-CN"/>
        </w:rPr>
        <w:t>。寿县安丰镇杨仙分院为基层医疗卫生机构，依据</w:t>
      </w:r>
      <w:r>
        <w:rPr>
          <w:rFonts w:ascii="仿宋_GB2312" w:eastAsia="仿宋_GB2312" w:hAnsi="楷体" w:hint="eastAsia"/>
          <w:sz w:val="32"/>
          <w:szCs w:val="32"/>
          <w:lang w:val="en-US" w:eastAsia="zh-CN"/>
        </w:rPr>
        <w:t>2024年人员经费审批花名册</w:t>
      </w:r>
      <w:r>
        <w:rPr>
          <w:rFonts w:ascii="仿宋_GB2312" w:eastAsia="仿宋_GB2312" w:hAnsi="楷体" w:hint="eastAsia"/>
          <w:sz w:val="32"/>
          <w:szCs w:val="32"/>
          <w:lang w:eastAsia="zh-CN"/>
        </w:rPr>
        <w:t>。</w:t>
      </w:r>
    </w:p>
    <w:p>
      <w:pPr>
        <w:spacing w:line="600" w:lineRule="exact"/>
        <w:ind w:firstLine="586" w:firstLineChars="183"/>
        <w:rPr>
          <w:rFonts w:ascii="仿宋_GB2312" w:eastAsia="仿宋_GB2312" w:hAnsi="楷体" w:hint="eastAsia"/>
          <w:sz w:val="32"/>
          <w:szCs w:val="32"/>
          <w:u w:val="single"/>
          <w:lang w:eastAsia="zh-CN"/>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和</w:t>
      </w:r>
      <w:r>
        <w:rPr>
          <w:rFonts w:ascii="仿宋_GB2312" w:eastAsia="仿宋_GB2312" w:hAnsi="楷体" w:hint="eastAsia"/>
          <w:sz w:val="32"/>
          <w:szCs w:val="32"/>
        </w:rPr>
        <w:t>起止时间</w:t>
      </w:r>
      <w:r>
        <w:rPr>
          <w:rFonts w:ascii="仿宋_GB2312" w:eastAsia="仿宋_GB2312" w:hAnsi="楷体" w:hint="eastAsia"/>
          <w:sz w:val="32"/>
          <w:szCs w:val="32"/>
          <w:lang w:eastAsia="zh-CN"/>
        </w:rPr>
        <w:t>。寿县安丰镇杨仙分院，</w:t>
      </w:r>
      <w:r>
        <w:rPr>
          <w:rFonts w:ascii="仿宋_GB2312" w:eastAsia="仿宋_GB2312" w:hAnsi="楷体" w:hint="eastAsia"/>
          <w:sz w:val="32"/>
          <w:szCs w:val="32"/>
          <w:lang w:val="en-US" w:eastAsia="zh-CN"/>
        </w:rPr>
        <w:t>2024年1月1日至2024年12月31日。</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楷体" w:hint="eastAsia"/>
          <w:sz w:val="32"/>
          <w:szCs w:val="32"/>
        </w:rPr>
        <w:t>（4）年度预算安排</w:t>
      </w: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2.82万元。</w:t>
      </w:r>
    </w:p>
    <w:p>
      <w:pPr>
        <w:pStyle w:val="NormalWeb"/>
        <w:keepNext w:val="0"/>
        <w:keepLines w:val="0"/>
        <w:widowControl/>
        <w:suppressLineNumbers w:val="0"/>
        <w:shd w:val="clear" w:color="auto" w:fill="FFFFFF"/>
        <w:spacing w:before="0" w:beforeAutospacing="0" w:after="0" w:afterAutospacing="0" w:line="560" w:lineRule="atLeast"/>
        <w:ind w:left="0" w:right="0" w:firstLine="640" w:firstLineChars="200"/>
        <w:jc w:val="left"/>
        <w:rPr>
          <w:rFonts w:ascii="黑体" w:eastAsia="楷体_GB2312" w:hAnsi="黑体"/>
          <w:sz w:val="32"/>
          <w:szCs w:val="32"/>
        </w:rPr>
      </w:pPr>
      <w:r>
        <w:rPr>
          <w:rFonts w:ascii="仿宋_GB2312" w:eastAsia="仿宋_GB2312" w:hAnsi="楷体" w:hint="eastAsia"/>
          <w:sz w:val="32"/>
          <w:szCs w:val="32"/>
        </w:rPr>
        <w:t>（5）绩效目标</w:t>
      </w:r>
      <w:r>
        <w:rPr>
          <w:rFonts w:ascii="仿宋_GB2312" w:eastAsia="仿宋_GB2312" w:hAnsi="楷体" w:hint="eastAsia"/>
          <w:sz w:val="32"/>
          <w:szCs w:val="32"/>
          <w:lang w:eastAsia="zh-CN"/>
        </w:rPr>
        <w:t>和指标</w:t>
      </w:r>
      <w:r>
        <w:rPr>
          <w:rFonts w:ascii="仿宋_GB2312" w:eastAsia="仿宋_GB2312" w:hAnsi="楷体" w:hint="eastAsia"/>
          <w:sz w:val="32"/>
          <w:szCs w:val="32"/>
        </w:rPr>
        <w:t>。</w:t>
      </w:r>
      <w:r>
        <w:rPr>
          <w:rFonts w:ascii="仿宋" w:eastAsia="仿宋_GB2312" w:hAnsi="仿宋" w:cs="仿宋" w:hint="eastAsia"/>
          <w:i w:val="0"/>
          <w:caps w:val="0"/>
          <w:color w:val="333333"/>
          <w:spacing w:val="0"/>
          <w:sz w:val="32"/>
          <w:szCs w:val="32"/>
          <w:shd w:val="clear" w:color="auto" w:fill="FFFFFF"/>
        </w:rPr>
        <w:t>按照“保基本、强基层、建机制”的要求。继续深化医药卫生体制改革，进一步完善</w:t>
      </w:r>
      <w:r>
        <w:rPr>
          <w:rFonts w:ascii="仿宋" w:eastAsia="仿宋_GB2312" w:hAnsi="仿宋" w:cs="仿宋" w:hint="eastAsia"/>
          <w:i w:val="0"/>
          <w:caps w:val="0"/>
          <w:color w:val="333333"/>
          <w:spacing w:val="0"/>
          <w:sz w:val="32"/>
          <w:szCs w:val="32"/>
          <w:shd w:val="clear" w:color="auto" w:fill="FFFFFF"/>
          <w:lang w:eastAsia="zh-CN"/>
        </w:rPr>
        <w:t>医疗卫生核心</w:t>
      </w:r>
      <w:r>
        <w:rPr>
          <w:rFonts w:ascii="仿宋" w:eastAsia="仿宋_GB2312" w:hAnsi="仿宋" w:cs="仿宋" w:hint="eastAsia"/>
          <w:i w:val="0"/>
          <w:caps w:val="0"/>
          <w:color w:val="333333"/>
          <w:spacing w:val="0"/>
          <w:sz w:val="32"/>
          <w:szCs w:val="32"/>
          <w:shd w:val="clear" w:color="auto" w:fill="FFFFFF"/>
        </w:rPr>
        <w:t>制度，持续加强医疗服务体系、公共卫生服务体系、</w:t>
      </w:r>
      <w:r>
        <w:rPr>
          <w:rFonts w:ascii="仿宋" w:eastAsia="仿宋_GB2312" w:hAnsi="仿宋" w:cs="仿宋" w:hint="eastAsia"/>
          <w:i w:val="0"/>
          <w:caps w:val="0"/>
          <w:color w:val="333333"/>
          <w:spacing w:val="0"/>
          <w:sz w:val="32"/>
          <w:szCs w:val="32"/>
          <w:shd w:val="clear" w:color="auto" w:fill="FFFFFF"/>
          <w:lang w:eastAsia="zh-CN"/>
        </w:rPr>
        <w:t>医疗卫生</w:t>
      </w:r>
      <w:r>
        <w:rPr>
          <w:rFonts w:ascii="仿宋" w:eastAsia="仿宋_GB2312" w:hAnsi="仿宋" w:cs="仿宋" w:hint="eastAsia"/>
          <w:i w:val="0"/>
          <w:caps w:val="0"/>
          <w:color w:val="333333"/>
          <w:spacing w:val="0"/>
          <w:sz w:val="32"/>
          <w:szCs w:val="32"/>
          <w:shd w:val="clear" w:color="auto" w:fill="FFFFFF"/>
        </w:rPr>
        <w:t>应急体系建设，完善和深化国家基本药物制度，继续做好中医药民族医药工作，切实规范医疗服务行为，统筹</w:t>
      </w:r>
      <w:r>
        <w:rPr>
          <w:rFonts w:ascii="仿宋" w:eastAsia="仿宋_GB2312" w:hAnsi="仿宋" w:cs="仿宋" w:hint="eastAsia"/>
          <w:i w:val="0"/>
          <w:caps w:val="0"/>
          <w:color w:val="333333"/>
          <w:spacing w:val="0"/>
          <w:sz w:val="32"/>
          <w:szCs w:val="32"/>
          <w:shd w:val="clear" w:color="auto" w:fill="FFFFFF"/>
          <w:lang w:eastAsia="zh-CN"/>
        </w:rPr>
        <w:t>医疗卫生</w:t>
      </w:r>
      <w:r>
        <w:rPr>
          <w:rFonts w:ascii="仿宋" w:eastAsia="仿宋_GB2312" w:hAnsi="仿宋" w:cs="仿宋" w:hint="eastAsia"/>
          <w:i w:val="0"/>
          <w:caps w:val="0"/>
          <w:color w:val="333333"/>
          <w:spacing w:val="0"/>
          <w:sz w:val="32"/>
          <w:szCs w:val="32"/>
          <w:shd w:val="clear" w:color="auto" w:fill="FFFFFF"/>
        </w:rPr>
        <w:t>事业全面发展</w:t>
      </w:r>
      <w:r>
        <w:rPr>
          <w:rFonts w:ascii="仿宋" w:eastAsia="仿宋_GB2312" w:hAnsi="仿宋" w:cs="仿宋" w:hint="eastAsia"/>
          <w:i w:val="0"/>
          <w:caps w:val="0"/>
          <w:color w:val="333333"/>
          <w:spacing w:val="0"/>
          <w:sz w:val="32"/>
          <w:szCs w:val="32"/>
          <w:shd w:val="clear" w:color="auto" w:fill="FFFFFF"/>
          <w:lang w:eastAsia="zh-CN"/>
        </w:rPr>
        <w:t>，完成年度三年过渡安置人员工资发放。</w:t>
      </w:r>
      <w:r>
        <w:rPr>
          <w:rFonts w:ascii="仿宋_GB2312" w:eastAsia="仿宋_GB2312" w:hAnsi="宋体" w:cs="仿宋_GB2312"/>
          <w:i w:val="0"/>
          <w:iCs w:val="0"/>
          <w:caps w:val="0"/>
          <w:color w:val="333333"/>
          <w:spacing w:val="0"/>
          <w:sz w:val="32"/>
          <w:szCs w:val="32"/>
          <w:shd w:val="clear" w:color="auto" w:fill="FFFFFF"/>
        </w:rPr>
        <w:t>数量指标</w:t>
      </w:r>
      <w:r>
        <w:rPr>
          <w:rFonts w:ascii="仿宋_GB2312" w:eastAsia="仿宋_GB2312" w:cs="仿宋_GB2312" w:hint="eastAsia"/>
          <w:i w:val="0"/>
          <w:iCs w:val="0"/>
          <w:caps w:val="0"/>
          <w:color w:val="333333"/>
          <w:spacing w:val="0"/>
          <w:sz w:val="32"/>
          <w:szCs w:val="32"/>
          <w:shd w:val="clear" w:color="auto" w:fill="FFFFFF"/>
          <w:lang w:eastAsia="zh-CN"/>
        </w:rPr>
        <w:t>：保障三年过渡安置人员</w:t>
      </w:r>
      <w:r>
        <w:rPr>
          <w:rFonts w:ascii="仿宋_GB2312" w:eastAsia="仿宋_GB2312" w:cs="仿宋_GB2312" w:hint="eastAsia"/>
          <w:i w:val="0"/>
          <w:iCs w:val="0"/>
          <w:caps w:val="0"/>
          <w:color w:val="333333"/>
          <w:spacing w:val="0"/>
          <w:sz w:val="32"/>
          <w:szCs w:val="32"/>
          <w:shd w:val="clear" w:color="auto" w:fill="FFFFFF"/>
          <w:lang w:val="en-US" w:eastAsia="zh-CN"/>
        </w:rPr>
        <w:t>3名</w:t>
      </w:r>
      <w:r>
        <w:rPr>
          <w:rFonts w:ascii="仿宋_GB2312" w:eastAsia="仿宋_GB2312" w:cs="仿宋_GB2312" w:hint="eastAsia"/>
          <w:i w:val="0"/>
          <w:iCs w:val="0"/>
          <w:caps w:val="0"/>
          <w:color w:val="333333"/>
          <w:spacing w:val="0"/>
          <w:sz w:val="32"/>
          <w:szCs w:val="32"/>
          <w:shd w:val="clear" w:color="auto" w:fill="FFFFFF"/>
          <w:lang w:eastAsia="zh-CN"/>
        </w:rPr>
        <w:t>；</w:t>
      </w:r>
      <w:r>
        <w:rPr>
          <w:rFonts w:ascii="仿宋_GB2312" w:eastAsia="仿宋_GB2312" w:hAnsi="宋体" w:cs="仿宋_GB2312" w:hint="eastAsia"/>
          <w:i w:val="0"/>
          <w:iCs w:val="0"/>
          <w:caps w:val="0"/>
          <w:color w:val="333333"/>
          <w:spacing w:val="0"/>
          <w:sz w:val="32"/>
          <w:szCs w:val="32"/>
          <w:shd w:val="clear" w:color="auto" w:fill="FFFFFF"/>
        </w:rPr>
        <w:t>质量指标</w:t>
      </w:r>
      <w:r>
        <w:rPr>
          <w:rFonts w:ascii="仿宋_GB2312" w:eastAsia="仿宋_GB2312" w:cs="仿宋_GB2312" w:hint="eastAsia"/>
          <w:i w:val="0"/>
          <w:iCs w:val="0"/>
          <w:caps w:val="0"/>
          <w:color w:val="333333"/>
          <w:spacing w:val="0"/>
          <w:sz w:val="32"/>
          <w:szCs w:val="32"/>
          <w:shd w:val="clear" w:color="auto" w:fill="FFFFFF"/>
          <w:lang w:eastAsia="zh-CN"/>
        </w:rPr>
        <w:t>：经费支出合规性</w:t>
      </w:r>
      <w:r>
        <w:rPr>
          <w:rFonts w:ascii="仿宋_GB2312" w:eastAsia="仿宋_GB2312" w:cs="仿宋_GB2312" w:hint="eastAsia"/>
          <w:i w:val="0"/>
          <w:iCs w:val="0"/>
          <w:caps w:val="0"/>
          <w:color w:val="333333"/>
          <w:spacing w:val="0"/>
          <w:sz w:val="32"/>
          <w:szCs w:val="32"/>
          <w:shd w:val="clear" w:color="auto" w:fill="FFFFFF"/>
          <w:lang w:val="en-US" w:eastAsia="zh-CN"/>
        </w:rPr>
        <w:t>100%；时效指标：工资按月及时发放；</w:t>
      </w:r>
      <w:r>
        <w:rPr>
          <w:rFonts w:ascii="仿宋_GB2312" w:eastAsia="仿宋_GB2312" w:hAnsi="宋体" w:cs="仿宋_GB2312" w:hint="eastAsia"/>
          <w:i w:val="0"/>
          <w:iCs w:val="0"/>
          <w:caps w:val="0"/>
          <w:color w:val="333333"/>
          <w:spacing w:val="0"/>
          <w:sz w:val="32"/>
          <w:szCs w:val="32"/>
          <w:shd w:val="clear" w:color="auto" w:fill="FFFFFF"/>
        </w:rPr>
        <w:t>成本指标：</w:t>
      </w:r>
      <w:r>
        <w:rPr>
          <w:rFonts w:ascii="仿宋_GB2312" w:eastAsia="仿宋_GB2312" w:cs="仿宋_GB2312" w:hint="eastAsia"/>
          <w:i w:val="0"/>
          <w:iCs w:val="0"/>
          <w:caps w:val="0"/>
          <w:color w:val="333333"/>
          <w:spacing w:val="0"/>
          <w:sz w:val="32"/>
          <w:szCs w:val="32"/>
          <w:shd w:val="clear" w:color="auto" w:fill="FFFFFF"/>
          <w:lang w:eastAsia="zh-CN"/>
        </w:rPr>
        <w:t>三年过渡安置人员补助按审批规定标准支付；</w:t>
      </w:r>
      <w:r>
        <w:rPr>
          <w:rFonts w:ascii="仿宋_GB2312" w:eastAsia="仿宋_GB2312" w:hAnsi="宋体" w:cs="仿宋_GB2312" w:hint="eastAsia"/>
          <w:i w:val="0"/>
          <w:iCs w:val="0"/>
          <w:caps w:val="0"/>
          <w:color w:val="333333"/>
          <w:spacing w:val="0"/>
          <w:sz w:val="32"/>
          <w:szCs w:val="32"/>
          <w:shd w:val="clear" w:color="auto" w:fill="FFFFFF"/>
        </w:rPr>
        <w:t>服务对象满意度指标：</w:t>
      </w:r>
      <w:r>
        <w:rPr>
          <w:rFonts w:ascii="仿宋_GB2312" w:eastAsia="仿宋_GB2312" w:cs="仿宋_GB2312" w:hint="eastAsia"/>
          <w:i w:val="0"/>
          <w:iCs w:val="0"/>
          <w:caps w:val="0"/>
          <w:color w:val="333333"/>
          <w:spacing w:val="0"/>
          <w:sz w:val="32"/>
          <w:szCs w:val="32"/>
          <w:shd w:val="clear" w:color="auto" w:fill="FFFFFF"/>
          <w:lang w:eastAsia="zh-CN"/>
        </w:rPr>
        <w:t>三年过渡安置人员</w:t>
      </w:r>
      <w:r>
        <w:rPr>
          <w:rFonts w:ascii="仿宋_GB2312" w:eastAsia="仿宋_GB2312" w:hAnsi="宋体" w:cs="仿宋_GB2312" w:hint="eastAsia"/>
          <w:i w:val="0"/>
          <w:iCs w:val="0"/>
          <w:caps w:val="0"/>
          <w:color w:val="333333"/>
          <w:spacing w:val="0"/>
          <w:sz w:val="32"/>
          <w:szCs w:val="32"/>
          <w:shd w:val="clear" w:color="auto" w:fill="FFFFFF"/>
        </w:rPr>
        <w:t>满意度大于9</w:t>
      </w:r>
      <w:r>
        <w:rPr>
          <w:rFonts w:ascii="仿宋_GB2312" w:eastAsia="仿宋_GB2312" w:cs="仿宋_GB2312" w:hint="eastAsia"/>
          <w:i w:val="0"/>
          <w:iCs w:val="0"/>
          <w:caps w:val="0"/>
          <w:color w:val="333333"/>
          <w:spacing w:val="0"/>
          <w:sz w:val="32"/>
          <w:szCs w:val="32"/>
          <w:shd w:val="clear" w:color="auto" w:fill="FFFFFF"/>
          <w:lang w:val="en-US" w:eastAsia="zh-CN"/>
        </w:rPr>
        <w:t>5</w:t>
      </w:r>
      <w:r>
        <w:rPr>
          <w:rFonts w:ascii="仿宋_GB2312" w:eastAsia="仿宋_GB2312" w:hAnsi="宋体" w:cs="仿宋_GB2312" w:hint="eastAsia"/>
          <w:i w:val="0"/>
          <w:iCs w:val="0"/>
          <w:caps w:val="0"/>
          <w:color w:val="333333"/>
          <w:spacing w:val="0"/>
          <w:sz w:val="32"/>
          <w:szCs w:val="32"/>
          <w:shd w:val="clear" w:color="auto" w:fill="FFFFFF"/>
        </w:rPr>
        <w:t>%</w:t>
      </w:r>
      <w:r>
        <w:rPr>
          <w:rFonts w:ascii="仿宋" w:eastAsia="仿宋" w:hAnsi="仿宋" w:cs="仿宋" w:hint="eastAsia"/>
          <w:i w:val="0"/>
          <w:iCs w:val="0"/>
          <w:caps w:val="0"/>
          <w:color w:val="333333"/>
          <w:spacing w:val="0"/>
          <w:sz w:val="32"/>
          <w:szCs w:val="32"/>
          <w:shd w:val="clear" w:color="auto" w:fill="FFFFFF"/>
        </w:rPr>
        <w:t>。</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hint="eastAsia"/>
              </w:rPr>
              <w:t>三年过渡安置人员补助</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hint="eastAsia"/>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项目资金</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2.82</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2.82</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eastAsia"/>
                <w:sz w:val="18"/>
                <w:szCs w:val="18"/>
                <w:lang w:val="en-US" w:eastAsia="zh-CN"/>
              </w:rPr>
            </w:pPr>
            <w:r>
              <w:rPr>
                <w:rFonts w:ascii="宋体" w:cs="宋体" w:hint="eastAsia"/>
                <w:sz w:val="18"/>
                <w:szCs w:val="18"/>
                <w:lang w:val="en-US" w:eastAsia="zh-CN"/>
              </w:rPr>
              <w:t>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年度</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ascii="宋体" w:cs="宋体" w:hint="eastAsia"/>
                <w:sz w:val="18"/>
                <w:szCs w:val="18"/>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绩</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效</w:t>
            </w:r>
          </w:p>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指</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eastAsia="宋体" w:hAnsi="宋体" w:cs="宋体" w:hint="eastAsia"/>
                <w:color w:val="000000"/>
                <w:kern w:val="0"/>
                <w:sz w:val="18"/>
                <w:szCs w:val="18"/>
                <w:lang w:eastAsia="zh-CN" w:bidi="ar"/>
              </w:rPr>
            </w:pPr>
            <w:r>
              <w:rPr>
                <w:rFonts w:ascii="宋体" w:hAnsi="宋体" w:cs="宋体" w:hint="eastAsia"/>
                <w:color w:val="000000"/>
                <w:kern w:val="0"/>
                <w:sz w:val="18"/>
                <w:szCs w:val="18"/>
                <w:lang w:bidi="ar"/>
              </w:rPr>
              <w:t>一级</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保障人员数量</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经费支出合规性</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及时发放工资</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三年过度安置人员补助支付标准</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受益人员覆盖率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三年过度安置人员补助经费</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经费按时发放</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eastAsia="宋体" w:cs="宋体" w:hint="eastAsia"/>
                <w:sz w:val="18"/>
                <w:szCs w:val="18"/>
                <w:lang w:val="en-US" w:eastAsia="zh-CN"/>
              </w:rPr>
            </w:pPr>
            <w:r>
              <w:rPr>
                <w:rFonts w:ascii="宋体" w:cs="宋体" w:hint="eastAsia"/>
                <w:sz w:val="18"/>
                <w:szCs w:val="18"/>
                <w:lang w:val="en-US" w:eastAsia="zh-CN"/>
              </w:rPr>
              <w:t>三年过度人员得到保障</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三年过渡安置人员满意度</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adjustRightInd w:val="0"/>
        <w:snapToGrid w:val="0"/>
        <w:spacing w:line="600" w:lineRule="exact"/>
        <w:rPr>
          <w:rFonts w:ascii="仿宋_GB2312" w:eastAsia="仿宋_GB2312" w:hAnsi="仿宋"/>
          <w:sz w:val="32"/>
          <w:szCs w:val="32"/>
        </w:rPr>
      </w:pPr>
      <w:r>
        <w:rPr>
          <w:rFonts w:ascii="仿宋_GB2312" w:eastAsia="仿宋_GB2312" w:hAnsi="仿宋" w:cs="宋体" w:hint="eastAsia"/>
          <w:kern w:val="0"/>
          <w:sz w:val="32"/>
          <w:szCs w:val="32"/>
          <w:lang w:eastAsia="zh-CN"/>
        </w:rPr>
        <w:t>寿县安丰镇杨仙分院</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年机关运行经费财政拨款预算</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adjustRightInd w:val="0"/>
        <w:snapToGrid w:val="0"/>
        <w:spacing w:line="600" w:lineRule="exact"/>
        <w:ind w:firstLine="640" w:firstLineChars="200"/>
        <w:rPr>
          <w:rFonts w:ascii="仿宋_GB2312" w:eastAsia="仿宋_GB2312" w:hAnsi="楷体" w:hint="eastAsia"/>
          <w:sz w:val="32"/>
          <w:szCs w:val="32"/>
        </w:rPr>
      </w:pPr>
      <w:r>
        <w:rPr>
          <w:rFonts w:ascii="仿宋_GB2312" w:eastAsia="仿宋_GB2312" w:hAnsi="仿宋" w:cs="宋体" w:hint="eastAsia"/>
          <w:kern w:val="0"/>
          <w:sz w:val="32"/>
          <w:szCs w:val="32"/>
          <w:lang w:eastAsia="zh-CN"/>
        </w:rPr>
        <w:t>寿县安丰镇杨仙分院</w:t>
      </w:r>
      <w:r>
        <w:rPr>
          <w:rFonts w:ascii="仿宋_GB2312" w:eastAsia="仿宋_GB2312" w:hAnsi="楷体" w:hint="eastAsia"/>
          <w:sz w:val="32"/>
          <w:szCs w:val="32"/>
          <w:lang w:eastAsia="zh-CN"/>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年政府采购预算</w:t>
      </w:r>
      <w:r>
        <w:rPr>
          <w:rFonts w:ascii="仿宋_GB2312" w:eastAsia="仿宋_GB2312" w:hAnsi="楷体" w:hint="eastAsia"/>
          <w:sz w:val="32"/>
          <w:szCs w:val="32"/>
          <w:lang w:val="en-US" w:eastAsia="zh-CN"/>
        </w:rPr>
        <w:t>3</w:t>
      </w:r>
      <w:r>
        <w:rPr>
          <w:rFonts w:ascii="仿宋_GB2312" w:eastAsia="仿宋_GB2312" w:hAnsi="楷体" w:hint="eastAsia"/>
          <w:sz w:val="32"/>
          <w:szCs w:val="32"/>
        </w:rPr>
        <w:t>万元。其中：政府采购货物预算</w:t>
      </w:r>
      <w:r>
        <w:rPr>
          <w:rFonts w:ascii="仿宋_GB2312" w:eastAsia="仿宋_GB2312" w:hAnsi="楷体" w:hint="eastAsia"/>
          <w:sz w:val="32"/>
          <w:szCs w:val="32"/>
          <w:lang w:val="en-US" w:eastAsia="zh-CN"/>
        </w:rPr>
        <w:t>3</w:t>
      </w:r>
      <w:r>
        <w:rPr>
          <w:rFonts w:ascii="仿宋_GB2312" w:eastAsia="仿宋_GB2312" w:hAnsi="楷体" w:hint="eastAsia"/>
          <w:sz w:val="32"/>
          <w:szCs w:val="32"/>
        </w:rPr>
        <w:t>万元，政府采购工程预算</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万元，政府采购服务预算</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adjustRightInd w:val="0"/>
        <w:snapToGrid w:val="0"/>
        <w:spacing w:line="600" w:lineRule="exact"/>
        <w:ind w:firstLine="640" w:firstLineChars="200"/>
        <w:rPr>
          <w:rFonts w:ascii="仿宋_GB2312" w:eastAsia="仿宋_GB2312" w:hAnsi="楷体"/>
          <w:color w:val="3366FF"/>
          <w:sz w:val="32"/>
          <w:szCs w:val="32"/>
        </w:rPr>
      </w:pPr>
      <w:r>
        <w:rPr>
          <w:rFonts w:ascii="仿宋_GB2312" w:eastAsia="仿宋_GB2312" w:hAnsi="仿宋" w:hint="eastAsia"/>
          <w:sz w:val="32"/>
          <w:szCs w:val="32"/>
        </w:rPr>
        <w:t>截至</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年12月31日，</w:t>
      </w:r>
      <w:r>
        <w:rPr>
          <w:rFonts w:ascii="仿宋_GB2312" w:eastAsia="仿宋_GB2312" w:hAnsi="仿宋" w:cs="宋体" w:hint="eastAsia"/>
          <w:kern w:val="0"/>
          <w:sz w:val="32"/>
          <w:szCs w:val="32"/>
          <w:lang w:eastAsia="zh-CN"/>
        </w:rPr>
        <w:t>寿县安丰镇杨仙分院</w:t>
      </w:r>
      <w:r>
        <w:rPr>
          <w:rFonts w:ascii="仿宋_GB2312" w:eastAsia="仿宋_GB2312" w:hAnsi="楷体" w:hint="eastAsia"/>
          <w:sz w:val="32"/>
          <w:szCs w:val="32"/>
        </w:rPr>
        <w:t>共有车辆</w:t>
      </w:r>
      <w:r>
        <w:rPr>
          <w:rFonts w:ascii="仿宋_GB2312" w:eastAsia="仿宋_GB2312" w:hAnsi="楷体" w:hint="eastAsia"/>
          <w:sz w:val="32"/>
          <w:szCs w:val="32"/>
          <w:lang w:val="en-US" w:eastAsia="zh-CN"/>
        </w:rPr>
        <w:t>0</w:t>
      </w:r>
      <w:r>
        <w:rPr>
          <w:rFonts w:ascii="仿宋_GB2312" w:eastAsia="仿宋_GB2312" w:hAnsi="楷体" w:hint="eastAsia"/>
          <w:sz w:val="32"/>
          <w:szCs w:val="32"/>
        </w:rPr>
        <w:t>辆。单位价值50万元以上的通用设备</w:t>
      </w:r>
      <w:r>
        <w:rPr>
          <w:rFonts w:ascii="仿宋_GB2312" w:eastAsia="仿宋_GB2312" w:hAnsi="楷体" w:hint="eastAsia"/>
          <w:sz w:val="32"/>
          <w:szCs w:val="32"/>
          <w:lang w:val="en-US" w:eastAsia="zh-CN"/>
        </w:rPr>
        <w:t>0</w:t>
      </w:r>
      <w:r>
        <w:rPr>
          <w:rFonts w:ascii="仿宋_GB2312" w:eastAsia="仿宋_GB2312" w:hAnsi="楷体" w:hint="eastAsia"/>
          <w:sz w:val="32"/>
          <w:szCs w:val="32"/>
        </w:rPr>
        <w:t>台（套），单位价值100万元以上的专用设备</w:t>
      </w:r>
      <w:r>
        <w:rPr>
          <w:rFonts w:ascii="仿宋_GB2312" w:eastAsia="仿宋_GB2312" w:hAnsi="楷体" w:hint="eastAsia"/>
          <w:sz w:val="32"/>
          <w:szCs w:val="32"/>
          <w:lang w:val="en-US" w:eastAsia="zh-CN"/>
        </w:rPr>
        <w:t>0</w:t>
      </w:r>
      <w:r>
        <w:rPr>
          <w:rFonts w:ascii="仿宋_GB2312" w:eastAsia="仿宋_GB2312" w:hAnsi="楷体" w:hint="eastAsia"/>
          <w:sz w:val="32"/>
          <w:szCs w:val="32"/>
        </w:rPr>
        <w:t>台（套）。</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lang w:eastAsia="zh-CN"/>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w:t>
      </w:r>
      <w:r>
        <w:rPr>
          <w:rFonts w:ascii="仿宋_GB2312" w:eastAsia="仿宋_GB2312" w:hAnsi="楷体" w:hint="eastAsia"/>
          <w:sz w:val="32"/>
          <w:szCs w:val="32"/>
          <w:lang w:eastAsia="zh-CN"/>
        </w:rPr>
        <w:t>部门</w:t>
      </w:r>
      <w:r>
        <w:rPr>
          <w:rFonts w:ascii="仿宋_GB2312" w:eastAsia="仿宋_GB2312" w:hAnsi="楷体" w:hint="eastAsia"/>
          <w:sz w:val="32"/>
          <w:szCs w:val="32"/>
        </w:rPr>
        <w:t>预算安排购置公务用车</w:t>
      </w:r>
      <w:r>
        <w:rPr>
          <w:rFonts w:ascii="仿宋_GB2312" w:eastAsia="仿宋_GB2312" w:hAnsi="楷体" w:hint="eastAsia"/>
          <w:sz w:val="32"/>
          <w:szCs w:val="32"/>
          <w:lang w:val="en-US" w:eastAsia="zh-CN"/>
        </w:rPr>
        <w:t>0</w:t>
      </w:r>
      <w:r>
        <w:rPr>
          <w:rFonts w:ascii="仿宋_GB2312" w:eastAsia="仿宋_GB2312" w:hAnsi="楷体" w:hint="eastAsia"/>
          <w:sz w:val="32"/>
          <w:szCs w:val="32"/>
        </w:rPr>
        <w:t>辆，购置费</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万元；安排购置单位价值50万元以上的通用设备</w:t>
      </w:r>
      <w:r>
        <w:rPr>
          <w:rFonts w:ascii="仿宋_GB2312" w:eastAsia="仿宋_GB2312" w:hAnsi="楷体" w:hint="eastAsia"/>
          <w:sz w:val="32"/>
          <w:szCs w:val="32"/>
          <w:lang w:val="en-US" w:eastAsia="zh-CN"/>
        </w:rPr>
        <w:t>0</w:t>
      </w:r>
      <w:r>
        <w:rPr>
          <w:rFonts w:ascii="仿宋_GB2312" w:eastAsia="仿宋_GB2312" w:hAnsi="楷体" w:hint="eastAsia"/>
          <w:sz w:val="32"/>
          <w:szCs w:val="32"/>
        </w:rPr>
        <w:t>台（套），购置费</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万元；安排购置单位价值100万元以上专用设备</w:t>
      </w:r>
      <w:r>
        <w:rPr>
          <w:rFonts w:ascii="仿宋_GB2312" w:eastAsia="仿宋_GB2312" w:hAnsi="楷体" w:hint="eastAsia"/>
          <w:sz w:val="32"/>
          <w:szCs w:val="32"/>
          <w:lang w:val="en-US" w:eastAsia="zh-CN"/>
        </w:rPr>
        <w:t>0</w:t>
      </w:r>
      <w:r>
        <w:rPr>
          <w:rFonts w:ascii="仿宋_GB2312" w:eastAsia="仿宋_GB2312" w:hAnsi="楷体" w:hint="eastAsia"/>
          <w:sz w:val="32"/>
          <w:szCs w:val="32"/>
        </w:rPr>
        <w:t>台（套），购置费</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adjustRightInd w:val="0"/>
        <w:snapToGrid w:val="0"/>
        <w:spacing w:line="600" w:lineRule="exact"/>
        <w:ind w:firstLine="640" w:firstLineChars="200"/>
        <w:outlineLvl w:val="0"/>
        <w:rPr>
          <w:rFonts w:ascii="仿宋_GB2312" w:eastAsia="仿宋_GB2312" w:hAnsi="黑体" w:hint="eastAsia"/>
          <w:b/>
          <w:bCs/>
          <w:color w:val="FF0000"/>
          <w:sz w:val="32"/>
          <w:szCs w:val="32"/>
        </w:rPr>
      </w:pPr>
      <w:r>
        <w:rPr>
          <w:rFonts w:ascii="仿宋_GB2312" w:eastAsia="仿宋_GB2312" w:hAnsi="仿宋" w:cs="宋体" w:hint="eastAsia"/>
          <w:kern w:val="0"/>
          <w:sz w:val="32"/>
          <w:szCs w:val="32"/>
          <w:lang w:eastAsia="zh-CN"/>
        </w:rPr>
        <w:t>寿县安丰镇杨仙分院</w:t>
      </w:r>
      <w:r>
        <w:rPr>
          <w:rFonts w:ascii="仿宋_GB2312" w:eastAsia="仿宋_GB2312" w:hAnsi="仿宋" w:cs="宋体" w:hint="eastAsia"/>
          <w:kern w:val="0"/>
          <w:sz w:val="32"/>
          <w:szCs w:val="32"/>
          <w:lang w:val="en-US" w:eastAsia="zh-CN"/>
        </w:rPr>
        <w:t>2024年项目支出按规定设置支出绩效目标，部门预算编制了1</w:t>
      </w:r>
      <w:r>
        <w:rPr>
          <w:rFonts w:ascii="仿宋_GB2312" w:eastAsia="仿宋_GB2312" w:hAnsi="仿宋" w:hint="eastAsia"/>
          <w:sz w:val="32"/>
          <w:szCs w:val="32"/>
        </w:rPr>
        <w:t>个项目实行了绩效目标管理，涉及一般公共预算当年财政拨款</w:t>
      </w:r>
      <w:r>
        <w:rPr>
          <w:rFonts w:ascii="仿宋_GB2312" w:eastAsia="仿宋_GB2312" w:hAnsi="仿宋" w:hint="eastAsia"/>
          <w:sz w:val="32"/>
          <w:szCs w:val="32"/>
          <w:lang w:val="en-US" w:eastAsia="zh-CN"/>
        </w:rPr>
        <w:t>2.82</w:t>
      </w:r>
      <w:r>
        <w:rPr>
          <w:rFonts w:ascii="仿宋_GB2312" w:eastAsia="仿宋_GB2312" w:hAnsi="仿宋" w:hint="eastAsia"/>
          <w:sz w:val="32"/>
          <w:szCs w:val="32"/>
        </w:rPr>
        <w:t>万元、政府性基金预算当年财政拨款</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万元、国有资本经营预算当年财政拨款</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w:t>
      </w:r>
      <w:r>
        <w:rPr>
          <w:rFonts w:ascii="仿宋_GB2312" w:eastAsia="仿宋_GB2312" w:hAnsi="仿宋" w:hint="eastAsia"/>
          <w:sz w:val="32"/>
          <w:szCs w:val="32"/>
          <w:lang w:eastAsia="zh-CN"/>
        </w:rPr>
        <w:t>，政府性基金预算</w:t>
      </w:r>
      <w:r>
        <w:rPr>
          <w:rFonts w:ascii="仿宋_GB2312" w:eastAsia="仿宋_GB2312" w:hAnsi="仿宋" w:hint="eastAsia"/>
          <w:sz w:val="32"/>
          <w:szCs w:val="32"/>
        </w:rPr>
        <w:t>当年</w:t>
      </w:r>
      <w:r>
        <w:rPr>
          <w:rFonts w:ascii="仿宋_GB2312" w:eastAsia="仿宋_GB2312" w:hAnsi="仿宋" w:hint="eastAsia"/>
          <w:sz w:val="32"/>
          <w:szCs w:val="32"/>
          <w:lang w:eastAsia="zh-CN"/>
        </w:rPr>
        <w:t>财政拨款</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adjustRightInd w:val="0"/>
        <w:snapToGrid w:val="0"/>
        <w:spacing w:line="600" w:lineRule="exact"/>
        <w:ind w:firstLine="640" w:firstLineChars="200"/>
        <w:rPr>
          <w:rFonts w:ascii="仿宋_GB2312" w:eastAsia="仿宋_GB2312" w:hAnsi="仿宋" w:hint="eastAsia"/>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仿宋_GB2312" w:eastAsia="仿宋_GB2312" w:hAnsi="仿宋" w:hint="eastAsia"/>
          <w:sz w:val="32"/>
          <w:szCs w:val="32"/>
        </w:rPr>
        <w:t>指县财政当年拨付的资金，主要包括一般公共预算拨款收入、政府性基金预算拨款收入、国有资本经营预算拨款收入。</w:t>
      </w:r>
    </w:p>
    <w:p>
      <w:pPr>
        <w:topLinePunct/>
        <w:adjustRightInd w:val="0"/>
        <w:snapToGrid w:val="0"/>
        <w:spacing w:line="560" w:lineRule="exact"/>
        <w:ind w:firstLine="640" w:firstLineChars="200"/>
        <w:rPr>
          <w:rFonts w:ascii="TimesNewRoman" w:hAnsi="TimesNewRoman" w:cs="TimesNewRoman"/>
          <w:sz w:val="32"/>
          <w:szCs w:val="32"/>
        </w:rPr>
      </w:pPr>
    </w:p>
    <w:p>
      <w:pPr>
        <w:pStyle w:val="NormalWeb"/>
        <w:adjustRightInd w:val="0"/>
        <w:snapToGrid w:val="0"/>
        <w:spacing w:line="600" w:lineRule="exact"/>
        <w:ind w:firstLine="627" w:firstLineChars="196"/>
        <w:rPr>
          <w:rFonts w:ascii="仿宋_GB2312" w:eastAsia="仿宋_GB2312" w:hAnsi="仿宋" w:cs="Times New Roman" w:hint="eastAsia"/>
          <w:kern w:val="2"/>
          <w:sz w:val="32"/>
          <w:szCs w:val="32"/>
        </w:rPr>
      </w:pPr>
      <w:r>
        <w:rPr>
          <w:rFonts w:ascii="楷体_GB2312" w:eastAsia="楷体_GB2312" w:hAnsi="TimesNewRoman" w:cs="TimesNewRoman"/>
          <w:kern w:val="2"/>
          <w:sz w:val="32"/>
          <w:szCs w:val="32"/>
        </w:rPr>
        <w:t>二、事业收入：</w:t>
      </w:r>
      <w:r>
        <w:rPr>
          <w:rFonts w:ascii="仿宋_GB2312" w:eastAsia="仿宋_GB2312" w:hAnsi="仿宋" w:cs="Times New Roman" w:hint="eastAsia"/>
          <w:kern w:val="2"/>
          <w:sz w:val="32"/>
          <w:szCs w:val="32"/>
        </w:rPr>
        <w:t>指事业单位开展专业业务活动及辅助活动所取得的收入。</w:t>
      </w:r>
    </w:p>
    <w:p>
      <w:pPr>
        <w:pStyle w:val="NormalWeb"/>
        <w:adjustRightInd w:val="0"/>
        <w:snapToGrid w:val="0"/>
        <w:spacing w:before="0" w:beforeAutospacing="0" w:after="0" w:afterAutospacing="0" w:line="600" w:lineRule="exact"/>
        <w:ind w:firstLine="627" w:firstLineChars="196"/>
        <w:rPr>
          <w:rFonts w:ascii="仿宋_GB2312" w:eastAsia="仿宋_GB2312" w:hAnsi="仿宋" w:cs="Times New Roman" w:hint="eastAsia"/>
          <w:kern w:val="2"/>
          <w:sz w:val="32"/>
          <w:szCs w:val="32"/>
        </w:rPr>
      </w:pPr>
      <w:r>
        <w:rPr>
          <w:rFonts w:ascii="楷体_GB2312" w:eastAsia="楷体_GB2312" w:hAnsi="TimesNewRoman" w:cs="TimesNewRoman"/>
          <w:kern w:val="2"/>
          <w:sz w:val="32"/>
          <w:szCs w:val="32"/>
        </w:rPr>
        <w:t>三、财政专户管理资金：</w:t>
      </w:r>
      <w:r>
        <w:rPr>
          <w:rFonts w:ascii="仿宋_GB2312" w:eastAsia="仿宋_GB2312" w:hAnsi="仿宋" w:cs="Times New Roman" w:hint="eastAsia"/>
          <w:kern w:val="2"/>
          <w:sz w:val="32"/>
          <w:szCs w:val="32"/>
        </w:rPr>
        <w:t>指除了财政拨款收入、</w:t>
      </w:r>
      <w:r>
        <w:rPr>
          <w:rFonts w:ascii="仿宋_GB2312" w:eastAsia="仿宋_GB2312" w:hAnsi="仿宋" w:cs="Times New Roman" w:hint="eastAsia"/>
          <w:kern w:val="2"/>
          <w:sz w:val="32"/>
          <w:szCs w:val="32"/>
          <w:lang w:eastAsia="zh-CN"/>
        </w:rPr>
        <w:t>事业</w:t>
      </w:r>
      <w:r>
        <w:rPr>
          <w:rFonts w:ascii="仿宋_GB2312" w:eastAsia="仿宋_GB2312" w:hAnsi="仿宋" w:cs="Times New Roman" w:hint="eastAsia"/>
          <w:kern w:val="2"/>
          <w:sz w:val="32"/>
          <w:szCs w:val="32"/>
        </w:rPr>
        <w:t>收入等以外的收入。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hint="eastAsia"/>
          <w:sz w:val="32"/>
          <w:szCs w:val="32"/>
          <w:lang w:eastAsia="zh-CN"/>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r>
        <w:rPr>
          <w:rFonts w:ascii="仿宋_GB2312" w:eastAsia="仿宋_GB2312" w:hAnsi="Times New Roman" w:hint="eastAsia"/>
          <w:kern w:val="2"/>
          <w:sz w:val="32"/>
          <w:szCs w:val="32"/>
        </w:rPr>
        <w:t>附表：</w:t>
      </w:r>
      <w:r>
        <w:rPr>
          <w:rFonts w:ascii="仿宋_GB2312" w:eastAsia="仿宋_GB2312" w:hAnsi="仿宋" w:hint="eastAsia"/>
          <w:bCs/>
          <w:color w:val="000000"/>
          <w:sz w:val="32"/>
          <w:szCs w:val="32"/>
        </w:rPr>
        <w:t>寿县</w:t>
      </w:r>
      <w:r>
        <w:rPr>
          <w:rFonts w:ascii="仿宋_GB2312" w:eastAsia="仿宋_GB2312" w:hAnsi="仿宋" w:hint="eastAsia"/>
          <w:bCs/>
          <w:color w:val="000000"/>
          <w:sz w:val="32"/>
          <w:szCs w:val="32"/>
          <w:lang w:eastAsia="zh-CN"/>
        </w:rPr>
        <w:t>安丰镇杨仙分院</w:t>
      </w:r>
      <w:r>
        <w:rPr>
          <w:rFonts w:ascii="仿宋_GB2312" w:eastAsia="仿宋_GB2312" w:hAnsi="仿宋" w:hint="eastAsia"/>
          <w:bCs/>
          <w:sz w:val="32"/>
          <w:szCs w:val="32"/>
        </w:rPr>
        <w:t>202</w:t>
      </w:r>
      <w:r>
        <w:rPr>
          <w:rFonts w:ascii="仿宋_GB2312" w:eastAsia="仿宋_GB2312" w:hAnsi="仿宋" w:hint="eastAsia"/>
          <w:bCs/>
          <w:sz w:val="32"/>
          <w:szCs w:val="32"/>
          <w:lang w:val="en-US" w:eastAsia="zh-CN"/>
        </w:rPr>
        <w:t>4</w:t>
      </w:r>
      <w:r>
        <w:rPr>
          <w:rFonts w:ascii="仿宋_GB2312" w:eastAsia="仿宋_GB2312" w:hAnsi="仿宋" w:hint="eastAsia"/>
          <w:bCs/>
          <w:sz w:val="32"/>
          <w:szCs w:val="32"/>
        </w:rPr>
        <w:t>年部门预算表</w:t>
      </w: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ED2B28"/>
    <w:rsid w:val="052851DF"/>
    <w:rsid w:val="05BF6A91"/>
    <w:rsid w:val="08836BD0"/>
    <w:rsid w:val="0DFB5950"/>
    <w:rsid w:val="125005AB"/>
    <w:rsid w:val="151D2F2B"/>
    <w:rsid w:val="1A200723"/>
    <w:rsid w:val="1E147FC5"/>
    <w:rsid w:val="201F2237"/>
    <w:rsid w:val="23C11BE2"/>
    <w:rsid w:val="24F66A6C"/>
    <w:rsid w:val="264614BF"/>
    <w:rsid w:val="266349C8"/>
    <w:rsid w:val="2A9071FF"/>
    <w:rsid w:val="2E462CBE"/>
    <w:rsid w:val="34C97AC9"/>
    <w:rsid w:val="3A573895"/>
    <w:rsid w:val="3AC5647E"/>
    <w:rsid w:val="3AD1655C"/>
    <w:rsid w:val="3FF37BBC"/>
    <w:rsid w:val="467321CC"/>
    <w:rsid w:val="4F4915A7"/>
    <w:rsid w:val="551B66B9"/>
    <w:rsid w:val="5A601E9A"/>
    <w:rsid w:val="5EB74EE4"/>
    <w:rsid w:val="600F17D9"/>
    <w:rsid w:val="6759039D"/>
    <w:rsid w:val="6EC6456A"/>
    <w:rsid w:val="71E41B08"/>
    <w:rsid w:val="73575CCB"/>
    <w:rsid w:val="752C49C8"/>
    <w:rsid w:val="7605130D"/>
    <w:rsid w:val="7FD103B4"/>
  </w:rsids>
  <w:docVars>
    <w:docVar w:name="commondata" w:val="eyJoZGlkIjoiZmY2OWRmYjU3MTk4OGVmNTAyNGI1ZTlhNTFjZjkyY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微信用户</cp:lastModifiedBy>
  <cp:revision>1</cp:revision>
  <dcterms:created xsi:type="dcterms:W3CDTF">2024-01-16T02:39:00Z</dcterms:created>
  <dcterms:modified xsi:type="dcterms:W3CDTF">2024-01-25T01:49:55Z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