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560" w:lineRule="exact"/>
        <w:rPr>
          <w:rFonts w:ascii="黑体" w:eastAsia="黑体" w:hAnsi="黑体" w:cs="TimesNewRoman"/>
          <w:sz w:val="32"/>
          <w:szCs w:val="32"/>
        </w:rPr>
      </w:pPr>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pPr>
        <w:spacing w:line="560" w:lineRule="exact"/>
        <w:rPr>
          <w:rFonts w:ascii="TimesNewRoman" w:eastAsia="黑体" w:hAnsi="TimesNewRoman" w:cs="TimesNewRoman" w:hint="eastAsia"/>
          <w:szCs w:val="32"/>
        </w:rPr>
      </w:pPr>
    </w:p>
    <w:p>
      <w:pPr>
        <w:spacing w:line="560" w:lineRule="exact"/>
        <w:jc w:val="center"/>
        <w:rPr>
          <w:rFonts w:ascii="方正小标宋_GBK" w:eastAsia="方正小标宋_GBK" w:hAnsi="TimesNewRoman" w:cs="TimesNewRoman" w:hint="eastAsia"/>
          <w:szCs w:val="32"/>
        </w:rPr>
      </w:pPr>
    </w:p>
    <w:p>
      <w:pPr>
        <w:adjustRightInd w:val="0"/>
        <w:snapToGrid w:val="0"/>
        <w:spacing w:line="360" w:lineRule="auto"/>
        <w:jc w:val="center"/>
        <w:rPr>
          <w:rFonts w:ascii="方正小标宋简体" w:eastAsia="方正小标宋简体" w:hAnsi="方正小标宋简体" w:cs="华文中宋" w:hint="eastAsia"/>
          <w:b/>
          <w:sz w:val="44"/>
          <w:szCs w:val="44"/>
        </w:rPr>
      </w:pPr>
      <w:r>
        <w:rPr>
          <w:rFonts w:ascii="方正小标宋简体" w:eastAsia="方正小标宋简体" w:hAnsi="方正小标宋简体" w:cs="华文中宋" w:hint="eastAsia"/>
          <w:b/>
          <w:sz w:val="44"/>
          <w:szCs w:val="44"/>
        </w:rPr>
        <w:t>寿县</w:t>
      </w:r>
      <w:r>
        <w:rPr>
          <w:rFonts w:ascii="方正小标宋简体" w:eastAsia="方正小标宋简体" w:hAnsi="方正小标宋简体" w:cs="华文中宋" w:hint="eastAsia"/>
          <w:b/>
          <w:sz w:val="44"/>
          <w:szCs w:val="44"/>
          <w:lang w:eastAsia="zh-CN"/>
        </w:rPr>
        <w:t>张李乡卫生院</w:t>
      </w:r>
      <w:r>
        <w:rPr>
          <w:rFonts w:ascii="方正小标宋简体" w:eastAsia="方正小标宋简体" w:hAnsi="方正小标宋简体" w:cs="华文中宋" w:hint="eastAsia"/>
          <w:b/>
          <w:sz w:val="44"/>
          <w:szCs w:val="44"/>
        </w:rPr>
        <w:t>202</w:t>
      </w:r>
      <w:r>
        <w:rPr>
          <w:rFonts w:ascii="方正小标宋简体" w:eastAsia="方正小标宋简体" w:hAnsi="方正小标宋简体" w:cs="华文中宋" w:hint="eastAsia"/>
          <w:b/>
          <w:sz w:val="44"/>
          <w:szCs w:val="44"/>
          <w:lang w:val="en-US" w:eastAsia="zh-CN"/>
        </w:rPr>
        <w:t>4</w:t>
      </w:r>
      <w:r>
        <w:rPr>
          <w:rFonts w:ascii="方正小标宋简体" w:eastAsia="方正小标宋简体" w:hAnsi="方正小标宋简体" w:cs="华文中宋" w:hint="eastAsia"/>
          <w:b/>
          <w:sz w:val="44"/>
          <w:szCs w:val="44"/>
        </w:rPr>
        <w:t>年预算</w:t>
      </w: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2024年</w:t>
      </w:r>
      <w:r>
        <w:rPr>
          <w:rFonts w:ascii="仿宋_GB2312" w:eastAsia="仿宋_GB2312" w:hAnsi="TimesNewRoman" w:cs="TimesNewRoman" w:hint="eastAsia"/>
          <w:bCs/>
          <w:sz w:val="36"/>
          <w:szCs w:val="32"/>
          <w:lang w:val="en-US" w:eastAsia="zh-CN"/>
        </w:rPr>
        <w:t>1</w:t>
      </w:r>
      <w:r>
        <w:rPr>
          <w:rFonts w:ascii="仿宋_GB2312" w:eastAsia="仿宋_GB2312" w:hAnsi="TimesNewRoman" w:cs="TimesNewRoman" w:hint="eastAsia"/>
          <w:bCs/>
          <w:sz w:val="36"/>
          <w:szCs w:val="32"/>
        </w:rPr>
        <w:t>月</w:t>
      </w: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sz w:val="32"/>
          <w:szCs w:val="32"/>
          <w:u w:val="single"/>
        </w:rPr>
        <w:t>（单位）</w:t>
      </w:r>
      <w:r>
        <w:rPr>
          <w:rFonts w:ascii="黑体" w:eastAsia="黑体" w:hAnsi="黑体" w:cs="TimesNewRoman"/>
          <w:sz w:val="32"/>
          <w:szCs w:val="32"/>
        </w:rPr>
        <w:t>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u w:val="single"/>
        </w:rPr>
        <w:t>（单位）</w:t>
      </w:r>
      <w:r>
        <w:rPr>
          <w:rFonts w:ascii="仿宋_GB2312" w:eastAsia="仿宋_GB2312" w:hAnsi="TimesNewRoman" w:cs="TimesNewRoman" w:hint="eastAsia"/>
          <w:bCs/>
          <w:sz w:val="32"/>
          <w:szCs w:val="32"/>
        </w:rPr>
        <w:t>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年（单位）预算表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张李乡卫生院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张李乡卫生院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张李乡卫生院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张李乡卫生院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张李乡卫生院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张李乡卫生院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张李乡卫生院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张李乡卫生院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张李乡卫生院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张李乡卫生院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张李乡卫生院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年（单位）预算情况说明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第一部分 </w:t>
      </w:r>
      <w:r>
        <w:rPr>
          <w:rFonts w:ascii="TimesNewRoman" w:eastAsia="黑体" w:hAnsi="TimesNewRoman" w:cs="TimesNewRoman"/>
          <w:bCs/>
          <w:sz w:val="36"/>
          <w:szCs w:val="36"/>
          <w:u w:val="single"/>
        </w:rPr>
        <w:t>（单位）</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pPr>
        <w:pStyle w:val="NormalWeb"/>
        <w:adjustRightInd w:val="0"/>
        <w:snapToGrid w:val="0"/>
        <w:spacing w:before="0" w:beforeAutospacing="0" w:after="0" w:afterAutospacing="0" w:line="360" w:lineRule="auto"/>
        <w:ind w:firstLine="784" w:firstLineChars="245"/>
        <w:jc w:val="both"/>
        <w:rPr>
          <w:rFonts w:ascii="仿宋_GB2312" w:eastAsia="仿宋_GB2312" w:hAnsi="黑体" w:hint="eastAsia"/>
          <w:bCs/>
          <w:sz w:val="32"/>
          <w:szCs w:val="32"/>
          <w:lang w:eastAsia="zh-CN"/>
        </w:rPr>
      </w:pPr>
      <w:r>
        <w:rPr>
          <w:rFonts w:ascii="TimesNewRoman" w:eastAsia="仿宋_GB2312" w:hAnsi="TimesNewRoman" w:cs="TimesNewRoman"/>
          <w:bCs/>
          <w:sz w:val="32"/>
          <w:szCs w:val="32"/>
        </w:rPr>
        <w:t>（一）</w:t>
      </w:r>
      <w:r>
        <w:rPr>
          <w:rFonts w:ascii="仿宋_GB2312" w:eastAsia="仿宋_GB2312" w:hAnsi="黑体" w:hint="eastAsia"/>
          <w:bCs/>
          <w:sz w:val="32"/>
          <w:szCs w:val="32"/>
          <w:lang w:eastAsia="zh-CN"/>
        </w:rPr>
        <w:t>我单位为寿县卫健委下属乡镇卫生院，主要承担辖区范围内常见病的诊断、治疗以及公共卫生工作。</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（单位）预算构成</w:t>
      </w:r>
    </w:p>
    <w:p>
      <w:pPr>
        <w:pStyle w:val="NormalWeb"/>
        <w:topLinePunct/>
        <w:adjustRightInd w:val="0"/>
        <w:snapToGrid w:val="0"/>
        <w:spacing w:beforeAutospacing="0" w:afterAutospacing="0" w:line="580" w:lineRule="exact"/>
        <w:ind w:firstLine="640" w:firstLineChars="200"/>
        <w:jc w:val="both"/>
        <w:rPr>
          <w:rFonts w:ascii="TimesNewRoman" w:eastAsia="楷体_GB2312" w:hAnsi="TimesNewRoman" w:cs="TimesNewRoman"/>
          <w:sz w:val="32"/>
          <w:szCs w:val="32"/>
        </w:rPr>
      </w:pPr>
      <w:r>
        <w:rPr>
          <w:rFonts w:ascii="TimesNewRoman" w:eastAsia="楷体_GB2312" w:hAnsi="TimesNewRoman" w:cs="TimesNewRoman"/>
          <w:sz w:val="32"/>
          <w:szCs w:val="32"/>
        </w:rPr>
        <w:t>【如本</w:t>
      </w:r>
      <w:r>
        <w:rPr>
          <w:rFonts w:ascii="TimesNewRoman" w:eastAsia="楷体_GB2312" w:hAnsi="TimesNewRoman" w:cs="TimesNewRoman" w:hint="eastAsia"/>
          <w:sz w:val="32"/>
          <w:szCs w:val="32"/>
          <w:lang w:eastAsia="zh-CN"/>
        </w:rPr>
        <w:t>单位</w:t>
      </w:r>
      <w:r>
        <w:rPr>
          <w:rFonts w:ascii="TimesNewRoman" w:eastAsia="楷体_GB2312" w:hAnsi="TimesNewRoman" w:cs="TimesNewRoman"/>
          <w:sz w:val="32"/>
          <w:szCs w:val="32"/>
        </w:rPr>
        <w:t>有下属单位】</w:t>
      </w:r>
    </w:p>
    <w:p>
      <w:pPr>
        <w:pStyle w:val="NormalWeb"/>
        <w:numPr>
          <w:ilvl w:val="0"/>
          <w:numId w:val="1"/>
        </w:numPr>
        <w:adjustRightInd w:val="0"/>
        <w:snapToGrid w:val="0"/>
        <w:spacing w:before="0" w:beforeAutospacing="0" w:after="0" w:afterAutospacing="0" w:line="360" w:lineRule="auto"/>
        <w:ind w:left="-627" w:firstLine="627" w:leftChars="0" w:firstLineChars="0"/>
        <w:jc w:val="both"/>
        <w:rPr>
          <w:rFonts w:ascii="仿宋_GB2312" w:eastAsia="仿宋_GB2312" w:hAnsi="仿宋" w:hint="eastAsia"/>
          <w:sz w:val="32"/>
          <w:szCs w:val="32"/>
        </w:rPr>
      </w:pPr>
      <w:r>
        <w:rPr>
          <w:rFonts w:ascii="仿宋" w:eastAsia="仿宋" w:hAnsi="仿宋" w:hint="eastAsia"/>
          <w:sz w:val="32"/>
          <w:szCs w:val="32"/>
          <w:lang w:eastAsia="zh-CN"/>
        </w:rPr>
        <w:t>单位预算包括本单位预算，没有二级预算单位，</w:t>
      </w:r>
      <w:r>
        <w:rPr>
          <w:rFonts w:ascii="仿宋" w:eastAsia="仿宋" w:hAnsi="仿宋" w:hint="eastAsia"/>
          <w:sz w:val="32"/>
          <w:szCs w:val="32"/>
        </w:rPr>
        <w:t>纳入部门预算编制范围的单位共</w:t>
      </w:r>
      <w:r>
        <w:rPr>
          <w:rFonts w:ascii="仿宋" w:eastAsia="仿宋" w:hAnsi="仿宋" w:hint="eastAsia"/>
          <w:sz w:val="32"/>
          <w:szCs w:val="32"/>
          <w:lang w:val="en-US" w:eastAsia="zh-CN"/>
        </w:rPr>
        <w:t>1</w:t>
      </w:r>
      <w:r>
        <w:rPr>
          <w:rFonts w:ascii="仿宋" w:eastAsia="仿宋" w:hAnsi="仿宋" w:hint="eastAsia"/>
          <w:sz w:val="32"/>
          <w:szCs w:val="32"/>
        </w:rPr>
        <w:t>个，具体情况见下表。</w:t>
      </w:r>
    </w:p>
    <w:tbl>
      <w:tblPr>
        <w:tblStyle w:val="TableNormal"/>
        <w:tblW w:w="9108" w:type="dxa"/>
        <w:tblInd w:w="108" w:type="dxa"/>
        <w:tblLayout w:type="fixed"/>
        <w:tblCellMar>
          <w:top w:w="0" w:type="dxa"/>
          <w:left w:w="0" w:type="dxa"/>
          <w:bottom w:w="0" w:type="dxa"/>
          <w:right w:w="0" w:type="dxa"/>
        </w:tblCellMar>
      </w:tblPr>
      <w:tblGrid>
        <w:gridCol w:w="911"/>
        <w:gridCol w:w="3643"/>
        <w:gridCol w:w="4554"/>
      </w:tblGrid>
      <w:tr>
        <w:tblPrEx>
          <w:tblW w:w="9108" w:type="dxa"/>
          <w:tblInd w:w="108" w:type="dxa"/>
          <w:tblLayout w:type="fixed"/>
          <w:tblCellMar>
            <w:top w:w="0" w:type="dxa"/>
            <w:left w:w="0" w:type="dxa"/>
            <w:bottom w:w="0" w:type="dxa"/>
            <w:right w:w="0" w:type="dxa"/>
          </w:tblCellMar>
        </w:tblPrEx>
        <w:trPr>
          <w:trHeight w:val="400"/>
        </w:trPr>
        <w:tc>
          <w:tcPr>
            <w:tcW w:w="911"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序号</w:t>
            </w:r>
          </w:p>
        </w:tc>
        <w:tc>
          <w:tcPr>
            <w:tcW w:w="3643" w:type="dxa"/>
            <w:tcBorders>
              <w:top w:val="single" w:sz="8" w:space="0" w:color="auto"/>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单位名称</w:t>
            </w:r>
          </w:p>
        </w:tc>
        <w:tc>
          <w:tcPr>
            <w:tcW w:w="4554" w:type="dxa"/>
            <w:tcBorders>
              <w:top w:val="single" w:sz="8" w:space="0" w:color="auto"/>
              <w:left w:val="nil"/>
              <w:bottom w:val="single" w:sz="8" w:space="0" w:color="auto"/>
              <w:right w:val="single" w:sz="8" w:space="0" w:color="auto"/>
            </w:tcBorders>
            <w:shd w:val="clear" w:color="auto" w:fill="FFFFFF"/>
            <w:noWrap w:val="0"/>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单位性质</w:t>
            </w:r>
          </w:p>
        </w:tc>
      </w:tr>
      <w:tr>
        <w:tblPrEx>
          <w:tblW w:w="9108" w:type="dxa"/>
          <w:tblInd w:w="108" w:type="dxa"/>
          <w:tblLayout w:type="fixed"/>
          <w:tblCellMar>
            <w:top w:w="0" w:type="dxa"/>
            <w:left w:w="0" w:type="dxa"/>
            <w:bottom w:w="0" w:type="dxa"/>
            <w:right w:w="0" w:type="dxa"/>
          </w:tblCellMar>
        </w:tblPrEx>
        <w:trPr>
          <w:trHeight w:val="400"/>
        </w:trPr>
        <w:tc>
          <w:tcPr>
            <w:tcW w:w="911"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1</w:t>
            </w:r>
          </w:p>
        </w:tc>
        <w:tc>
          <w:tcPr>
            <w:tcW w:w="3643"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60" w:lineRule="auto"/>
              <w:rPr>
                <w:rFonts w:ascii="TimesNewRoman" w:hAnsi="TimesNewRoman" w:cs="TimesNewRoman"/>
                <w:szCs w:val="21"/>
                <w:u w:val="single"/>
              </w:rPr>
            </w:pPr>
            <w:r>
              <w:rPr>
                <w:rFonts w:ascii="仿宋_GB2312" w:eastAsia="仿宋_GB2312" w:hAnsi="仿宋" w:cs="仿宋" w:hint="eastAsia"/>
                <w:bCs/>
                <w:sz w:val="32"/>
                <w:szCs w:val="32"/>
              </w:rPr>
              <w:t>寿县</w:t>
            </w:r>
            <w:r>
              <w:rPr>
                <w:rFonts w:ascii="仿宋_GB2312" w:eastAsia="仿宋_GB2312" w:hAnsi="仿宋" w:cs="仿宋" w:hint="eastAsia"/>
                <w:bCs/>
                <w:sz w:val="32"/>
                <w:szCs w:val="32"/>
                <w:lang w:eastAsia="zh-CN"/>
              </w:rPr>
              <w:t>张李乡卫生院</w:t>
            </w:r>
          </w:p>
        </w:tc>
        <w:tc>
          <w:tcPr>
            <w:tcW w:w="4554" w:type="dxa"/>
            <w:tcBorders>
              <w:top w:val="nil"/>
              <w:left w:val="nil"/>
              <w:bottom w:val="single" w:sz="8" w:space="0" w:color="auto"/>
              <w:right w:val="single" w:sz="8" w:space="0" w:color="auto"/>
            </w:tcBorders>
            <w:shd w:val="clear" w:color="auto" w:fill="FFFFFF"/>
            <w:noWrap w:val="0"/>
            <w:vAlign w:val="top"/>
          </w:tcPr>
          <w:p>
            <w:pPr>
              <w:adjustRightInd w:val="0"/>
              <w:snapToGrid w:val="0"/>
              <w:spacing w:line="360" w:lineRule="auto"/>
              <w:rPr>
                <w:rFonts w:ascii="TimesNewRoman" w:hAnsi="TimesNewRoman" w:cs="TimesNewRoman"/>
                <w:szCs w:val="21"/>
                <w:u w:val="single"/>
              </w:rPr>
            </w:pPr>
            <w:r>
              <w:rPr>
                <w:rFonts w:ascii="仿宋_GB2312" w:eastAsia="仿宋_GB2312" w:hAnsi="仿宋" w:cs="仿宋" w:hint="eastAsia"/>
                <w:bCs/>
                <w:sz w:val="32"/>
                <w:szCs w:val="32"/>
              </w:rPr>
              <w:t>公益一类事业单位</w:t>
            </w:r>
          </w:p>
        </w:tc>
      </w:tr>
      <w:tr>
        <w:tblPrEx>
          <w:tblW w:w="9108" w:type="dxa"/>
          <w:tblInd w:w="108" w:type="dxa"/>
          <w:tblLayout w:type="fixed"/>
          <w:tblCellMar>
            <w:top w:w="0" w:type="dxa"/>
            <w:left w:w="0" w:type="dxa"/>
            <w:bottom w:w="0" w:type="dxa"/>
            <w:right w:w="0" w:type="dxa"/>
          </w:tblCellMar>
        </w:tblPrEx>
        <w:trPr>
          <w:trHeight w:val="400"/>
        </w:trPr>
        <w:tc>
          <w:tcPr>
            <w:tcW w:w="911"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2</w:t>
            </w:r>
          </w:p>
        </w:tc>
        <w:tc>
          <w:tcPr>
            <w:tcW w:w="3643"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u w:val="single"/>
              </w:rPr>
            </w:pPr>
          </w:p>
        </w:tc>
        <w:tc>
          <w:tcPr>
            <w:tcW w:w="4554" w:type="dxa"/>
            <w:tcBorders>
              <w:top w:val="nil"/>
              <w:left w:val="nil"/>
              <w:bottom w:val="single" w:sz="8" w:space="0" w:color="auto"/>
              <w:right w:val="single" w:sz="8" w:space="0" w:color="auto"/>
            </w:tcBorders>
            <w:shd w:val="clear" w:color="auto" w:fill="FFFFFF"/>
            <w:noWrap w:val="0"/>
            <w:vAlign w:val="center"/>
          </w:tcPr>
          <w:p>
            <w:pPr>
              <w:adjustRightInd w:val="0"/>
              <w:snapToGrid w:val="0"/>
              <w:spacing w:line="320" w:lineRule="exact"/>
              <w:jc w:val="center"/>
              <w:rPr>
                <w:rFonts w:ascii="TimesNewRoman" w:hAnsi="TimesNewRoman" w:cs="TimesNewRoman"/>
                <w:szCs w:val="21"/>
                <w:u w:val="single"/>
              </w:rPr>
            </w:pPr>
          </w:p>
        </w:tc>
      </w:tr>
      <w:tr>
        <w:tblPrEx>
          <w:tblW w:w="9108" w:type="dxa"/>
          <w:tblInd w:w="108" w:type="dxa"/>
          <w:tblLayout w:type="fixed"/>
          <w:tblCellMar>
            <w:top w:w="0" w:type="dxa"/>
            <w:left w:w="0" w:type="dxa"/>
            <w:bottom w:w="0" w:type="dxa"/>
            <w:right w:w="0" w:type="dxa"/>
          </w:tblCellMar>
        </w:tblPrEx>
        <w:trPr>
          <w:trHeight w:val="478"/>
        </w:trPr>
        <w:tc>
          <w:tcPr>
            <w:tcW w:w="911"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3</w:t>
            </w:r>
          </w:p>
        </w:tc>
        <w:tc>
          <w:tcPr>
            <w:tcW w:w="3643"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rPr>
                <w:rFonts w:ascii="TimesNewRoman" w:hAnsi="TimesNewRoman" w:cs="TimesNewRoman"/>
                <w:szCs w:val="21"/>
                <w:u w:val="single"/>
              </w:rPr>
            </w:pPr>
          </w:p>
        </w:tc>
        <w:tc>
          <w:tcPr>
            <w:tcW w:w="4554" w:type="dxa"/>
            <w:tcBorders>
              <w:top w:val="nil"/>
              <w:left w:val="nil"/>
              <w:bottom w:val="single" w:sz="8" w:space="0" w:color="auto"/>
              <w:right w:val="single" w:sz="8" w:space="0" w:color="auto"/>
            </w:tcBorders>
            <w:shd w:val="clear" w:color="auto" w:fill="FFFFFF"/>
            <w:noWrap w:val="0"/>
            <w:vAlign w:val="center"/>
          </w:tcPr>
          <w:p>
            <w:pPr>
              <w:adjustRightInd w:val="0"/>
              <w:snapToGrid w:val="0"/>
              <w:spacing w:line="320" w:lineRule="exact"/>
              <w:jc w:val="center"/>
              <w:rPr>
                <w:rFonts w:ascii="TimesNewRoman" w:hAnsi="TimesNewRoman" w:cs="TimesNewRoman"/>
                <w:szCs w:val="21"/>
                <w:u w:val="single"/>
              </w:rPr>
            </w:pPr>
          </w:p>
        </w:tc>
      </w:tr>
      <w:tr>
        <w:tblPrEx>
          <w:tblW w:w="9108" w:type="dxa"/>
          <w:tblInd w:w="108" w:type="dxa"/>
          <w:tblLayout w:type="fixed"/>
          <w:tblCellMar>
            <w:top w:w="0" w:type="dxa"/>
            <w:left w:w="0" w:type="dxa"/>
            <w:bottom w:w="0" w:type="dxa"/>
            <w:right w:w="0" w:type="dxa"/>
          </w:tblCellMar>
        </w:tblPrEx>
        <w:trPr>
          <w:trHeight w:val="400"/>
        </w:trPr>
        <w:tc>
          <w:tcPr>
            <w:tcW w:w="911"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4</w:t>
            </w:r>
          </w:p>
        </w:tc>
        <w:tc>
          <w:tcPr>
            <w:tcW w:w="3643"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rPr>
                <w:rFonts w:ascii="TimesNewRoman" w:hAnsi="TimesNewRoman" w:cs="TimesNewRoman"/>
                <w:szCs w:val="21"/>
                <w:u w:val="single"/>
              </w:rPr>
            </w:pPr>
          </w:p>
        </w:tc>
        <w:tc>
          <w:tcPr>
            <w:tcW w:w="4554" w:type="dxa"/>
            <w:tcBorders>
              <w:top w:val="nil"/>
              <w:left w:val="nil"/>
              <w:bottom w:val="single" w:sz="8" w:space="0" w:color="auto"/>
              <w:right w:val="single" w:sz="8" w:space="0" w:color="auto"/>
            </w:tcBorders>
            <w:shd w:val="clear" w:color="auto" w:fill="FFFFFF"/>
            <w:noWrap w:val="0"/>
            <w:vAlign w:val="center"/>
          </w:tcPr>
          <w:p>
            <w:pPr>
              <w:adjustRightInd w:val="0"/>
              <w:snapToGrid w:val="0"/>
              <w:spacing w:line="320" w:lineRule="exact"/>
              <w:jc w:val="center"/>
              <w:rPr>
                <w:rFonts w:ascii="TimesNewRoman" w:hAnsi="TimesNewRoman" w:cs="TimesNewRoman"/>
                <w:szCs w:val="21"/>
                <w:u w:val="single"/>
              </w:rPr>
            </w:pPr>
          </w:p>
        </w:tc>
      </w:tr>
      <w:tr>
        <w:tblPrEx>
          <w:tblW w:w="9108" w:type="dxa"/>
          <w:tblInd w:w="108" w:type="dxa"/>
          <w:tblLayout w:type="fixed"/>
          <w:tblCellMar>
            <w:top w:w="0" w:type="dxa"/>
            <w:left w:w="0" w:type="dxa"/>
            <w:bottom w:w="0" w:type="dxa"/>
            <w:right w:w="0" w:type="dxa"/>
          </w:tblCellMar>
        </w:tblPrEx>
        <w:trPr>
          <w:trHeight w:val="400"/>
        </w:trPr>
        <w:tc>
          <w:tcPr>
            <w:tcW w:w="911"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5</w:t>
            </w:r>
          </w:p>
        </w:tc>
        <w:tc>
          <w:tcPr>
            <w:tcW w:w="3643"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rPr>
                <w:rFonts w:ascii="TimesNewRoman" w:hAnsi="TimesNewRoman" w:cs="TimesNewRoman"/>
                <w:szCs w:val="21"/>
                <w:u w:val="single"/>
              </w:rPr>
            </w:pPr>
          </w:p>
        </w:tc>
        <w:tc>
          <w:tcPr>
            <w:tcW w:w="4554" w:type="dxa"/>
            <w:tcBorders>
              <w:top w:val="nil"/>
              <w:left w:val="nil"/>
              <w:bottom w:val="single" w:sz="8" w:space="0" w:color="auto"/>
              <w:right w:val="single" w:sz="8" w:space="0" w:color="auto"/>
            </w:tcBorders>
            <w:shd w:val="clear" w:color="auto" w:fill="FFFFFF"/>
            <w:noWrap w:val="0"/>
            <w:vAlign w:val="center"/>
          </w:tcPr>
          <w:p>
            <w:pPr>
              <w:adjustRightInd w:val="0"/>
              <w:snapToGrid w:val="0"/>
              <w:spacing w:line="320" w:lineRule="exact"/>
              <w:jc w:val="center"/>
              <w:rPr>
                <w:rFonts w:ascii="TimesNewRoman" w:hAnsi="TimesNewRoman" w:cs="TimesNewRoman"/>
                <w:szCs w:val="21"/>
                <w:u w:val="single"/>
              </w:rPr>
            </w:pPr>
          </w:p>
        </w:tc>
      </w:tr>
      <w:tr>
        <w:tblPrEx>
          <w:tblW w:w="9108" w:type="dxa"/>
          <w:tblInd w:w="108" w:type="dxa"/>
          <w:tblLayout w:type="fixed"/>
          <w:tblCellMar>
            <w:top w:w="0" w:type="dxa"/>
            <w:left w:w="0" w:type="dxa"/>
            <w:bottom w:w="0" w:type="dxa"/>
            <w:right w:w="0" w:type="dxa"/>
          </w:tblCellMar>
        </w:tblPrEx>
        <w:trPr>
          <w:trHeight w:val="400"/>
        </w:trPr>
        <w:tc>
          <w:tcPr>
            <w:tcW w:w="911"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p>
        </w:tc>
        <w:tc>
          <w:tcPr>
            <w:tcW w:w="3643"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rPr>
                <w:rFonts w:ascii="TimesNewRoman" w:hAnsi="TimesNewRoman" w:cs="TimesNewRoman"/>
                <w:szCs w:val="21"/>
                <w:u w:val="single"/>
              </w:rPr>
            </w:pPr>
          </w:p>
        </w:tc>
        <w:tc>
          <w:tcPr>
            <w:tcW w:w="4554" w:type="dxa"/>
            <w:tcBorders>
              <w:top w:val="nil"/>
              <w:left w:val="nil"/>
              <w:bottom w:val="single" w:sz="8" w:space="0" w:color="auto"/>
              <w:right w:val="single" w:sz="8" w:space="0" w:color="auto"/>
            </w:tcBorders>
            <w:shd w:val="clear" w:color="auto" w:fill="FFFFFF"/>
            <w:noWrap w:val="0"/>
            <w:vAlign w:val="center"/>
          </w:tcPr>
          <w:p>
            <w:pPr>
              <w:adjustRightInd w:val="0"/>
              <w:snapToGrid w:val="0"/>
              <w:spacing w:line="320" w:lineRule="exact"/>
              <w:jc w:val="center"/>
              <w:rPr>
                <w:rFonts w:ascii="TimesNewRoman" w:hAnsi="TimesNewRoman" w:cs="TimesNewRoman"/>
                <w:szCs w:val="21"/>
              </w:rPr>
            </w:pPr>
          </w:p>
        </w:tc>
      </w:tr>
      <w:tr>
        <w:tblPrEx>
          <w:tblW w:w="9108" w:type="dxa"/>
          <w:tblInd w:w="108" w:type="dxa"/>
          <w:tblLayout w:type="fixed"/>
          <w:tblCellMar>
            <w:top w:w="0" w:type="dxa"/>
            <w:left w:w="0" w:type="dxa"/>
            <w:bottom w:w="0" w:type="dxa"/>
            <w:right w:w="0" w:type="dxa"/>
          </w:tblCellMar>
        </w:tblPrEx>
        <w:trPr>
          <w:trHeight w:val="414"/>
        </w:trPr>
        <w:tc>
          <w:tcPr>
            <w:tcW w:w="911"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p>
        </w:tc>
        <w:tc>
          <w:tcPr>
            <w:tcW w:w="3643"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rPr>
                <w:rFonts w:ascii="TimesNewRoman" w:hAnsi="TimesNewRoman" w:cs="TimesNewRoman"/>
                <w:szCs w:val="21"/>
                <w:u w:val="single"/>
              </w:rPr>
            </w:pPr>
          </w:p>
        </w:tc>
        <w:tc>
          <w:tcPr>
            <w:tcW w:w="4554" w:type="dxa"/>
            <w:tcBorders>
              <w:top w:val="nil"/>
              <w:left w:val="nil"/>
              <w:bottom w:val="single" w:sz="8" w:space="0" w:color="auto"/>
              <w:right w:val="single" w:sz="8" w:space="0" w:color="auto"/>
            </w:tcBorders>
            <w:shd w:val="clear" w:color="auto" w:fill="FFFFFF"/>
            <w:noWrap w:val="0"/>
            <w:vAlign w:val="center"/>
          </w:tcPr>
          <w:p>
            <w:pPr>
              <w:adjustRightInd w:val="0"/>
              <w:snapToGrid w:val="0"/>
              <w:spacing w:line="320" w:lineRule="exact"/>
              <w:rPr>
                <w:rFonts w:ascii="TimesNewRoman" w:hAnsi="TimesNewRoman" w:cs="TimesNewRoman"/>
                <w:szCs w:val="21"/>
                <w:u w:val="single"/>
              </w:rPr>
            </w:pPr>
          </w:p>
        </w:tc>
      </w:tr>
    </w:tbl>
    <w:p>
      <w:pPr>
        <w:pStyle w:val="NormalWeb"/>
        <w:topLinePunct/>
        <w:adjustRightInd w:val="0"/>
        <w:snapToGrid w:val="0"/>
        <w:spacing w:beforeAutospacing="0" w:afterAutospacing="0" w:line="580" w:lineRule="exact"/>
        <w:ind w:firstLine="640" w:firstLineChars="200"/>
        <w:jc w:val="both"/>
        <w:rPr>
          <w:rFonts w:ascii="TimesNewRoman" w:eastAsia="楷体_GB2312" w:hAnsi="TimesNewRoman" w:cs="TimesNewRoman"/>
          <w:sz w:val="32"/>
          <w:szCs w:val="32"/>
        </w:rPr>
      </w:pPr>
      <w:r>
        <w:rPr>
          <w:rFonts w:ascii="TimesNewRoman" w:eastAsia="楷体_GB2312" w:hAnsi="TimesNewRoman" w:cs="TimesNewRoman"/>
          <w:sz w:val="32"/>
          <w:szCs w:val="32"/>
        </w:rPr>
        <w:t>【如本</w:t>
      </w:r>
      <w:r>
        <w:rPr>
          <w:rFonts w:ascii="TimesNewRoman" w:eastAsia="楷体_GB2312" w:hAnsi="TimesNewRoman" w:cs="TimesNewRoman" w:hint="eastAsia"/>
          <w:sz w:val="32"/>
          <w:szCs w:val="32"/>
          <w:lang w:eastAsia="zh-CN"/>
        </w:rPr>
        <w:t>单位</w:t>
      </w:r>
      <w:r>
        <w:rPr>
          <w:rFonts w:ascii="TimesNewRoman" w:eastAsia="楷体_GB2312" w:hAnsi="TimesNewRoman" w:cs="TimesNewRoman"/>
          <w:sz w:val="32"/>
          <w:szCs w:val="32"/>
        </w:rPr>
        <w:t>无下属单位】</w:t>
      </w:r>
    </w:p>
    <w:p>
      <w:pPr>
        <w:pStyle w:val="NormalWeb"/>
        <w:adjustRightInd w:val="0"/>
        <w:snapToGrid w:val="0"/>
        <w:spacing w:before="0" w:beforeAutospacing="0" w:after="0" w:afterAutospacing="0" w:line="600" w:lineRule="exact"/>
        <w:outlineLvl w:val="0"/>
        <w:rPr>
          <w:rFonts w:ascii="楷体_GB2312" w:eastAsia="楷体_GB2312" w:hAnsi="仿宋" w:cs="Times New Roman"/>
          <w:color w:val="FF0000"/>
          <w:kern w:val="2"/>
          <w:sz w:val="32"/>
          <w:szCs w:val="32"/>
        </w:rPr>
      </w:pPr>
      <w:r>
        <w:rPr>
          <w:rFonts w:ascii="仿宋_GB2312" w:eastAsia="仿宋_GB2312" w:hAnsi="仿宋" w:hint="eastAsia"/>
          <w:sz w:val="32"/>
          <w:szCs w:val="32"/>
        </w:rPr>
        <w:t>从预算单位构成看，</w:t>
      </w:r>
      <w:r>
        <w:rPr>
          <w:rFonts w:ascii="仿宋_GB2312" w:eastAsia="仿宋_GB2312" w:hAnsi="仿宋" w:hint="eastAsia"/>
          <w:sz w:val="32"/>
          <w:szCs w:val="32"/>
          <w:lang w:eastAsia="zh-CN"/>
        </w:rPr>
        <w:t>寿县</w:t>
      </w:r>
      <w:r>
        <w:rPr>
          <w:rFonts w:ascii="仿宋_GB2312" w:eastAsia="仿宋_GB2312" w:hAnsi="仿宋" w:cs="仿宋" w:hint="eastAsia"/>
          <w:bCs/>
          <w:sz w:val="32"/>
          <w:szCs w:val="32"/>
          <w:lang w:eastAsia="zh-CN"/>
        </w:rPr>
        <w:t>张李乡卫生院</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年度部门预</w:t>
      </w:r>
      <w:r>
        <w:rPr>
          <w:rFonts w:ascii="仿宋_GB2312" w:eastAsia="仿宋_GB2312" w:hAnsi="仿宋" w:hint="eastAsia"/>
          <w:sz w:val="32"/>
          <w:szCs w:val="32"/>
          <w:lang w:eastAsia="zh-CN"/>
        </w:rPr>
        <w:t>算仅</w:t>
      </w:r>
      <w:r>
        <w:rPr>
          <w:rFonts w:ascii="仿宋_GB2312" w:eastAsia="仿宋_GB2312" w:hAnsi="仿宋" w:hint="eastAsia"/>
          <w:sz w:val="32"/>
          <w:szCs w:val="32"/>
        </w:rPr>
        <w:t>包括本级预算，无其他下属单位预算。</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三、2024年度主要工作任务</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p>
    <w:p>
      <w:pPr>
        <w:pStyle w:val="NormalWeb"/>
        <w:numPr>
          <w:ilvl w:val="0"/>
          <w:numId w:val="2"/>
        </w:numPr>
        <w:adjustRightInd w:val="0"/>
        <w:snapToGrid w:val="0"/>
        <w:spacing w:before="0" w:beforeAutospacing="0" w:after="0" w:afterAutospacing="0" w:line="360" w:lineRule="auto"/>
        <w:ind w:firstLine="627" w:firstLineChars="196"/>
        <w:jc w:val="both"/>
        <w:rPr>
          <w:rFonts w:ascii="黑体" w:eastAsia="黑体" w:hAnsi="黑体" w:hint="eastAsia"/>
          <w:b/>
          <w:bCs w:val="0"/>
          <w:sz w:val="32"/>
          <w:szCs w:val="32"/>
        </w:rPr>
      </w:pPr>
      <w:r>
        <w:rPr>
          <w:rFonts w:ascii="仿宋_GB2312" w:eastAsia="仿宋_GB2312" w:hAnsi="黑体" w:hint="eastAsia"/>
          <w:b/>
          <w:bCs w:val="0"/>
          <w:sz w:val="32"/>
          <w:szCs w:val="32"/>
          <w:lang w:eastAsia="zh-CN"/>
        </w:rPr>
        <w:t>提供基本医疗服务</w:t>
      </w:r>
      <w:r>
        <w:rPr>
          <w:rFonts w:ascii="黑体" w:eastAsia="黑体" w:hAnsi="黑体" w:hint="eastAsia"/>
          <w:b/>
          <w:bCs w:val="0"/>
          <w:sz w:val="32"/>
          <w:szCs w:val="32"/>
        </w:rPr>
        <w:t>。</w:t>
      </w:r>
    </w:p>
    <w:p>
      <w:pPr>
        <w:pStyle w:val="NormalWeb"/>
        <w:numPr>
          <w:ilvl w:val="0"/>
          <w:numId w:val="0"/>
        </w:numPr>
        <w:adjustRightInd w:val="0"/>
        <w:snapToGrid w:val="0"/>
        <w:spacing w:before="0" w:beforeAutospacing="0" w:after="0" w:afterAutospacing="0" w:line="360" w:lineRule="auto"/>
        <w:jc w:val="both"/>
        <w:rPr>
          <w:rFonts w:ascii="黑体" w:eastAsia="黑体" w:hAnsi="黑体" w:hint="eastAsia"/>
          <w:b/>
          <w:bCs w:val="0"/>
          <w:sz w:val="32"/>
          <w:szCs w:val="32"/>
        </w:rPr>
      </w:pPr>
    </w:p>
    <w:p>
      <w:pPr>
        <w:pStyle w:val="NormalWeb"/>
        <w:numPr>
          <w:ilvl w:val="0"/>
          <w:numId w:val="2"/>
        </w:numPr>
        <w:adjustRightInd w:val="0"/>
        <w:snapToGrid w:val="0"/>
        <w:spacing w:before="0" w:beforeAutospacing="0" w:after="0" w:afterAutospacing="0" w:line="360" w:lineRule="auto"/>
        <w:ind w:left="0" w:firstLine="627" w:leftChars="0" w:firstLineChars="196"/>
        <w:jc w:val="both"/>
        <w:rPr>
          <w:rFonts w:ascii="仿宋_GB2312" w:eastAsia="仿宋_GB2312" w:hAnsi="黑体" w:hint="eastAsia"/>
          <w:b/>
          <w:bCs w:val="0"/>
          <w:sz w:val="32"/>
          <w:szCs w:val="32"/>
        </w:rPr>
      </w:pPr>
      <w:r>
        <w:rPr>
          <w:rFonts w:ascii="仿宋_GB2312" w:eastAsia="仿宋_GB2312" w:hAnsi="黑体" w:hint="eastAsia"/>
          <w:b/>
          <w:bCs w:val="0"/>
          <w:sz w:val="32"/>
          <w:szCs w:val="32"/>
          <w:lang w:eastAsia="zh-CN"/>
        </w:rPr>
        <w:t>承担公共卫生管理服务</w:t>
      </w:r>
      <w:r>
        <w:rPr>
          <w:rFonts w:ascii="仿宋_GB2312" w:eastAsia="仿宋_GB2312" w:hAnsi="黑体" w:hint="eastAsia"/>
          <w:b/>
          <w:bCs w:val="0"/>
          <w:sz w:val="32"/>
          <w:szCs w:val="32"/>
        </w:rPr>
        <w:t>。</w:t>
      </w:r>
    </w:p>
    <w:p>
      <w:pPr>
        <w:pStyle w:val="NormalWeb"/>
        <w:numPr>
          <w:ilvl w:val="0"/>
          <w:numId w:val="0"/>
        </w:numPr>
        <w:adjustRightInd w:val="0"/>
        <w:snapToGrid w:val="0"/>
        <w:spacing w:before="0" w:beforeAutospacing="0" w:after="0" w:afterAutospacing="0" w:line="360" w:lineRule="auto"/>
        <w:ind w:left="412" w:leftChars="196"/>
        <w:jc w:val="both"/>
        <w:rPr>
          <w:rFonts w:ascii="仿宋_GB2312" w:eastAsia="仿宋_GB2312" w:hAnsi="黑体" w:hint="eastAsia"/>
          <w:b/>
          <w:bCs w:val="0"/>
          <w:sz w:val="32"/>
          <w:szCs w:val="32"/>
        </w:rPr>
      </w:pPr>
    </w:p>
    <w:p>
      <w:pPr>
        <w:pStyle w:val="NormalWeb"/>
        <w:adjustRightInd w:val="0"/>
        <w:snapToGrid w:val="0"/>
        <w:spacing w:before="0" w:beforeAutospacing="0" w:after="0" w:afterAutospacing="0" w:line="360" w:lineRule="auto"/>
        <w:ind w:firstLine="640" w:firstLineChars="200"/>
        <w:jc w:val="both"/>
        <w:rPr>
          <w:rFonts w:ascii="仿宋_GB2312" w:eastAsia="仿宋_GB2312" w:hAnsi="黑体" w:hint="eastAsia"/>
          <w:bCs/>
          <w:sz w:val="32"/>
          <w:szCs w:val="32"/>
        </w:rPr>
      </w:pPr>
      <w:r>
        <w:rPr>
          <w:rFonts w:ascii="仿宋_GB2312" w:eastAsia="仿宋_GB2312" w:hAnsi="黑体" w:hint="eastAsia"/>
          <w:b/>
          <w:bCs w:val="0"/>
          <w:sz w:val="32"/>
          <w:szCs w:val="32"/>
          <w:lang w:eastAsia="zh-CN"/>
        </w:rPr>
        <w:t>（三）本级应承担的卫生行政管理工</w:t>
      </w:r>
      <w:r>
        <w:rPr>
          <w:rFonts w:ascii="仿宋_GB2312" w:eastAsia="仿宋_GB2312" w:hAnsi="黑体" w:hint="eastAsia"/>
          <w:bCs/>
          <w:sz w:val="32"/>
          <w:szCs w:val="32"/>
          <w:lang w:eastAsia="zh-CN"/>
        </w:rPr>
        <w:t>作。</w:t>
      </w: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年（单位）预算表</w:t>
      </w:r>
    </w:p>
    <w:p>
      <w:pPr>
        <w:spacing w:line="560" w:lineRule="exact"/>
        <w:ind w:firstLine="6600" w:firstLineChars="3300"/>
        <w:jc w:val="left"/>
        <w:rPr>
          <w:rFonts w:ascii="TimesNewRoman" w:hAnsi="TimesNewRoman" w:cs="TimesNewRoman" w:hint="eastAsia"/>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张李乡卫生院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619" w:type="dxa"/>
        <w:tblInd w:w="0" w:type="dxa"/>
        <w:tblLayout w:type="fixed"/>
        <w:tblCellMar>
          <w:top w:w="0" w:type="dxa"/>
          <w:left w:w="108" w:type="dxa"/>
          <w:bottom w:w="0" w:type="dxa"/>
          <w:right w:w="108" w:type="dxa"/>
        </w:tblCellMar>
      </w:tblPr>
      <w:tblGrid>
        <w:gridCol w:w="3728"/>
        <w:gridCol w:w="1089"/>
        <w:gridCol w:w="3470"/>
        <w:gridCol w:w="1332"/>
      </w:tblGrid>
      <w:tr>
        <w:tblPrEx>
          <w:tblW w:w="9619" w:type="dxa"/>
          <w:tblInd w:w="0" w:type="dxa"/>
          <w:tblLayout w:type="fixed"/>
          <w:tblCellMar>
            <w:top w:w="0" w:type="dxa"/>
            <w:left w:w="108" w:type="dxa"/>
            <w:bottom w:w="0" w:type="dxa"/>
            <w:right w:w="108" w:type="dxa"/>
          </w:tblCellMar>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802" w:type="dxa"/>
            <w:gridSpan w:val="2"/>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1332"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18"/>
                <w:szCs w:val="18"/>
                <w:u w:val="none"/>
                <w:lang w:val="en-US" w:eastAsia="zh-CN" w:bidi="ar-SA"/>
              </w:rPr>
            </w:pPr>
            <w:r>
              <w:rPr>
                <w:rFonts w:ascii="宋体" w:eastAsia="宋体" w:hAnsi="宋体" w:cs="宋体" w:hint="eastAsia"/>
                <w:i w:val="0"/>
                <w:iCs w:val="0"/>
                <w:color w:val="000000"/>
                <w:kern w:val="0"/>
                <w:sz w:val="18"/>
                <w:szCs w:val="18"/>
                <w:u w:val="none"/>
                <w:lang w:val="en-US" w:eastAsia="zh-CN" w:bidi="ar"/>
              </w:rPr>
              <w:t>117.</w:t>
            </w:r>
            <w:r>
              <w:rPr>
                <w:rFonts w:ascii="宋体" w:hAnsi="宋体" w:cs="宋体" w:hint="eastAsia"/>
                <w:i w:val="0"/>
                <w:iCs w:val="0"/>
                <w:color w:val="000000"/>
                <w:kern w:val="0"/>
                <w:sz w:val="18"/>
                <w:szCs w:val="18"/>
                <w:u w:val="none"/>
                <w:lang w:val="en-US" w:eastAsia="zh-CN" w:bidi="ar"/>
              </w:rPr>
              <w:t>6</w:t>
            </w:r>
            <w:r>
              <w:rPr>
                <w:rFonts w:ascii="宋体" w:eastAsia="宋体" w:hAnsi="宋体" w:cs="宋体" w:hint="eastAsia"/>
                <w:i w:val="0"/>
                <w:iCs w:val="0"/>
                <w:color w:val="000000"/>
                <w:kern w:val="0"/>
                <w:sz w:val="18"/>
                <w:szCs w:val="18"/>
                <w:u w:val="none"/>
                <w:lang w:val="en-US" w:eastAsia="zh-CN" w:bidi="ar"/>
              </w:rPr>
              <w:t>4</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332"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332"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332"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332"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332"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332"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332"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332" w:type="dxa"/>
            <w:tcBorders>
              <w:top w:val="single" w:sz="4" w:space="0" w:color="auto"/>
              <w:left w:val="single" w:sz="4" w:space="0" w:color="auto"/>
              <w:bottom w:val="nil"/>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14.22</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332" w:type="dxa"/>
            <w:tcBorders>
              <w:top w:val="single" w:sz="4" w:space="0" w:color="auto"/>
              <w:left w:val="single" w:sz="4" w:space="0" w:color="auto"/>
              <w:bottom w:val="nil"/>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96.3</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332"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332"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18"/>
                <w:szCs w:val="18"/>
                <w:u w:val="none"/>
                <w:lang w:val="en-US" w:eastAsia="zh-CN" w:bidi="ar-SA"/>
              </w:rPr>
            </w:pPr>
            <w:r>
              <w:rPr>
                <w:rFonts w:ascii="宋体" w:eastAsia="宋体" w:hAnsi="宋体" w:cs="宋体" w:hint="eastAsia"/>
                <w:i w:val="0"/>
                <w:iCs w:val="0"/>
                <w:color w:val="000000"/>
                <w:kern w:val="0"/>
                <w:sz w:val="18"/>
                <w:szCs w:val="18"/>
                <w:u w:val="none"/>
                <w:lang w:val="en-US" w:eastAsia="zh-CN" w:bidi="ar"/>
              </w:rPr>
              <w:t>200.00</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332"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18"/>
                <w:szCs w:val="18"/>
                <w:u w:val="none"/>
                <w:lang w:val="en-US" w:eastAsia="zh-CN" w:bidi="ar-SA"/>
              </w:rPr>
            </w:pPr>
            <w:r>
              <w:rPr>
                <w:rFonts w:ascii="宋体" w:eastAsia="宋体" w:hAnsi="宋体" w:cs="宋体" w:hint="eastAsia"/>
                <w:i w:val="0"/>
                <w:iCs w:val="0"/>
                <w:color w:val="000000"/>
                <w:kern w:val="0"/>
                <w:sz w:val="18"/>
                <w:szCs w:val="18"/>
                <w:u w:val="none"/>
                <w:lang w:val="en-US" w:eastAsia="zh-CN" w:bidi="ar"/>
              </w:rPr>
              <w:t>200.00</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332"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332"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332"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332"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332"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332"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332" w:type="dxa"/>
            <w:tcBorders>
              <w:top w:val="single" w:sz="4" w:space="0" w:color="auto"/>
              <w:left w:val="nil"/>
              <w:bottom w:val="nil"/>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7.11</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332"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332"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332"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33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200</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332"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332"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332"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332"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18"/>
                <w:szCs w:val="18"/>
                <w:u w:val="none"/>
                <w:lang w:val="en-US" w:eastAsia="zh-CN" w:bidi="ar-SA"/>
              </w:rPr>
            </w:pPr>
            <w:r>
              <w:rPr>
                <w:rFonts w:ascii="宋体" w:eastAsia="宋体" w:hAnsi="宋体" w:cs="宋体" w:hint="eastAsia"/>
                <w:i w:val="0"/>
                <w:iCs w:val="0"/>
                <w:color w:val="000000"/>
                <w:kern w:val="0"/>
                <w:sz w:val="18"/>
                <w:szCs w:val="18"/>
                <w:u w:val="none"/>
                <w:lang w:val="en-US" w:eastAsia="zh-CN" w:bidi="ar"/>
              </w:rPr>
              <w:t>317.</w:t>
            </w:r>
            <w:r>
              <w:rPr>
                <w:rFonts w:ascii="宋体" w:hAnsi="宋体" w:cs="宋体" w:hint="eastAsia"/>
                <w:i w:val="0"/>
                <w:iCs w:val="0"/>
                <w:color w:val="000000"/>
                <w:kern w:val="0"/>
                <w:sz w:val="18"/>
                <w:szCs w:val="18"/>
                <w:u w:val="none"/>
                <w:lang w:val="en-US" w:eastAsia="zh-CN" w:bidi="ar"/>
              </w:rPr>
              <w:t>6</w:t>
            </w:r>
            <w:r>
              <w:rPr>
                <w:rFonts w:ascii="宋体" w:eastAsia="宋体" w:hAnsi="宋体" w:cs="宋体" w:hint="eastAsia"/>
                <w:i w:val="0"/>
                <w:iCs w:val="0"/>
                <w:color w:val="000000"/>
                <w:kern w:val="0"/>
                <w:sz w:val="18"/>
                <w:szCs w:val="18"/>
                <w:u w:val="none"/>
                <w:lang w:val="en-US" w:eastAsia="zh-CN" w:bidi="ar"/>
              </w:rPr>
              <w:t>4</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133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317.6</w:t>
            </w:r>
            <w:r>
              <w:rPr>
                <w:rFonts w:ascii="宋体" w:hAnsi="宋体" w:cs="宋体" w:hint="eastAsia"/>
                <w:i w:val="0"/>
                <w:iCs w:val="0"/>
                <w:color w:val="000000"/>
                <w:kern w:val="0"/>
                <w:sz w:val="20"/>
                <w:szCs w:val="20"/>
                <w:u w:val="none"/>
                <w:lang w:val="en-US" w:eastAsia="zh-CN" w:bidi="ar"/>
              </w:rPr>
              <w:t>4</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hint="eastAsia"/>
                <w:kern w:val="0"/>
                <w:sz w:val="18"/>
                <w:szCs w:val="18"/>
              </w:rPr>
              <w:t>结转下年</w:t>
            </w:r>
          </w:p>
        </w:tc>
        <w:tc>
          <w:tcPr>
            <w:tcW w:w="1332"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332"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332"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332"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332"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332"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619"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33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317.6</w:t>
            </w:r>
            <w:r>
              <w:rPr>
                <w:rFonts w:ascii="宋体" w:hAnsi="宋体" w:cs="宋体" w:hint="eastAsia"/>
                <w:i w:val="0"/>
                <w:iCs w:val="0"/>
                <w:color w:val="000000"/>
                <w:kern w:val="0"/>
                <w:sz w:val="20"/>
                <w:szCs w:val="20"/>
                <w:u w:val="none"/>
                <w:lang w:val="en-US" w:eastAsia="zh-CN" w:bidi="ar"/>
              </w:rPr>
              <w:t>4</w:t>
            </w:r>
          </w:p>
        </w:tc>
      </w:tr>
    </w:tbl>
    <w:p>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张李乡卫生院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782" w:type="dxa"/>
        <w:tblInd w:w="-431" w:type="dxa"/>
        <w:tblLayout w:type="fixed"/>
        <w:tblCellMar>
          <w:top w:w="0" w:type="dxa"/>
          <w:left w:w="108" w:type="dxa"/>
          <w:bottom w:w="0" w:type="dxa"/>
          <w:right w:w="108" w:type="dxa"/>
        </w:tblCellMar>
      </w:tblPr>
      <w:tblGrid>
        <w:gridCol w:w="1998"/>
        <w:gridCol w:w="956"/>
        <w:gridCol w:w="480"/>
        <w:gridCol w:w="495"/>
        <w:gridCol w:w="389"/>
        <w:gridCol w:w="648"/>
        <w:gridCol w:w="648"/>
        <w:gridCol w:w="648"/>
        <w:gridCol w:w="648"/>
        <w:gridCol w:w="648"/>
        <w:gridCol w:w="648"/>
        <w:gridCol w:w="648"/>
        <w:gridCol w:w="328"/>
        <w:gridCol w:w="320"/>
        <w:gridCol w:w="648"/>
        <w:gridCol w:w="648"/>
        <w:gridCol w:w="648"/>
        <w:gridCol w:w="648"/>
        <w:gridCol w:w="648"/>
        <w:gridCol w:w="720"/>
        <w:gridCol w:w="320"/>
      </w:tblGrid>
      <w:tr>
        <w:tblPrEx>
          <w:tblW w:w="13782" w:type="dxa"/>
          <w:tblInd w:w="-431" w:type="dxa"/>
          <w:tblLayout w:type="fixed"/>
          <w:tblCellMar>
            <w:top w:w="0" w:type="dxa"/>
            <w:left w:w="108" w:type="dxa"/>
            <w:bottom w:w="0" w:type="dxa"/>
            <w:right w:w="108" w:type="dxa"/>
          </w:tblCellMar>
        </w:tblPrEx>
        <w:trPr>
          <w:gridAfter w:val="1"/>
          <w:wAfter w:w="320" w:type="dxa"/>
          <w:trHeight w:val="501"/>
        </w:trPr>
        <w:tc>
          <w:tcPr>
            <w:tcW w:w="1998"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956"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6228" w:type="dxa"/>
            <w:gridSpan w:val="11"/>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80" w:type="dxa"/>
            <w:gridSpan w:val="7"/>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782" w:type="dxa"/>
          <w:tblInd w:w="-431" w:type="dxa"/>
          <w:tblLayout w:type="fixed"/>
          <w:tblCellMar>
            <w:top w:w="0" w:type="dxa"/>
            <w:left w:w="108" w:type="dxa"/>
            <w:bottom w:w="0" w:type="dxa"/>
            <w:right w:w="108" w:type="dxa"/>
          </w:tblCellMar>
        </w:tblPrEx>
        <w:trPr>
          <w:trHeight w:val="424"/>
        </w:trPr>
        <w:tc>
          <w:tcPr>
            <w:tcW w:w="1998"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95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48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495"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389"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888" w:type="dxa"/>
            <w:gridSpan w:val="7"/>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040" w:type="dxa"/>
            <w:gridSpan w:val="2"/>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782" w:type="dxa"/>
          <w:tblInd w:w="-431" w:type="dxa"/>
          <w:tblLayout w:type="fixed"/>
          <w:tblCellMar>
            <w:top w:w="0" w:type="dxa"/>
            <w:left w:w="108" w:type="dxa"/>
            <w:bottom w:w="0" w:type="dxa"/>
            <w:right w:w="108" w:type="dxa"/>
          </w:tblCellMar>
        </w:tblPrEx>
        <w:trPr>
          <w:trHeight w:val="2579"/>
        </w:trPr>
        <w:tc>
          <w:tcPr>
            <w:tcW w:w="1998"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95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48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495"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389"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648" w:type="dxa"/>
            <w:gridSpan w:val="2"/>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1040" w:type="dxa"/>
            <w:gridSpan w:val="2"/>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r>
      <w:tr>
        <w:tblPrEx>
          <w:tblW w:w="13782" w:type="dxa"/>
          <w:tblInd w:w="-431" w:type="dxa"/>
          <w:tblLayout w:type="fixed"/>
          <w:tblCellMar>
            <w:top w:w="0" w:type="dxa"/>
            <w:left w:w="108" w:type="dxa"/>
            <w:bottom w:w="0" w:type="dxa"/>
            <w:right w:w="108" w:type="dxa"/>
          </w:tblCellMar>
        </w:tblPrEx>
        <w:trPr>
          <w:trHeight w:val="1185"/>
        </w:trPr>
        <w:tc>
          <w:tcPr>
            <w:tcW w:w="199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合计</w:t>
            </w:r>
          </w:p>
        </w:tc>
        <w:tc>
          <w:tcPr>
            <w:tcW w:w="95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317.64</w:t>
            </w:r>
            <w:r>
              <w:rPr>
                <w:rFonts w:ascii="TimesNewRoman" w:hAnsi="TimesNewRoman" w:cs="TimesNewRoman"/>
                <w:kern w:val="0"/>
                <w:sz w:val="18"/>
                <w:szCs w:val="18"/>
              </w:rPr>
              <w:t>　</w:t>
            </w:r>
          </w:p>
        </w:tc>
        <w:tc>
          <w:tcPr>
            <w:tcW w:w="48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317.64</w:t>
            </w:r>
            <w:r>
              <w:rPr>
                <w:rFonts w:ascii="TimesNewRoman" w:hAnsi="TimesNewRoman" w:cs="TimesNewRoman"/>
                <w:kern w:val="0"/>
                <w:sz w:val="18"/>
                <w:szCs w:val="18"/>
              </w:rPr>
              <w:t>　</w:t>
            </w:r>
          </w:p>
        </w:tc>
        <w:tc>
          <w:tcPr>
            <w:tcW w:w="495"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317.64</w:t>
            </w:r>
            <w:r>
              <w:rPr>
                <w:rFonts w:ascii="TimesNewRoman" w:hAnsi="TimesNewRoman" w:cs="TimesNewRoman"/>
                <w:kern w:val="0"/>
                <w:sz w:val="18"/>
                <w:szCs w:val="18"/>
              </w:rPr>
              <w:t>　</w:t>
            </w:r>
          </w:p>
        </w:tc>
        <w:tc>
          <w:tcPr>
            <w:tcW w:w="389"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200.00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gridSpan w:val="2"/>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gridSpan w:val="2"/>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782" w:type="dxa"/>
          <w:tblInd w:w="-431" w:type="dxa"/>
          <w:tblLayout w:type="fixed"/>
          <w:tblCellMar>
            <w:top w:w="0" w:type="dxa"/>
            <w:left w:w="108" w:type="dxa"/>
            <w:bottom w:w="0" w:type="dxa"/>
            <w:right w:w="108" w:type="dxa"/>
          </w:tblCellMar>
        </w:tblPrEx>
        <w:trPr>
          <w:trHeight w:val="429"/>
        </w:trPr>
        <w:tc>
          <w:tcPr>
            <w:tcW w:w="199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寿县卫生健康委员会</w:t>
            </w:r>
          </w:p>
        </w:tc>
        <w:tc>
          <w:tcPr>
            <w:tcW w:w="95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317.64</w:t>
            </w:r>
            <w:r>
              <w:rPr>
                <w:rFonts w:ascii="TimesNewRoman" w:hAnsi="TimesNewRoman" w:cs="TimesNewRoman"/>
                <w:kern w:val="0"/>
                <w:sz w:val="18"/>
                <w:szCs w:val="18"/>
              </w:rPr>
              <w:t>　</w:t>
            </w:r>
          </w:p>
        </w:tc>
        <w:tc>
          <w:tcPr>
            <w:tcW w:w="4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317.64</w:t>
            </w:r>
            <w:r>
              <w:rPr>
                <w:rFonts w:ascii="TimesNewRoman" w:hAnsi="TimesNewRoman" w:cs="TimesNewRoman"/>
                <w:kern w:val="0"/>
                <w:sz w:val="18"/>
                <w:szCs w:val="18"/>
              </w:rPr>
              <w:t>　</w:t>
            </w:r>
          </w:p>
        </w:tc>
        <w:tc>
          <w:tcPr>
            <w:tcW w:w="49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317.64</w:t>
            </w:r>
            <w:r>
              <w:rPr>
                <w:rFonts w:ascii="TimesNewRoman" w:hAnsi="TimesNewRoman" w:cs="TimesNewRoman"/>
                <w:kern w:val="0"/>
                <w:sz w:val="18"/>
                <w:szCs w:val="18"/>
              </w:rPr>
              <w:t>　</w:t>
            </w:r>
          </w:p>
        </w:tc>
        <w:tc>
          <w:tcPr>
            <w:tcW w:w="3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200.00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gridSpan w:val="2"/>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gridSpan w:val="2"/>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782" w:type="dxa"/>
          <w:tblInd w:w="-431" w:type="dxa"/>
          <w:tblLayout w:type="fixed"/>
          <w:tblCellMar>
            <w:top w:w="0" w:type="dxa"/>
            <w:left w:w="108" w:type="dxa"/>
            <w:bottom w:w="0" w:type="dxa"/>
            <w:right w:w="108" w:type="dxa"/>
          </w:tblCellMar>
        </w:tblPrEx>
        <w:trPr>
          <w:trHeight w:val="429"/>
        </w:trPr>
        <w:tc>
          <w:tcPr>
            <w:tcW w:w="199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eastAsia="zh-CN"/>
              </w:rPr>
              <w:t>寿县张李乡卫生院</w:t>
            </w:r>
          </w:p>
        </w:tc>
        <w:tc>
          <w:tcPr>
            <w:tcW w:w="95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317.64</w:t>
            </w:r>
            <w:r>
              <w:rPr>
                <w:rFonts w:ascii="TimesNewRoman" w:hAnsi="TimesNewRoman" w:cs="TimesNewRoman"/>
                <w:kern w:val="0"/>
                <w:sz w:val="18"/>
                <w:szCs w:val="18"/>
              </w:rPr>
              <w:t>　</w:t>
            </w:r>
          </w:p>
        </w:tc>
        <w:tc>
          <w:tcPr>
            <w:tcW w:w="4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317.64</w:t>
            </w:r>
            <w:r>
              <w:rPr>
                <w:rFonts w:ascii="TimesNewRoman" w:hAnsi="TimesNewRoman" w:cs="TimesNewRoman"/>
                <w:kern w:val="0"/>
                <w:sz w:val="18"/>
                <w:szCs w:val="18"/>
              </w:rPr>
              <w:t>　</w:t>
            </w:r>
          </w:p>
        </w:tc>
        <w:tc>
          <w:tcPr>
            <w:tcW w:w="49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317.64</w:t>
            </w:r>
            <w:r>
              <w:rPr>
                <w:rFonts w:ascii="TimesNewRoman" w:hAnsi="TimesNewRoman" w:cs="TimesNewRoman"/>
                <w:kern w:val="0"/>
                <w:sz w:val="18"/>
                <w:szCs w:val="18"/>
              </w:rPr>
              <w:t>　</w:t>
            </w:r>
          </w:p>
        </w:tc>
        <w:tc>
          <w:tcPr>
            <w:tcW w:w="3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200.00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gridSpan w:val="2"/>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gridSpan w:val="2"/>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782" w:type="dxa"/>
          <w:tblInd w:w="-431" w:type="dxa"/>
          <w:tblLayout w:type="fixed"/>
          <w:tblCellMar>
            <w:top w:w="0" w:type="dxa"/>
            <w:left w:w="108" w:type="dxa"/>
            <w:bottom w:w="0" w:type="dxa"/>
            <w:right w:w="108" w:type="dxa"/>
          </w:tblCellMar>
        </w:tblPrEx>
        <w:trPr>
          <w:trHeight w:val="429"/>
        </w:trPr>
        <w:tc>
          <w:tcPr>
            <w:tcW w:w="199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95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9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gridSpan w:val="2"/>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gridSpan w:val="2"/>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782" w:type="dxa"/>
          <w:tblInd w:w="-431" w:type="dxa"/>
          <w:tblLayout w:type="fixed"/>
          <w:tblCellMar>
            <w:top w:w="0" w:type="dxa"/>
            <w:left w:w="108" w:type="dxa"/>
            <w:bottom w:w="0" w:type="dxa"/>
            <w:right w:w="108" w:type="dxa"/>
          </w:tblCellMar>
        </w:tblPrEx>
        <w:trPr>
          <w:trHeight w:val="429"/>
        </w:trPr>
        <w:tc>
          <w:tcPr>
            <w:tcW w:w="199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95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9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gridSpan w:val="2"/>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gridSpan w:val="2"/>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right"/>
        <w:rPr>
          <w:rFonts w:ascii="TimesNewRoman" w:hAnsi="TimesNewRoman" w:cs="TimesNewRoman" w:hint="eastAsia"/>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公开表3</w:t>
      </w:r>
    </w:p>
    <w:p>
      <w:pPr>
        <w:spacing w:line="560" w:lineRule="exact"/>
        <w:jc w:val="center"/>
        <w:rPr>
          <w:rFonts w:ascii="TimesNewRoman" w:hAnsi="TimesNewRoman" w:cs="TimesNewRoman" w:hint="eastAsia"/>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张李乡卫生院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单位：万元</w:t>
      </w:r>
    </w:p>
    <w:tbl>
      <w:tblPr>
        <w:tblStyle w:val="TableNormal"/>
        <w:tblW w:w="14192" w:type="dxa"/>
        <w:tblInd w:w="0" w:type="dxa"/>
        <w:tblLayout w:type="fixed"/>
        <w:tblCellMar>
          <w:top w:w="0" w:type="dxa"/>
          <w:left w:w="108" w:type="dxa"/>
          <w:bottom w:w="0" w:type="dxa"/>
          <w:right w:w="108" w:type="dxa"/>
        </w:tblCellMar>
      </w:tblPr>
      <w:tblGrid>
        <w:gridCol w:w="1639"/>
        <w:gridCol w:w="4495"/>
        <w:gridCol w:w="1351"/>
        <w:gridCol w:w="1290"/>
        <w:gridCol w:w="1170"/>
        <w:gridCol w:w="1163"/>
        <w:gridCol w:w="1353"/>
        <w:gridCol w:w="1731"/>
      </w:tblGrid>
      <w:tr>
        <w:tblPrEx>
          <w:tblW w:w="14192" w:type="dxa"/>
          <w:tblInd w:w="0" w:type="dxa"/>
          <w:tblLayout w:type="fixed"/>
          <w:tblCellMar>
            <w:top w:w="0" w:type="dxa"/>
            <w:left w:w="108" w:type="dxa"/>
            <w:bottom w:w="0" w:type="dxa"/>
            <w:right w:w="108" w:type="dxa"/>
          </w:tblCellMar>
        </w:tblPrEx>
        <w:trPr>
          <w:trHeight w:val="744"/>
        </w:trPr>
        <w:tc>
          <w:tcPr>
            <w:tcW w:w="163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5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29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7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16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jc w:val="left"/>
              <w:rPr>
                <w:rFonts w:ascii="TimesNewRoman" w:hAnsi="TimesNewRoman" w:cs="TimesNewRoman"/>
                <w:kern w:val="0"/>
                <w:sz w:val="18"/>
                <w:szCs w:val="18"/>
              </w:rPr>
            </w:pP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合计</w:t>
            </w:r>
          </w:p>
        </w:tc>
        <w:tc>
          <w:tcPr>
            <w:tcW w:w="135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317.6</w:t>
            </w:r>
            <w:r>
              <w:rPr>
                <w:rFonts w:ascii="宋体" w:hAnsi="宋体" w:cs="宋体" w:hint="eastAsia"/>
                <w:i w:val="0"/>
                <w:iCs w:val="0"/>
                <w:color w:val="000000"/>
                <w:kern w:val="0"/>
                <w:sz w:val="20"/>
                <w:szCs w:val="20"/>
                <w:u w:val="none"/>
                <w:lang w:val="en-US" w:eastAsia="zh-CN" w:bidi="ar"/>
              </w:rPr>
              <w:t>4</w:t>
            </w:r>
          </w:p>
        </w:tc>
        <w:tc>
          <w:tcPr>
            <w:tcW w:w="129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109.74</w:t>
            </w:r>
          </w:p>
        </w:tc>
        <w:tc>
          <w:tcPr>
            <w:tcW w:w="117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7.899300</w:t>
            </w:r>
          </w:p>
        </w:tc>
        <w:tc>
          <w:tcPr>
            <w:tcW w:w="116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208</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135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14.22</w:t>
            </w:r>
          </w:p>
        </w:tc>
        <w:tc>
          <w:tcPr>
            <w:tcW w:w="129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14.22</w:t>
            </w:r>
          </w:p>
        </w:tc>
        <w:tc>
          <w:tcPr>
            <w:tcW w:w="117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16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行政事业单位养老支出</w:t>
            </w:r>
          </w:p>
        </w:tc>
        <w:tc>
          <w:tcPr>
            <w:tcW w:w="135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14.22</w:t>
            </w:r>
          </w:p>
        </w:tc>
        <w:tc>
          <w:tcPr>
            <w:tcW w:w="129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14.22</w:t>
            </w:r>
          </w:p>
        </w:tc>
        <w:tc>
          <w:tcPr>
            <w:tcW w:w="117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16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2080505</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eastAsia="仿宋_GB2312" w:hAnsi="TimesNewRoman" w:cs="TimesNewRoman" w:hint="eastAsia"/>
                <w:kern w:val="0"/>
                <w:sz w:val="18"/>
                <w:szCs w:val="18"/>
              </w:rPr>
            </w:pPr>
            <w:r>
              <w:rPr>
                <w:rFonts w:ascii="宋体" w:eastAsia="宋体" w:hAnsi="宋体" w:cs="宋体" w:hint="eastAsia"/>
                <w:i w:val="0"/>
                <w:iCs w:val="0"/>
                <w:color w:val="000000"/>
                <w:kern w:val="0"/>
                <w:sz w:val="20"/>
                <w:szCs w:val="20"/>
                <w:u w:val="none"/>
                <w:lang w:val="en-US" w:eastAsia="zh-CN" w:bidi="ar"/>
              </w:rPr>
              <w:t>　　机关事业单位基本养老保险缴费支出</w:t>
            </w:r>
          </w:p>
        </w:tc>
        <w:tc>
          <w:tcPr>
            <w:tcW w:w="135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9.48</w:t>
            </w:r>
          </w:p>
        </w:tc>
        <w:tc>
          <w:tcPr>
            <w:tcW w:w="129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9.48</w:t>
            </w:r>
          </w:p>
        </w:tc>
        <w:tc>
          <w:tcPr>
            <w:tcW w:w="117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16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2080506</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机关事业单位职业年金缴费支出</w:t>
            </w:r>
          </w:p>
        </w:tc>
        <w:tc>
          <w:tcPr>
            <w:tcW w:w="135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4.74</w:t>
            </w:r>
          </w:p>
        </w:tc>
        <w:tc>
          <w:tcPr>
            <w:tcW w:w="129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4.74</w:t>
            </w:r>
          </w:p>
        </w:tc>
        <w:tc>
          <w:tcPr>
            <w:tcW w:w="117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16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210</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卫生健康支出</w:t>
            </w:r>
          </w:p>
        </w:tc>
        <w:tc>
          <w:tcPr>
            <w:tcW w:w="135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96.3</w:t>
            </w:r>
          </w:p>
        </w:tc>
        <w:tc>
          <w:tcPr>
            <w:tcW w:w="129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88.40</w:t>
            </w:r>
          </w:p>
        </w:tc>
        <w:tc>
          <w:tcPr>
            <w:tcW w:w="117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hint="default"/>
                <w:kern w:val="0"/>
                <w:sz w:val="18"/>
                <w:szCs w:val="18"/>
                <w:lang w:val="en-US"/>
              </w:rPr>
            </w:pPr>
            <w:r>
              <w:rPr>
                <w:rFonts w:ascii="宋体" w:eastAsia="宋体" w:hAnsi="宋体" w:cs="宋体" w:hint="eastAsia"/>
                <w:i w:val="0"/>
                <w:iCs w:val="0"/>
                <w:color w:val="000000"/>
                <w:kern w:val="0"/>
                <w:sz w:val="20"/>
                <w:szCs w:val="20"/>
                <w:u w:val="none"/>
                <w:lang w:val="en-US" w:eastAsia="zh-CN" w:bidi="ar"/>
              </w:rPr>
              <w:t>7.</w:t>
            </w:r>
            <w:r>
              <w:rPr>
                <w:rFonts w:ascii="宋体" w:hAnsi="宋体" w:cs="宋体" w:hint="eastAsia"/>
                <w:i w:val="0"/>
                <w:iCs w:val="0"/>
                <w:color w:val="000000"/>
                <w:kern w:val="0"/>
                <w:sz w:val="20"/>
                <w:szCs w:val="20"/>
                <w:u w:val="none"/>
                <w:lang w:val="en-US" w:eastAsia="zh-CN" w:bidi="ar"/>
              </w:rPr>
              <w:t>9</w:t>
            </w:r>
          </w:p>
        </w:tc>
        <w:tc>
          <w:tcPr>
            <w:tcW w:w="116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21003</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基层医疗卫生机构</w:t>
            </w:r>
          </w:p>
        </w:tc>
        <w:tc>
          <w:tcPr>
            <w:tcW w:w="135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95.9</w:t>
            </w:r>
          </w:p>
        </w:tc>
        <w:tc>
          <w:tcPr>
            <w:tcW w:w="129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88.40</w:t>
            </w:r>
          </w:p>
        </w:tc>
        <w:tc>
          <w:tcPr>
            <w:tcW w:w="117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hint="default"/>
                <w:kern w:val="0"/>
                <w:sz w:val="18"/>
                <w:szCs w:val="18"/>
                <w:lang w:val="en-US"/>
              </w:rPr>
            </w:pPr>
            <w:r>
              <w:rPr>
                <w:rFonts w:ascii="宋体" w:eastAsia="宋体" w:hAnsi="宋体" w:cs="宋体" w:hint="eastAsia"/>
                <w:i w:val="0"/>
                <w:iCs w:val="0"/>
                <w:color w:val="000000"/>
                <w:kern w:val="0"/>
                <w:sz w:val="20"/>
                <w:szCs w:val="20"/>
                <w:u w:val="none"/>
                <w:lang w:val="en-US" w:eastAsia="zh-CN" w:bidi="ar"/>
              </w:rPr>
              <w:t>7.</w:t>
            </w:r>
            <w:r>
              <w:rPr>
                <w:rFonts w:ascii="宋体" w:hAnsi="宋体" w:cs="宋体" w:hint="eastAsia"/>
                <w:i w:val="0"/>
                <w:iCs w:val="0"/>
                <w:color w:val="000000"/>
                <w:kern w:val="0"/>
                <w:sz w:val="20"/>
                <w:szCs w:val="20"/>
                <w:u w:val="none"/>
                <w:lang w:val="en-US" w:eastAsia="zh-CN" w:bidi="ar"/>
              </w:rPr>
              <w:t>5</w:t>
            </w:r>
          </w:p>
        </w:tc>
        <w:tc>
          <w:tcPr>
            <w:tcW w:w="116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2100302</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乡镇卫生院</w:t>
            </w:r>
          </w:p>
        </w:tc>
        <w:tc>
          <w:tcPr>
            <w:tcW w:w="135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95.9</w:t>
            </w:r>
          </w:p>
        </w:tc>
        <w:tc>
          <w:tcPr>
            <w:tcW w:w="129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88.40</w:t>
            </w:r>
          </w:p>
        </w:tc>
        <w:tc>
          <w:tcPr>
            <w:tcW w:w="117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w:t>
            </w:r>
            <w:r>
              <w:rPr>
                <w:rFonts w:ascii="宋体" w:hAnsi="宋体" w:cs="宋体" w:hint="eastAsia"/>
                <w:i w:val="0"/>
                <w:iCs w:val="0"/>
                <w:color w:val="000000"/>
                <w:kern w:val="0"/>
                <w:sz w:val="20"/>
                <w:szCs w:val="20"/>
                <w:u w:val="none"/>
                <w:lang w:val="en-US" w:eastAsia="zh-CN" w:bidi="ar"/>
              </w:rPr>
              <w:t>5</w:t>
            </w:r>
          </w:p>
        </w:tc>
        <w:tc>
          <w:tcPr>
            <w:tcW w:w="116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21004</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公共卫生</w:t>
            </w:r>
          </w:p>
        </w:tc>
        <w:tc>
          <w:tcPr>
            <w:tcW w:w="135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c>
          <w:tcPr>
            <w:tcW w:w="129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17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c>
          <w:tcPr>
            <w:tcW w:w="116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2100408</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基本公共卫生服务</w:t>
            </w:r>
          </w:p>
        </w:tc>
        <w:tc>
          <w:tcPr>
            <w:tcW w:w="135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c>
          <w:tcPr>
            <w:tcW w:w="129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17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c>
          <w:tcPr>
            <w:tcW w:w="116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221</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住房保障支出</w:t>
            </w:r>
          </w:p>
        </w:tc>
        <w:tc>
          <w:tcPr>
            <w:tcW w:w="135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7.11</w:t>
            </w:r>
          </w:p>
        </w:tc>
        <w:tc>
          <w:tcPr>
            <w:tcW w:w="129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7.1</w:t>
            </w:r>
          </w:p>
        </w:tc>
        <w:tc>
          <w:tcPr>
            <w:tcW w:w="117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16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nil"/>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　22102</w:t>
            </w:r>
          </w:p>
        </w:tc>
        <w:tc>
          <w:tcPr>
            <w:tcW w:w="4495" w:type="dxa"/>
            <w:tcBorders>
              <w:top w:val="nil"/>
              <w:left w:val="single" w:sz="4" w:space="0" w:color="auto"/>
              <w:bottom w:val="nil"/>
              <w:right w:val="single" w:sz="4" w:space="0" w:color="auto"/>
            </w:tcBorders>
            <w:noWrap w:val="0"/>
            <w:vAlign w:val="center"/>
          </w:tcPr>
          <w:p>
            <w:pPr>
              <w:keepNext w:val="0"/>
              <w:keepLines w:val="0"/>
              <w:widowControl/>
              <w:suppressLineNumbers w:val="0"/>
              <w:jc w:val="left"/>
              <w:textAlignment w:val="center"/>
            </w:pPr>
            <w:r>
              <w:rPr>
                <w:rFonts w:ascii="宋体" w:eastAsia="宋体" w:hAnsi="宋体" w:cs="宋体" w:hint="eastAsia"/>
                <w:i w:val="0"/>
                <w:iCs w:val="0"/>
                <w:color w:val="000000"/>
                <w:kern w:val="0"/>
                <w:sz w:val="20"/>
                <w:szCs w:val="20"/>
                <w:u w:val="none"/>
                <w:lang w:val="en-US" w:eastAsia="zh-CN" w:bidi="ar"/>
              </w:rPr>
              <w:t>　住房改革支出</w:t>
            </w:r>
          </w:p>
        </w:tc>
        <w:tc>
          <w:tcPr>
            <w:tcW w:w="1351" w:type="dxa"/>
            <w:tcBorders>
              <w:top w:val="nil"/>
              <w:left w:val="nil"/>
              <w:bottom w:val="nil"/>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7.11</w:t>
            </w:r>
          </w:p>
        </w:tc>
        <w:tc>
          <w:tcPr>
            <w:tcW w:w="1290" w:type="dxa"/>
            <w:tcBorders>
              <w:top w:val="nil"/>
              <w:left w:val="nil"/>
              <w:bottom w:val="nil"/>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7.11</w:t>
            </w:r>
          </w:p>
        </w:tc>
        <w:tc>
          <w:tcPr>
            <w:tcW w:w="1170" w:type="dxa"/>
            <w:tcBorders>
              <w:top w:val="nil"/>
              <w:left w:val="nil"/>
              <w:bottom w:val="nil"/>
              <w:right w:val="single" w:sz="4" w:space="0" w:color="auto"/>
            </w:tcBorders>
            <w:noWrap w:val="0"/>
            <w:vAlign w:val="center"/>
          </w:tcPr>
          <w:p>
            <w:pPr>
              <w:jc w:val="right"/>
              <w:rPr>
                <w:rFonts w:ascii="TimesNewRoman" w:hAnsi="TimesNewRoman" w:cs="TimesNewRoman"/>
                <w:b/>
                <w:bCs/>
                <w:kern w:val="0"/>
                <w:sz w:val="18"/>
                <w:szCs w:val="18"/>
              </w:rPr>
            </w:pPr>
          </w:p>
        </w:tc>
        <w:tc>
          <w:tcPr>
            <w:tcW w:w="1163" w:type="dxa"/>
            <w:tcBorders>
              <w:top w:val="nil"/>
              <w:left w:val="nil"/>
              <w:bottom w:val="nil"/>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nil"/>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nil"/>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nil"/>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bidi="ar"/>
              </w:rPr>
            </w:pPr>
            <w:r>
              <w:rPr>
                <w:rFonts w:ascii="宋体" w:eastAsia="宋体" w:hAnsi="宋体" w:cs="宋体" w:hint="eastAsia"/>
                <w:i w:val="0"/>
                <w:iCs w:val="0"/>
                <w:color w:val="000000"/>
                <w:kern w:val="0"/>
                <w:sz w:val="20"/>
                <w:szCs w:val="20"/>
                <w:u w:val="none"/>
                <w:lang w:val="en-US" w:eastAsia="zh-CN" w:bidi="ar"/>
              </w:rPr>
              <w:t>　　2210201</w:t>
            </w:r>
          </w:p>
        </w:tc>
        <w:tc>
          <w:tcPr>
            <w:tcW w:w="4495" w:type="dxa"/>
            <w:tcBorders>
              <w:top w:val="nil"/>
              <w:left w:val="single" w:sz="4" w:space="0" w:color="auto"/>
              <w:bottom w:val="nil"/>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bidi="ar"/>
              </w:rPr>
            </w:pPr>
            <w:r>
              <w:rPr>
                <w:rFonts w:ascii="宋体" w:eastAsia="宋体" w:hAnsi="宋体" w:cs="宋体" w:hint="eastAsia"/>
                <w:i w:val="0"/>
                <w:iCs w:val="0"/>
                <w:color w:val="000000"/>
                <w:kern w:val="0"/>
                <w:sz w:val="20"/>
                <w:szCs w:val="20"/>
                <w:u w:val="none"/>
                <w:lang w:val="en-US" w:eastAsia="zh-CN" w:bidi="ar"/>
              </w:rPr>
              <w:t>　　住房公积金</w:t>
            </w:r>
          </w:p>
        </w:tc>
        <w:tc>
          <w:tcPr>
            <w:tcW w:w="1351" w:type="dxa"/>
            <w:tcBorders>
              <w:top w:val="nil"/>
              <w:left w:val="nil"/>
              <w:bottom w:val="nil"/>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0"/>
                <w:sz w:val="20"/>
                <w:szCs w:val="20"/>
                <w:u w:val="none"/>
                <w:lang w:val="en-US" w:eastAsia="zh-CN" w:bidi="ar"/>
              </w:rPr>
            </w:pPr>
            <w:r>
              <w:rPr>
                <w:rFonts w:ascii="宋体" w:eastAsia="宋体" w:hAnsi="宋体" w:cs="宋体" w:hint="eastAsia"/>
                <w:i w:val="0"/>
                <w:iCs w:val="0"/>
                <w:color w:val="000000"/>
                <w:kern w:val="0"/>
                <w:sz w:val="20"/>
                <w:szCs w:val="20"/>
                <w:u w:val="none"/>
                <w:lang w:val="en-US" w:eastAsia="zh-CN" w:bidi="ar"/>
              </w:rPr>
              <w:t>7.11</w:t>
            </w:r>
          </w:p>
        </w:tc>
        <w:tc>
          <w:tcPr>
            <w:tcW w:w="1290" w:type="dxa"/>
            <w:tcBorders>
              <w:top w:val="nil"/>
              <w:left w:val="nil"/>
              <w:bottom w:val="nil"/>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0"/>
                <w:sz w:val="20"/>
                <w:szCs w:val="20"/>
                <w:u w:val="none"/>
                <w:lang w:val="en-US" w:eastAsia="zh-CN" w:bidi="ar"/>
              </w:rPr>
            </w:pPr>
            <w:r>
              <w:rPr>
                <w:rFonts w:ascii="宋体" w:eastAsia="宋体" w:hAnsi="宋体" w:cs="宋体" w:hint="eastAsia"/>
                <w:i w:val="0"/>
                <w:iCs w:val="0"/>
                <w:color w:val="000000"/>
                <w:kern w:val="0"/>
                <w:sz w:val="20"/>
                <w:szCs w:val="20"/>
                <w:u w:val="none"/>
                <w:lang w:val="en-US" w:eastAsia="zh-CN" w:bidi="ar"/>
              </w:rPr>
              <w:t>7.11</w:t>
            </w:r>
          </w:p>
        </w:tc>
        <w:tc>
          <w:tcPr>
            <w:tcW w:w="1170" w:type="dxa"/>
            <w:tcBorders>
              <w:top w:val="nil"/>
              <w:left w:val="nil"/>
              <w:bottom w:val="nil"/>
              <w:right w:val="single" w:sz="4" w:space="0" w:color="auto"/>
            </w:tcBorders>
            <w:noWrap w:val="0"/>
            <w:vAlign w:val="center"/>
          </w:tcPr>
          <w:p>
            <w:pPr>
              <w:jc w:val="right"/>
              <w:rPr>
                <w:rFonts w:ascii="TimesNewRoman" w:hAnsi="TimesNewRoman" w:cs="TimesNewRoman"/>
                <w:b/>
                <w:bCs/>
                <w:kern w:val="0"/>
                <w:sz w:val="18"/>
                <w:szCs w:val="18"/>
              </w:rPr>
            </w:pPr>
          </w:p>
        </w:tc>
        <w:tc>
          <w:tcPr>
            <w:tcW w:w="1163" w:type="dxa"/>
            <w:tcBorders>
              <w:top w:val="nil"/>
              <w:left w:val="nil"/>
              <w:bottom w:val="nil"/>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p>
        </w:tc>
        <w:tc>
          <w:tcPr>
            <w:tcW w:w="1353" w:type="dxa"/>
            <w:tcBorders>
              <w:top w:val="nil"/>
              <w:left w:val="nil"/>
              <w:bottom w:val="nil"/>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p>
        </w:tc>
        <w:tc>
          <w:tcPr>
            <w:tcW w:w="1731" w:type="dxa"/>
            <w:tcBorders>
              <w:top w:val="nil"/>
              <w:left w:val="nil"/>
              <w:bottom w:val="nil"/>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nil"/>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bidi="ar"/>
              </w:rPr>
            </w:pPr>
            <w:r>
              <w:rPr>
                <w:rFonts w:ascii="宋体" w:eastAsia="宋体" w:hAnsi="宋体" w:cs="宋体" w:hint="eastAsia"/>
                <w:i w:val="0"/>
                <w:iCs w:val="0"/>
                <w:color w:val="000000"/>
                <w:kern w:val="0"/>
                <w:sz w:val="20"/>
                <w:szCs w:val="20"/>
                <w:u w:val="none"/>
                <w:lang w:val="en-US" w:eastAsia="zh-CN" w:bidi="ar"/>
              </w:rPr>
              <w:t>229</w:t>
            </w:r>
          </w:p>
        </w:tc>
        <w:tc>
          <w:tcPr>
            <w:tcW w:w="4495" w:type="dxa"/>
            <w:tcBorders>
              <w:top w:val="nil"/>
              <w:left w:val="single" w:sz="4" w:space="0" w:color="auto"/>
              <w:bottom w:val="nil"/>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bidi="ar"/>
              </w:rPr>
            </w:pPr>
            <w:r>
              <w:rPr>
                <w:rFonts w:ascii="宋体" w:eastAsia="宋体" w:hAnsi="宋体" w:cs="宋体" w:hint="eastAsia"/>
                <w:i w:val="0"/>
                <w:iCs w:val="0"/>
                <w:color w:val="000000"/>
                <w:kern w:val="0"/>
                <w:sz w:val="20"/>
                <w:szCs w:val="20"/>
                <w:u w:val="none"/>
                <w:lang w:val="en-US" w:eastAsia="zh-CN" w:bidi="ar"/>
              </w:rPr>
              <w:t>其他支出</w:t>
            </w:r>
          </w:p>
        </w:tc>
        <w:tc>
          <w:tcPr>
            <w:tcW w:w="1351" w:type="dxa"/>
            <w:tcBorders>
              <w:top w:val="nil"/>
              <w:left w:val="nil"/>
              <w:bottom w:val="nil"/>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0"/>
                <w:sz w:val="20"/>
                <w:szCs w:val="20"/>
                <w:u w:val="none"/>
                <w:lang w:val="en-US" w:eastAsia="zh-CN" w:bidi="ar"/>
              </w:rPr>
            </w:pPr>
            <w:r>
              <w:rPr>
                <w:rFonts w:ascii="宋体" w:eastAsia="宋体" w:hAnsi="宋体" w:cs="宋体" w:hint="eastAsia"/>
                <w:i w:val="0"/>
                <w:iCs w:val="0"/>
                <w:color w:val="000000"/>
                <w:kern w:val="0"/>
                <w:sz w:val="20"/>
                <w:szCs w:val="20"/>
                <w:u w:val="none"/>
                <w:lang w:val="en-US" w:eastAsia="zh-CN" w:bidi="ar"/>
              </w:rPr>
              <w:t>200.00</w:t>
            </w:r>
          </w:p>
        </w:tc>
        <w:tc>
          <w:tcPr>
            <w:tcW w:w="1290" w:type="dxa"/>
            <w:tcBorders>
              <w:top w:val="nil"/>
              <w:left w:val="nil"/>
              <w:bottom w:val="nil"/>
              <w:right w:val="single" w:sz="4" w:space="0" w:color="auto"/>
            </w:tcBorders>
            <w:noWrap w:val="0"/>
            <w:vAlign w:val="center"/>
          </w:tcPr>
          <w:p>
            <w:pPr>
              <w:jc w:val="right"/>
              <w:rPr>
                <w:rFonts w:ascii="宋体" w:eastAsia="宋体" w:hAnsi="宋体" w:cs="宋体" w:hint="eastAsia"/>
                <w:i w:val="0"/>
                <w:iCs w:val="0"/>
                <w:color w:val="000000"/>
                <w:kern w:val="0"/>
                <w:sz w:val="20"/>
                <w:szCs w:val="20"/>
                <w:u w:val="none"/>
                <w:lang w:val="en-US" w:eastAsia="zh-CN" w:bidi="ar"/>
              </w:rPr>
            </w:pPr>
          </w:p>
        </w:tc>
        <w:tc>
          <w:tcPr>
            <w:tcW w:w="1170" w:type="dxa"/>
            <w:tcBorders>
              <w:top w:val="nil"/>
              <w:left w:val="nil"/>
              <w:bottom w:val="nil"/>
              <w:right w:val="single" w:sz="4" w:space="0" w:color="auto"/>
            </w:tcBorders>
            <w:noWrap w:val="0"/>
            <w:vAlign w:val="center"/>
          </w:tcPr>
          <w:p>
            <w:pPr>
              <w:jc w:val="right"/>
              <w:rPr>
                <w:rFonts w:ascii="TimesNewRoman" w:hAnsi="TimesNewRoman" w:cs="TimesNewRoman"/>
                <w:b/>
                <w:bCs/>
                <w:kern w:val="0"/>
                <w:sz w:val="18"/>
                <w:szCs w:val="18"/>
              </w:rPr>
            </w:pPr>
          </w:p>
        </w:tc>
        <w:tc>
          <w:tcPr>
            <w:tcW w:w="1163" w:type="dxa"/>
            <w:tcBorders>
              <w:top w:val="nil"/>
              <w:left w:val="nil"/>
              <w:bottom w:val="nil"/>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p>
        </w:tc>
        <w:tc>
          <w:tcPr>
            <w:tcW w:w="1353" w:type="dxa"/>
            <w:tcBorders>
              <w:top w:val="nil"/>
              <w:left w:val="nil"/>
              <w:bottom w:val="nil"/>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p>
        </w:tc>
        <w:tc>
          <w:tcPr>
            <w:tcW w:w="1731" w:type="dxa"/>
            <w:tcBorders>
              <w:top w:val="nil"/>
              <w:left w:val="nil"/>
              <w:bottom w:val="nil"/>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bidi="ar"/>
              </w:rPr>
            </w:pPr>
            <w:r>
              <w:rPr>
                <w:rFonts w:ascii="宋体" w:eastAsia="宋体" w:hAnsi="宋体" w:cs="宋体" w:hint="eastAsia"/>
                <w:i w:val="0"/>
                <w:iCs w:val="0"/>
                <w:color w:val="000000"/>
                <w:kern w:val="0"/>
                <w:sz w:val="20"/>
                <w:szCs w:val="20"/>
                <w:u w:val="none"/>
                <w:lang w:val="en-US" w:eastAsia="zh-CN" w:bidi="ar"/>
              </w:rPr>
              <w:t>　22999</w:t>
            </w:r>
          </w:p>
        </w:tc>
        <w:tc>
          <w:tcPr>
            <w:tcW w:w="4495"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bidi="ar"/>
              </w:rPr>
            </w:pPr>
            <w:r>
              <w:rPr>
                <w:rFonts w:ascii="宋体" w:eastAsia="宋体" w:hAnsi="宋体" w:cs="宋体" w:hint="eastAsia"/>
                <w:i w:val="0"/>
                <w:iCs w:val="0"/>
                <w:color w:val="000000"/>
                <w:kern w:val="0"/>
                <w:sz w:val="20"/>
                <w:szCs w:val="20"/>
                <w:u w:val="none"/>
                <w:lang w:val="en-US" w:eastAsia="zh-CN" w:bidi="ar"/>
              </w:rPr>
              <w:t>　其他支出</w:t>
            </w:r>
          </w:p>
        </w:tc>
        <w:tc>
          <w:tcPr>
            <w:tcW w:w="135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0"/>
                <w:sz w:val="20"/>
                <w:szCs w:val="20"/>
                <w:u w:val="none"/>
                <w:lang w:val="en-US" w:eastAsia="zh-CN" w:bidi="ar"/>
              </w:rPr>
            </w:pPr>
            <w:r>
              <w:rPr>
                <w:rFonts w:ascii="宋体" w:eastAsia="宋体" w:hAnsi="宋体" w:cs="宋体" w:hint="eastAsia"/>
                <w:i w:val="0"/>
                <w:iCs w:val="0"/>
                <w:color w:val="000000"/>
                <w:kern w:val="0"/>
                <w:sz w:val="20"/>
                <w:szCs w:val="20"/>
                <w:u w:val="none"/>
                <w:lang w:val="en-US" w:eastAsia="zh-CN" w:bidi="ar"/>
              </w:rPr>
              <w:t>200.00</w:t>
            </w:r>
          </w:p>
        </w:tc>
        <w:tc>
          <w:tcPr>
            <w:tcW w:w="1290" w:type="dxa"/>
            <w:tcBorders>
              <w:top w:val="nil"/>
              <w:left w:val="nil"/>
              <w:bottom w:val="single" w:sz="4" w:space="0" w:color="auto"/>
              <w:right w:val="single" w:sz="4" w:space="0" w:color="auto"/>
            </w:tcBorders>
            <w:noWrap w:val="0"/>
            <w:vAlign w:val="center"/>
          </w:tcPr>
          <w:p>
            <w:pPr>
              <w:jc w:val="right"/>
              <w:rPr>
                <w:rFonts w:ascii="宋体" w:eastAsia="宋体" w:hAnsi="宋体" w:cs="宋体" w:hint="eastAsia"/>
                <w:i w:val="0"/>
                <w:iCs w:val="0"/>
                <w:color w:val="000000"/>
                <w:kern w:val="0"/>
                <w:sz w:val="20"/>
                <w:szCs w:val="20"/>
                <w:u w:val="none"/>
                <w:lang w:val="en-US" w:eastAsia="zh-CN" w:bidi="ar"/>
              </w:rPr>
            </w:pPr>
          </w:p>
        </w:tc>
        <w:tc>
          <w:tcPr>
            <w:tcW w:w="1170"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16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p>
        </w:tc>
      </w:tr>
    </w:tbl>
    <w:p>
      <w:pPr>
        <w:spacing w:line="560" w:lineRule="exact"/>
        <w:rPr>
          <w:rFonts w:ascii="TimesNewRoman" w:hAnsi="TimesNewRoman" w:cs="TimesNewRoman"/>
        </w:rPr>
      </w:pPr>
    </w:p>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张李乡卫生院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74" w:type="dxa"/>
        <w:tblInd w:w="0" w:type="dxa"/>
        <w:tblLayout w:type="fixed"/>
        <w:tblCellMar>
          <w:top w:w="0" w:type="dxa"/>
          <w:left w:w="108" w:type="dxa"/>
          <w:bottom w:w="0" w:type="dxa"/>
          <w:right w:w="108" w:type="dxa"/>
        </w:tblCellMar>
      </w:tblPr>
      <w:tblGrid>
        <w:gridCol w:w="2995"/>
        <w:gridCol w:w="1167"/>
        <w:gridCol w:w="3821"/>
        <w:gridCol w:w="1291"/>
      </w:tblGrid>
      <w:tr>
        <w:tblPrEx>
          <w:tblW w:w="9274" w:type="dxa"/>
          <w:tblInd w:w="0" w:type="dxa"/>
          <w:tblLayout w:type="fixed"/>
          <w:tblCellMar>
            <w:top w:w="0" w:type="dxa"/>
            <w:left w:w="108" w:type="dxa"/>
            <w:bottom w:w="0" w:type="dxa"/>
            <w:right w:w="108" w:type="dxa"/>
          </w:tblCellMar>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5112" w:type="dxa"/>
            <w:gridSpan w:val="2"/>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117.6</w:t>
            </w:r>
            <w:r>
              <w:rPr>
                <w:rFonts w:ascii="宋体" w:hAnsi="宋体" w:cs="宋体" w:hint="eastAsia"/>
                <w:i w:val="0"/>
                <w:iCs w:val="0"/>
                <w:color w:val="000000"/>
                <w:kern w:val="0"/>
                <w:sz w:val="20"/>
                <w:szCs w:val="20"/>
                <w:u w:val="none"/>
                <w:lang w:val="en-US" w:eastAsia="zh-CN" w:bidi="ar"/>
              </w:rPr>
              <w:t>4</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1"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14.22</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1"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96.3</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7.11</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117.6</w:t>
            </w:r>
            <w:r>
              <w:rPr>
                <w:rFonts w:ascii="宋体" w:hAnsi="宋体" w:cs="宋体" w:hint="eastAsia"/>
                <w:i w:val="0"/>
                <w:iCs w:val="0"/>
                <w:color w:val="000000"/>
                <w:kern w:val="0"/>
                <w:sz w:val="20"/>
                <w:szCs w:val="20"/>
                <w:u w:val="none"/>
                <w:lang w:val="en-US" w:eastAsia="zh-CN" w:bidi="ar"/>
              </w:rPr>
              <w:t>4</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张李乡卫生院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840" w:type="dxa"/>
        <w:tblInd w:w="0" w:type="dxa"/>
        <w:tblLayout w:type="fixed"/>
        <w:tblCellMar>
          <w:top w:w="0" w:type="dxa"/>
          <w:left w:w="108" w:type="dxa"/>
          <w:bottom w:w="0" w:type="dxa"/>
          <w:right w:w="108" w:type="dxa"/>
        </w:tblCellMar>
      </w:tblPr>
      <w:tblGrid>
        <w:gridCol w:w="1603"/>
        <w:gridCol w:w="4482"/>
        <w:gridCol w:w="1303"/>
        <w:gridCol w:w="1287"/>
        <w:gridCol w:w="1752"/>
        <w:gridCol w:w="1706"/>
        <w:gridCol w:w="1707"/>
      </w:tblGrid>
      <w:tr>
        <w:tblPrEx>
          <w:tblW w:w="13840" w:type="dxa"/>
          <w:tblInd w:w="0" w:type="dxa"/>
          <w:tblLayout w:type="fixed"/>
          <w:tblCellMar>
            <w:top w:w="0" w:type="dxa"/>
            <w:left w:w="108" w:type="dxa"/>
            <w:bottom w:w="0" w:type="dxa"/>
            <w:right w:w="108" w:type="dxa"/>
          </w:tblCellMar>
        </w:tblPrEx>
        <w:trPr>
          <w:trHeight w:val="383"/>
        </w:trPr>
        <w:tc>
          <w:tcPr>
            <w:tcW w:w="160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Ind w:w="0" w:type="dxa"/>
          <w:tblLayout w:type="fixed"/>
          <w:tblCellMar>
            <w:top w:w="0" w:type="dxa"/>
            <w:left w:w="108" w:type="dxa"/>
            <w:bottom w:w="0" w:type="dxa"/>
            <w:right w:w="108" w:type="dxa"/>
          </w:tblCellMar>
        </w:tblPrEx>
        <w:trPr>
          <w:trHeight w:val="383"/>
        </w:trPr>
        <w:tc>
          <w:tcPr>
            <w:tcW w:w="160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single" w:sz="4" w:space="0" w:color="auto"/>
              <w:left w:val="single" w:sz="4" w:space="0" w:color="auto"/>
              <w:bottom w:val="single" w:sz="4" w:space="0" w:color="auto"/>
              <w:right w:val="single" w:sz="4" w:space="0" w:color="auto"/>
            </w:tcBorders>
            <w:noWrap w:val="0"/>
            <w:vAlign w:val="center"/>
          </w:tcPr>
          <w:p>
            <w:pPr>
              <w:jc w:val="left"/>
              <w:rPr>
                <w:rFonts w:ascii="TimesNewRoman" w:hAnsi="TimesNewRoman" w:cs="TimesNewRoman"/>
                <w:kern w:val="0"/>
                <w:sz w:val="18"/>
                <w:szCs w:val="18"/>
              </w:rPr>
            </w:pPr>
          </w:p>
        </w:tc>
        <w:tc>
          <w:tcPr>
            <w:tcW w:w="4482"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合计</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117.6</w:t>
            </w:r>
            <w:r>
              <w:rPr>
                <w:rFonts w:ascii="宋体" w:hAnsi="宋体" w:cs="宋体" w:hint="eastAsia"/>
                <w:i w:val="0"/>
                <w:iCs w:val="0"/>
                <w:color w:val="000000"/>
                <w:kern w:val="0"/>
                <w:sz w:val="20"/>
                <w:szCs w:val="20"/>
                <w:u w:val="none"/>
                <w:lang w:val="en-US" w:eastAsia="zh-CN" w:bidi="ar"/>
              </w:rPr>
              <w:t>4</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109.74</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109.74</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w:t>
            </w:r>
            <w:r>
              <w:rPr>
                <w:rFonts w:ascii="宋体" w:hAnsi="宋体" w:cs="宋体" w:hint="eastAsia"/>
                <w:i w:val="0"/>
                <w:iCs w:val="0"/>
                <w:color w:val="000000"/>
                <w:kern w:val="0"/>
                <w:sz w:val="20"/>
                <w:szCs w:val="20"/>
                <w:u w:val="none"/>
                <w:lang w:val="en-US" w:eastAsia="zh-CN" w:bidi="ar"/>
              </w:rPr>
              <w:t>9</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208</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14.22</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14.22</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14.22</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行政事业单位养老支出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14.22</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14.22</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14.22</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2080505</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eastAsia="仿宋_GB2312" w:hAnsi="TimesNewRoman" w:cs="TimesNewRoman" w:hint="eastAsia"/>
                <w:kern w:val="0"/>
                <w:sz w:val="18"/>
                <w:szCs w:val="18"/>
              </w:rPr>
            </w:pPr>
            <w:r>
              <w:rPr>
                <w:rFonts w:ascii="宋体" w:eastAsia="宋体" w:hAnsi="宋体" w:cs="宋体" w:hint="eastAsia"/>
                <w:i w:val="0"/>
                <w:iCs w:val="0"/>
                <w:color w:val="000000"/>
                <w:kern w:val="0"/>
                <w:sz w:val="20"/>
                <w:szCs w:val="20"/>
                <w:u w:val="none"/>
                <w:lang w:val="en-US" w:eastAsia="zh-CN" w:bidi="ar"/>
              </w:rPr>
              <w:t>　　机关事业单位基本养老保险缴费支出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9.48</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9.48</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9.48</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2080506</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机关事业单位职业年金缴费支出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4.74</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4.74</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4.74</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210</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卫生健康支出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96.3</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88.4</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88.4</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hint="default"/>
                <w:kern w:val="0"/>
                <w:sz w:val="18"/>
                <w:szCs w:val="18"/>
                <w:lang w:val="en-US"/>
              </w:rPr>
            </w:pPr>
            <w:r>
              <w:rPr>
                <w:rFonts w:ascii="宋体" w:eastAsia="宋体" w:hAnsi="宋体" w:cs="宋体" w:hint="eastAsia"/>
                <w:i w:val="0"/>
                <w:iCs w:val="0"/>
                <w:color w:val="000000"/>
                <w:kern w:val="0"/>
                <w:sz w:val="20"/>
                <w:szCs w:val="20"/>
                <w:u w:val="none"/>
                <w:lang w:val="en-US" w:eastAsia="zh-CN" w:bidi="ar"/>
              </w:rPr>
              <w:t>7.</w:t>
            </w:r>
            <w:r>
              <w:rPr>
                <w:rFonts w:ascii="宋体" w:hAnsi="宋体" w:cs="宋体" w:hint="eastAsia"/>
                <w:i w:val="0"/>
                <w:iCs w:val="0"/>
                <w:color w:val="000000"/>
                <w:kern w:val="0"/>
                <w:sz w:val="20"/>
                <w:szCs w:val="20"/>
                <w:u w:val="none"/>
                <w:lang w:val="en-US" w:eastAsia="zh-CN" w:bidi="ar"/>
              </w:rPr>
              <w:t>9</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21003</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基层医疗卫生机构</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95.9</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88.4</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88.4</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w:t>
            </w:r>
            <w:r>
              <w:rPr>
                <w:rFonts w:ascii="宋体" w:hAnsi="宋体" w:cs="宋体" w:hint="eastAsia"/>
                <w:i w:val="0"/>
                <w:iCs w:val="0"/>
                <w:color w:val="000000"/>
                <w:kern w:val="0"/>
                <w:sz w:val="20"/>
                <w:szCs w:val="20"/>
                <w:u w:val="none"/>
                <w:lang w:val="en-US" w:eastAsia="zh-CN" w:bidi="ar"/>
              </w:rPr>
              <w:t>5</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2100302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乡镇卫生院</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95.9</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88.4</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88.4</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w:t>
            </w:r>
            <w:r>
              <w:rPr>
                <w:rFonts w:ascii="宋体" w:hAnsi="宋体" w:cs="宋体" w:hint="eastAsia"/>
                <w:i w:val="0"/>
                <w:iCs w:val="0"/>
                <w:color w:val="000000"/>
                <w:kern w:val="0"/>
                <w:sz w:val="20"/>
                <w:szCs w:val="20"/>
                <w:u w:val="none"/>
                <w:lang w:val="en-US" w:eastAsia="zh-CN" w:bidi="ar"/>
              </w:rPr>
              <w:t>5</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21004</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公共卫生</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c>
          <w:tcPr>
            <w:tcW w:w="128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52"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2100408</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基本公共卫生服务</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c>
          <w:tcPr>
            <w:tcW w:w="128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52"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221</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住房保障支出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7.11</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7.11</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7.11</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22102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住房改革支出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7.11</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7.11</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7.11</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2210201</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住房公积金</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7.11</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7.11</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7.11</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jc w:val="left"/>
              <w:rPr>
                <w:rFonts w:ascii="TimesNewRoman" w:hAnsi="TimesNewRoman" w:cs="TimesNewRoman"/>
                <w:kern w:val="0"/>
                <w:sz w:val="18"/>
                <w:szCs w:val="18"/>
              </w:rPr>
            </w:pP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合计</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hint="default"/>
                <w:kern w:val="0"/>
                <w:sz w:val="18"/>
                <w:szCs w:val="18"/>
                <w:lang w:val="en-US"/>
              </w:rPr>
            </w:pPr>
            <w:r>
              <w:rPr>
                <w:rFonts w:ascii="宋体" w:eastAsia="宋体" w:hAnsi="宋体" w:cs="宋体" w:hint="eastAsia"/>
                <w:i w:val="0"/>
                <w:iCs w:val="0"/>
                <w:color w:val="000000"/>
                <w:kern w:val="0"/>
                <w:sz w:val="20"/>
                <w:szCs w:val="20"/>
                <w:u w:val="none"/>
                <w:lang w:val="en-US" w:eastAsia="zh-CN" w:bidi="ar"/>
              </w:rPr>
              <w:t>117.6</w:t>
            </w:r>
            <w:r>
              <w:rPr>
                <w:rFonts w:ascii="宋体" w:hAnsi="宋体" w:cs="宋体" w:hint="eastAsia"/>
                <w:i w:val="0"/>
                <w:iCs w:val="0"/>
                <w:color w:val="000000"/>
                <w:kern w:val="0"/>
                <w:sz w:val="20"/>
                <w:szCs w:val="20"/>
                <w:u w:val="none"/>
                <w:lang w:val="en-US" w:eastAsia="zh-CN" w:bidi="ar"/>
              </w:rPr>
              <w:t>4</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109.74</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109.74</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hint="default"/>
                <w:kern w:val="0"/>
                <w:sz w:val="18"/>
                <w:szCs w:val="18"/>
                <w:lang w:val="en-US"/>
              </w:rPr>
            </w:pPr>
            <w:r>
              <w:rPr>
                <w:rFonts w:ascii="宋体" w:eastAsia="宋体" w:hAnsi="宋体" w:cs="宋体" w:hint="eastAsia"/>
                <w:i w:val="0"/>
                <w:iCs w:val="0"/>
                <w:color w:val="000000"/>
                <w:kern w:val="0"/>
                <w:sz w:val="20"/>
                <w:szCs w:val="20"/>
                <w:u w:val="none"/>
                <w:lang w:val="en-US" w:eastAsia="zh-CN" w:bidi="ar"/>
              </w:rPr>
              <w:t>7.</w:t>
            </w:r>
            <w:r>
              <w:rPr>
                <w:rFonts w:ascii="宋体" w:hAnsi="宋体" w:cs="宋体" w:hint="eastAsia"/>
                <w:i w:val="0"/>
                <w:iCs w:val="0"/>
                <w:color w:val="000000"/>
                <w:kern w:val="0"/>
                <w:sz w:val="20"/>
                <w:szCs w:val="20"/>
                <w:u w:val="none"/>
                <w:lang w:val="en-US" w:eastAsia="zh-CN" w:bidi="ar"/>
              </w:rPr>
              <w:t>9</w:t>
            </w:r>
          </w:p>
        </w:tc>
      </w:tr>
      <w:tr>
        <w:tblPrEx>
          <w:tblW w:w="13840" w:type="dxa"/>
          <w:tblInd w:w="0" w:type="dxa"/>
          <w:tblLayout w:type="fixed"/>
          <w:tblCellMar>
            <w:top w:w="0" w:type="dxa"/>
            <w:left w:w="108" w:type="dxa"/>
            <w:bottom w:w="0" w:type="dxa"/>
            <w:right w:w="108" w:type="dxa"/>
          </w:tblCellMar>
        </w:tblPrEx>
        <w:trPr>
          <w:trHeight w:val="383"/>
        </w:trPr>
        <w:tc>
          <w:tcPr>
            <w:tcW w:w="6085"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张李乡卫生院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jc w:val="left"/>
              <w:rPr>
                <w:rFonts w:ascii="TimesNewRoman" w:hAnsi="TimesNewRoman" w:cs="TimesNewRoman"/>
                <w:kern w:val="0"/>
                <w:sz w:val="18"/>
                <w:szCs w:val="18"/>
              </w:rPr>
            </w:pP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合计</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109.74</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109.74</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301</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工资福利支出</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85.11</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85.11</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30101</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基本工资</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hint="default"/>
                <w:kern w:val="0"/>
                <w:sz w:val="18"/>
                <w:szCs w:val="18"/>
                <w:lang w:val="en-US"/>
              </w:rPr>
            </w:pPr>
            <w:r>
              <w:rPr>
                <w:rFonts w:ascii="宋体" w:eastAsia="宋体" w:hAnsi="宋体" w:cs="宋体" w:hint="eastAsia"/>
                <w:i w:val="0"/>
                <w:iCs w:val="0"/>
                <w:color w:val="000000"/>
                <w:kern w:val="0"/>
                <w:sz w:val="20"/>
                <w:szCs w:val="20"/>
                <w:u w:val="none"/>
                <w:lang w:val="en-US" w:eastAsia="zh-CN" w:bidi="ar"/>
              </w:rPr>
              <w:t>35.4</w:t>
            </w:r>
            <w:r>
              <w:rPr>
                <w:rFonts w:ascii="宋体" w:hAnsi="宋体" w:cs="宋体" w:hint="eastAsia"/>
                <w:i w:val="0"/>
                <w:iCs w:val="0"/>
                <w:color w:val="000000"/>
                <w:kern w:val="0"/>
                <w:sz w:val="20"/>
                <w:szCs w:val="20"/>
                <w:u w:val="none"/>
                <w:lang w:val="en-US" w:eastAsia="zh-CN" w:bidi="ar"/>
              </w:rPr>
              <w:t>6</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35.4</w:t>
            </w:r>
            <w:r>
              <w:rPr>
                <w:rFonts w:ascii="宋体" w:hAnsi="宋体" w:cs="宋体" w:hint="eastAsia"/>
                <w:i w:val="0"/>
                <w:iCs w:val="0"/>
                <w:color w:val="000000"/>
                <w:kern w:val="0"/>
                <w:sz w:val="20"/>
                <w:szCs w:val="20"/>
                <w:u w:val="none"/>
                <w:lang w:val="en-US" w:eastAsia="zh-CN" w:bidi="ar"/>
              </w:rPr>
              <w:t>6</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30107</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绩效工资</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hint="default"/>
                <w:kern w:val="0"/>
                <w:sz w:val="18"/>
                <w:szCs w:val="18"/>
                <w:lang w:val="en-US"/>
              </w:rPr>
            </w:pPr>
            <w:r>
              <w:rPr>
                <w:rFonts w:ascii="宋体" w:eastAsia="宋体" w:hAnsi="宋体" w:cs="宋体" w:hint="eastAsia"/>
                <w:i w:val="0"/>
                <w:iCs w:val="0"/>
                <w:color w:val="000000"/>
                <w:kern w:val="0"/>
                <w:sz w:val="20"/>
                <w:szCs w:val="20"/>
                <w:u w:val="none"/>
                <w:lang w:val="en-US" w:eastAsia="zh-CN" w:bidi="ar"/>
              </w:rPr>
              <w:t>23.8</w:t>
            </w:r>
            <w:r>
              <w:rPr>
                <w:rFonts w:ascii="宋体" w:hAnsi="宋体" w:cs="宋体" w:hint="eastAsia"/>
                <w:i w:val="0"/>
                <w:iCs w:val="0"/>
                <w:color w:val="000000"/>
                <w:kern w:val="0"/>
                <w:sz w:val="20"/>
                <w:szCs w:val="20"/>
                <w:u w:val="none"/>
                <w:lang w:val="en-US" w:eastAsia="zh-CN" w:bidi="ar"/>
              </w:rPr>
              <w:t>1</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23.8</w:t>
            </w:r>
            <w:r>
              <w:rPr>
                <w:rFonts w:ascii="宋体" w:hAnsi="宋体" w:cs="宋体" w:hint="eastAsia"/>
                <w:i w:val="0"/>
                <w:iCs w:val="0"/>
                <w:color w:val="000000"/>
                <w:kern w:val="0"/>
                <w:sz w:val="20"/>
                <w:szCs w:val="20"/>
                <w:u w:val="none"/>
                <w:lang w:val="en-US" w:eastAsia="zh-CN" w:bidi="ar"/>
              </w:rPr>
              <w:t>1</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30108</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机关事业单位基本养老保险缴费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9.48</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9.48</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30109</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职业年金缴费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4.74</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4.74</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30110</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职工基本医疗保险缴费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hint="default"/>
                <w:kern w:val="0"/>
                <w:sz w:val="18"/>
                <w:szCs w:val="18"/>
                <w:lang w:val="en-US"/>
              </w:rPr>
            </w:pPr>
            <w:r>
              <w:rPr>
                <w:rFonts w:ascii="宋体" w:eastAsia="宋体" w:hAnsi="宋体" w:cs="宋体" w:hint="eastAsia"/>
                <w:i w:val="0"/>
                <w:iCs w:val="0"/>
                <w:color w:val="000000"/>
                <w:kern w:val="0"/>
                <w:sz w:val="20"/>
                <w:szCs w:val="20"/>
                <w:u w:val="none"/>
                <w:lang w:val="en-US" w:eastAsia="zh-CN" w:bidi="ar"/>
              </w:rPr>
              <w:t>4.0</w:t>
            </w:r>
            <w:r>
              <w:rPr>
                <w:rFonts w:ascii="宋体" w:hAnsi="宋体" w:cs="宋体" w:hint="eastAsia"/>
                <w:i w:val="0"/>
                <w:iCs w:val="0"/>
                <w:color w:val="000000"/>
                <w:kern w:val="0"/>
                <w:sz w:val="20"/>
                <w:szCs w:val="20"/>
                <w:u w:val="none"/>
                <w:lang w:val="en-US" w:eastAsia="zh-CN" w:bidi="ar"/>
              </w:rPr>
              <w:t>9</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4.0</w:t>
            </w:r>
            <w:r>
              <w:rPr>
                <w:rFonts w:ascii="宋体" w:hAnsi="宋体" w:cs="宋体" w:hint="eastAsia"/>
                <w:i w:val="0"/>
                <w:iCs w:val="0"/>
                <w:color w:val="000000"/>
                <w:kern w:val="0"/>
                <w:sz w:val="20"/>
                <w:szCs w:val="20"/>
                <w:u w:val="none"/>
                <w:lang w:val="en-US" w:eastAsia="zh-CN" w:bidi="ar"/>
              </w:rPr>
              <w:t>9</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30112</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其他社会保障缴费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0.41</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0.41</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30113</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住房公积金</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7.11</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7.11</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30199</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其他工资福利支出</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0.0</w:t>
            </w:r>
            <w:r>
              <w:rPr>
                <w:rFonts w:ascii="宋体" w:hAnsi="宋体" w:cs="宋体" w:hint="eastAsia"/>
                <w:i w:val="0"/>
                <w:iCs w:val="0"/>
                <w:color w:val="000000"/>
                <w:kern w:val="0"/>
                <w:sz w:val="20"/>
                <w:szCs w:val="20"/>
                <w:u w:val="none"/>
                <w:lang w:val="en-US" w:eastAsia="zh-CN" w:bidi="ar"/>
              </w:rPr>
              <w:t>1</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0.0</w:t>
            </w:r>
            <w:r>
              <w:rPr>
                <w:rFonts w:ascii="宋体" w:hAnsi="宋体" w:cs="宋体" w:hint="eastAsia"/>
                <w:i w:val="0"/>
                <w:iCs w:val="0"/>
                <w:color w:val="000000"/>
                <w:kern w:val="0"/>
                <w:sz w:val="20"/>
                <w:szCs w:val="20"/>
                <w:u w:val="none"/>
                <w:lang w:val="en-US" w:eastAsia="zh-CN" w:bidi="ar"/>
              </w:rPr>
              <w:t>1</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303</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对个人和家庭的补助</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24.6</w:t>
            </w:r>
            <w:r>
              <w:rPr>
                <w:rFonts w:ascii="宋体" w:hAnsi="宋体" w:cs="宋体" w:hint="eastAsia"/>
                <w:i w:val="0"/>
                <w:iCs w:val="0"/>
                <w:color w:val="000000"/>
                <w:kern w:val="0"/>
                <w:sz w:val="20"/>
                <w:szCs w:val="20"/>
                <w:u w:val="none"/>
                <w:lang w:val="en-US" w:eastAsia="zh-CN" w:bidi="ar"/>
              </w:rPr>
              <w:t>3</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24.6</w:t>
            </w:r>
            <w:r>
              <w:rPr>
                <w:rFonts w:ascii="宋体" w:hAnsi="宋体" w:cs="宋体" w:hint="eastAsia"/>
                <w:i w:val="0"/>
                <w:iCs w:val="0"/>
                <w:color w:val="000000"/>
                <w:kern w:val="0"/>
                <w:sz w:val="20"/>
                <w:szCs w:val="20"/>
                <w:u w:val="none"/>
                <w:lang w:val="en-US" w:eastAsia="zh-CN" w:bidi="ar"/>
              </w:rPr>
              <w:t>3</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30302</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退休费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hint="default"/>
                <w:kern w:val="0"/>
                <w:sz w:val="18"/>
                <w:szCs w:val="18"/>
                <w:lang w:val="en-US"/>
              </w:rPr>
            </w:pPr>
            <w:r>
              <w:rPr>
                <w:rFonts w:ascii="宋体" w:eastAsia="宋体" w:hAnsi="宋体" w:cs="宋体" w:hint="eastAsia"/>
                <w:i w:val="0"/>
                <w:iCs w:val="0"/>
                <w:color w:val="000000"/>
                <w:kern w:val="0"/>
                <w:sz w:val="20"/>
                <w:szCs w:val="20"/>
                <w:u w:val="none"/>
                <w:lang w:val="en-US" w:eastAsia="zh-CN" w:bidi="ar"/>
              </w:rPr>
              <w:t>22.7</w:t>
            </w:r>
            <w:r>
              <w:rPr>
                <w:rFonts w:ascii="宋体" w:hAnsi="宋体" w:cs="宋体" w:hint="eastAsia"/>
                <w:i w:val="0"/>
                <w:iCs w:val="0"/>
                <w:color w:val="000000"/>
                <w:kern w:val="0"/>
                <w:sz w:val="20"/>
                <w:szCs w:val="20"/>
                <w:u w:val="none"/>
                <w:lang w:val="en-US" w:eastAsia="zh-CN" w:bidi="ar"/>
              </w:rPr>
              <w:t>5</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22.7</w:t>
            </w:r>
            <w:r>
              <w:rPr>
                <w:rFonts w:ascii="宋体" w:hAnsi="宋体" w:cs="宋体" w:hint="eastAsia"/>
                <w:i w:val="0"/>
                <w:iCs w:val="0"/>
                <w:color w:val="000000"/>
                <w:kern w:val="0"/>
                <w:sz w:val="20"/>
                <w:szCs w:val="20"/>
                <w:u w:val="none"/>
                <w:lang w:val="en-US" w:eastAsia="zh-CN" w:bidi="ar"/>
              </w:rPr>
              <w:t>5</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30305</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生活补助</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1.88</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1.88</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jc w:val="left"/>
              <w:rPr>
                <w:rFonts w:ascii="TimesNewRoman" w:hAnsi="TimesNewRoman" w:cs="TimesNewRoman"/>
                <w:kern w:val="0"/>
                <w:sz w:val="18"/>
                <w:szCs w:val="18"/>
              </w:rPr>
            </w:pP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合计</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109.74</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109.74</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张李乡卫生院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CellMar>
            <w:top w:w="0" w:type="dxa"/>
            <w:left w:w="108" w:type="dxa"/>
            <w:bottom w:w="0" w:type="dxa"/>
            <w:right w:w="108" w:type="dxa"/>
          </w:tblCellMar>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CellMar>
            <w:top w:w="0" w:type="dxa"/>
            <w:left w:w="108" w:type="dxa"/>
            <w:bottom w:w="0" w:type="dxa"/>
            <w:right w:w="108" w:type="dxa"/>
          </w:tblCellMar>
        </w:tblPrEx>
        <w:trPr>
          <w:trHeight w:val="570"/>
        </w:trPr>
        <w:tc>
          <w:tcPr>
            <w:tcW w:w="1911"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hint="eastAsia"/>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576"/>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8177"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w:t>
      </w:r>
      <w:r>
        <w:rPr>
          <w:rFonts w:ascii="TimesNewRoman" w:hAnsi="TimesNewRoman" w:cs="TimesNewRoman" w:hint="eastAsia"/>
          <w:kern w:val="0"/>
          <w:sz w:val="24"/>
        </w:rPr>
        <w:t>寿县</w:t>
      </w:r>
      <w:r>
        <w:rPr>
          <w:rFonts w:ascii="TimesNewRoman" w:hAnsi="TimesNewRoman" w:cs="TimesNewRoman" w:hint="eastAsia"/>
          <w:kern w:val="0"/>
          <w:sz w:val="24"/>
          <w:lang w:eastAsia="zh-CN"/>
        </w:rPr>
        <w:t>张李乡卫生院</w:t>
      </w:r>
      <w:r>
        <w:rPr>
          <w:rFonts w:ascii="TimesNewRoman" w:hAnsi="TimesNewRoman" w:cs="TimesNewRoman"/>
          <w:kern w:val="0"/>
          <w:sz w:val="24"/>
        </w:rPr>
        <w:t>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hAnsi="TimesNewRoman" w:cs="TimesNewRoman"/>
          <w:sz w:val="20"/>
          <w:szCs w:val="20"/>
        </w:rPr>
        <w:t xml:space="preserve"> </w:t>
      </w:r>
      <w:r>
        <w:rPr>
          <w:rFonts w:ascii="TimesNewRoman" w:eastAsia="仿宋_GB2312" w:hAnsi="TimesNewRoman" w:cs="TimesNewRoman"/>
          <w:sz w:val="20"/>
          <w:szCs w:val="20"/>
        </w:rPr>
        <w:t xml:space="preserve"> 部门</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CellMar>
            <w:top w:w="0" w:type="dxa"/>
            <w:left w:w="108" w:type="dxa"/>
            <w:bottom w:w="0" w:type="dxa"/>
            <w:right w:w="108" w:type="dxa"/>
          </w:tblCellMar>
        </w:tblPrEx>
        <w:trPr>
          <w:gridAfter w:val="2"/>
          <w:wAfter w:w="683" w:type="dxa"/>
          <w:trHeight w:val="441"/>
        </w:trPr>
        <w:tc>
          <w:tcPr>
            <w:tcW w:w="13193" w:type="dxa"/>
            <w:gridSpan w:val="9"/>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张李乡卫生院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CellMar>
            <w:top w:w="0" w:type="dxa"/>
            <w:left w:w="108" w:type="dxa"/>
            <w:bottom w:w="0" w:type="dxa"/>
            <w:right w:w="108" w:type="dxa"/>
          </w:tblCellMar>
        </w:tblPrEx>
        <w:trPr>
          <w:trHeight w:val="299"/>
        </w:trPr>
        <w:tc>
          <w:tcPr>
            <w:tcW w:w="711"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0"/>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4" w:type="dxa"/>
          <w:trHeight w:val="633"/>
        </w:trPr>
        <w:tc>
          <w:tcPr>
            <w:tcW w:w="13752" w:type="dxa"/>
            <w:gridSpan w:val="10"/>
            <w:tcBorders>
              <w:top w:val="single" w:sz="4" w:space="0" w:color="auto"/>
              <w:left w:val="nil"/>
              <w:bottom w:val="nil"/>
              <w:right w:val="nil"/>
            </w:tcBorders>
            <w:noWrap w:val="0"/>
            <w:vAlign w:val="center"/>
          </w:tcPr>
          <w:p>
            <w:pPr>
              <w:widowControl/>
              <w:spacing w:line="560" w:lineRule="exact"/>
              <w:jc w:val="left"/>
              <w:rPr>
                <w:rFonts w:ascii="TimesNewRoman" w:hAnsi="TimesNewRoman" w:cs="TimesNewRoman"/>
                <w:kern w:val="0"/>
                <w:sz w:val="24"/>
              </w:rPr>
            </w:pPr>
            <w:r>
              <w:rPr>
                <w:rFonts w:ascii="TimesNewRoman" w:hAnsi="TimesNewRoman" w:cs="TimesNewRoman"/>
                <w:kern w:val="0"/>
                <w:sz w:val="24"/>
              </w:rPr>
              <w:t>“</w:t>
            </w:r>
            <w:r>
              <w:rPr>
                <w:rFonts w:ascii="TimesNewRoman" w:hAnsi="TimesNewRoman" w:cs="TimesNewRoman" w:hint="eastAsia"/>
                <w:kern w:val="0"/>
                <w:sz w:val="24"/>
              </w:rPr>
              <w:t>寿县</w:t>
            </w:r>
            <w:r>
              <w:rPr>
                <w:rFonts w:ascii="TimesNewRoman" w:hAnsi="TimesNewRoman" w:cs="TimesNewRoman" w:hint="eastAsia"/>
                <w:kern w:val="0"/>
                <w:sz w:val="24"/>
                <w:lang w:eastAsia="zh-CN"/>
              </w:rPr>
              <w:t>张李乡卫生院</w:t>
            </w:r>
            <w:r>
              <w:rPr>
                <w:rFonts w:ascii="TimesNewRoman" w:hAnsi="TimesNewRoman" w:cs="TimesNewRoman"/>
                <w:kern w:val="0"/>
                <w:sz w:val="24"/>
              </w:rPr>
              <w:t>没有国有资本经营预算拨款收入，也没有国有资本经营预算拨款安排的支出，故本表无数据”。</w:t>
            </w:r>
          </w:p>
        </w:tc>
      </w:tr>
    </w:tbl>
    <w:p>
      <w:pPr>
        <w:spacing w:line="560" w:lineRule="exact"/>
        <w:jc w:val="center"/>
        <w:rPr>
          <w:rFonts w:ascii="TimesNewRoman" w:hAnsi="TimesNewRoman" w:cs="TimesNewRoman" w:hint="eastAsia"/>
          <w:kern w:val="0"/>
          <w:sz w:val="20"/>
        </w:r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张李乡卫生院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71" w:type="dxa"/>
        <w:tblInd w:w="0" w:type="dxa"/>
        <w:tblLayout w:type="fixed"/>
        <w:tblCellMar>
          <w:top w:w="0" w:type="dxa"/>
          <w:left w:w="108" w:type="dxa"/>
          <w:bottom w:w="0" w:type="dxa"/>
          <w:right w:w="108" w:type="dxa"/>
        </w:tblCellMar>
      </w:tblPr>
      <w:tblGrid>
        <w:gridCol w:w="1194"/>
        <w:gridCol w:w="1433"/>
        <w:gridCol w:w="1353"/>
        <w:gridCol w:w="1248"/>
        <w:gridCol w:w="882"/>
        <w:gridCol w:w="1214"/>
        <w:gridCol w:w="1489"/>
        <w:gridCol w:w="939"/>
        <w:gridCol w:w="1214"/>
        <w:gridCol w:w="1214"/>
        <w:gridCol w:w="728"/>
        <w:gridCol w:w="1163"/>
      </w:tblGrid>
      <w:tr>
        <w:tblPrEx>
          <w:tblW w:w="14071" w:type="dxa"/>
          <w:tblInd w:w="0" w:type="dxa"/>
          <w:tblLayout w:type="fixed"/>
          <w:tblCellMar>
            <w:top w:w="0" w:type="dxa"/>
            <w:left w:w="108" w:type="dxa"/>
            <w:bottom w:w="0" w:type="dxa"/>
            <w:right w:w="108" w:type="dxa"/>
          </w:tblCellMar>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1248"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585"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367"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728"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1163"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Ind w:w="0" w:type="dxa"/>
          <w:tblLayout w:type="fixed"/>
          <w:tblCellMar>
            <w:top w:w="0" w:type="dxa"/>
            <w:left w:w="108" w:type="dxa"/>
            <w:bottom w:w="0" w:type="dxa"/>
            <w:right w:w="108" w:type="dxa"/>
          </w:tblCellMar>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48"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882"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489"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939"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728"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163"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jc w:val="left"/>
              <w:rPr>
                <w:rFonts w:ascii="TimesNewRoman" w:hAnsi="TimesNewRoman" w:cs="TimesNewRoman"/>
                <w:b/>
                <w:bCs/>
                <w:kern w:val="0"/>
                <w:sz w:val="18"/>
                <w:szCs w:val="18"/>
              </w:rPr>
            </w:pPr>
          </w:p>
        </w:tc>
        <w:tc>
          <w:tcPr>
            <w:tcW w:w="1433" w:type="dxa"/>
            <w:tcBorders>
              <w:top w:val="nil"/>
              <w:left w:val="nil"/>
              <w:bottom w:val="single" w:sz="4" w:space="0" w:color="auto"/>
              <w:right w:val="single" w:sz="4" w:space="0" w:color="auto"/>
            </w:tcBorders>
            <w:noWrap w:val="0"/>
            <w:vAlign w:val="center"/>
          </w:tcPr>
          <w:p>
            <w:pPr>
              <w:jc w:val="lef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jc w:val="left"/>
              <w:rPr>
                <w:rFonts w:ascii="TimesNewRoman" w:hAnsi="TimesNewRoman" w:cs="TimesNewRoman"/>
                <w:b/>
                <w:bCs/>
                <w:kern w:val="0"/>
                <w:sz w:val="18"/>
                <w:szCs w:val="18"/>
              </w:rPr>
            </w:pPr>
          </w:p>
        </w:tc>
        <w:tc>
          <w:tcPr>
            <w:tcW w:w="124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207.50</w:t>
            </w:r>
          </w:p>
        </w:tc>
        <w:tc>
          <w:tcPr>
            <w:tcW w:w="88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7.</w:t>
            </w:r>
            <w:r>
              <w:rPr>
                <w:rFonts w:ascii="宋体" w:hAnsi="宋体" w:cs="宋体" w:hint="eastAsia"/>
                <w:i w:val="0"/>
                <w:iCs w:val="0"/>
                <w:color w:val="000000"/>
                <w:kern w:val="0"/>
                <w:sz w:val="20"/>
                <w:szCs w:val="20"/>
                <w:u w:val="none"/>
                <w:lang w:val="en-US" w:eastAsia="zh-CN" w:bidi="ar"/>
              </w:rPr>
              <w:t>5</w:t>
            </w:r>
          </w:p>
        </w:tc>
        <w:tc>
          <w:tcPr>
            <w:tcW w:w="1214"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p>
        </w:tc>
        <w:tc>
          <w:tcPr>
            <w:tcW w:w="1489"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p>
        </w:tc>
        <w:tc>
          <w:tcPr>
            <w:tcW w:w="939"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728"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16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200.00</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其他运转类</w:t>
            </w:r>
          </w:p>
        </w:tc>
        <w:tc>
          <w:tcPr>
            <w:tcW w:w="143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乡镇卫生院医疗卫生支出</w:t>
            </w:r>
          </w:p>
        </w:tc>
        <w:tc>
          <w:tcPr>
            <w:tcW w:w="135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寿县张李乡卫生院</w:t>
            </w:r>
          </w:p>
        </w:tc>
        <w:tc>
          <w:tcPr>
            <w:tcW w:w="124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hint="default"/>
                <w:kern w:val="0"/>
                <w:sz w:val="18"/>
                <w:szCs w:val="18"/>
                <w:lang w:val="en-US"/>
              </w:rPr>
            </w:pPr>
            <w:r>
              <w:rPr>
                <w:rFonts w:ascii="宋体" w:eastAsia="宋体" w:hAnsi="宋体" w:cs="宋体" w:hint="eastAsia"/>
                <w:i w:val="0"/>
                <w:iCs w:val="0"/>
                <w:color w:val="000000"/>
                <w:kern w:val="0"/>
                <w:sz w:val="20"/>
                <w:szCs w:val="20"/>
                <w:u w:val="none"/>
                <w:lang w:val="en-US" w:eastAsia="zh-CN" w:bidi="ar"/>
              </w:rPr>
              <w:t>200.</w:t>
            </w:r>
            <w:r>
              <w:rPr>
                <w:rFonts w:ascii="宋体" w:hAnsi="宋体" w:cs="宋体" w:hint="eastAsia"/>
                <w:i w:val="0"/>
                <w:iCs w:val="0"/>
                <w:color w:val="000000"/>
                <w:kern w:val="0"/>
                <w:sz w:val="20"/>
                <w:szCs w:val="20"/>
                <w:u w:val="none"/>
                <w:lang w:val="en-US" w:eastAsia="zh-CN" w:bidi="ar"/>
              </w:rPr>
              <w:t>00</w:t>
            </w:r>
          </w:p>
        </w:tc>
        <w:tc>
          <w:tcPr>
            <w:tcW w:w="882"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489"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939"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728"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16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200.00</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特定目标类</w:t>
            </w:r>
          </w:p>
        </w:tc>
        <w:tc>
          <w:tcPr>
            <w:tcW w:w="143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三年过渡安置人员补助</w:t>
            </w:r>
          </w:p>
        </w:tc>
        <w:tc>
          <w:tcPr>
            <w:tcW w:w="135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寿县张李乡卫生院</w:t>
            </w:r>
          </w:p>
        </w:tc>
        <w:tc>
          <w:tcPr>
            <w:tcW w:w="124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hint="default"/>
                <w:kern w:val="0"/>
                <w:sz w:val="18"/>
                <w:szCs w:val="18"/>
                <w:lang w:val="en-US"/>
              </w:rPr>
            </w:pPr>
            <w:r>
              <w:rPr>
                <w:rFonts w:ascii="宋体" w:eastAsia="宋体" w:hAnsi="宋体" w:cs="宋体" w:hint="eastAsia"/>
                <w:i w:val="0"/>
                <w:iCs w:val="0"/>
                <w:color w:val="000000"/>
                <w:kern w:val="0"/>
                <w:sz w:val="20"/>
                <w:szCs w:val="20"/>
                <w:u w:val="none"/>
                <w:lang w:val="en-US" w:eastAsia="zh-CN" w:bidi="ar"/>
              </w:rPr>
              <w:t>7.</w:t>
            </w:r>
            <w:r>
              <w:rPr>
                <w:rFonts w:ascii="宋体" w:hAnsi="宋体" w:cs="宋体" w:hint="eastAsia"/>
                <w:i w:val="0"/>
                <w:iCs w:val="0"/>
                <w:color w:val="000000"/>
                <w:kern w:val="0"/>
                <w:sz w:val="20"/>
                <w:szCs w:val="20"/>
                <w:u w:val="none"/>
                <w:lang w:val="en-US" w:eastAsia="zh-CN" w:bidi="ar"/>
              </w:rPr>
              <w:t>5</w:t>
            </w:r>
          </w:p>
        </w:tc>
        <w:tc>
          <w:tcPr>
            <w:tcW w:w="88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w:t>
            </w:r>
            <w:r>
              <w:rPr>
                <w:rFonts w:ascii="宋体" w:hAnsi="宋体" w:cs="宋体" w:hint="eastAsia"/>
                <w:i w:val="0"/>
                <w:iCs w:val="0"/>
                <w:color w:val="000000"/>
                <w:kern w:val="0"/>
                <w:sz w:val="20"/>
                <w:szCs w:val="20"/>
                <w:u w:val="none"/>
                <w:lang w:val="en-US" w:eastAsia="zh-CN" w:bidi="ar"/>
              </w:rPr>
              <w:t>5</w:t>
            </w:r>
          </w:p>
        </w:tc>
        <w:tc>
          <w:tcPr>
            <w:tcW w:w="1214"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489"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939"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728"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16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p>
        </w:tc>
        <w:tc>
          <w:tcPr>
            <w:tcW w:w="143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p>
        </w:tc>
        <w:tc>
          <w:tcPr>
            <w:tcW w:w="124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88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489"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939"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728"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16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jc w:val="left"/>
              <w:rPr>
                <w:rFonts w:ascii="TimesNewRoman" w:hAnsi="TimesNewRoman" w:cs="TimesNewRoman"/>
                <w:b/>
                <w:bCs/>
                <w:kern w:val="0"/>
                <w:sz w:val="18"/>
                <w:szCs w:val="18"/>
              </w:rPr>
            </w:pPr>
          </w:p>
        </w:tc>
        <w:tc>
          <w:tcPr>
            <w:tcW w:w="1433" w:type="dxa"/>
            <w:tcBorders>
              <w:top w:val="nil"/>
              <w:left w:val="single" w:sz="4" w:space="0" w:color="auto"/>
              <w:bottom w:val="single" w:sz="4" w:space="0" w:color="auto"/>
              <w:right w:val="single" w:sz="4" w:space="0" w:color="auto"/>
            </w:tcBorders>
            <w:noWrap w:val="0"/>
            <w:vAlign w:val="center"/>
          </w:tcPr>
          <w:p>
            <w:pPr>
              <w:jc w:val="left"/>
            </w:pPr>
          </w:p>
        </w:tc>
        <w:tc>
          <w:tcPr>
            <w:tcW w:w="1353" w:type="dxa"/>
            <w:tcBorders>
              <w:top w:val="nil"/>
              <w:left w:val="single" w:sz="4" w:space="0" w:color="auto"/>
              <w:bottom w:val="single" w:sz="4" w:space="0" w:color="auto"/>
              <w:right w:val="single" w:sz="4" w:space="0" w:color="auto"/>
            </w:tcBorders>
            <w:noWrap w:val="0"/>
            <w:vAlign w:val="center"/>
          </w:tcPr>
          <w:p>
            <w:pPr>
              <w:jc w:val="left"/>
            </w:pPr>
          </w:p>
        </w:tc>
        <w:tc>
          <w:tcPr>
            <w:tcW w:w="1248" w:type="dxa"/>
            <w:tcBorders>
              <w:top w:val="nil"/>
              <w:left w:val="nil"/>
              <w:bottom w:val="single" w:sz="4" w:space="0" w:color="auto"/>
              <w:right w:val="single" w:sz="4" w:space="0" w:color="auto"/>
            </w:tcBorders>
            <w:noWrap w:val="0"/>
            <w:vAlign w:val="center"/>
          </w:tcPr>
          <w:p>
            <w:pPr>
              <w:jc w:val="left"/>
              <w:rPr>
                <w:rFonts w:ascii="TimesNewRoman" w:hAnsi="TimesNewRoman" w:cs="TimesNewRoman"/>
                <w:b/>
                <w:bCs/>
                <w:kern w:val="0"/>
                <w:sz w:val="18"/>
                <w:szCs w:val="18"/>
              </w:rPr>
            </w:pPr>
          </w:p>
        </w:tc>
        <w:tc>
          <w:tcPr>
            <w:tcW w:w="882" w:type="dxa"/>
            <w:tcBorders>
              <w:top w:val="nil"/>
              <w:left w:val="nil"/>
              <w:bottom w:val="single" w:sz="4" w:space="0" w:color="auto"/>
              <w:right w:val="single" w:sz="4" w:space="0" w:color="auto"/>
            </w:tcBorders>
            <w:noWrap w:val="0"/>
            <w:vAlign w:val="center"/>
          </w:tcPr>
          <w:p>
            <w:pPr>
              <w:jc w:val="lef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p>
        </w:tc>
        <w:tc>
          <w:tcPr>
            <w:tcW w:w="1489"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p>
        </w:tc>
        <w:tc>
          <w:tcPr>
            <w:tcW w:w="939"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728"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163"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r>
    </w:tbl>
    <w:p>
      <w:pPr>
        <w:spacing w:line="560" w:lineRule="exact"/>
        <w:rPr>
          <w:rFonts w:ascii="TimesNewRoman" w:hAnsi="TimesNewRoman" w:cs="TimesNewRoman"/>
          <w:kern w:val="0"/>
          <w:sz w:val="22"/>
        </w:rPr>
      </w:pPr>
      <w:r>
        <w:rPr>
          <w:rFonts w:ascii="TimesNewRoman" w:hAnsi="TimesNewRoman" w:cs="TimesNewRoman"/>
          <w:kern w:val="0"/>
          <w:sz w:val="22"/>
        </w:rPr>
        <w:t>注：没有项目支出预算的部门（单位）也要公开空白表，并备注说明：“</w:t>
      </w:r>
      <w:r>
        <w:rPr>
          <w:rFonts w:ascii="TimesNewRoman" w:hAnsi="TimesNewRoman" w:cs="TimesNewRoman" w:hint="eastAsia"/>
          <w:kern w:val="0"/>
          <w:sz w:val="22"/>
        </w:rPr>
        <w:t>寿县</w:t>
      </w:r>
      <w:r>
        <w:rPr>
          <w:rFonts w:ascii="TimesNewRoman" w:hAnsi="TimesNewRoman" w:cs="TimesNewRoman"/>
          <w:kern w:val="0"/>
          <w:sz w:val="22"/>
        </w:rPr>
        <w:t>XX（部门、单位名称）没有使用一般公共预算拨款、政府性基金预算拨款、国有资本经营预算拨款、财政专户管理资金和单位资金安排的项目支出，故本表无数据”。</w:t>
      </w:r>
    </w:p>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 xml:space="preserve">    </w:t>
      </w:r>
      <w:r>
        <w:rPr>
          <w:rFonts w:ascii="TimesNewRoman" w:hAnsi="TimesNewRoman" w:cs="TimesNewRoman" w:hint="eastAsia"/>
          <w:sz w:val="20"/>
          <w:szCs w:val="20"/>
        </w:rPr>
        <w:t xml:space="preserve">                                                      </w:t>
      </w:r>
      <w:r>
        <w:rPr>
          <w:rFonts w:ascii="TimesNewRoman" w:hAnsi="TimesNewRoman" w:cs="TimesNewRoman"/>
          <w:sz w:val="20"/>
          <w:szCs w:val="20"/>
        </w:rPr>
        <w:t>部门</w:t>
      </w:r>
      <w:r>
        <w:rPr>
          <w:rFonts w:ascii="TimesNewRoman" w:hAnsi="TimesNewRoman" w:cs="TimesNewRoman"/>
          <w:sz w:val="20"/>
          <w:szCs w:val="20"/>
          <w:u w:val="single"/>
        </w:rPr>
        <w:t>（单位）</w:t>
      </w:r>
      <w:r>
        <w:rPr>
          <w:rFonts w:ascii="TimesNewRoman" w:hAnsi="TimesNewRoman" w:cs="TimesNewRoman"/>
          <w:sz w:val="20"/>
          <w:szCs w:val="20"/>
        </w:rPr>
        <w:t>公开表10</w:t>
      </w:r>
    </w:p>
    <w:tbl>
      <w:tblPr>
        <w:tblStyle w:val="TableNormal"/>
        <w:tblW w:w="14109" w:type="dxa"/>
        <w:tblInd w:w="0" w:type="dxa"/>
        <w:tblLayout w:type="fixed"/>
        <w:tblCellMar>
          <w:top w:w="0" w:type="dxa"/>
          <w:left w:w="108" w:type="dxa"/>
          <w:bottom w:w="0" w:type="dxa"/>
          <w:right w:w="108" w:type="dxa"/>
        </w:tblCellMar>
      </w:tblPr>
      <w:tblGrid>
        <w:gridCol w:w="1907"/>
        <w:gridCol w:w="1827"/>
        <w:gridCol w:w="1430"/>
        <w:gridCol w:w="1643"/>
        <w:gridCol w:w="1823"/>
        <w:gridCol w:w="1811"/>
        <w:gridCol w:w="1780"/>
        <w:gridCol w:w="1888"/>
      </w:tblGrid>
      <w:tr>
        <w:tblPrEx>
          <w:tblW w:w="14109" w:type="dxa"/>
          <w:tblInd w:w="0" w:type="dxa"/>
          <w:tblLayout w:type="fixed"/>
          <w:tblCellMar>
            <w:top w:w="0" w:type="dxa"/>
            <w:left w:w="108" w:type="dxa"/>
            <w:bottom w:w="0" w:type="dxa"/>
            <w:right w:w="108" w:type="dxa"/>
          </w:tblCellMar>
        </w:tblPrEx>
        <w:trPr>
          <w:trHeight w:val="482"/>
        </w:trPr>
        <w:tc>
          <w:tcPr>
            <w:tcW w:w="14109" w:type="dxa"/>
            <w:gridSpan w:val="8"/>
            <w:tcBorders>
              <w:top w:val="nil"/>
              <w:left w:val="nil"/>
              <w:bottom w:val="nil"/>
              <w:right w:val="nil"/>
            </w:tcBorders>
            <w:noWrap w:val="0"/>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lang w:eastAsia="zh-CN"/>
              </w:rPr>
              <w:t>寿县张李乡卫生院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W w:w="14109" w:type="dxa"/>
          <w:tblInd w:w="0" w:type="dxa"/>
          <w:tblLayout w:type="fixed"/>
          <w:tblCellMar>
            <w:top w:w="0" w:type="dxa"/>
            <w:left w:w="108" w:type="dxa"/>
            <w:bottom w:w="0" w:type="dxa"/>
            <w:right w:w="108" w:type="dxa"/>
          </w:tblCellMar>
        </w:tblPrEx>
        <w:trPr>
          <w:trHeight w:val="800"/>
        </w:trPr>
        <w:tc>
          <w:tcPr>
            <w:tcW w:w="1907" w:type="dxa"/>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p>
        </w:tc>
        <w:tc>
          <w:tcPr>
            <w:tcW w:w="1827"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430"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p>
        </w:tc>
        <w:tc>
          <w:tcPr>
            <w:tcW w:w="1643"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寿县张李乡卫生院</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2.50</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2.50</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乡镇卫生院医疗卫生支出</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2.50</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2.50</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多功能一体机</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0.60</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0.60</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台式计算机</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1.60</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1.60</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液晶显示器</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0.30</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0.30</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3734"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计</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2.50</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2.50</w:t>
            </w:r>
            <w:r>
              <w:rPr>
                <w:rFonts w:ascii="TimesNewRoman" w:hAnsi="TimesNewRoman" w:cs="TimesNewRoman"/>
                <w:kern w:val="0"/>
                <w:sz w:val="20"/>
              </w:rPr>
              <w:t>　</w:t>
            </w:r>
          </w:p>
        </w:tc>
      </w:tr>
    </w:tbl>
    <w:p>
      <w:pPr>
        <w:spacing w:line="560" w:lineRule="exact"/>
        <w:rPr>
          <w:rFonts w:ascii="TimesNewRoman" w:hAnsi="TimesNewRoman" w:cs="TimesNewRoman"/>
          <w:kern w:val="0"/>
          <w:sz w:val="22"/>
        </w:rPr>
      </w:pPr>
      <w:r>
        <w:rPr>
          <w:rFonts w:ascii="TimesNewRoman" w:hAnsi="TimesNewRoman" w:cs="TimesNewRoman"/>
          <w:kern w:val="0"/>
          <w:sz w:val="22"/>
        </w:rPr>
        <w:t>注：未安排政府采购预算的部门（单位），也要公开空白表，并备注说明“</w:t>
      </w:r>
      <w:r>
        <w:rPr>
          <w:rFonts w:ascii="TimesNewRoman" w:hAnsi="TimesNewRoman" w:cs="TimesNewRoman" w:hint="eastAsia"/>
          <w:kern w:val="0"/>
          <w:sz w:val="22"/>
        </w:rPr>
        <w:t>寿县</w:t>
      </w:r>
      <w:r>
        <w:rPr>
          <w:rFonts w:ascii="TimesNewRoman" w:hAnsi="TimesNewRoman" w:cs="TimesNewRoman"/>
          <w:kern w:val="0"/>
          <w:sz w:val="22"/>
        </w:rPr>
        <w:t>XX（部门、单位名称）没有使用一般公共预算拨款、政府性基金预算拨款、国有资本经营预算拨款、财政专户管理资金和单位资金安排的政府采购支出，故本表无数据”。</w:t>
      </w:r>
    </w:p>
    <w:p>
      <w:pPr>
        <w:spacing w:line="560" w:lineRule="exact"/>
        <w:rPr>
          <w:rFonts w:ascii="TimesNewRoman" w:hAnsi="TimesNewRoman" w:cs="TimesNewRoman"/>
        </w:rPr>
      </w:pPr>
    </w:p>
    <w:p>
      <w:pPr>
        <w:spacing w:line="560" w:lineRule="exact"/>
        <w:rPr>
          <w:rFonts w:ascii="TimesNewRoman" w:hAnsi="TimesNewRoman" w:cs="TimesNewRoman"/>
        </w:rPr>
      </w:pPr>
    </w:p>
    <w:p>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部门</w:t>
      </w:r>
      <w:r>
        <w:rPr>
          <w:rFonts w:ascii="TimesNewRoman" w:hAnsi="TimesNewRoman" w:cs="TimesNewRoman"/>
          <w:sz w:val="20"/>
          <w:szCs w:val="20"/>
          <w:u w:val="single"/>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CellMar>
            <w:top w:w="0" w:type="dxa"/>
            <w:left w:w="108" w:type="dxa"/>
            <w:bottom w:w="0" w:type="dxa"/>
            <w:right w:w="108" w:type="dxa"/>
          </w:tblCellMar>
        </w:tblPrEx>
        <w:trPr>
          <w:gridAfter w:val="1"/>
          <w:wAfter w:w="17" w:type="dxa"/>
          <w:trHeight w:val="673"/>
          <w:jc w:val="center"/>
        </w:trPr>
        <w:tc>
          <w:tcPr>
            <w:tcW w:w="13692" w:type="dxa"/>
            <w:gridSpan w:val="7"/>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张李乡卫生院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项目名称</w:t>
            </w: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一级目录名称</w:t>
            </w: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二级目录名称</w:t>
            </w: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三级目录名称</w:t>
            </w: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ascii="TimesNewRoman" w:hAnsi="TimesNewRoman" w:cs="TimesNewRoman" w:hint="eastAsia"/>
                <w:b/>
                <w:sz w:val="18"/>
                <w:szCs w:val="18"/>
              </w:rPr>
              <w:t xml:space="preserve"> </w:t>
            </w:r>
            <w:r>
              <w:rPr>
                <w:rFonts w:ascii="TimesNewRoman" w:hAnsi="TimesNewRoman" w:cs="TimesNewRoman"/>
                <w:b/>
                <w:sz w:val="18"/>
                <w:szCs w:val="18"/>
              </w:rPr>
              <w:t>计</w:t>
            </w: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kern w:val="0"/>
          <w:sz w:val="22"/>
        </w:rPr>
        <w:t>“</w:t>
      </w:r>
      <w:r>
        <w:rPr>
          <w:rFonts w:ascii="TimesNewRoman" w:hAnsi="TimesNewRoman" w:cs="TimesNewRoman" w:hint="eastAsia"/>
          <w:kern w:val="0"/>
          <w:sz w:val="22"/>
        </w:rPr>
        <w:t>寿县</w:t>
      </w:r>
      <w:r>
        <w:rPr>
          <w:rFonts w:ascii="TimesNewRoman" w:hAnsi="TimesNewRoman" w:cs="TimesNewRoman" w:hint="eastAsia"/>
          <w:kern w:val="0"/>
          <w:sz w:val="22"/>
          <w:lang w:eastAsia="zh-CN"/>
        </w:rPr>
        <w:t>张李乡卫生院</w:t>
      </w:r>
      <w:r>
        <w:rPr>
          <w:rFonts w:ascii="TimesNewRoman" w:hAnsi="TimesNewRoman" w:cs="TimesNewRoman"/>
          <w:kern w:val="0"/>
          <w:sz w:val="22"/>
        </w:rPr>
        <w:t>没有安排政府购买服务支出，故本表无数据”。</w:t>
      </w:r>
    </w:p>
    <w:p>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p>
    <w:p>
      <w:pPr>
        <w:pStyle w:val="NormalWeb"/>
        <w:topLinePunct/>
        <w:adjustRightInd w:val="0"/>
        <w:snapToGrid w:val="0"/>
        <w:spacing w:beforeAutospacing="0" w:afterAutospacing="0" w:line="560" w:lineRule="exact"/>
        <w:jc w:val="center"/>
        <w:rPr>
          <w:rFonts w:ascii="TimesNewRoman" w:eastAsia="黑体" w:hAnsi="TimesNewRoman" w:cs="TimesNewRoman" w:hint="eastAsia"/>
          <w:bCs/>
          <w:sz w:val="36"/>
          <w:szCs w:val="36"/>
        </w:rPr>
      </w:pPr>
      <w:bookmarkStart w:id="0" w:name="_GoBack"/>
      <w:bookmarkEnd w:id="0"/>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按照综合预算的原则，寿县</w:t>
      </w:r>
      <w:r>
        <w:rPr>
          <w:rFonts w:ascii="仿宋_GB2312" w:eastAsia="仿宋_GB2312" w:hAnsi="TimesNewRoman" w:cs="TimesNewRoman" w:hint="eastAsia"/>
          <w:sz w:val="32"/>
          <w:szCs w:val="32"/>
          <w:lang w:eastAsia="zh-CN"/>
        </w:rPr>
        <w:t>张李乡卫生院</w:t>
      </w:r>
      <w:r>
        <w:rPr>
          <w:rFonts w:ascii="仿宋_GB2312" w:eastAsia="仿宋_GB2312" w:hAnsi="TimesNewRoman" w:cs="TimesNewRoman" w:hint="eastAsia"/>
          <w:sz w:val="32"/>
          <w:szCs w:val="32"/>
        </w:rPr>
        <w:t>所有收入和支出均纳入部门</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预算管理。寿县</w:t>
      </w:r>
      <w:r>
        <w:rPr>
          <w:rFonts w:ascii="仿宋_GB2312" w:eastAsia="仿宋_GB2312" w:hAnsi="TimesNewRoman" w:cs="TimesNewRoman" w:hint="eastAsia"/>
          <w:sz w:val="32"/>
          <w:szCs w:val="32"/>
          <w:lang w:eastAsia="zh-CN"/>
        </w:rPr>
        <w:t>张李乡卫生院</w:t>
      </w:r>
      <w:r>
        <w:rPr>
          <w:rFonts w:ascii="仿宋_GB2312" w:eastAsia="仿宋_GB2312" w:hAnsi="TimesNewRoman" w:cs="TimesNewRoman" w:hint="eastAsia"/>
          <w:sz w:val="32"/>
          <w:szCs w:val="32"/>
        </w:rPr>
        <w:t>2024年收支总预算</w:t>
      </w:r>
      <w:r>
        <w:rPr>
          <w:rFonts w:ascii="仿宋_GB2312" w:eastAsia="仿宋_GB2312" w:hAnsi="TimesNewRoman" w:cs="TimesNewRoman" w:hint="eastAsia"/>
          <w:sz w:val="32"/>
          <w:szCs w:val="32"/>
          <w:lang w:val="en-US" w:eastAsia="zh-CN"/>
        </w:rPr>
        <w:t>317.64</w:t>
      </w:r>
      <w:r>
        <w:rPr>
          <w:rFonts w:ascii="仿宋_GB2312" w:eastAsia="仿宋_GB2312" w:hAnsi="TimesNewRoman" w:cs="TimesNewRoman" w:hint="eastAsia"/>
          <w:sz w:val="32"/>
          <w:szCs w:val="32"/>
        </w:rPr>
        <w:t>万元，收入包括一般公共预算拨款收入、政府性基金预算拨款收入、国有资本经营预算拨款收入、财政专户管理资金收入、单位资金收入……，支出包括：一般公共服务支出、社会保障和就业支出、卫生健康支出、住房保障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张李乡卫生院</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317.64</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317.64</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317.64</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117.64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37</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20.98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17</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人员基本工资增长，</w:t>
      </w:r>
      <w:r>
        <w:rPr>
          <w:rFonts w:ascii="仿宋_GB2312" w:eastAsia="仿宋_GB2312" w:hAnsi="TimesNewRoman" w:cs="TimesNewRoman" w:hint="eastAsia"/>
          <w:sz w:val="32"/>
          <w:szCs w:val="32"/>
        </w:rPr>
        <w:t>政府性基金预算拨款收入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元，国有资本经营预算拨款收入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元；财政专户管理资金收入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元，单位资金收入</w:t>
      </w:r>
      <w:r>
        <w:rPr>
          <w:rFonts w:ascii="仿宋_GB2312" w:eastAsia="仿宋_GB2312" w:hAnsi="TimesNewRoman" w:cs="TimesNewRoman" w:hint="eastAsia"/>
          <w:sz w:val="32"/>
          <w:szCs w:val="32"/>
          <w:lang w:val="en-US" w:eastAsia="zh-CN"/>
        </w:rPr>
        <w:t>200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63</w:t>
      </w:r>
      <w:r>
        <w:rPr>
          <w:rFonts w:ascii="仿宋_GB2312" w:eastAsia="仿宋_GB2312" w:hAnsi="TimesNewRoman" w:cs="TimesNewRoman" w:hint="eastAsia"/>
          <w:sz w:val="32"/>
          <w:szCs w:val="32"/>
        </w:rPr>
        <w:t>%，比2023年预算</w:t>
      </w:r>
      <w:r>
        <w:rPr>
          <w:rFonts w:ascii="仿宋_GB2312" w:eastAsia="仿宋_GB2312" w:hAnsi="TimesNewRoman" w:cs="TimesNewRoman" w:hint="eastAsia"/>
          <w:sz w:val="32"/>
          <w:szCs w:val="32"/>
          <w:lang w:eastAsia="zh-CN"/>
        </w:rPr>
        <w:t>不变。</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（二）上年结转收入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张李乡卫生院</w:t>
      </w:r>
      <w:r>
        <w:rPr>
          <w:rFonts w:ascii="仿宋_GB2312" w:eastAsia="仿宋_GB2312" w:hAnsi="TimesNewRoman" w:cs="TimesNewRoman" w:hint="eastAsia"/>
          <w:sz w:val="32"/>
          <w:szCs w:val="32"/>
        </w:rPr>
        <w:t>2024年支出预算</w:t>
      </w:r>
      <w:r>
        <w:rPr>
          <w:rFonts w:ascii="仿宋_GB2312" w:eastAsia="仿宋_GB2312" w:hAnsi="TimesNewRoman" w:cs="TimesNewRoman" w:hint="eastAsia"/>
          <w:sz w:val="32"/>
          <w:szCs w:val="32"/>
          <w:lang w:val="en-US" w:eastAsia="zh-CN"/>
        </w:rPr>
        <w:t>317.64</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20.98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17</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人员基本工资增加</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lang w:val="en-US" w:eastAsia="zh-CN"/>
        </w:rPr>
        <w:t>109.74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35</w:t>
      </w:r>
      <w:r>
        <w:rPr>
          <w:rFonts w:ascii="仿宋_GB2312" w:eastAsia="仿宋_GB2312" w:hAnsi="TimesNewRoman" w:cs="TimesNewRoman" w:hint="eastAsia"/>
          <w:sz w:val="32"/>
          <w:szCs w:val="32"/>
        </w:rPr>
        <w:t>%，主要用于保障机构日常运转、完成日常工作任务……；项目支出</w:t>
      </w:r>
      <w:r>
        <w:rPr>
          <w:rFonts w:ascii="仿宋_GB2312" w:eastAsia="仿宋_GB2312" w:hAnsi="TimesNewRoman" w:cs="TimesNewRoman" w:hint="eastAsia"/>
          <w:sz w:val="32"/>
          <w:szCs w:val="32"/>
          <w:lang w:val="en-US" w:eastAsia="zh-CN"/>
        </w:rPr>
        <w:t>207.9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65</w:t>
      </w:r>
      <w:r>
        <w:rPr>
          <w:rFonts w:ascii="仿宋_GB2312" w:eastAsia="仿宋_GB2312" w:hAnsi="TimesNewRoman" w:cs="TimesNewRoman" w:hint="eastAsia"/>
          <w:sz w:val="32"/>
          <w:szCs w:val="32"/>
        </w:rPr>
        <w:t>%，主要用于</w:t>
      </w:r>
      <w:r>
        <w:rPr>
          <w:rFonts w:ascii="仿宋_GB2312" w:eastAsia="仿宋_GB2312" w:hAnsi="TimesNewRoman" w:cs="TimesNewRoman" w:hint="eastAsia"/>
          <w:sz w:val="32"/>
          <w:szCs w:val="32"/>
          <w:lang w:eastAsia="zh-CN"/>
        </w:rPr>
        <w:t>基层医疗机构乡镇卫生院支出</w:t>
      </w:r>
      <w:r>
        <w:rPr>
          <w:rFonts w:ascii="仿宋_GB2312" w:eastAsia="仿宋_GB2312" w:hAnsi="TimesNewRoman" w:cs="TimesNewRoman" w:hint="eastAsia"/>
          <w:sz w:val="32"/>
          <w:szCs w:val="32"/>
        </w:rPr>
        <w:t>；事业单位经营支出</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元，占</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%；上缴上级支出</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元，占</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%；对附属单位补助支出</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张李乡卫生院</w:t>
      </w:r>
      <w:r>
        <w:rPr>
          <w:rFonts w:ascii="仿宋_GB2312" w:eastAsia="仿宋_GB2312" w:hAnsi="TimesNewRoman" w:cs="TimesNewRoman" w:hint="eastAsia"/>
          <w:sz w:val="32"/>
          <w:szCs w:val="32"/>
        </w:rPr>
        <w:t>2024年财政拨款收支预算</w:t>
      </w:r>
      <w:r>
        <w:rPr>
          <w:rFonts w:ascii="仿宋_GB2312" w:eastAsia="仿宋_GB2312" w:hAnsi="TimesNewRoman" w:cs="TimesNewRoman" w:hint="eastAsia"/>
          <w:sz w:val="32"/>
          <w:szCs w:val="32"/>
          <w:lang w:val="en-US" w:eastAsia="zh-CN"/>
        </w:rPr>
        <w:t>317.64</w:t>
      </w:r>
      <w:r>
        <w:rPr>
          <w:rFonts w:ascii="仿宋_GB2312" w:eastAsia="仿宋_GB2312" w:hAnsi="TimesNewRoman" w:cs="TimesNewRoman" w:hint="eastAsia"/>
          <w:sz w:val="32"/>
          <w:szCs w:val="32"/>
        </w:rPr>
        <w:t>万元。收入按资金来源分为：一般公共预算拨款</w:t>
      </w:r>
      <w:r>
        <w:rPr>
          <w:rFonts w:ascii="仿宋_GB2312" w:eastAsia="仿宋_GB2312" w:hAnsi="TimesNewRoman" w:cs="TimesNewRoman" w:hint="eastAsia"/>
          <w:sz w:val="32"/>
          <w:szCs w:val="32"/>
          <w:lang w:val="en-US" w:eastAsia="zh-CN"/>
        </w:rPr>
        <w:t>117.64</w:t>
      </w:r>
      <w:r>
        <w:rPr>
          <w:rFonts w:ascii="仿宋_GB2312" w:eastAsia="仿宋_GB2312" w:hAnsi="TimesNewRoman" w:cs="TimesNewRoman" w:hint="eastAsia"/>
          <w:sz w:val="32"/>
          <w:szCs w:val="32"/>
        </w:rPr>
        <w:t>万元、政府性基金预算拨款</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元、国有资本经营预算拨款</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元；按资金年度分为：本年财政拨款收入</w:t>
      </w:r>
      <w:r>
        <w:rPr>
          <w:rFonts w:ascii="仿宋_GB2312" w:eastAsia="仿宋_GB2312" w:hAnsi="TimesNewRoman" w:cs="TimesNewRoman" w:hint="eastAsia"/>
          <w:sz w:val="32"/>
          <w:szCs w:val="32"/>
          <w:lang w:val="en-US" w:eastAsia="zh-CN"/>
        </w:rPr>
        <w:t>117.64</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元。支出按功能分类分为：一般公共服务支出</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元；社会保障和就业支出</w:t>
      </w:r>
      <w:r>
        <w:rPr>
          <w:rFonts w:ascii="仿宋_GB2312" w:eastAsia="仿宋_GB2312" w:hAnsi="TimesNewRoman" w:cs="TimesNewRoman" w:hint="eastAsia"/>
          <w:sz w:val="32"/>
          <w:szCs w:val="32"/>
          <w:lang w:val="en-US" w:eastAsia="zh-CN"/>
        </w:rPr>
        <w:t>14.22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12</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96.5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82</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7.11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张李乡卫生院</w:t>
      </w:r>
      <w:r>
        <w:rPr>
          <w:rFonts w:ascii="仿宋_GB2312" w:eastAsia="仿宋_GB2312" w:hAnsi="TimesNewRoman" w:cs="TimesNewRoman" w:hint="eastAsia"/>
          <w:sz w:val="32"/>
          <w:szCs w:val="32"/>
        </w:rPr>
        <w:t>2024年一般公共预算支出</w:t>
      </w:r>
      <w:r>
        <w:rPr>
          <w:rFonts w:ascii="仿宋_GB2312" w:eastAsia="仿宋_GB2312" w:hAnsi="TimesNewRoman" w:cs="TimesNewRoman" w:hint="eastAsia"/>
          <w:sz w:val="32"/>
          <w:szCs w:val="32"/>
          <w:lang w:val="en-US" w:eastAsia="zh-CN"/>
        </w:rPr>
        <w:t>117.64</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20.98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17</w:t>
      </w:r>
      <w:r>
        <w:rPr>
          <w:rFonts w:ascii="仿宋_GB2312" w:eastAsia="仿宋_GB2312" w:hAnsi="TimesNewRoman" w:cs="TimesNewRoman" w:hint="eastAsia"/>
          <w:sz w:val="32"/>
          <w:szCs w:val="32"/>
        </w:rPr>
        <w:t>%，主要原因：</w:t>
      </w:r>
      <w:r>
        <w:rPr>
          <w:rFonts w:ascii="仿宋_GB2312" w:eastAsia="仿宋_GB2312" w:hAnsi="TimesNewRoman" w:cs="TimesNewRoman" w:hint="eastAsia"/>
          <w:sz w:val="32"/>
          <w:szCs w:val="32"/>
          <w:lang w:eastAsia="zh-CN"/>
        </w:rPr>
        <w:t>人员经费等增加。</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一般公共服务支出</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万元；社会保障和就业支出</w:t>
      </w:r>
      <w:r>
        <w:rPr>
          <w:rFonts w:ascii="仿宋_GB2312" w:eastAsia="仿宋_GB2312" w:hAnsi="TimesNewRoman" w:cs="TimesNewRoman" w:hint="eastAsia"/>
          <w:sz w:val="32"/>
          <w:szCs w:val="32"/>
          <w:lang w:val="en-US" w:eastAsia="zh-CN"/>
        </w:rPr>
        <w:t>14.22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14</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95.9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82</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7.11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4</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（三）一般公共预算支出具体使用情况。</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1.一般公共服务支出（类）财政事务（款）行政运行（项）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117.64</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20.98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17</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人员基本经费增加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2.一般公共服务支出（类）财政事务（款）一般行政管理事务（项）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117.64</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20.98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17</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人员基本经费增加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3.社会保障和就业支出（类）行政事业单位离退休（款）归口管理的行政事业单位离退休（项）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14.22</w:t>
      </w:r>
      <w:r>
        <w:rPr>
          <w:rFonts w:ascii="仿宋_GB2312" w:eastAsia="仿宋_GB2312" w:hAnsi="TimesNewRoman" w:cs="TimesNewRoman" w:hint="eastAsia"/>
          <w:sz w:val="32"/>
          <w:szCs w:val="32"/>
        </w:rPr>
        <w:t>万元，比2023年预算减少</w:t>
      </w:r>
      <w:r>
        <w:rPr>
          <w:rFonts w:ascii="仿宋_GB2312" w:eastAsia="仿宋_GB2312" w:hAnsi="TimesNewRoman" w:cs="TimesNewRoman" w:hint="eastAsia"/>
          <w:sz w:val="32"/>
          <w:szCs w:val="32"/>
          <w:lang w:val="en-US" w:eastAsia="zh-CN"/>
        </w:rPr>
        <w:t>0.7</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lang w:val="en-US" w:eastAsia="zh-CN"/>
        </w:rPr>
        <w:t>0.4</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lang w:eastAsia="zh-CN"/>
        </w:rPr>
        <w:t>调走一人</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4.住房保障支出（类）住房改革支出（款）住房公积金（项）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7.11</w:t>
      </w:r>
      <w:r>
        <w:rPr>
          <w:rFonts w:ascii="仿宋_GB2312" w:eastAsia="仿宋_GB2312" w:hAnsi="TimesNewRoman" w:cs="TimesNewRoman" w:hint="eastAsia"/>
          <w:sz w:val="32"/>
          <w:szCs w:val="32"/>
        </w:rPr>
        <w:t>万元，比2023年预算减少</w:t>
      </w:r>
      <w:r>
        <w:rPr>
          <w:rFonts w:ascii="仿宋_GB2312" w:eastAsia="仿宋_GB2312" w:hAnsi="TimesNewRoman" w:cs="TimesNewRoman" w:hint="eastAsia"/>
          <w:sz w:val="32"/>
          <w:szCs w:val="32"/>
          <w:lang w:val="en-US" w:eastAsia="zh-CN"/>
        </w:rPr>
        <w:t>0.35</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lang w:val="en-US" w:eastAsia="zh-CN"/>
        </w:rPr>
        <w:t>0.4</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lang w:eastAsia="zh-CN"/>
        </w:rPr>
        <w:t>调走一人</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张李乡卫生院</w:t>
      </w:r>
      <w:r>
        <w:rPr>
          <w:rFonts w:ascii="仿宋_GB2312" w:eastAsia="仿宋_GB2312" w:hAnsi="TimesNewRoman" w:cs="TimesNewRoman" w:hint="eastAsia"/>
          <w:sz w:val="32"/>
          <w:szCs w:val="32"/>
        </w:rPr>
        <w:t>2024年一般公共预算基本支出</w:t>
      </w:r>
      <w:r>
        <w:rPr>
          <w:rFonts w:ascii="仿宋_GB2312" w:eastAsia="仿宋_GB2312" w:hAnsi="TimesNewRoman" w:cs="TimesNewRoman" w:hint="eastAsia"/>
          <w:sz w:val="32"/>
          <w:szCs w:val="32"/>
          <w:lang w:val="en-US" w:eastAsia="zh-CN"/>
        </w:rPr>
        <w:t>117.64</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109.74</w:t>
      </w:r>
      <w:r>
        <w:rPr>
          <w:rFonts w:ascii="仿宋_GB2312" w:eastAsia="仿宋_GB2312" w:hAnsi="TimesNewRoman" w:cs="TimesNewRoman" w:hint="eastAsia"/>
          <w:sz w:val="32"/>
          <w:szCs w:val="32"/>
        </w:rPr>
        <w:t>万元，公用经费</w:t>
      </w:r>
      <w:r>
        <w:rPr>
          <w:rFonts w:ascii="仿宋_GB2312" w:eastAsia="仿宋_GB2312" w:hAnsi="TimesNewRoman" w:cs="TimesNewRoman" w:hint="eastAsia"/>
          <w:sz w:val="32"/>
          <w:szCs w:val="32"/>
          <w:lang w:val="en-US" w:eastAsia="zh-CN"/>
        </w:rPr>
        <w:t>7.9</w:t>
      </w:r>
      <w:r>
        <w:rPr>
          <w:rFonts w:ascii="仿宋_GB2312" w:eastAsia="仿宋_GB2312" w:hAnsi="TimesNewRoman" w:cs="TimesNewRoman" w:hint="eastAsia"/>
          <w:sz w:val="32"/>
          <w:szCs w:val="32"/>
        </w:rPr>
        <w:t>万元。</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（一）人员经费</w:t>
      </w:r>
      <w:r>
        <w:rPr>
          <w:rFonts w:ascii="仿宋_GB2312" w:eastAsia="仿宋_GB2312" w:hAnsi="TimesNewRoman" w:cs="TimesNewRoman" w:hint="eastAsia"/>
          <w:sz w:val="32"/>
          <w:szCs w:val="32"/>
          <w:lang w:val="en-US" w:eastAsia="zh-CN"/>
        </w:rPr>
        <w:t>109.74</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基本工资、津贴补贴、奖金、伙食补助费、绩效工资、机关事业单位基本养老保险费、职业年金缴费、职工基本医疗保险缴费、公务员医疗补助缴费、其他社会保障缴费、住房公积金、医疗费、其他工资福利支出、离休费、退休费、退职（役）费、抚恤金、生活补助、救济费、医疗费补助、助学金、奖励金、个人农业生产补贴、对其他个人和家庭的补助支出。</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（二）公用经费</w:t>
      </w:r>
      <w:r>
        <w:rPr>
          <w:rFonts w:ascii="仿宋_GB2312" w:eastAsia="仿宋_GB2312" w:hAnsi="TimesNewRoman" w:cs="TimesNewRoman" w:hint="eastAsia"/>
          <w:sz w:val="32"/>
          <w:szCs w:val="32"/>
          <w:lang w:val="en-US" w:eastAsia="zh-CN"/>
        </w:rPr>
        <w:t>7.9</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办公费、印刷费、咨询费、手续费、水费、电费、邮电费、取暖费、物业管理费、差旅费、因公出国（境）费、维修（护）费、租赁费、会议费、培训费、公务接待费、专用材料费、被装购置费、专用燃料费、劳务费、委托业务费、工会经费、福利费、公务用车运行维护费、其他交通费用、税金及附加费用、其他商品服务支出、国内债务付息、国外债务付息、国内债务发行费用、国外债务发行费用、房屋建筑物购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资本金注入、政府投资基金股权投资、费用补贴、利息补贴、其他对企业补助、对社会保险基金补助、补充全国社会保障基金、赠与、国家赔偿费用支出、对民间非营利组织和群众性自治组织补贴、其他支出等。</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张李乡卫生院</w:t>
      </w:r>
      <w:r>
        <w:rPr>
          <w:rFonts w:ascii="仿宋_GB2312" w:eastAsia="仿宋_GB2312" w:hAnsi="TimesNewRoman" w:cs="TimesNewRoman" w:hint="eastAsia"/>
          <w:sz w:val="32"/>
          <w:szCs w:val="32"/>
        </w:rPr>
        <w:t>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张李乡卫生院</w:t>
      </w:r>
      <w:r>
        <w:rPr>
          <w:rFonts w:ascii="仿宋_GB2312" w:eastAsia="仿宋_GB2312" w:hAnsi="TimesNewRoman" w:cs="TimesNewRoman" w:hint="eastAsia"/>
          <w:sz w:val="32"/>
          <w:szCs w:val="32"/>
        </w:rPr>
        <w:t>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张李乡卫生院</w:t>
      </w:r>
      <w:r>
        <w:rPr>
          <w:rFonts w:ascii="仿宋_GB2312" w:eastAsia="仿宋_GB2312" w:hAnsi="TimesNewRoman" w:cs="TimesNewRoman" w:hint="eastAsia"/>
          <w:sz w:val="32"/>
          <w:szCs w:val="32"/>
        </w:rPr>
        <w:t>2024年预算共安排项目支出</w:t>
      </w:r>
      <w:r>
        <w:rPr>
          <w:rFonts w:ascii="仿宋_GB2312" w:eastAsia="仿宋_GB2312" w:hAnsi="TimesNewRoman" w:cs="TimesNewRoman" w:hint="eastAsia"/>
          <w:sz w:val="32"/>
          <w:szCs w:val="32"/>
          <w:lang w:val="en-US" w:eastAsia="zh-CN"/>
        </w:rPr>
        <w:t>207.5</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207.5</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上年度没有项目支出。</w:t>
      </w:r>
      <w:r>
        <w:rPr>
          <w:rFonts w:ascii="仿宋_GB2312" w:eastAsia="仿宋_GB2312" w:hAnsi="TimesNewRoman" w:cs="TimesNewRoman" w:hint="eastAsia"/>
          <w:sz w:val="32"/>
          <w:szCs w:val="32"/>
        </w:rPr>
        <w:t>主要包括：本年财政拨款安排</w:t>
      </w:r>
      <w:r>
        <w:rPr>
          <w:rFonts w:ascii="仿宋_GB2312" w:eastAsia="仿宋_GB2312" w:hAnsi="TimesNewRoman" w:cs="TimesNewRoman" w:hint="eastAsia"/>
          <w:sz w:val="32"/>
          <w:szCs w:val="32"/>
          <w:lang w:val="en-US" w:eastAsia="zh-CN"/>
        </w:rPr>
        <w:t>7.5</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lang w:val="en-US" w:eastAsia="zh-CN"/>
        </w:rPr>
        <w:t>7.5</w:t>
      </w:r>
      <w:r>
        <w:rPr>
          <w:rFonts w:ascii="仿宋_GB2312" w:eastAsia="仿宋_GB2312" w:hAnsi="TimesNewRoman" w:cs="TimesNewRoman" w:hint="eastAsia"/>
          <w:sz w:val="32"/>
          <w:szCs w:val="32"/>
        </w:rPr>
        <w:t>万元，政府性基金预算拨款安排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万元，国有资本经营预算拨款安排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万元），财政拨款上年结转安排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万元，政府性基金预算拨款安排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万元，国有资本经营预算拨款安排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万元）、财政专户管理资金安排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万元和单位资金安排</w:t>
      </w:r>
      <w:r>
        <w:rPr>
          <w:rFonts w:ascii="仿宋_GB2312" w:eastAsia="仿宋_GB2312" w:hAnsi="TimesNewRoman" w:cs="TimesNewRoman" w:hint="eastAsia"/>
          <w:sz w:val="32"/>
          <w:szCs w:val="32"/>
          <w:lang w:val="en-US" w:eastAsia="zh-CN"/>
        </w:rPr>
        <w:t>200</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张李乡卫生院</w:t>
      </w:r>
      <w:r>
        <w:rPr>
          <w:rFonts w:ascii="仿宋_GB2312" w:eastAsia="仿宋_GB2312" w:hAnsi="TimesNewRoman" w:cs="TimesNewRoman" w:hint="eastAsia"/>
          <w:sz w:val="32"/>
          <w:szCs w:val="32"/>
        </w:rPr>
        <w:t>2024年预算安排政府采购支出</w:t>
      </w:r>
      <w:r>
        <w:rPr>
          <w:rFonts w:ascii="仿宋_GB2312" w:eastAsia="仿宋_GB2312" w:hAnsi="TimesNewRoman" w:cs="TimesNewRoman" w:hint="eastAsia"/>
          <w:sz w:val="32"/>
          <w:szCs w:val="32"/>
          <w:lang w:val="en-US" w:eastAsia="zh-CN"/>
        </w:rPr>
        <w:t>2.5</w:t>
      </w:r>
      <w:r>
        <w:rPr>
          <w:rFonts w:ascii="仿宋_GB2312" w:eastAsia="仿宋_GB2312" w:hAnsi="TimesNewRoman" w:cs="TimesNewRoman" w:hint="eastAsia"/>
          <w:sz w:val="32"/>
          <w:szCs w:val="32"/>
        </w:rPr>
        <w:t>万元，比2023年预算</w:t>
      </w:r>
      <w:r>
        <w:rPr>
          <w:rFonts w:ascii="仿宋_GB2312" w:eastAsia="仿宋_GB2312" w:hAnsi="TimesNewRoman" w:cs="TimesNewRoman" w:hint="eastAsia"/>
          <w:sz w:val="32"/>
          <w:szCs w:val="32"/>
          <w:lang w:eastAsia="zh-CN"/>
        </w:rPr>
        <w:t>不变</w:t>
      </w:r>
      <w:r>
        <w:rPr>
          <w:rFonts w:ascii="仿宋_GB2312" w:eastAsia="仿宋_GB2312" w:hAnsi="TimesNewRoman" w:cs="TimesNewRoman" w:hint="eastAsia"/>
          <w:sz w:val="32"/>
          <w:szCs w:val="32"/>
        </w:rPr>
        <w:t>。其中，一般公共预算安排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万元，政府性基金预算安排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万元；国有资本经营预算安排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万元；财政专户管理资金安排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元；单位资金安排</w:t>
      </w:r>
      <w:r>
        <w:rPr>
          <w:rFonts w:ascii="仿宋_GB2312" w:eastAsia="仿宋_GB2312" w:hAnsi="TimesNewRoman" w:cs="TimesNewRoman" w:hint="eastAsia"/>
          <w:sz w:val="32"/>
          <w:szCs w:val="32"/>
          <w:lang w:val="en-US" w:eastAsia="zh-CN"/>
        </w:rPr>
        <w:t>2.5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张李乡卫生院</w:t>
      </w:r>
      <w:r>
        <w:rPr>
          <w:rFonts w:ascii="仿宋_GB2312" w:eastAsia="仿宋_GB2312" w:hAnsi="TimesNewRoman" w:cs="TimesNewRoman" w:hint="eastAsia"/>
          <w:sz w:val="32"/>
          <w:szCs w:val="32"/>
        </w:rPr>
        <w:t>2024年没有安排政府购买服务支出。</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（一）项目及绩效目标情况。</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1.“</w:t>
      </w:r>
      <w:r>
        <w:rPr>
          <w:rFonts w:ascii="仿宋_GB2312" w:eastAsia="仿宋_GB2312" w:hAnsi="楷体" w:hint="eastAsia"/>
          <w:b/>
          <w:sz w:val="32"/>
          <w:szCs w:val="32"/>
        </w:rPr>
        <w:t>乡镇卫生院医疗卫生支出</w:t>
      </w:r>
      <w:r>
        <w:rPr>
          <w:rFonts w:ascii="仿宋_GB2312" w:eastAsia="仿宋_GB2312" w:hAnsi="TimesNewRoman" w:cs="TimesNewRoman" w:hint="eastAsia"/>
          <w:b/>
          <w:sz w:val="32"/>
          <w:szCs w:val="32"/>
        </w:rPr>
        <w:t>”项目。</w:t>
      </w:r>
    </w:p>
    <w:p>
      <w:pPr>
        <w:adjustRightInd w:val="0"/>
        <w:snapToGrid w:val="0"/>
        <w:spacing w:line="600" w:lineRule="exact"/>
        <w:ind w:firstLine="640" w:firstLineChars="200"/>
        <w:rPr>
          <w:rFonts w:ascii="仿宋_GB2312" w:eastAsia="仿宋_GB2312" w:hAnsi="楷体"/>
          <w:sz w:val="32"/>
          <w:szCs w:val="32"/>
        </w:rPr>
      </w:pPr>
      <w:r>
        <w:rPr>
          <w:rFonts w:ascii="仿宋_GB2312" w:eastAsia="仿宋_GB2312" w:hAnsi="楷体" w:hint="eastAsia"/>
          <w:sz w:val="32"/>
          <w:szCs w:val="32"/>
        </w:rPr>
        <w:t>（1）项目概述：1.加快我院的发展，提高我院的医疗安全质量，为患者提供一个安全放心的就医场所；2.保障我院日常开支，确保日常后勤工作顺利开展。</w:t>
      </w:r>
    </w:p>
    <w:p>
      <w:pPr>
        <w:spacing w:line="600" w:lineRule="exact"/>
        <w:ind w:firstLine="586" w:firstLineChars="183"/>
        <w:rPr>
          <w:rFonts w:ascii="仿宋_GB2312" w:eastAsia="仿宋_GB2312" w:hAnsi="楷体"/>
          <w:sz w:val="32"/>
          <w:szCs w:val="32"/>
        </w:rPr>
      </w:pPr>
      <w:r>
        <w:rPr>
          <w:rFonts w:ascii="仿宋_GB2312" w:eastAsia="仿宋_GB2312" w:hAnsi="楷体" w:hint="eastAsia"/>
          <w:sz w:val="32"/>
          <w:szCs w:val="32"/>
        </w:rPr>
        <w:t>（2）立项依据：为人民身体健康提供医疗保健服务，常见病多发病诊治与护理、卫生防疫、妇幼保健、计划免疫、乡村医生业务培训、卫生员业务培训、接生员业务培训与技术指导、初级卫生保健规划实施。</w:t>
      </w:r>
    </w:p>
    <w:p>
      <w:pPr>
        <w:spacing w:line="600" w:lineRule="exact"/>
        <w:ind w:firstLine="640" w:firstLineChars="200"/>
        <w:rPr>
          <w:rFonts w:ascii="仿宋_GB2312" w:eastAsia="仿宋_GB2312" w:hAnsi="楷体"/>
          <w:sz w:val="32"/>
          <w:szCs w:val="32"/>
          <w:u w:val="single"/>
        </w:rPr>
      </w:pPr>
      <w:r>
        <w:rPr>
          <w:rFonts w:ascii="仿宋_GB2312" w:eastAsia="仿宋_GB2312" w:hAnsi="楷体" w:hint="eastAsia"/>
          <w:sz w:val="32"/>
          <w:szCs w:val="32"/>
        </w:rPr>
        <w:t>（3）实施主体：寿县</w:t>
      </w:r>
      <w:r>
        <w:rPr>
          <w:rFonts w:ascii="仿宋_GB2312" w:eastAsia="仿宋_GB2312" w:hAnsi="楷体" w:hint="eastAsia"/>
          <w:sz w:val="32"/>
          <w:szCs w:val="32"/>
          <w:lang w:eastAsia="zh-CN"/>
        </w:rPr>
        <w:t>张李乡卫生</w:t>
      </w:r>
      <w:r>
        <w:rPr>
          <w:rFonts w:ascii="仿宋_GB2312" w:eastAsia="仿宋_GB2312" w:hAnsi="楷体" w:hint="eastAsia"/>
          <w:sz w:val="32"/>
          <w:szCs w:val="32"/>
        </w:rPr>
        <w:t>院</w:t>
      </w:r>
    </w:p>
    <w:p>
      <w:pPr>
        <w:spacing w:line="600" w:lineRule="exact"/>
        <w:ind w:left="586" w:leftChars="279"/>
        <w:rPr>
          <w:rFonts w:ascii="仿宋_GB2312" w:eastAsia="仿宋_GB2312" w:hAnsi="楷体" w:hint="eastAsia"/>
          <w:sz w:val="32"/>
          <w:szCs w:val="32"/>
        </w:rPr>
      </w:pPr>
      <w:r>
        <w:rPr>
          <w:rFonts w:ascii="仿宋_GB2312" w:eastAsia="仿宋_GB2312" w:hAnsi="楷体" w:hint="eastAsia"/>
          <w:sz w:val="32"/>
          <w:szCs w:val="32"/>
        </w:rPr>
        <w:t>（4）起止时间：202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年1月1日至202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年12月31日</w:t>
      </w:r>
    </w:p>
    <w:p>
      <w:pPr>
        <w:spacing w:line="600" w:lineRule="exact"/>
        <w:ind w:left="586" w:leftChars="279"/>
        <w:rPr>
          <w:rFonts w:ascii="仿宋_GB2312" w:eastAsia="仿宋_GB2312" w:hAnsi="楷体"/>
          <w:sz w:val="32"/>
          <w:szCs w:val="32"/>
        </w:rPr>
      </w:pPr>
      <w:r>
        <w:rPr>
          <w:rFonts w:ascii="仿宋_GB2312" w:eastAsia="仿宋_GB2312" w:hAnsi="楷体" w:hint="eastAsia"/>
          <w:sz w:val="32"/>
          <w:szCs w:val="32"/>
        </w:rPr>
        <w:t>（5）项目内容：为人民身体健康提供医疗保健服务，常见病多发病诊治与护理、卫生防疫、妇幼保健、计划免疫、乡村医生业务培训、卫生员业务培训、接生员业务培训与技术指导、初级卫生保健规划实施。</w:t>
      </w:r>
    </w:p>
    <w:p>
      <w:pPr>
        <w:adjustRightInd w:val="0"/>
        <w:snapToGrid w:val="0"/>
        <w:spacing w:line="600" w:lineRule="exact"/>
        <w:ind w:firstLine="640" w:firstLineChars="200"/>
        <w:rPr>
          <w:rFonts w:ascii="仿宋_GB2312" w:eastAsia="仿宋_GB2312" w:hAnsi="楷体" w:hint="eastAsia"/>
          <w:sz w:val="32"/>
          <w:szCs w:val="32"/>
        </w:rPr>
      </w:pPr>
      <w:r>
        <w:rPr>
          <w:rFonts w:ascii="仿宋_GB2312" w:eastAsia="仿宋_GB2312" w:hAnsi="楷体" w:hint="eastAsia"/>
          <w:sz w:val="32"/>
          <w:szCs w:val="32"/>
        </w:rPr>
        <w:t>（6）年度预算安排：</w:t>
      </w:r>
      <w:r>
        <w:rPr>
          <w:rFonts w:ascii="仿宋_GB2312" w:eastAsia="仿宋_GB2312" w:hAnsi="楷体" w:hint="eastAsia"/>
          <w:sz w:val="32"/>
          <w:szCs w:val="32"/>
          <w:lang w:val="en-US" w:eastAsia="zh-CN"/>
        </w:rPr>
        <w:t>200</w:t>
      </w:r>
      <w:r>
        <w:rPr>
          <w:rFonts w:ascii="仿宋_GB2312" w:eastAsia="仿宋_GB2312" w:hAnsi="楷体" w:hint="eastAsia"/>
          <w:sz w:val="32"/>
          <w:szCs w:val="32"/>
        </w:rPr>
        <w:t>万元</w:t>
      </w:r>
    </w:p>
    <w:p>
      <w:pPr>
        <w:adjustRightInd w:val="0"/>
        <w:snapToGrid w:val="0"/>
        <w:spacing w:line="600" w:lineRule="exact"/>
        <w:ind w:firstLine="640" w:firstLineChars="200"/>
        <w:rPr>
          <w:rFonts w:ascii="仿宋_GB2312" w:eastAsia="仿宋_GB2312" w:hAnsi="楷体" w:hint="eastAsia"/>
          <w:sz w:val="32"/>
          <w:szCs w:val="32"/>
        </w:rPr>
      </w:pPr>
      <w:r>
        <w:rPr>
          <w:rFonts w:ascii="仿宋_GB2312" w:eastAsia="仿宋_GB2312" w:hAnsi="楷体" w:hint="eastAsia"/>
          <w:sz w:val="32"/>
          <w:szCs w:val="32"/>
          <w:lang w:val="en-US" w:eastAsia="zh-CN"/>
        </w:rPr>
        <w:t>（7）</w:t>
      </w:r>
      <w:r>
        <w:rPr>
          <w:rFonts w:ascii="仿宋_GB2312" w:eastAsia="仿宋_GB2312" w:hAnsi="楷体" w:hint="eastAsia"/>
          <w:sz w:val="32"/>
          <w:szCs w:val="32"/>
        </w:rPr>
        <w:t>绩效目标。</w:t>
      </w:r>
    </w:p>
    <w:p>
      <w:pPr>
        <w:topLinePunct/>
        <w:adjustRightInd w:val="0"/>
        <w:snapToGrid w:val="0"/>
        <w:spacing w:line="58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CellMar>
            <w:top w:w="0" w:type="dxa"/>
            <w:left w:w="108" w:type="dxa"/>
            <w:bottom w:w="0" w:type="dxa"/>
            <w:right w:w="108" w:type="dxa"/>
          </w:tblCellMar>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spacing w:line="260" w:lineRule="exact"/>
              <w:jc w:val="center"/>
              <w:rPr>
                <w:rFonts w:ascii="宋体" w:cs="宋体"/>
                <w:sz w:val="18"/>
                <w:szCs w:val="18"/>
              </w:rPr>
            </w:pPr>
            <w:r>
              <w:rPr>
                <w:rFonts w:hint="eastAsia"/>
                <w:color w:val="000000"/>
                <w:sz w:val="20"/>
                <w:szCs w:val="20"/>
              </w:rPr>
              <w:t>乡镇卫生院医疗卫生支出　</w:t>
            </w:r>
          </w:p>
        </w:tc>
      </w:tr>
      <w:tr>
        <w:tblPrEx>
          <w:tblW w:w="0" w:type="auto"/>
          <w:tblInd w:w="0" w:type="dxa"/>
          <w:tblLayout w:type="fixed"/>
          <w:tblCellMar>
            <w:top w:w="0" w:type="dxa"/>
            <w:left w:w="108" w:type="dxa"/>
            <w:bottom w:w="0" w:type="dxa"/>
            <w:right w:w="108" w:type="dxa"/>
          </w:tblCellMar>
        </w:tblPrEx>
        <w:trPr>
          <w:trHeight w:val="491"/>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cs="宋体"/>
                <w:sz w:val="18"/>
                <w:szCs w:val="18"/>
              </w:rPr>
            </w:pP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rFonts w:eastAsia="宋体" w:hint="eastAsia"/>
                <w:sz w:val="18"/>
                <w:szCs w:val="18"/>
                <w:lang w:eastAsia="zh-CN"/>
              </w:rPr>
            </w:pPr>
            <w:r>
              <w:rPr>
                <w:rFonts w:hint="eastAsia"/>
                <w:sz w:val="18"/>
                <w:szCs w:val="18"/>
                <w:lang w:eastAsia="zh-CN"/>
              </w:rPr>
              <w:t>寿县张李乡卫生院</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cs="宋体"/>
                <w:sz w:val="18"/>
                <w:szCs w:val="18"/>
              </w:rPr>
            </w:pP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rFonts w:eastAsia="宋体" w:hint="default"/>
                <w:sz w:val="18"/>
                <w:szCs w:val="18"/>
                <w:lang w:val="en-US" w:eastAsia="zh-CN"/>
              </w:rPr>
            </w:pPr>
            <w:r>
              <w:rPr>
                <w:rFonts w:hint="eastAsia"/>
                <w:sz w:val="18"/>
                <w:szCs w:val="18"/>
                <w:lang w:val="en-US" w:eastAsia="zh-CN"/>
              </w:rPr>
              <w:t>2024</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val="restart"/>
            <w:noWrap w:val="0"/>
            <w:vAlign w:val="center"/>
          </w:tcPr>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项目资金</w:t>
            </w:r>
          </w:p>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200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200</w:t>
            </w:r>
          </w:p>
        </w:tc>
      </w:tr>
      <w:tr>
        <w:tblPrEx>
          <w:tblW w:w="0" w:type="auto"/>
          <w:tblInd w:w="0" w:type="dxa"/>
          <w:tblLayout w:type="fixed"/>
          <w:tblCellMar>
            <w:top w:w="0" w:type="dxa"/>
            <w:left w:w="108" w:type="dxa"/>
            <w:bottom w:w="0" w:type="dxa"/>
            <w:right w:w="108" w:type="dxa"/>
          </w:tblCellMar>
        </w:tblPrEx>
        <w:trPr>
          <w:trHeight w:val="1015"/>
        </w:trPr>
        <w:tc>
          <w:tcPr>
            <w:tcW w:w="438" w:type="dxa"/>
            <w:noWrap w:val="0"/>
            <w:vAlign w:val="center"/>
          </w:tcPr>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年度</w:t>
            </w:r>
          </w:p>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目标</w:t>
            </w:r>
          </w:p>
        </w:tc>
        <w:tc>
          <w:tcPr>
            <w:tcW w:w="8582" w:type="dxa"/>
            <w:gridSpan w:val="6"/>
            <w:noWrap w:val="0"/>
            <w:vAlign w:val="center"/>
          </w:tcPr>
          <w:p>
            <w:pPr>
              <w:spacing w:line="260" w:lineRule="exact"/>
              <w:jc w:val="left"/>
              <w:rPr>
                <w:rFonts w:ascii="宋体" w:cs="宋体"/>
                <w:sz w:val="18"/>
                <w:szCs w:val="18"/>
              </w:rPr>
            </w:pPr>
            <w:r>
              <w:rPr>
                <w:rFonts w:hint="eastAsia"/>
                <w:sz w:val="20"/>
                <w:szCs w:val="20"/>
              </w:rPr>
              <w:t>提供基本医疗服务，开展常见病多发病的诊治与护理；</w:t>
            </w:r>
            <w:r>
              <w:rPr>
                <w:rFonts w:hint="eastAsia"/>
                <w:sz w:val="20"/>
                <w:szCs w:val="20"/>
                <w:lang w:val="en-US" w:eastAsia="zh-CN"/>
              </w:rPr>
              <w:t>2.</w:t>
            </w:r>
            <w:r>
              <w:rPr>
                <w:rFonts w:hint="eastAsia"/>
                <w:sz w:val="20"/>
                <w:szCs w:val="20"/>
              </w:rPr>
              <w:t>医疗资源合理配置，提升医疗服务水平，为病人创造舒适放心的</w:t>
            </w:r>
            <w:r>
              <w:rPr>
                <w:rFonts w:ascii="宋体" w:hAnsi="宋体" w:cs="宋体"/>
                <w:sz w:val="20"/>
                <w:szCs w:val="20"/>
              </w:rPr>
              <w:t xml:space="preserve"> </w:t>
            </w:r>
            <w:r>
              <w:rPr>
                <w:rFonts w:ascii="宋体" w:hAnsi="宋体" w:cs="宋体" w:hint="eastAsia"/>
                <w:sz w:val="20"/>
                <w:szCs w:val="20"/>
              </w:rPr>
              <w:t>就医环境，保障院内各项工作顺利开展，3.做好防疫宣传工作，为辖区人民群众提供更好的健康保健服务。</w:t>
            </w:r>
          </w:p>
        </w:tc>
      </w:tr>
      <w:tr>
        <w:tblPrEx>
          <w:tblW w:w="0" w:type="auto"/>
          <w:tblInd w:w="0" w:type="dxa"/>
          <w:tblLayout w:type="fixed"/>
          <w:tblCellMar>
            <w:top w:w="0" w:type="dxa"/>
            <w:left w:w="108" w:type="dxa"/>
            <w:bottom w:w="0" w:type="dxa"/>
            <w:right w:w="108" w:type="dxa"/>
          </w:tblCellMar>
        </w:tblPrEx>
        <w:trPr>
          <w:trHeight w:val="508"/>
        </w:trPr>
        <w:tc>
          <w:tcPr>
            <w:tcW w:w="438" w:type="dxa"/>
            <w:vMerge w:val="restart"/>
            <w:noWrap w:val="0"/>
            <w:vAlign w:val="center"/>
          </w:tcPr>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绩</w:t>
            </w:r>
          </w:p>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效</w:t>
            </w:r>
          </w:p>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指</w:t>
            </w:r>
          </w:p>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一级</w:t>
            </w:r>
          </w:p>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noWrap w:val="0"/>
            <w:vAlign w:val="center"/>
          </w:tcPr>
          <w:p>
            <w:pPr>
              <w:spacing w:line="260" w:lineRule="exact"/>
              <w:jc w:val="left"/>
              <w:textAlignment w:val="center"/>
              <w:rPr>
                <w:rFonts w:ascii="宋体" w:eastAsia="宋体" w:cs="宋体" w:hint="eastAsia"/>
                <w:sz w:val="18"/>
                <w:szCs w:val="18"/>
                <w:lang w:val="en-US" w:eastAsia="zh-CN"/>
              </w:rPr>
            </w:pPr>
            <w:r>
              <w:rPr>
                <w:rFonts w:hint="eastAsia"/>
                <w:sz w:val="20"/>
                <w:szCs w:val="20"/>
              </w:rPr>
              <w:t>接待就诊病人</w:t>
            </w:r>
          </w:p>
        </w:tc>
        <w:tc>
          <w:tcPr>
            <w:tcW w:w="4228" w:type="dxa"/>
            <w:gridSpan w:val="2"/>
            <w:noWrap w:val="0"/>
            <w:vAlign w:val="center"/>
          </w:tcPr>
          <w:p>
            <w:pPr>
              <w:spacing w:line="260" w:lineRule="exact"/>
              <w:jc w:val="center"/>
              <w:rPr>
                <w:rFonts w:ascii="宋体" w:cs="宋体"/>
                <w:sz w:val="18"/>
                <w:szCs w:val="18"/>
              </w:rPr>
            </w:pPr>
            <w:r>
              <w:rPr>
                <w:rFonts w:hint="eastAsia"/>
                <w:sz w:val="20"/>
                <w:szCs w:val="20"/>
                <w:lang w:val="en-US" w:eastAsia="zh-CN"/>
              </w:rPr>
              <w:t>1万</w:t>
            </w:r>
            <w:r>
              <w:rPr>
                <w:rFonts w:hint="eastAsia"/>
                <w:sz w:val="20"/>
                <w:szCs w:val="20"/>
              </w:rPr>
              <w:t>人</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sz w:val="20"/>
                <w:szCs w:val="20"/>
              </w:rPr>
              <w:t>医疗收入情况</w:t>
            </w:r>
          </w:p>
        </w:tc>
        <w:tc>
          <w:tcPr>
            <w:tcW w:w="4228" w:type="dxa"/>
            <w:gridSpan w:val="2"/>
            <w:noWrap w:val="0"/>
            <w:vAlign w:val="center"/>
          </w:tcPr>
          <w:p>
            <w:pPr>
              <w:spacing w:line="260" w:lineRule="exact"/>
              <w:jc w:val="center"/>
              <w:rPr>
                <w:rFonts w:ascii="宋体" w:cs="宋体"/>
                <w:sz w:val="18"/>
                <w:szCs w:val="18"/>
              </w:rPr>
            </w:pPr>
            <w:r>
              <w:rPr>
                <w:rFonts w:hint="eastAsia"/>
                <w:sz w:val="20"/>
                <w:szCs w:val="20"/>
                <w:lang w:val="en-US" w:eastAsia="zh-CN"/>
              </w:rPr>
              <w:t>100</w:t>
            </w:r>
            <w:r>
              <w:rPr>
                <w:rFonts w:hint="eastAsia"/>
                <w:sz w:val="20"/>
                <w:szCs w:val="20"/>
              </w:rPr>
              <w:t>万</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noWrap w:val="0"/>
            <w:vAlign w:val="center"/>
          </w:tcPr>
          <w:p>
            <w:pPr>
              <w:spacing w:line="260" w:lineRule="exact"/>
              <w:jc w:val="left"/>
              <w:textAlignment w:val="center"/>
              <w:rPr>
                <w:rFonts w:ascii="宋体" w:cs="宋体"/>
                <w:sz w:val="18"/>
                <w:szCs w:val="18"/>
              </w:rPr>
            </w:pPr>
            <w:r>
              <w:rPr>
                <w:rFonts w:hint="eastAsia"/>
                <w:sz w:val="20"/>
                <w:szCs w:val="20"/>
              </w:rPr>
              <w:t>满足区域病人快速就诊</w:t>
            </w:r>
          </w:p>
        </w:tc>
        <w:tc>
          <w:tcPr>
            <w:tcW w:w="4228" w:type="dxa"/>
            <w:gridSpan w:val="2"/>
            <w:noWrap w:val="0"/>
            <w:vAlign w:val="center"/>
          </w:tcPr>
          <w:p>
            <w:pPr>
              <w:spacing w:line="260" w:lineRule="exact"/>
              <w:jc w:val="center"/>
              <w:rPr>
                <w:rFonts w:ascii="宋体" w:cs="宋体"/>
                <w:sz w:val="18"/>
                <w:szCs w:val="18"/>
              </w:rPr>
            </w:pPr>
            <w:r>
              <w:rPr>
                <w:rFonts w:hint="eastAsia"/>
                <w:sz w:val="20"/>
                <w:szCs w:val="20"/>
              </w:rPr>
              <w:t>≤1小时</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sz w:val="20"/>
                <w:szCs w:val="20"/>
              </w:rPr>
              <w:t>降低门诊次均费用</w:t>
            </w:r>
          </w:p>
        </w:tc>
        <w:tc>
          <w:tcPr>
            <w:tcW w:w="4228" w:type="dxa"/>
            <w:gridSpan w:val="2"/>
            <w:noWrap w:val="0"/>
            <w:vAlign w:val="center"/>
          </w:tcPr>
          <w:p>
            <w:pPr>
              <w:spacing w:line="260" w:lineRule="exact"/>
              <w:jc w:val="center"/>
              <w:rPr>
                <w:rFonts w:ascii="宋体" w:cs="宋体"/>
                <w:sz w:val="18"/>
                <w:szCs w:val="18"/>
              </w:rPr>
            </w:pPr>
            <w:r>
              <w:rPr>
                <w:rFonts w:hint="eastAsia"/>
                <w:sz w:val="20"/>
                <w:szCs w:val="20"/>
              </w:rPr>
              <w:t>≤50元/人次</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noWrap w:val="0"/>
            <w:vAlign w:val="center"/>
          </w:tcPr>
          <w:p>
            <w:pPr>
              <w:spacing w:line="260" w:lineRule="exact"/>
              <w:jc w:val="left"/>
              <w:textAlignment w:val="center"/>
              <w:rPr>
                <w:rFonts w:ascii="宋体" w:cs="宋体"/>
                <w:sz w:val="18"/>
                <w:szCs w:val="18"/>
              </w:rPr>
            </w:pPr>
            <w:r>
              <w:rPr>
                <w:rFonts w:ascii="Helvetica" w:hAnsi="Helvetica"/>
                <w:color w:val="333333"/>
                <w:sz w:val="20"/>
                <w:szCs w:val="20"/>
                <w:shd w:val="clear" w:color="auto" w:fill="FFFFF2"/>
              </w:rPr>
              <w:t>减少病人的就诊距离</w:t>
            </w:r>
          </w:p>
        </w:tc>
        <w:tc>
          <w:tcPr>
            <w:tcW w:w="4228" w:type="dxa"/>
            <w:gridSpan w:val="2"/>
            <w:noWrap w:val="0"/>
            <w:vAlign w:val="center"/>
          </w:tcPr>
          <w:p>
            <w:pPr>
              <w:jc w:val="center"/>
              <w:rPr>
                <w:rFonts w:ascii="宋体" w:eastAsia="宋体" w:hAnsi="宋体" w:cs="宋体" w:hint="default"/>
                <w:kern w:val="2"/>
                <w:sz w:val="20"/>
                <w:szCs w:val="20"/>
                <w:lang w:val="en-US" w:eastAsia="zh-CN" w:bidi="ar-SA"/>
              </w:rPr>
            </w:pPr>
            <w:r>
              <w:rPr>
                <w:rFonts w:ascii="Helvetica" w:hAnsi="Helvetica"/>
                <w:color w:val="333333"/>
                <w:sz w:val="20"/>
                <w:szCs w:val="20"/>
                <w:shd w:val="clear" w:color="auto" w:fill="FFFFF2"/>
              </w:rPr>
              <w:t>≤</w:t>
            </w:r>
            <w:r>
              <w:rPr>
                <w:rFonts w:ascii="Helvetica" w:hAnsi="Helvetica" w:hint="eastAsia"/>
                <w:color w:val="333333"/>
                <w:sz w:val="20"/>
                <w:szCs w:val="20"/>
                <w:shd w:val="clear" w:color="auto" w:fill="FFFFF2"/>
              </w:rPr>
              <w:t>5公里</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sz w:val="20"/>
                <w:szCs w:val="20"/>
              </w:rPr>
              <w:t>满足病人就诊需求</w:t>
            </w:r>
          </w:p>
        </w:tc>
        <w:tc>
          <w:tcPr>
            <w:tcW w:w="4228" w:type="dxa"/>
            <w:gridSpan w:val="2"/>
            <w:noWrap w:val="0"/>
            <w:vAlign w:val="center"/>
          </w:tcPr>
          <w:p>
            <w:pPr>
              <w:spacing w:line="260" w:lineRule="exact"/>
              <w:jc w:val="center"/>
              <w:rPr>
                <w:rFonts w:ascii="宋体" w:cs="宋体"/>
                <w:sz w:val="18"/>
                <w:szCs w:val="18"/>
              </w:rPr>
            </w:pPr>
            <w:r>
              <w:rPr>
                <w:rFonts w:hint="eastAsia"/>
                <w:sz w:val="20"/>
                <w:szCs w:val="20"/>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noWrap w:val="0"/>
            <w:vAlign w:val="center"/>
          </w:tcPr>
          <w:p>
            <w:pPr>
              <w:rPr>
                <w:rFonts w:ascii="宋体" w:cs="宋体"/>
                <w:sz w:val="18"/>
                <w:szCs w:val="18"/>
              </w:rPr>
            </w:pPr>
            <w:r>
              <w:rPr>
                <w:rFonts w:hint="eastAsia"/>
                <w:sz w:val="20"/>
                <w:szCs w:val="20"/>
              </w:rPr>
              <w:t xml:space="preserve"> 基本卫生保健工作</w:t>
            </w:r>
          </w:p>
        </w:tc>
        <w:tc>
          <w:tcPr>
            <w:tcW w:w="4228" w:type="dxa"/>
            <w:gridSpan w:val="2"/>
            <w:noWrap w:val="0"/>
            <w:vAlign w:val="center"/>
          </w:tcPr>
          <w:p>
            <w:pPr>
              <w:spacing w:line="260" w:lineRule="exact"/>
              <w:jc w:val="center"/>
              <w:rPr>
                <w:rFonts w:ascii="宋体" w:cs="宋体"/>
                <w:sz w:val="18"/>
                <w:szCs w:val="18"/>
              </w:rPr>
            </w:pPr>
            <w:r>
              <w:rPr>
                <w:rFonts w:hint="eastAsia"/>
                <w:sz w:val="20"/>
                <w:szCs w:val="20"/>
              </w:rPr>
              <w:t>≥93%</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汉仪中秀体简" w:eastAsia="汉仪中秀体简" w:hAnsi="汉仪中秀体简" w:cs="汉仪中秀体简" w:hint="eastAsia"/>
                <w:color w:val="000000"/>
                <w:kern w:val="0"/>
                <w:sz w:val="18"/>
                <w:szCs w:val="18"/>
                <w:lang w:bidi="ar"/>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left"/>
              <w:textAlignment w:val="center"/>
              <w:rPr>
                <w:rFonts w:ascii="汉仪中秀体简" w:eastAsia="汉仪中秀体简" w:hAnsi="汉仪中秀体简" w:cs="汉仪中秀体简"/>
                <w:color w:val="000000"/>
                <w:kern w:val="0"/>
                <w:sz w:val="18"/>
                <w:szCs w:val="18"/>
                <w:lang w:bidi="ar"/>
              </w:rPr>
            </w:pPr>
          </w:p>
        </w:tc>
      </w:tr>
      <w:tr>
        <w:tblPrEx>
          <w:tblW w:w="0" w:type="auto"/>
          <w:tblInd w:w="0" w:type="dxa"/>
          <w:tblLayout w:type="fixed"/>
          <w:tblCellMar>
            <w:top w:w="0" w:type="dxa"/>
            <w:left w:w="108" w:type="dxa"/>
            <w:bottom w:w="0" w:type="dxa"/>
            <w:right w:w="108" w:type="dxa"/>
          </w:tblCellMar>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noWrap w:val="0"/>
            <w:vAlign w:val="center"/>
          </w:tcPr>
          <w:p>
            <w:pPr>
              <w:spacing w:line="260" w:lineRule="exact"/>
              <w:jc w:val="left"/>
              <w:textAlignment w:val="center"/>
              <w:rPr>
                <w:rFonts w:ascii="宋体" w:hAnsi="宋体" w:cs="宋体" w:hint="eastAsia"/>
                <w:sz w:val="18"/>
                <w:szCs w:val="18"/>
              </w:rPr>
            </w:pPr>
            <w:r>
              <w:rPr>
                <w:rFonts w:hint="eastAsia"/>
                <w:sz w:val="20"/>
                <w:szCs w:val="20"/>
              </w:rPr>
              <w:t>提升医疗卫生工作服务能力</w:t>
            </w:r>
          </w:p>
        </w:tc>
        <w:tc>
          <w:tcPr>
            <w:tcW w:w="4228" w:type="dxa"/>
            <w:gridSpan w:val="2"/>
            <w:noWrap w:val="0"/>
            <w:vAlign w:val="center"/>
          </w:tcPr>
          <w:p>
            <w:pPr>
              <w:spacing w:line="260" w:lineRule="exact"/>
              <w:jc w:val="center"/>
              <w:rPr>
                <w:rFonts w:ascii="宋体" w:cs="宋体"/>
                <w:sz w:val="18"/>
                <w:szCs w:val="18"/>
              </w:rPr>
            </w:pPr>
            <w:r>
              <w:rPr>
                <w:rFonts w:hint="eastAsia"/>
                <w:sz w:val="20"/>
                <w:szCs w:val="20"/>
              </w:rPr>
              <w:t>有效提升</w:t>
            </w:r>
          </w:p>
        </w:tc>
      </w:tr>
      <w:tr>
        <w:tblPrEx>
          <w:tblW w:w="0" w:type="auto"/>
          <w:tblInd w:w="0" w:type="dxa"/>
          <w:tblLayout w:type="fixed"/>
          <w:tblCellMar>
            <w:top w:w="0" w:type="dxa"/>
            <w:left w:w="108" w:type="dxa"/>
            <w:bottom w:w="0" w:type="dxa"/>
            <w:right w:w="108" w:type="dxa"/>
          </w:tblCellMar>
        </w:tblPrEx>
        <w:trPr>
          <w:trHeight w:val="444"/>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r>
              <w:rPr>
                <w:rFonts w:hint="eastAsia"/>
                <w:sz w:val="20"/>
                <w:szCs w:val="20"/>
              </w:rPr>
              <w:t>不断完善院内基础设施和标准化建设</w:t>
            </w:r>
          </w:p>
        </w:tc>
        <w:tc>
          <w:tcPr>
            <w:tcW w:w="4228" w:type="dxa"/>
            <w:gridSpan w:val="2"/>
            <w:noWrap w:val="0"/>
            <w:vAlign w:val="center"/>
          </w:tcPr>
          <w:p>
            <w:pPr>
              <w:spacing w:line="260" w:lineRule="exact"/>
              <w:jc w:val="center"/>
              <w:rPr>
                <w:rFonts w:ascii="宋体" w:cs="宋体"/>
                <w:sz w:val="18"/>
                <w:szCs w:val="18"/>
              </w:rPr>
            </w:pPr>
            <w:r>
              <w:rPr>
                <w:rFonts w:hint="eastAsia"/>
                <w:sz w:val="20"/>
                <w:szCs w:val="20"/>
              </w:rPr>
              <w:t>长期</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sz w:val="20"/>
                <w:szCs w:val="20"/>
              </w:rPr>
              <w:t>患者对本单位服务满意度</w:t>
            </w:r>
          </w:p>
        </w:tc>
        <w:tc>
          <w:tcPr>
            <w:tcW w:w="4228" w:type="dxa"/>
            <w:gridSpan w:val="2"/>
            <w:noWrap w:val="0"/>
            <w:vAlign w:val="center"/>
          </w:tcPr>
          <w:p>
            <w:pPr>
              <w:spacing w:line="260" w:lineRule="exact"/>
              <w:jc w:val="center"/>
              <w:rPr>
                <w:rFonts w:ascii="宋体" w:cs="宋体"/>
                <w:sz w:val="18"/>
                <w:szCs w:val="18"/>
              </w:rPr>
            </w:pPr>
            <w:r>
              <w:rPr>
                <w:rFonts w:hint="eastAsia"/>
                <w:sz w:val="20"/>
                <w:szCs w:val="20"/>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hAnsi="宋体" w:cs="宋体" w:hint="eastAsia"/>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bl>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（二）机关运行经费。</w:t>
      </w:r>
    </w:p>
    <w:p>
      <w:pPr>
        <w:numPr>
          <w:ilvl w:val="0"/>
          <w:numId w:val="0"/>
        </w:numPr>
        <w:adjustRightInd w:val="0"/>
        <w:snapToGrid w:val="0"/>
        <w:spacing w:line="600" w:lineRule="exact"/>
        <w:rPr>
          <w:rFonts w:ascii="仿宋_GB2312" w:eastAsia="仿宋_GB2312" w:hAnsi="楷体" w:hint="eastAsia"/>
          <w:b/>
          <w:sz w:val="32"/>
          <w:szCs w:val="32"/>
        </w:rPr>
      </w:pPr>
      <w:r>
        <w:rPr>
          <w:rFonts w:ascii="仿宋" w:eastAsia="仿宋" w:hAnsi="仿宋" w:hint="eastAsia"/>
          <w:sz w:val="32"/>
          <w:szCs w:val="32"/>
        </w:rPr>
        <w:t>寿县</w:t>
      </w:r>
      <w:r>
        <w:rPr>
          <w:rFonts w:ascii="仿宋" w:eastAsia="仿宋" w:hAnsi="仿宋" w:hint="eastAsia"/>
          <w:sz w:val="32"/>
          <w:szCs w:val="32"/>
          <w:lang w:val="en-US" w:eastAsia="zh-CN"/>
        </w:rPr>
        <w:t>张李乡卫生院</w:t>
      </w:r>
      <w:r>
        <w:rPr>
          <w:rFonts w:ascii="仿宋" w:eastAsia="仿宋" w:hAnsi="仿宋" w:hint="eastAsia"/>
          <w:sz w:val="32"/>
          <w:szCs w:val="32"/>
        </w:rPr>
        <w:t>202</w:t>
      </w:r>
      <w:r>
        <w:rPr>
          <w:rFonts w:ascii="仿宋" w:eastAsia="仿宋" w:hAnsi="仿宋" w:hint="eastAsia"/>
          <w:sz w:val="32"/>
          <w:szCs w:val="32"/>
          <w:lang w:val="en-US" w:eastAsia="zh-CN"/>
        </w:rPr>
        <w:t>4</w:t>
      </w:r>
      <w:r>
        <w:rPr>
          <w:rFonts w:ascii="仿宋" w:eastAsia="仿宋" w:hAnsi="仿宋" w:hint="eastAsia"/>
          <w:sz w:val="32"/>
          <w:szCs w:val="32"/>
        </w:rPr>
        <w:t>年</w:t>
      </w:r>
      <w:r>
        <w:rPr>
          <w:rFonts w:ascii="仿宋" w:eastAsia="仿宋" w:hAnsi="仿宋" w:hint="eastAsia"/>
          <w:sz w:val="32"/>
          <w:szCs w:val="32"/>
          <w:lang w:eastAsia="zh-CN"/>
        </w:rPr>
        <w:t>无</w:t>
      </w:r>
      <w:r>
        <w:rPr>
          <w:rFonts w:ascii="仿宋" w:eastAsia="仿宋" w:hAnsi="仿宋" w:hint="eastAsia"/>
          <w:sz w:val="32"/>
          <w:szCs w:val="32"/>
        </w:rPr>
        <w:t>机关运行经费</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张李乡卫生院</w:t>
      </w:r>
      <w:r>
        <w:rPr>
          <w:rFonts w:ascii="仿宋_GB2312" w:eastAsia="仿宋_GB2312" w:hAnsi="TimesNewRoman" w:cs="TimesNewRoman" w:hint="eastAsia"/>
          <w:sz w:val="32"/>
          <w:szCs w:val="32"/>
        </w:rPr>
        <w:t>2024年政府采购预算</w:t>
      </w:r>
      <w:r>
        <w:rPr>
          <w:rFonts w:ascii="仿宋_GB2312" w:eastAsia="仿宋_GB2312" w:hAnsi="TimesNewRoman" w:cs="TimesNewRoman" w:hint="eastAsia"/>
          <w:sz w:val="32"/>
          <w:szCs w:val="32"/>
          <w:lang w:val="en-US" w:eastAsia="zh-CN"/>
        </w:rPr>
        <w:t>2.5</w:t>
      </w:r>
      <w:r>
        <w:rPr>
          <w:rFonts w:ascii="仿宋_GB2312" w:eastAsia="仿宋_GB2312" w:hAnsi="TimesNewRoman" w:cs="TimesNewRoman" w:hint="eastAsia"/>
          <w:sz w:val="32"/>
          <w:szCs w:val="32"/>
        </w:rPr>
        <w:t>万元。其中：政府采购货物预算</w:t>
      </w:r>
      <w:r>
        <w:rPr>
          <w:rFonts w:ascii="仿宋_GB2312" w:eastAsia="仿宋_GB2312" w:hAnsi="TimesNewRoman" w:cs="TimesNewRoman" w:hint="eastAsia"/>
          <w:sz w:val="32"/>
          <w:szCs w:val="32"/>
          <w:lang w:val="en-US" w:eastAsia="zh-CN"/>
        </w:rPr>
        <w:t>2.5</w:t>
      </w:r>
      <w:r>
        <w:rPr>
          <w:rFonts w:ascii="仿宋_GB2312" w:eastAsia="仿宋_GB2312" w:hAnsi="TimesNewRoman" w:cs="TimesNewRoman" w:hint="eastAsia"/>
          <w:sz w:val="32"/>
          <w:szCs w:val="32"/>
        </w:rPr>
        <w:t>万元，政府采购工程预算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万元，政府采购服务预算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张李乡卫生院</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辆，其中：副处（县）级及以上领导用车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辆、主要领导干部用车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辆、机要通信用车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辆、应急保障用车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辆、执法执勤用车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辆、特种专业技术用车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辆、离退休干部用车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辆、其他用车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辆（只列报车辆不为0的车型）。单价50万元以上的通用设备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台（套），单价100万元以上的专用设备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2024年部门</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预算安排购置公务用车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万元，其中：副处（县）级及以上领导用车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辆、主要领导干部用车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辆、机要通信用车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辆、应急保障用车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辆、执法执勤用车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辆、特种专业技术用车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辆、离退休干部用车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辆、其他用车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辆（只列报车辆不为0的车型）；安排购置单价50万元以上的通用设备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万元；安排购置单价100万元以上专用设备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【对未安排公务用车、通用设备、专用设备购置预算的部门</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，也需要说明公务用车、通用设备、专用设备辆数、台（套）数以及购置费情况，分别填列公务用车、通用设备、专用设备0辆、0台（套）、购置费0万元】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sz w:val="32"/>
          <w:szCs w:val="32"/>
          <w:lang w:eastAsia="zh-CN"/>
        </w:rPr>
        <w:t>张李乡卫生院</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个项目实行了绩效目标管理，涉及一般公共预算当年财政拨款</w:t>
      </w:r>
      <w:r>
        <w:rPr>
          <w:rFonts w:ascii="仿宋_GB2312" w:eastAsia="仿宋_GB2312" w:hAnsi="TimesNewRoman" w:cs="TimesNewRoman" w:hint="eastAsia"/>
          <w:sz w:val="32"/>
          <w:szCs w:val="32"/>
          <w:lang w:val="en-US" w:eastAsia="zh-CN"/>
        </w:rPr>
        <w:t>117.64</w:t>
      </w:r>
      <w:r>
        <w:rPr>
          <w:rFonts w:ascii="仿宋_GB2312" w:eastAsia="仿宋_GB2312" w:hAnsi="TimesNewRoman" w:cs="TimesNewRoman" w:hint="eastAsia"/>
          <w:sz w:val="32"/>
          <w:szCs w:val="32"/>
        </w:rPr>
        <w:t>万元、政府性基金预算当年财政拨款</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万元、国有资本经营预算当年财政拨款</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万元、财政专户管理资金当年安排*.*万元和单位资金当年安排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hint="eastAsia"/>
          <w:sz w:val="32"/>
          <w:szCs w:val="32"/>
          <w:lang w:eastAsia="zh-CN"/>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r>
        <w:rPr>
          <w:rFonts w:ascii="TimesNewRoman" w:eastAsia="楷体_GB2312" w:hAnsi="TimesNewRoman" w:cs="TimesNewRoman"/>
          <w:sz w:val="32"/>
          <w:szCs w:val="32"/>
        </w:rPr>
        <w:t>根据部门预算实际对重要的支出功能科目进行解释</w:t>
      </w:r>
      <w:r>
        <w:rPr>
          <w:rFonts w:ascii="TimesNewRoman" w:eastAsia="仿宋_GB2312" w:hAnsi="TimesNewRoman" w:cs="TimesNewRoman"/>
          <w:sz w:val="32"/>
          <w:szCs w:val="32"/>
        </w:rPr>
        <w:t>）</w:t>
      </w:r>
    </w:p>
    <w:p>
      <w:pPr>
        <w:pStyle w:val="NormalWeb"/>
        <w:topLinePunct/>
        <w:spacing w:beforeAutospacing="0" w:afterAutospacing="0" w:line="560" w:lineRule="exact"/>
        <w:ind w:firstLine="480" w:firstLineChars="150"/>
        <w:jc w:val="both"/>
        <w:rPr>
          <w:rFonts w:ascii="TimesNewRoman" w:eastAsia="楷体_GB2312" w:hAnsi="TimesNewRoman" w:cs="TimesNewRoman" w:hint="eastAsia"/>
          <w:sz w:val="32"/>
          <w:szCs w:val="32"/>
          <w:lang w:eastAsia="zh-CN"/>
        </w:rPr>
        <w:sectPr>
          <w:pgSz w:w="11907" w:h="16840"/>
          <w:pgMar w:top="2098" w:right="1474" w:bottom="1985" w:left="1588" w:header="851" w:footer="1021" w:gutter="0"/>
          <w:cols w:num="1" w:space="425"/>
          <w:docGrid w:type="lines" w:linePitch="312" w:charSpace="0"/>
        </w:sectPr>
      </w:pPr>
      <w:r>
        <w:rPr>
          <w:rFonts w:ascii="TimesNewRoman" w:eastAsia="楷体_GB2312" w:hAnsi="TimesNewRoman" w:cs="TimesNewRoman" w:hint="eastAsia"/>
          <w:sz w:val="32"/>
          <w:szCs w:val="32"/>
          <w:lang w:eastAsia="zh-CN"/>
        </w:rPr>
        <w:t>。</w:t>
      </w:r>
    </w:p>
    <w:p>
      <w:pPr>
        <w:pStyle w:val="NormalWeb"/>
        <w:topLinePunct/>
        <w:spacing w:beforeAutospacing="0" w:afterAutospacing="0" w:line="560" w:lineRule="exact"/>
        <w:ind w:firstLine="480" w:firstLineChars="150"/>
        <w:jc w:val="both"/>
        <w:rPr>
          <w:rStyle w:val="Strong"/>
          <w:rFonts w:ascii="TimesNewRoman" w:eastAsia="楷体_GB2312" w:hAnsi="TimesNewRoman" w:cs="TimesNewRoman"/>
          <w:b w:val="0"/>
          <w:sz w:val="32"/>
          <w:szCs w:val="32"/>
        </w:rPr>
      </w:pPr>
    </w:p>
    <w:p/>
    <w:sectPr>
      <w:footerReference w:type="default" r:id="rId6"/>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
    <w:altName w:val="Simplified Arabic"/>
    <w:panose1 w:val="02020603050405020304"/>
    <w:charset w:val="00"/>
    <w:family w:val="auto"/>
    <w:pitch w:val="default"/>
    <w:sig w:usb0="00000000" w:usb1="00000000" w:usb2="00000029" w:usb3="00000000" w:csb0="600001FF" w:csb1="FFFF0000"/>
  </w:font>
  <w:font w:name="方正小标宋_GBK">
    <w:altName w:val="微软雅黑"/>
    <w:panose1 w:val="03000509000000000000"/>
    <w:charset w:val="86"/>
    <w:family w:val="script"/>
    <w:pitch w:val="default"/>
    <w:sig w:usb0="00000000" w:usb1="00000000" w:usb2="0000001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汉仪中秀体简">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Simplified Arabic">
    <w:panose1 w:val="02020603050405020304"/>
    <w:charset w:val="00"/>
    <w:family w:val="auto"/>
    <w:pitch w:val="default"/>
    <w:sig w:usb0="00002003" w:usb1="00000000" w:usb2="00000000" w:usb3="00000000" w:csb0="00000041" w:csb1="200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76F2600"/>
    <w:multiLevelType w:val="singleLevel"/>
    <w:tmpl w:val="976F2600"/>
    <w:lvl w:ilvl="0">
      <w:start w:val="1"/>
      <w:numFmt w:val="chineseCounting"/>
      <w:suff w:val="nothing"/>
      <w:lvlText w:val="（%1）"/>
      <w:lvlJc w:val="left"/>
      <w:rPr>
        <w:rFonts w:hint="eastAsia"/>
      </w:rPr>
    </w:lvl>
  </w:abstractNum>
  <w:abstractNum w:abstractNumId="1">
    <w:nsid w:val="33A3CCC1"/>
    <w:multiLevelType w:val="singleLevel"/>
    <w:tmpl w:val="33A3CCC1"/>
    <w:lvl w:ilvl="0">
      <w:start w:val="2"/>
      <w:numFmt w:val="chineseCounting"/>
      <w:suff w:val="nothing"/>
      <w:lvlText w:val="%1、"/>
      <w:lvlJc w:val="left"/>
      <w:pPr>
        <w:ind w:left="-627"/>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B2F5F9D"/>
    <w:rsid w:val="1390153E"/>
    <w:rsid w:val="199307E0"/>
    <w:rsid w:val="19C231F3"/>
    <w:rsid w:val="208C1759"/>
    <w:rsid w:val="20E975D0"/>
    <w:rsid w:val="21FE5FCC"/>
    <w:rsid w:val="2C4928A7"/>
    <w:rsid w:val="2DF26242"/>
    <w:rsid w:val="32735994"/>
    <w:rsid w:val="34BC1001"/>
    <w:rsid w:val="34C97AC9"/>
    <w:rsid w:val="3D90066B"/>
    <w:rsid w:val="3D9D1FAB"/>
    <w:rsid w:val="3EA4635F"/>
    <w:rsid w:val="3FF60125"/>
    <w:rsid w:val="49F34D28"/>
    <w:rsid w:val="4CBF3523"/>
    <w:rsid w:val="4D575242"/>
    <w:rsid w:val="4E970ECD"/>
    <w:rsid w:val="4F995CBF"/>
    <w:rsid w:val="5015592D"/>
    <w:rsid w:val="50E26133"/>
    <w:rsid w:val="515D6D91"/>
    <w:rsid w:val="5387384D"/>
    <w:rsid w:val="54473A5B"/>
    <w:rsid w:val="54BA6121"/>
    <w:rsid w:val="56131FB5"/>
    <w:rsid w:val="589F4B42"/>
    <w:rsid w:val="5A02006D"/>
    <w:rsid w:val="5E6C0D12"/>
    <w:rsid w:val="631A38C7"/>
    <w:rsid w:val="63E9388F"/>
    <w:rsid w:val="66622550"/>
    <w:rsid w:val="683A0EEE"/>
    <w:rsid w:val="68EF720B"/>
    <w:rsid w:val="6DF63313"/>
    <w:rsid w:val="711849CB"/>
    <w:rsid w:val="7124299E"/>
    <w:rsid w:val="741E2BB8"/>
    <w:rsid w:val="79350619"/>
    <w:rsid w:val="7DD148AC"/>
  </w:rsids>
  <w:docVars>
    <w:docVar w:name="commondata" w:val="eyJoZGlkIjoiZmU0NzhiNmI2OGNkMTBiYjU0YjA5ZTdhMzVkMTMxYjg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autoRedefine/>
    <w:semiHidden/>
    <w:qFormat/>
  </w:style>
  <w:style w:type="table" w:default="1" w:styleId="TableNormal">
    <w:name w:val="Normal Table"/>
    <w:autoRedefine/>
    <w:semiHidden/>
    <w:qFormat/>
    <w:tblPr>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NormalWeb">
    <w:name w:val="Normal (Web)"/>
    <w:basedOn w:val="Normal"/>
    <w:autoRedefine/>
    <w:qFormat/>
    <w:pPr>
      <w:spacing w:beforeAutospacing="1" w:afterAutospacing="1"/>
      <w:jc w:val="left"/>
    </w:pPr>
    <w:rPr>
      <w:rFonts w:ascii="Calibri" w:hAnsi="Calibri"/>
      <w:kern w:val="0"/>
      <w:sz w:val="24"/>
    </w:rPr>
  </w:style>
  <w:style w:type="character" w:styleId="Strong">
    <w:name w:val="Strong"/>
    <w:basedOn w:val="DefaultParagraphFont"/>
    <w:autoRedefine/>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大鹏</cp:lastModifiedBy>
  <cp:revision>1</cp:revision>
  <dcterms:created xsi:type="dcterms:W3CDTF">2024-01-16T02:39:00Z</dcterms:created>
  <dcterms:modified xsi:type="dcterms:W3CDTF">2024-01-25T02:39:00Z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2052-12.1.0.16120</vt:lpwstr>
  </property>
</Properties>
</file>