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迎河镇中心卫生院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部门预算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eastAsia="zh-CN"/>
        </w:rPr>
        <w:t>寿县迎河镇中心卫生院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lang w:eastAsia="zh-CN"/>
        </w:rPr>
        <w:t>寿县迎河镇中心卫生院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2"/>
          <w:szCs w:val="32"/>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eastAsia="zh-CN"/>
        </w:rPr>
        <w:t>寿县迎河镇中心卫生院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hint="eastAsia"/>
          <w:bCs/>
          <w:sz w:val="32"/>
          <w:szCs w:val="32"/>
        </w:rPr>
        <w:t>寿县迎河镇中心卫生院是寿县设立的一种卫生行政兼医疗预防工作的综合性机构，其任务是负责所在地区内医疗卫生工作，组织领导群众卫生运动，培训卫生技术人员。并对基层卫生医疗机构进行业务指导和会诊工作。是乡镇医疗网点的重要环节，担负着医疗防疫，保健的重要任务，是直接解决农村看病难看病贵的重要一关</w:t>
      </w:r>
      <w:r>
        <w:rPr>
          <w:rFonts w:ascii="TimesNewRoman" w:eastAsia="仿宋_GB2312" w:hAnsi="TimesNewRoman" w:cs="TimesNewRoman"/>
          <w:bCs/>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u w:val="single"/>
        </w:rPr>
        <w:t>（单位预算构成：）</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迎河镇中心卫生院</w:t>
      </w:r>
      <w:r>
        <w:rPr>
          <w:rFonts w:ascii="仿宋_GB2312" w:eastAsia="仿宋_GB2312" w:hAnsi="TimesNewRoman" w:cs="TimesNewRoman" w:hint="eastAsia"/>
          <w:bCs/>
          <w:sz w:val="32"/>
          <w:szCs w:val="32"/>
        </w:rPr>
        <w:t>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黑体" w:eastAsia="黑体" w:hAnsi="黑体" w:hint="eastAsia"/>
          <w:bCs/>
          <w:sz w:val="32"/>
          <w:szCs w:val="32"/>
        </w:rPr>
      </w:pPr>
      <w:r>
        <w:rPr>
          <w:rFonts w:ascii="仿宋_GB2312" w:eastAsia="仿宋_GB2312" w:hAnsi="黑体" w:hint="eastAsia"/>
          <w:bCs/>
          <w:sz w:val="32"/>
          <w:szCs w:val="32"/>
          <w:lang w:eastAsia="zh-CN"/>
        </w:rPr>
        <w:t>（</w:t>
      </w:r>
      <w:r>
        <w:rPr>
          <w:rFonts w:ascii="仿宋_GB2312" w:eastAsia="仿宋_GB2312" w:hAnsi="黑体" w:hint="eastAsia"/>
          <w:bCs/>
          <w:sz w:val="32"/>
          <w:szCs w:val="32"/>
        </w:rPr>
        <w:t>一）以公共卫生服务为主，综合提供预防、保健和基本医疗等服务</w:t>
      </w:r>
      <w:r>
        <w:rPr>
          <w:rFonts w:ascii="黑体" w:eastAsia="黑体" w:hAnsi="黑体" w:hint="eastAsia"/>
          <w:bCs/>
          <w:sz w:val="32"/>
          <w:szCs w:val="32"/>
        </w:rPr>
        <w:t>。</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lang w:eastAsia="zh-CN"/>
        </w:rPr>
      </w:pPr>
      <w:r>
        <w:rPr>
          <w:rFonts w:ascii="仿宋_GB2312" w:eastAsia="仿宋_GB2312" w:hAnsi="黑体" w:hint="eastAsia"/>
          <w:bCs/>
          <w:sz w:val="32"/>
          <w:szCs w:val="32"/>
        </w:rPr>
        <w:t>（二）</w:t>
      </w:r>
      <w:r>
        <w:rPr>
          <w:rFonts w:ascii="仿宋_GB2312" w:eastAsia="仿宋_GB2312" w:hAnsi="黑体" w:hint="eastAsia"/>
          <w:bCs/>
          <w:sz w:val="32"/>
          <w:szCs w:val="32"/>
          <w:lang w:eastAsia="zh-CN"/>
        </w:rPr>
        <w:t>提供基本医疗服务，正确处理常见病、多发病，对疑难重症进行恰当的处理并转诊。</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lang w:eastAsia="zh-CN"/>
        </w:rPr>
      </w:pPr>
      <w:r>
        <w:rPr>
          <w:rFonts w:ascii="仿宋_GB2312" w:eastAsia="仿宋_GB2312" w:hAnsi="黑体" w:hint="eastAsia"/>
          <w:bCs/>
          <w:sz w:val="32"/>
          <w:szCs w:val="32"/>
          <w:lang w:eastAsia="zh-CN"/>
        </w:rPr>
        <w:t>（三）对本镇内传染病防治、学校卫生、食品卫生、饮水卫生、职业卫生，以及村级预防保健工作进行指导、培训、考核和监督。深入推进乡村卫生服务一体化管理。</w:t>
      </w:r>
    </w:p>
    <w:p>
      <w:pPr>
        <w:pStyle w:val="NormalWeb"/>
        <w:adjustRightInd w:val="0"/>
        <w:snapToGrid w:val="0"/>
        <w:spacing w:before="0" w:beforeAutospacing="0" w:after="0" w:afterAutospacing="0" w:line="360" w:lineRule="auto"/>
        <w:jc w:val="left"/>
        <w:rPr>
          <w:rFonts w:ascii="TimesNewRoman" w:eastAsia="黑体" w:hAnsi="TimesNewRoman" w:cs="TimesNewRoman"/>
          <w:bCs/>
          <w:sz w:val="36"/>
          <w:szCs w:val="36"/>
        </w:rPr>
      </w:pPr>
      <w:r>
        <w:rPr>
          <w:rFonts w:ascii="仿宋_GB2312" w:eastAsia="仿宋_GB2312" w:hAnsi="黑体" w:hint="eastAsia"/>
          <w:bCs/>
          <w:sz w:val="32"/>
          <w:szCs w:val="32"/>
          <w:lang w:val="en-US" w:eastAsia="zh-CN"/>
        </w:rPr>
        <w:t xml:space="preserve">    </w:t>
      </w:r>
      <w:r>
        <w:rPr>
          <w:rFonts w:ascii="仿宋_GB2312" w:eastAsia="仿宋_GB2312" w:hAnsi="黑体" w:hint="eastAsia"/>
          <w:bCs/>
          <w:sz w:val="32"/>
          <w:szCs w:val="32"/>
          <w:lang w:eastAsia="zh-CN"/>
        </w:rPr>
        <w:t>（四）贯彻执行国家各种卫生法规，配合有关部门动员组织群众开展爱国卫生活动。</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寿县迎河镇中心卫生院</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980.38</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141.17</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768.63</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70.59</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2980.38</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2980.38</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kern w:val="0"/>
                <w:sz w:val="18"/>
                <w:szCs w:val="18"/>
                <w:lang w:val="en-US" w:eastAsia="zh-CN"/>
              </w:rPr>
              <w:t>2980.38</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2980.38</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2047"/>
        <w:gridCol w:w="855"/>
        <w:gridCol w:w="1575"/>
        <w:gridCol w:w="1425"/>
        <w:gridCol w:w="510"/>
        <w:gridCol w:w="555"/>
        <w:gridCol w:w="495"/>
        <w:gridCol w:w="660"/>
        <w:gridCol w:w="630"/>
        <w:gridCol w:w="420"/>
        <w:gridCol w:w="420"/>
        <w:gridCol w:w="480"/>
        <w:gridCol w:w="420"/>
        <w:gridCol w:w="555"/>
        <w:gridCol w:w="450"/>
        <w:gridCol w:w="480"/>
        <w:gridCol w:w="540"/>
        <w:gridCol w:w="450"/>
        <w:gridCol w:w="495"/>
      </w:tblGrid>
      <w:tr>
        <w:tblPrEx>
          <w:tblW w:w="13462" w:type="dxa"/>
          <w:tblInd w:w="-431" w:type="dxa"/>
          <w:tblLayout w:type="fixed"/>
          <w:tblCellMar>
            <w:top w:w="0" w:type="dxa"/>
            <w:left w:w="108" w:type="dxa"/>
            <w:bottom w:w="0" w:type="dxa"/>
            <w:right w:w="108" w:type="dxa"/>
          </w:tblCellMar>
        </w:tblPrEx>
        <w:trPr>
          <w:trHeight w:val="501"/>
        </w:trPr>
        <w:tc>
          <w:tcPr>
            <w:tcW w:w="2047"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855"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590"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297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2047"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855"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157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142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1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55"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95"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030"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5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45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48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5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9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2047"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855"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57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42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1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55"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95"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3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42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420"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480"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420"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5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5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8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5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9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429"/>
        </w:trPr>
        <w:tc>
          <w:tcPr>
            <w:tcW w:w="2047"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寿县卫生健康委员会</w:t>
            </w:r>
          </w:p>
        </w:tc>
        <w:tc>
          <w:tcPr>
            <w:tcW w:w="8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2980.38</w:t>
            </w:r>
            <w:r>
              <w:rPr>
                <w:rFonts w:ascii="TimesNewRoman" w:hAnsi="TimesNewRoman" w:cs="TimesNewRoman"/>
                <w:kern w:val="0"/>
                <w:sz w:val="18"/>
                <w:szCs w:val="18"/>
              </w:rPr>
              <w:t>　</w:t>
            </w:r>
          </w:p>
        </w:tc>
        <w:tc>
          <w:tcPr>
            <w:tcW w:w="157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980.38</w:t>
            </w:r>
            <w:r>
              <w:rPr>
                <w:rFonts w:ascii="TimesNewRoman" w:hAnsi="TimesNewRoman" w:cs="TimesNewRoman"/>
                <w:kern w:val="0"/>
                <w:sz w:val="18"/>
                <w:szCs w:val="18"/>
              </w:rPr>
              <w:t>　</w:t>
            </w:r>
          </w:p>
        </w:tc>
        <w:tc>
          <w:tcPr>
            <w:tcW w:w="142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980.38</w:t>
            </w:r>
            <w:r>
              <w:rPr>
                <w:rFonts w:ascii="TimesNewRoman" w:hAnsi="TimesNewRoman" w:cs="TimesNewRoman"/>
                <w:kern w:val="0"/>
                <w:sz w:val="18"/>
                <w:szCs w:val="18"/>
              </w:rPr>
              <w:t>　</w:t>
            </w:r>
          </w:p>
        </w:tc>
        <w:tc>
          <w:tcPr>
            <w:tcW w:w="51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2047"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寿县迎河镇中心卫生院</w:t>
            </w:r>
          </w:p>
        </w:tc>
        <w:tc>
          <w:tcPr>
            <w:tcW w:w="8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2980.38</w:t>
            </w:r>
            <w:r>
              <w:rPr>
                <w:rFonts w:ascii="TimesNewRoman" w:hAnsi="TimesNewRoman" w:cs="TimesNewRoman"/>
                <w:kern w:val="0"/>
                <w:sz w:val="18"/>
                <w:szCs w:val="18"/>
              </w:rPr>
              <w:t>　</w:t>
            </w:r>
          </w:p>
        </w:tc>
        <w:tc>
          <w:tcPr>
            <w:tcW w:w="15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980.38</w:t>
            </w:r>
            <w:r>
              <w:rPr>
                <w:rFonts w:ascii="TimesNewRoman" w:hAnsi="TimesNewRoman" w:cs="TimesNewRoman"/>
                <w:kern w:val="0"/>
                <w:sz w:val="18"/>
                <w:szCs w:val="18"/>
              </w:rPr>
              <w:t>　</w:t>
            </w:r>
          </w:p>
        </w:tc>
        <w:tc>
          <w:tcPr>
            <w:tcW w:w="142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980.38</w:t>
            </w:r>
            <w:r>
              <w:rPr>
                <w:rFonts w:ascii="TimesNewRoman" w:hAnsi="TimesNewRoman" w:cs="TimesNewRoman"/>
                <w:kern w:val="0"/>
                <w:sz w:val="18"/>
                <w:szCs w:val="18"/>
              </w:rPr>
              <w:t>　</w:t>
            </w:r>
          </w:p>
        </w:tc>
        <w:tc>
          <w:tcPr>
            <w:tcW w:w="5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2000</w:t>
            </w: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2047"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8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5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2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2047"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8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5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2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2047"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8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57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2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1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5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8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9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208</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社会保障和就业支出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20805</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行政事业单位养老支出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2080505</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机关事业单位基本养老保险缴费支出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2080506</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eastAsia"/>
                <w:color w:val="000000"/>
                <w:kern w:val="2"/>
                <w:sz w:val="20"/>
                <w:szCs w:val="24"/>
                <w:lang w:val="en-US" w:eastAsia="zh-CN" w:bidi="ar-SA"/>
              </w:rPr>
            </w:pPr>
            <w:r>
              <w:rPr>
                <w:rFonts w:ascii="ËÎÌå" w:eastAsia="ËÎÌå" w:hAnsi="ËÎÌå" w:hint="default"/>
                <w:color w:val="000000"/>
                <w:sz w:val="20"/>
                <w:szCs w:val="24"/>
              </w:rPr>
              <w:t>　　机关事业单位职业年金缴费支出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210</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卫生健康支出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769.38</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21003</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基层医疗卫生机构</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768.63</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2100302</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乡镇卫生院</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768.63</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221</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住房保障支出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22102</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住房改革支出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2210201</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住房公积金</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229</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其他支出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22999</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其他支出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1639"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2299999</w:t>
            </w:r>
          </w:p>
        </w:tc>
        <w:tc>
          <w:tcPr>
            <w:tcW w:w="449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其他支出</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6"/>
                <w:szCs w:val="16"/>
              </w:rPr>
            </w:pPr>
            <w:r>
              <w:rPr>
                <w:rFonts w:ascii="TimesNewRoman" w:hAnsi="TimesNewRoman" w:cs="TimesNewRoman"/>
                <w:kern w:val="0"/>
                <w:sz w:val="16"/>
                <w:szCs w:val="16"/>
              </w:rPr>
              <w:t>　</w:t>
            </w:r>
          </w:p>
        </w:tc>
      </w:tr>
      <w:tr>
        <w:tblPrEx>
          <w:tblW w:w="14192" w:type="dxa"/>
          <w:tblInd w:w="0" w:type="dxa"/>
          <w:tblLayout w:type="fixed"/>
          <w:tblCellMar>
            <w:top w:w="0" w:type="dxa"/>
            <w:left w:w="108" w:type="dxa"/>
            <w:bottom w:w="0" w:type="dxa"/>
            <w:right w:w="108" w:type="dxa"/>
          </w:tblCellMar>
        </w:tblPrEx>
        <w:trPr>
          <w:trHeight w:val="357"/>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6"/>
                <w:szCs w:val="16"/>
              </w:rPr>
            </w:pPr>
            <w:r>
              <w:rPr>
                <w:rFonts w:ascii="TimesNewRoman" w:hAnsi="TimesNewRoman" w:cs="TimesNewRoman" w:hint="eastAsia"/>
                <w:b/>
                <w:bCs/>
                <w:kern w:val="0"/>
                <w:sz w:val="16"/>
                <w:szCs w:val="16"/>
              </w:rPr>
              <w:t>总</w:t>
            </w:r>
            <w:r>
              <w:rPr>
                <w:rFonts w:ascii="TimesNewRoman" w:hAnsi="TimesNewRoman" w:cs="TimesNewRoman"/>
                <w:b/>
                <w:bCs/>
                <w:kern w:val="0"/>
                <w:sz w:val="16"/>
                <w:szCs w:val="16"/>
              </w:rPr>
              <w:t xml:space="preserve"> 计</w:t>
            </w:r>
          </w:p>
        </w:tc>
        <w:tc>
          <w:tcPr>
            <w:tcW w:w="1213"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20"/>
                <w:szCs w:val="24"/>
                <w:lang w:val="en-US" w:eastAsia="zh-CN" w:bidi="ar-SA"/>
              </w:rPr>
            </w:pPr>
            <w:r>
              <w:rPr>
                <w:rFonts w:ascii="ËÎÌå" w:eastAsia="ËÎÌå" w:hAnsi="ËÎÌå" w:hint="default"/>
                <w:color w:val="000000"/>
                <w:sz w:val="20"/>
                <w:szCs w:val="24"/>
              </w:rPr>
              <w:t>298</w:t>
            </w:r>
            <w:r>
              <w:rPr>
                <w:rFonts w:ascii="ËÎÌå" w:hAnsi="ËÎÌå" w:hint="eastAsia"/>
                <w:color w:val="000000"/>
                <w:sz w:val="20"/>
                <w:szCs w:val="24"/>
                <w:lang w:val="en-US" w:eastAsia="zh-CN"/>
              </w:rPr>
              <w:t>0.38</w:t>
            </w:r>
          </w:p>
        </w:tc>
        <w:tc>
          <w:tcPr>
            <w:tcW w:w="118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972.16</w:t>
            </w:r>
          </w:p>
        </w:tc>
        <w:tc>
          <w:tcPr>
            <w:tcW w:w="1150"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w:t>
            </w:r>
            <w:r>
              <w:rPr>
                <w:rFonts w:ascii="ËÎÌå" w:hAnsi="ËÎÌå" w:hint="eastAsia"/>
                <w:color w:val="000000"/>
                <w:sz w:val="20"/>
                <w:szCs w:val="24"/>
                <w:lang w:val="en-US" w:eastAsia="zh-CN"/>
              </w:rPr>
              <w:t>8.23</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6"/>
                <w:szCs w:val="16"/>
              </w:rPr>
            </w:pPr>
            <w:r>
              <w:rPr>
                <w:rFonts w:ascii="TimesNewRoman" w:hAnsi="TimesNewRoman" w:cs="TimesNewRoman"/>
                <w:b/>
                <w:bCs/>
                <w:kern w:val="0"/>
                <w:sz w:val="16"/>
                <w:szCs w:val="16"/>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6"/>
                <w:szCs w:val="16"/>
              </w:rPr>
            </w:pPr>
            <w:r>
              <w:rPr>
                <w:rFonts w:ascii="TimesNewRoman" w:hAnsi="TimesNewRoman" w:cs="TimesNewRoman"/>
                <w:b/>
                <w:bCs/>
                <w:kern w:val="0"/>
                <w:sz w:val="16"/>
                <w:szCs w:val="16"/>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6"/>
                <w:szCs w:val="16"/>
              </w:rPr>
            </w:pPr>
            <w:r>
              <w:rPr>
                <w:rFonts w:ascii="TimesNewRoman" w:hAnsi="TimesNewRoman" w:cs="TimesNewRoman"/>
                <w:b/>
                <w:bCs/>
                <w:kern w:val="0"/>
                <w:sz w:val="16"/>
                <w:szCs w:val="16"/>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4"/>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18"/>
                <w:szCs w:val="18"/>
                <w:lang w:val="en-US" w:eastAsia="zh-CN" w:bidi="ar-SA"/>
              </w:rPr>
            </w:pPr>
            <w:r>
              <w:rPr>
                <w:rFonts w:ascii="ËÎÌå" w:eastAsia="ËÎÌå" w:hAnsi="ËÎÌå" w:hint="default"/>
                <w:color w:val="000000"/>
                <w:sz w:val="18"/>
                <w:szCs w:val="18"/>
              </w:rPr>
              <w:t>98</w:t>
            </w:r>
            <w:r>
              <w:rPr>
                <w:rFonts w:ascii="ËÎÌå" w:hAnsi="ËÎÌå" w:hint="eastAsia"/>
                <w:color w:val="000000"/>
                <w:sz w:val="18"/>
                <w:szCs w:val="18"/>
                <w:lang w:val="en-US" w:eastAsia="zh-CN"/>
              </w:rPr>
              <w:t>0.38</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r>
              <w:rPr>
                <w:rFonts w:ascii="ËÎÌå" w:eastAsia="ËÎÌå" w:hAnsi="ËÎÌå" w:hint="default"/>
                <w:color w:val="000000"/>
                <w:sz w:val="18"/>
                <w:szCs w:val="18"/>
              </w:rPr>
              <w:t>98</w:t>
            </w:r>
            <w:r>
              <w:rPr>
                <w:rFonts w:ascii="ËÎÌå" w:hAnsi="ËÎÌå" w:hint="eastAsia"/>
                <w:color w:val="000000"/>
                <w:sz w:val="18"/>
                <w:szCs w:val="18"/>
                <w:lang w:val="en-US" w:eastAsia="zh-CN"/>
              </w:rPr>
              <w:t>0.38</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18"/>
                <w:szCs w:val="18"/>
                <w:lang w:val="en-US" w:eastAsia="zh-CN" w:bidi="ar-SA"/>
              </w:rPr>
            </w:pPr>
            <w:r>
              <w:rPr>
                <w:rFonts w:ascii="ËÎÌå" w:eastAsia="ËÎÌå" w:hAnsi="ËÎÌå" w:hint="default"/>
                <w:color w:val="000000"/>
                <w:sz w:val="18"/>
                <w:szCs w:val="18"/>
              </w:rPr>
              <w:t>98</w:t>
            </w:r>
            <w:r>
              <w:rPr>
                <w:rFonts w:ascii="ËÎÌå" w:hAnsi="ËÎÌå" w:hint="eastAsia"/>
                <w:color w:val="000000"/>
                <w:sz w:val="18"/>
                <w:szCs w:val="18"/>
                <w:lang w:val="en-US" w:eastAsia="zh-CN"/>
              </w:rPr>
              <w:t>0.38</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r>
              <w:rPr>
                <w:rFonts w:ascii="ËÎÌå" w:eastAsia="ËÎÌå" w:hAnsi="ËÎÌå" w:hint="default"/>
                <w:color w:val="000000"/>
                <w:sz w:val="18"/>
                <w:szCs w:val="18"/>
              </w:rPr>
              <w:t>141.17</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r>
              <w:rPr>
                <w:rFonts w:ascii="TimesNewRoman" w:hAnsi="TimesNewRoman" w:cs="TimesNewRoman" w:hint="eastAsia"/>
                <w:kern w:val="0"/>
                <w:sz w:val="18"/>
                <w:szCs w:val="18"/>
                <w:lang w:val="en-US" w:eastAsia="zh-CN"/>
              </w:rPr>
              <w:t>768.63</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18"/>
                <w:szCs w:val="18"/>
                <w:lang w:val="en-US" w:eastAsia="zh-CN" w:bidi="ar-SA"/>
              </w:rPr>
            </w:pPr>
            <w:r>
              <w:rPr>
                <w:rFonts w:ascii="ËÎÌå" w:eastAsia="ËÎÌå" w:hAnsi="ËÎÌå" w:hint="default"/>
                <w:color w:val="000000"/>
                <w:sz w:val="18"/>
                <w:szCs w:val="18"/>
              </w:rPr>
              <w:t>70.59</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4"/>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980.38</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980.38</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lang w:eastAsia="zh-CN"/>
        </w:rPr>
        <w:t>寿县迎河镇中心卫生院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208</w:t>
            </w:r>
          </w:p>
        </w:tc>
        <w:tc>
          <w:tcPr>
            <w:tcW w:w="4482" w:type="dxa"/>
            <w:tcBorders>
              <w:top w:val="single" w:sz="4" w:space="0" w:color="auto"/>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社会保障和就业支出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20805</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行政事业单位养老支出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141.17</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2080505</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机关事业单位基本养老保险缴费支出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2080506</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eastAsia"/>
                <w:color w:val="000000"/>
                <w:kern w:val="2"/>
                <w:sz w:val="20"/>
                <w:szCs w:val="24"/>
                <w:lang w:val="en-US" w:eastAsia="zh-CN" w:bidi="ar-SA"/>
              </w:rPr>
            </w:pPr>
            <w:r>
              <w:rPr>
                <w:rFonts w:ascii="ËÎÌå" w:eastAsia="ËÎÌå" w:hAnsi="ËÎÌå" w:hint="default"/>
                <w:color w:val="000000"/>
                <w:sz w:val="20"/>
                <w:szCs w:val="24"/>
              </w:rPr>
              <w:t>　　机关事业单位职业年金缴费支出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210</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卫生健康支出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769.38</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21003</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基层医疗卫生机构</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768.63</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2100302</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乡镇卫生院</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768.63</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760.40</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221</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住房保障支出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22102</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住房改革支出</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2210201</w:t>
            </w:r>
          </w:p>
        </w:tc>
        <w:tc>
          <w:tcPr>
            <w:tcW w:w="4482"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住房公积金</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20"/>
                <w:szCs w:val="24"/>
                <w:lang w:val="en-US" w:eastAsia="zh-CN" w:bidi="ar-SA"/>
              </w:rPr>
            </w:pPr>
            <w:r>
              <w:rPr>
                <w:rFonts w:ascii="ËÎÌå" w:eastAsia="ËÎÌå" w:hAnsi="ËÎÌå" w:hint="default"/>
                <w:color w:val="000000"/>
                <w:sz w:val="20"/>
                <w:szCs w:val="24"/>
              </w:rPr>
              <w:t>98</w:t>
            </w:r>
            <w:r>
              <w:rPr>
                <w:rFonts w:ascii="ËÎÌå" w:hAnsi="ËÎÌå" w:hint="eastAsia"/>
                <w:color w:val="000000"/>
                <w:sz w:val="20"/>
                <w:szCs w:val="24"/>
                <w:lang w:val="en-US" w:eastAsia="zh-CN"/>
              </w:rPr>
              <w:t>0.38</w:t>
            </w:r>
          </w:p>
        </w:tc>
        <w:tc>
          <w:tcPr>
            <w:tcW w:w="1287"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972.16</w:t>
            </w:r>
          </w:p>
        </w:tc>
        <w:tc>
          <w:tcPr>
            <w:tcW w:w="1752"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972.16</w:t>
            </w:r>
          </w:p>
        </w:tc>
        <w:tc>
          <w:tcPr>
            <w:tcW w:w="170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07"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20"/>
                <w:szCs w:val="24"/>
                <w:lang w:val="en-US" w:eastAsia="zh-CN" w:bidi="ar-SA"/>
              </w:rPr>
            </w:pPr>
            <w:r>
              <w:rPr>
                <w:rFonts w:ascii="ËÎÌå" w:hAnsi="ËÎÌå" w:hint="eastAsia"/>
                <w:color w:val="000000"/>
                <w:sz w:val="20"/>
                <w:szCs w:val="24"/>
                <w:lang w:val="en-US" w:eastAsia="zh-CN"/>
              </w:rPr>
              <w:t>8.23</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301</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工资福利支出</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844.67</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844.67</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30101</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基本工资</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378.24</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378.24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30107</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绩效工资</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209.95</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209.95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30108</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机关事业单位基本养老保险缴费</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94.11</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30109</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职业年金缴费</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47.06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30110</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职工基本医疗保险缴费</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40.59</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40.59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30112</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其他社会保障缴费</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4.12</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4.12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30113</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住房公积金</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70.59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30199</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其他工资福利支出</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0.02</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0.02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303</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对个人和家庭的补助</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127.49</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127.49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30302</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退休费</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120.49</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120.49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30305</w:t>
            </w:r>
          </w:p>
        </w:tc>
        <w:tc>
          <w:tcPr>
            <w:tcW w:w="4350"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生活补助</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6.99</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6.99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972.16</w:t>
            </w:r>
          </w:p>
        </w:tc>
        <w:tc>
          <w:tcPr>
            <w:tcW w:w="263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972.16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lang w:eastAsia="zh-CN"/>
        </w:rPr>
        <w:t>寿县迎河镇中心卫生院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部门</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hint="eastAsia"/>
                <w:kern w:val="0"/>
                <w:sz w:val="24"/>
                <w:lang w:eastAsia="zh-CN"/>
              </w:rPr>
              <w:t>寿县迎河镇中心卫生院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hint="eastAsia"/>
          <w:kern w:val="0"/>
          <w:sz w:val="20"/>
        </w:rPr>
      </w:pP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特定目标类</w:t>
            </w:r>
          </w:p>
        </w:tc>
        <w:tc>
          <w:tcPr>
            <w:tcW w:w="1433" w:type="dxa"/>
            <w:tcBorders>
              <w:top w:val="single" w:sz="4" w:space="0" w:color="auto"/>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三年过渡安置人员补助</w:t>
            </w:r>
          </w:p>
        </w:tc>
        <w:tc>
          <w:tcPr>
            <w:tcW w:w="1353"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寿县迎河镇中心卫生院</w:t>
            </w:r>
          </w:p>
        </w:tc>
        <w:tc>
          <w:tcPr>
            <w:tcW w:w="91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c>
          <w:tcPr>
            <w:tcW w:w="1214"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8.23</w:t>
            </w:r>
          </w:p>
        </w:tc>
        <w:tc>
          <w:tcPr>
            <w:tcW w:w="1214"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015"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87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特定目标类</w:t>
            </w:r>
          </w:p>
        </w:tc>
        <w:tc>
          <w:tcPr>
            <w:tcW w:w="1433"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乡镇卫生院医疗卫生支出</w:t>
            </w:r>
          </w:p>
        </w:tc>
        <w:tc>
          <w:tcPr>
            <w:tcW w:w="1353"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寿县迎河镇中心卫生院</w:t>
            </w:r>
          </w:p>
        </w:tc>
        <w:tc>
          <w:tcPr>
            <w:tcW w:w="91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015"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87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p>
        </w:tc>
        <w:tc>
          <w:tcPr>
            <w:tcW w:w="1433"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p>
        </w:tc>
        <w:tc>
          <w:tcPr>
            <w:tcW w:w="1353"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p>
        </w:tc>
        <w:tc>
          <w:tcPr>
            <w:tcW w:w="91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015"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87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2008.</w:t>
            </w:r>
            <w:r>
              <w:rPr>
                <w:rFonts w:ascii="ËÎÌå" w:hAnsi="ËÎÌå" w:hint="eastAsia"/>
                <w:color w:val="000000"/>
                <w:sz w:val="20"/>
                <w:szCs w:val="24"/>
                <w:lang w:val="en-US" w:eastAsia="zh-CN"/>
              </w:rPr>
              <w:t>23</w:t>
            </w: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宋体" w:hAnsi="ËÎÌå" w:cs="Times New Roman" w:hint="default"/>
                <w:color w:val="000000"/>
                <w:kern w:val="2"/>
                <w:sz w:val="20"/>
                <w:szCs w:val="24"/>
                <w:lang w:val="en-US" w:eastAsia="zh-CN" w:bidi="ar-SA"/>
              </w:rPr>
            </w:pPr>
            <w:r>
              <w:rPr>
                <w:rFonts w:ascii="ËÎÌå" w:eastAsia="ËÎÌå" w:hAnsi="ËÎÌå" w:hint="default"/>
                <w:color w:val="000000"/>
                <w:sz w:val="20"/>
                <w:szCs w:val="24"/>
              </w:rPr>
              <w:t>8.</w:t>
            </w:r>
            <w:r>
              <w:rPr>
                <w:rFonts w:ascii="ËÎÌå" w:hAnsi="ËÎÌå" w:hint="eastAsia"/>
                <w:color w:val="000000"/>
                <w:sz w:val="20"/>
                <w:szCs w:val="24"/>
                <w:lang w:val="en-US" w:eastAsia="zh-CN"/>
              </w:rPr>
              <w:t>23</w:t>
            </w: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214"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015"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876"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2000.00</w:t>
            </w:r>
          </w:p>
        </w:tc>
      </w:tr>
    </w:tbl>
    <w:p>
      <w:pPr>
        <w:spacing w:line="560" w:lineRule="exact"/>
        <w:rPr>
          <w:rFonts w:ascii="TimesNewRoman" w:hAnsi="TimesNewRoman" w:cs="TimesNewRoman"/>
          <w:kern w:val="0"/>
          <w:sz w:val="22"/>
        </w:rPr>
      </w:pPr>
      <w:r>
        <w:rPr>
          <w:rFonts w:ascii="TimesNewRoman" w:hAnsi="TimesNewRoman" w:cs="TimesNewRoman"/>
          <w:kern w:val="0"/>
          <w:sz w:val="22"/>
        </w:rPr>
        <w:t>注：没有项目支出预算的部门（单位）也要公开空白表，并备注说明：“</w:t>
      </w:r>
      <w:r>
        <w:rPr>
          <w:rFonts w:ascii="TimesNewRoman" w:hAnsi="TimesNewRoman" w:cs="TimesNewRoman" w:hint="eastAsia"/>
          <w:kern w:val="0"/>
          <w:sz w:val="22"/>
          <w:lang w:eastAsia="zh-CN"/>
        </w:rPr>
        <w:t>寿县迎河镇中心卫生院</w:t>
      </w:r>
      <w:r>
        <w:rPr>
          <w:rFonts w:ascii="TimesNewRoman" w:hAnsi="TimesNewRoman" w:cs="TimesNewRoman"/>
          <w:kern w:val="0"/>
          <w:sz w:val="22"/>
        </w:rPr>
        <w:t>没有使用一般公共预算拨款、政府性基金预算拨款、国有资本经营预算拨款、财政专户管理资金和单位资金安排的项目支出，故本表无数据”。</w:t>
      </w: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456"/>
        <w:gridCol w:w="2685"/>
        <w:gridCol w:w="1023"/>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lang w:eastAsia="zh-CN"/>
              </w:rPr>
              <w:t>寿县迎河镇中心卫生院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456"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2685"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0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2685" w:type="dxa"/>
            <w:tcBorders>
              <w:top w:val="single" w:sz="4" w:space="0" w:color="auto"/>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寿县迎河镇中心卫生院</w:t>
            </w:r>
          </w:p>
        </w:tc>
        <w:tc>
          <w:tcPr>
            <w:tcW w:w="1023"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21.90</w:t>
            </w:r>
          </w:p>
        </w:tc>
        <w:tc>
          <w:tcPr>
            <w:tcW w:w="1643"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single" w:sz="4" w:space="0" w:color="auto"/>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21.90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乡镇卫生院医疗卫生支出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21.90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21.90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A3 彩色打印机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2.00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便携式计算机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1.00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1.00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多功能一体机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4.50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4.50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空调机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4.40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4.40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票据打印机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1.00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1.00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台式计算机</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8.00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8.00</w:t>
            </w:r>
          </w:p>
        </w:tc>
      </w:tr>
      <w:tr>
        <w:tblPrEx>
          <w:tblW w:w="14109" w:type="dxa"/>
          <w:tblInd w:w="0" w:type="dxa"/>
          <w:tblLayout w:type="fixed"/>
          <w:tblCellMar>
            <w:top w:w="0" w:type="dxa"/>
            <w:left w:w="108" w:type="dxa"/>
            <w:bottom w:w="0" w:type="dxa"/>
            <w:right w:w="108" w:type="dxa"/>
          </w:tblCellMar>
        </w:tblPrEx>
        <w:trPr>
          <w:trHeight w:val="496"/>
        </w:trPr>
        <w:tc>
          <w:tcPr>
            <w:tcW w:w="1456"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2685" w:type="dxa"/>
            <w:tcBorders>
              <w:top w:val="nil"/>
              <w:left w:val="nil"/>
              <w:bottom w:val="single" w:sz="4" w:space="0" w:color="auto"/>
              <w:right w:val="single" w:sz="4" w:space="0" w:color="auto"/>
            </w:tcBorders>
            <w:noWrap w:val="0"/>
            <w:vAlign w:val="top"/>
          </w:tcPr>
          <w:p>
            <w:pPr>
              <w:spacing w:beforeLines="0" w:afterLines="0"/>
              <w:jc w:val="lef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　　液晶显示器</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1.00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1.00</w:t>
            </w:r>
          </w:p>
        </w:tc>
      </w:tr>
      <w:tr>
        <w:tblPrEx>
          <w:tblW w:w="14109" w:type="dxa"/>
          <w:tblInd w:w="0" w:type="dxa"/>
          <w:tblLayout w:type="fixed"/>
          <w:tblCellMar>
            <w:top w:w="0" w:type="dxa"/>
            <w:left w:w="108" w:type="dxa"/>
            <w:bottom w:w="0" w:type="dxa"/>
            <w:right w:w="108" w:type="dxa"/>
          </w:tblCellMar>
        </w:tblPrEx>
        <w:trPr>
          <w:trHeight w:val="496"/>
        </w:trPr>
        <w:tc>
          <w:tcPr>
            <w:tcW w:w="4141"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0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21.90</w:t>
            </w:r>
          </w:p>
        </w:tc>
        <w:tc>
          <w:tcPr>
            <w:tcW w:w="164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23"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11"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780"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p>
        </w:tc>
        <w:tc>
          <w:tcPr>
            <w:tcW w:w="1888" w:type="dxa"/>
            <w:tcBorders>
              <w:top w:val="nil"/>
              <w:left w:val="nil"/>
              <w:bottom w:val="single" w:sz="4" w:space="0" w:color="auto"/>
              <w:right w:val="single" w:sz="4" w:space="0" w:color="auto"/>
            </w:tcBorders>
            <w:noWrap w:val="0"/>
            <w:vAlign w:val="top"/>
          </w:tcPr>
          <w:p>
            <w:pPr>
              <w:spacing w:beforeLines="0" w:afterLines="0"/>
              <w:jc w:val="right"/>
              <w:rPr>
                <w:rFonts w:ascii="ËÎÌå" w:eastAsia="ËÎÌå" w:hAnsi="ËÎÌå" w:cs="Times New Roman" w:hint="default"/>
                <w:color w:val="000000"/>
                <w:kern w:val="2"/>
                <w:sz w:val="20"/>
                <w:szCs w:val="24"/>
                <w:lang w:val="en-US" w:eastAsia="zh-CN" w:bidi="ar-SA"/>
              </w:rPr>
            </w:pPr>
            <w:r>
              <w:rPr>
                <w:rFonts w:ascii="ËÎÌå" w:eastAsia="ËÎÌå" w:hAnsi="ËÎÌå" w:hint="default"/>
                <w:color w:val="000000"/>
                <w:sz w:val="20"/>
                <w:szCs w:val="24"/>
              </w:rPr>
              <w:t>21.90</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部门</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寿县迎河镇中心卫生院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hint="eastAsia"/>
          <w:kern w:val="0"/>
          <w:sz w:val="22"/>
          <w:lang w:eastAsia="zh-CN"/>
        </w:rPr>
        <w:t>寿县迎河镇中心卫生院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w:t>
      </w: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所有收入和支出均纳入部门预算管理。</w:t>
      </w: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2981.14</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单位资金收入，支出包括：社会保障和就业支出、卫生健康支出、住房保障支出。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lang w:eastAsia="zh-CN"/>
        </w:rPr>
        <w:t>寿县迎河镇中心卫生院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2980.38</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2980.38</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2980.38</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980.38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32.89</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125.58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14.69</w:t>
      </w:r>
      <w:r>
        <w:rPr>
          <w:rFonts w:ascii="仿宋_GB2312" w:eastAsia="仿宋_GB2312" w:hAnsi="TimesNewRoman" w:cs="TimesNewRoman" w:hint="eastAsia"/>
          <w:sz w:val="32"/>
          <w:szCs w:val="32"/>
        </w:rPr>
        <w:t>%，增长原因主要</w:t>
      </w:r>
      <w:r>
        <w:rPr>
          <w:rFonts w:ascii="仿宋_GB2312" w:eastAsia="仿宋_GB2312" w:hAnsi="TimesNewRoman" w:cs="TimesNewRoman" w:hint="eastAsia"/>
          <w:sz w:val="32"/>
          <w:szCs w:val="32"/>
          <w:lang w:eastAsia="zh-CN"/>
        </w:rPr>
        <w:t>一</w:t>
      </w:r>
      <w:r>
        <w:rPr>
          <w:rFonts w:ascii="仿宋_GB2312" w:eastAsia="仿宋_GB2312" w:hAnsi="TimesNewRoman" w:cs="TimesNewRoman" w:hint="eastAsia"/>
          <w:sz w:val="32"/>
          <w:szCs w:val="32"/>
        </w:rPr>
        <w:t>是</w:t>
      </w:r>
      <w:r>
        <w:rPr>
          <w:rFonts w:ascii="仿宋" w:eastAsia="仿宋" w:hAnsi="仿宋" w:cs="Times New Roman" w:hint="eastAsia"/>
          <w:kern w:val="2"/>
          <w:sz w:val="32"/>
          <w:szCs w:val="32"/>
          <w:lang w:eastAsia="zh-CN"/>
        </w:rPr>
        <w:t>职工工资基数上涨，二是退休补贴纳入预算支出</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2000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67.11</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300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17.65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医疗服务条件、能力提高</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2980.38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425.58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16.65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职工工资基数上涨、医疗服务支出增加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972.16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32.62</w:t>
      </w:r>
      <w:r>
        <w:rPr>
          <w:rFonts w:ascii="仿宋_GB2312" w:eastAsia="仿宋_GB2312" w:hAnsi="TimesNewRoman" w:cs="TimesNewRoman" w:hint="eastAsia"/>
          <w:sz w:val="32"/>
          <w:szCs w:val="32"/>
        </w:rPr>
        <w:t>%，主要用于保障</w:t>
      </w:r>
      <w:r>
        <w:rPr>
          <w:rFonts w:ascii="仿宋_GB2312" w:eastAsia="仿宋_GB2312" w:hAnsi="TimesNewRoman" w:cs="TimesNewRoman" w:hint="eastAsia"/>
          <w:sz w:val="32"/>
          <w:szCs w:val="32"/>
          <w:lang w:eastAsia="zh-CN"/>
        </w:rPr>
        <w:t>职工基本工资</w:t>
      </w:r>
      <w:r>
        <w:rPr>
          <w:rFonts w:ascii="仿宋_GB2312" w:eastAsia="仿宋_GB2312" w:hAnsi="TimesNewRoman" w:cs="TimesNewRoman" w:hint="eastAsia"/>
          <w:sz w:val="32"/>
          <w:szCs w:val="32"/>
        </w:rPr>
        <w:t>；项目支出</w:t>
      </w:r>
      <w:r>
        <w:rPr>
          <w:rFonts w:ascii="仿宋_GB2312" w:eastAsia="仿宋_GB2312" w:hAnsi="TimesNewRoman" w:cs="TimesNewRoman" w:hint="eastAsia"/>
          <w:sz w:val="32"/>
          <w:szCs w:val="32"/>
          <w:lang w:val="en-US" w:eastAsia="zh-CN"/>
        </w:rPr>
        <w:t>2008.23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67.38</w:t>
      </w:r>
      <w:r>
        <w:rPr>
          <w:rFonts w:ascii="仿宋_GB2312" w:eastAsia="仿宋_GB2312" w:hAnsi="TimesNewRoman" w:cs="TimesNewRoman" w:hint="eastAsia"/>
          <w:sz w:val="32"/>
          <w:szCs w:val="32"/>
        </w:rPr>
        <w:t>%，主要用于</w:t>
      </w:r>
      <w:r>
        <w:rPr>
          <w:rFonts w:ascii="仿宋_GB2312" w:eastAsia="仿宋_GB2312" w:hAnsi="仿宋" w:hint="eastAsia"/>
          <w:sz w:val="32"/>
          <w:szCs w:val="32"/>
        </w:rPr>
        <w:t>保障机构日常运转、完成日常工作任务</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980.38</w:t>
      </w:r>
      <w:r>
        <w:rPr>
          <w:rFonts w:ascii="仿宋_GB2312" w:eastAsia="仿宋_GB2312" w:hAnsi="TimesNewRoman" w:cs="TimesNewRoman" w:hint="eastAsia"/>
          <w:sz w:val="32"/>
          <w:szCs w:val="32"/>
        </w:rPr>
        <w:t>万元。收入按资金来源分全部为一般公共预算拨款；按资金年度分全部为当年财政拨款收入</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支出按功能分类分为：社会保障和就业支出</w:t>
      </w:r>
      <w:r>
        <w:rPr>
          <w:rFonts w:ascii="仿宋_GB2312" w:eastAsia="仿宋_GB2312" w:hAnsi="TimesNewRoman" w:cs="TimesNewRoman" w:hint="eastAsia"/>
          <w:sz w:val="32"/>
          <w:szCs w:val="32"/>
          <w:lang w:val="en-US" w:eastAsia="zh-CN"/>
        </w:rPr>
        <w:t>141.17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14.40</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768.63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78.40</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70.59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7.20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980.38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125.58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14.69</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eastAsia="zh-CN"/>
        </w:rPr>
        <w:t>一是</w:t>
      </w:r>
      <w:r>
        <w:rPr>
          <w:rFonts w:ascii="仿宋" w:eastAsia="仿宋" w:hAnsi="仿宋" w:cs="Times New Roman" w:hint="eastAsia"/>
          <w:kern w:val="2"/>
          <w:sz w:val="32"/>
          <w:szCs w:val="32"/>
          <w:lang w:eastAsia="zh-CN"/>
        </w:rPr>
        <w:t>职工工资基数上涨、退休补贴纳入预算支出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141.17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14.40</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768.63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78.40</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70.59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7.20</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adjustRightInd w:val="0"/>
        <w:snapToGrid w:val="0"/>
        <w:spacing w:line="600" w:lineRule="exact"/>
        <w:ind w:firstLine="640" w:firstLineChars="200"/>
        <w:rPr>
          <w:rFonts w:ascii="仿宋_GB2312" w:eastAsia="仿宋_GB2312" w:hAnsi="仿宋" w:cs="Times New Roman" w:hint="eastAsia"/>
          <w:kern w:val="2"/>
          <w:sz w:val="32"/>
          <w:szCs w:val="32"/>
        </w:rPr>
      </w:pPr>
      <w:r>
        <w:rPr>
          <w:rFonts w:ascii="仿宋_GB2312" w:eastAsia="仿宋_GB2312" w:hAnsi="仿宋" w:hint="eastAsia"/>
          <w:b/>
          <w:sz w:val="32"/>
          <w:szCs w:val="32"/>
        </w:rPr>
        <w:t>1. 社会保障和就业支出（类）行政事业单位养老支出（款）机关事业单位基本养老保险缴费支出（项）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94.11</w:t>
      </w:r>
      <w:r>
        <w:rPr>
          <w:rFonts w:ascii="仿宋_GB2312" w:eastAsia="仿宋_GB2312" w:hAnsi="仿宋" w:hint="eastAsia"/>
          <w:sz w:val="32"/>
          <w:szCs w:val="32"/>
        </w:rPr>
        <w:t>万元，比2022年预算增加</w:t>
      </w:r>
      <w:r>
        <w:rPr>
          <w:rFonts w:ascii="仿宋_GB2312" w:eastAsia="仿宋_GB2312" w:hAnsi="仿宋" w:hint="eastAsia"/>
          <w:sz w:val="32"/>
          <w:szCs w:val="32"/>
          <w:lang w:val="en-US" w:eastAsia="zh-CN"/>
        </w:rPr>
        <w:t>0.3</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0.32</w:t>
      </w:r>
      <w:r>
        <w:rPr>
          <w:rFonts w:ascii="仿宋_GB2312" w:eastAsia="仿宋_GB2312" w:hAnsi="仿宋" w:hint="eastAsia"/>
          <w:sz w:val="32"/>
          <w:szCs w:val="32"/>
        </w:rPr>
        <w:t>%，增长原因主要</w:t>
      </w:r>
      <w:r>
        <w:rPr>
          <w:rFonts w:ascii="仿宋" w:eastAsia="仿宋" w:hAnsi="仿宋" w:cs="Times New Roman" w:hint="eastAsia"/>
          <w:kern w:val="2"/>
          <w:sz w:val="32"/>
          <w:szCs w:val="32"/>
        </w:rPr>
        <w:t>是</w:t>
      </w:r>
      <w:r>
        <w:rPr>
          <w:rFonts w:ascii="仿宋" w:eastAsia="仿宋" w:hAnsi="仿宋" w:cs="Times New Roman" w:hint="eastAsia"/>
          <w:kern w:val="2"/>
          <w:sz w:val="32"/>
          <w:szCs w:val="32"/>
          <w:lang w:eastAsia="zh-CN"/>
        </w:rPr>
        <w:t>职工工资基数上涨</w:t>
      </w:r>
      <w:r>
        <w:rPr>
          <w:rFonts w:ascii="仿宋_GB2312" w:eastAsia="仿宋_GB2312" w:hAnsi="仿宋" w:cs="Times New Roman" w:hint="eastAsia"/>
          <w:kern w:val="2"/>
          <w:sz w:val="32"/>
          <w:szCs w:val="32"/>
        </w:rPr>
        <w:t>。</w:t>
      </w:r>
    </w:p>
    <w:p>
      <w:pPr>
        <w:adjustRightInd w:val="0"/>
        <w:snapToGrid w:val="0"/>
        <w:spacing w:line="600" w:lineRule="exact"/>
        <w:ind w:firstLine="640" w:firstLineChars="200"/>
        <w:rPr>
          <w:rFonts w:ascii="仿宋_GB2312" w:eastAsia="仿宋_GB2312" w:hAnsi="仿宋" w:hint="eastAsia"/>
          <w:sz w:val="32"/>
          <w:szCs w:val="32"/>
        </w:rPr>
      </w:pPr>
      <w:r>
        <w:rPr>
          <w:rFonts w:ascii="仿宋_GB2312" w:eastAsia="仿宋_GB2312" w:hAnsi="仿宋" w:hint="eastAsia"/>
          <w:b/>
          <w:sz w:val="32"/>
          <w:szCs w:val="32"/>
        </w:rPr>
        <w:t>2.社会保障和就业支出（类）行政事业单位养老支出（款）机关事业单位职业年金缴费支出（项）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47.06</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0.16</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0.34</w:t>
      </w:r>
      <w:r>
        <w:rPr>
          <w:rFonts w:ascii="仿宋_GB2312" w:eastAsia="仿宋_GB2312" w:hAnsi="仿宋" w:hint="eastAsia"/>
          <w:sz w:val="32"/>
          <w:szCs w:val="32"/>
        </w:rPr>
        <w:t>%，增长原因主要</w:t>
      </w:r>
      <w:r>
        <w:rPr>
          <w:rFonts w:ascii="仿宋" w:eastAsia="仿宋" w:hAnsi="仿宋" w:cs="Times New Roman" w:hint="eastAsia"/>
          <w:kern w:val="2"/>
          <w:sz w:val="32"/>
          <w:szCs w:val="32"/>
        </w:rPr>
        <w:t>是</w:t>
      </w:r>
      <w:r>
        <w:rPr>
          <w:rFonts w:ascii="仿宋" w:eastAsia="仿宋" w:hAnsi="仿宋" w:cs="Times New Roman" w:hint="eastAsia"/>
          <w:kern w:val="2"/>
          <w:sz w:val="32"/>
          <w:szCs w:val="32"/>
          <w:lang w:eastAsia="zh-CN"/>
        </w:rPr>
        <w:t>职工工资基数上涨</w:t>
      </w:r>
      <w:r>
        <w:rPr>
          <w:rFonts w:ascii="仿宋_GB2312" w:eastAsia="仿宋_GB2312" w:hAnsi="仿宋" w:hint="eastAsia"/>
          <w:sz w:val="32"/>
          <w:szCs w:val="32"/>
        </w:rPr>
        <w:t>。</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仿宋" w:hint="eastAsia"/>
          <w:b/>
          <w:sz w:val="32"/>
          <w:szCs w:val="32"/>
        </w:rPr>
        <w:t>3.卫生健康支出（类）基层医疗卫生机构（款）乡镇卫生院（项）</w:t>
      </w:r>
      <w:r>
        <w:rPr>
          <w:rFonts w:ascii="仿宋_GB2312" w:eastAsia="仿宋_GB2312" w:hAnsi="仿宋" w:hint="eastAsia"/>
          <w:sz w:val="32"/>
          <w:szCs w:val="32"/>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年预算</w:t>
      </w:r>
      <w:r>
        <w:rPr>
          <w:rFonts w:ascii="仿宋_GB2312" w:eastAsia="仿宋_GB2312" w:hAnsi="仿宋" w:hint="eastAsia"/>
          <w:sz w:val="32"/>
          <w:szCs w:val="32"/>
          <w:lang w:val="en-US" w:eastAsia="zh-CN"/>
        </w:rPr>
        <w:t>768.63</w:t>
      </w:r>
      <w:r>
        <w:rPr>
          <w:rFonts w:ascii="仿宋_GB2312" w:eastAsia="仿宋_GB2312" w:hAnsi="仿宋" w:hint="eastAsia"/>
          <w:sz w:val="32"/>
          <w:szCs w:val="32"/>
        </w:rPr>
        <w:t>万元，比202</w:t>
      </w:r>
      <w:r>
        <w:rPr>
          <w:rFonts w:ascii="仿宋_GB2312" w:eastAsia="仿宋_GB2312" w:hAnsi="仿宋" w:hint="eastAsia"/>
          <w:sz w:val="32"/>
          <w:szCs w:val="32"/>
          <w:lang w:val="en-US" w:eastAsia="zh-CN"/>
        </w:rPr>
        <w:t>3</w:t>
      </w:r>
      <w:r>
        <w:rPr>
          <w:rFonts w:ascii="仿宋_GB2312" w:eastAsia="仿宋_GB2312" w:hAnsi="仿宋" w:hint="eastAsia"/>
          <w:sz w:val="32"/>
          <w:szCs w:val="32"/>
        </w:rPr>
        <w:t>年预算增加</w:t>
      </w:r>
      <w:r>
        <w:rPr>
          <w:rFonts w:ascii="仿宋_GB2312" w:eastAsia="仿宋_GB2312" w:hAnsi="仿宋" w:hint="eastAsia"/>
          <w:sz w:val="32"/>
          <w:szCs w:val="32"/>
          <w:lang w:val="en-US" w:eastAsia="zh-CN"/>
        </w:rPr>
        <w:t>124.89</w:t>
      </w:r>
      <w:r>
        <w:rPr>
          <w:rFonts w:ascii="仿宋_GB2312" w:eastAsia="仿宋_GB2312" w:hAnsi="仿宋" w:hint="eastAsia"/>
          <w:sz w:val="32"/>
          <w:szCs w:val="32"/>
        </w:rPr>
        <w:t>万元，增长</w:t>
      </w:r>
      <w:r>
        <w:rPr>
          <w:rFonts w:ascii="仿宋_GB2312" w:eastAsia="仿宋_GB2312" w:hAnsi="仿宋" w:hint="eastAsia"/>
          <w:sz w:val="32"/>
          <w:szCs w:val="32"/>
          <w:lang w:val="en-US" w:eastAsia="zh-CN"/>
        </w:rPr>
        <w:t>19.40</w:t>
      </w:r>
      <w:r>
        <w:rPr>
          <w:rFonts w:ascii="仿宋_GB2312" w:eastAsia="仿宋_GB2312" w:hAnsi="仿宋" w:hint="eastAsia"/>
          <w:sz w:val="32"/>
          <w:szCs w:val="32"/>
        </w:rPr>
        <w:t>%，增长原因主要</w:t>
      </w:r>
      <w:r>
        <w:rPr>
          <w:rFonts w:ascii="仿宋" w:eastAsia="仿宋" w:hAnsi="仿宋" w:cs="Times New Roman" w:hint="eastAsia"/>
          <w:kern w:val="2"/>
          <w:sz w:val="32"/>
          <w:szCs w:val="32"/>
        </w:rPr>
        <w:t>是</w:t>
      </w:r>
      <w:r>
        <w:rPr>
          <w:rFonts w:ascii="仿宋" w:eastAsia="仿宋" w:hAnsi="仿宋" w:cs="Times New Roman" w:hint="eastAsia"/>
          <w:kern w:val="2"/>
          <w:sz w:val="32"/>
          <w:szCs w:val="32"/>
          <w:lang w:eastAsia="zh-CN"/>
        </w:rPr>
        <w:t>职工工资基数上涨、退休补贴纳入预算</w:t>
      </w:r>
      <w:r>
        <w:rPr>
          <w:rFonts w:ascii="仿宋_GB2312" w:eastAsia="仿宋_GB2312" w:hAnsi="仿宋"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70.59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0.24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0.34</w:t>
      </w:r>
      <w:r>
        <w:rPr>
          <w:rFonts w:ascii="仿宋_GB2312" w:eastAsia="仿宋_GB2312" w:hAnsi="TimesNewRoman" w:cs="TimesNewRoman" w:hint="eastAsia"/>
          <w:sz w:val="32"/>
          <w:szCs w:val="32"/>
        </w:rPr>
        <w:t>%，</w:t>
      </w:r>
      <w:r>
        <w:rPr>
          <w:rFonts w:ascii="仿宋_GB2312" w:eastAsia="仿宋_GB2312" w:hAnsi="仿宋" w:hint="eastAsia"/>
          <w:sz w:val="32"/>
          <w:szCs w:val="32"/>
        </w:rPr>
        <w:t>增长原因主要</w:t>
      </w:r>
      <w:r>
        <w:rPr>
          <w:rFonts w:ascii="仿宋" w:eastAsia="仿宋" w:hAnsi="仿宋" w:cs="Times New Roman" w:hint="eastAsia"/>
          <w:kern w:val="2"/>
          <w:sz w:val="32"/>
          <w:szCs w:val="32"/>
        </w:rPr>
        <w:t>是</w:t>
      </w:r>
      <w:r>
        <w:rPr>
          <w:rFonts w:ascii="仿宋" w:eastAsia="仿宋" w:hAnsi="仿宋" w:cs="Times New Roman" w:hint="eastAsia"/>
          <w:kern w:val="2"/>
          <w:sz w:val="32"/>
          <w:szCs w:val="32"/>
          <w:lang w:eastAsia="zh-CN"/>
        </w:rPr>
        <w:t>职工工资基数上涨</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972.16</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972.16</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972.16</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基本工资、绩效工资、机关事业单位基本养老保险费、职业年金缴费、职工基本医疗保险缴费、其他社会保障缴费、住房公积金、其他工资福利支出、退休费、生活补助。</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2008.23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301.9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17.69</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医疗服务收入增加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8.23</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8.23</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lang w:val="en-US" w:eastAsia="zh-CN"/>
        </w:rPr>
        <w:t>2000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21.9</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7</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24.22</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采购货物减少</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21.9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rPr>
        <w:t>乡镇卫生院医疗卫生支出</w:t>
      </w:r>
      <w:r>
        <w:rPr>
          <w:rFonts w:ascii="仿宋_GB2312" w:eastAsia="仿宋_GB2312" w:hAnsi="TimesNewRoman" w:cs="TimesNewRoman" w:hint="eastAsia"/>
          <w:b/>
          <w:sz w:val="32"/>
          <w:szCs w:val="32"/>
        </w:rPr>
        <w:t>”项目。</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楷体" w:hint="eastAsia"/>
          <w:sz w:val="32"/>
          <w:szCs w:val="32"/>
        </w:rPr>
        <w:t>提高</w:t>
      </w:r>
      <w:r>
        <w:rPr>
          <w:rFonts w:ascii="仿宋_GB2312" w:eastAsia="仿宋_GB2312" w:hAnsi="楷体" w:hint="eastAsia"/>
          <w:sz w:val="32"/>
          <w:szCs w:val="32"/>
          <w:lang w:eastAsia="zh-CN"/>
        </w:rPr>
        <w:t>单位</w:t>
      </w:r>
      <w:r>
        <w:rPr>
          <w:rFonts w:ascii="仿宋_GB2312" w:eastAsia="仿宋_GB2312" w:hAnsi="楷体" w:hint="eastAsia"/>
          <w:sz w:val="32"/>
          <w:szCs w:val="32"/>
        </w:rPr>
        <w:t>资金使用效率，确保执行率符合要求，为人民身体健康提供医疗与护理保健服务</w:t>
      </w:r>
      <w:r>
        <w:rPr>
          <w:rFonts w:ascii="仿宋_GB2312" w:eastAsia="仿宋_GB2312" w:hAnsi="楷体" w:hint="eastAsia"/>
          <w:sz w:val="32"/>
          <w:szCs w:val="32"/>
          <w:lang w:eastAsia="zh-CN"/>
        </w:rPr>
        <w:t>。</w:t>
      </w:r>
    </w:p>
    <w:p>
      <w:pPr>
        <w:topLinePunct/>
        <w:adjustRightInd w:val="0"/>
        <w:snapToGrid w:val="0"/>
        <w:spacing w:line="580" w:lineRule="exact"/>
        <w:ind w:firstLine="640" w:firstLineChars="200"/>
        <w:rPr>
          <w:rFonts w:ascii="仿宋_GB2312" w:eastAsia="仿宋_GB2312" w:hAnsi="仿宋" w:cs="Times New Roman" w:hint="eastAsia"/>
          <w:sz w:val="32"/>
          <w:szCs w:val="32"/>
          <w:lang w:eastAsia="zh-CN"/>
        </w:rPr>
      </w:pPr>
      <w:r>
        <w:rPr>
          <w:rFonts w:ascii="仿宋_GB2312" w:eastAsia="仿宋_GB2312" w:hAnsi="TimesNewRoman" w:cs="TimesNewRoman" w:hint="eastAsia"/>
          <w:sz w:val="32"/>
          <w:szCs w:val="32"/>
        </w:rPr>
        <w:t>（2）立项依据。</w:t>
      </w:r>
      <w:r>
        <w:rPr>
          <w:rFonts w:ascii="仿宋_GB2312" w:eastAsia="仿宋_GB2312" w:hAnsi="仿宋" w:cs="Times New Roman" w:hint="eastAsia"/>
          <w:sz w:val="32"/>
          <w:szCs w:val="32"/>
        </w:rPr>
        <w:t>保障机构日常运转、完成日常工作任务</w:t>
      </w:r>
      <w:r>
        <w:rPr>
          <w:rFonts w:ascii="仿宋_GB2312" w:eastAsia="仿宋_GB2312" w:hAnsi="仿宋" w:cs="Times New Roman" w:hint="eastAsia"/>
          <w:sz w:val="32"/>
          <w:szCs w:val="32"/>
          <w:lang w:eastAsia="zh-CN"/>
        </w:rPr>
        <w:t>。</w:t>
      </w:r>
    </w:p>
    <w:p>
      <w:pPr>
        <w:topLinePunct/>
        <w:adjustRightInd w:val="0"/>
        <w:snapToGrid w:val="0"/>
        <w:spacing w:line="580" w:lineRule="exact"/>
        <w:ind w:firstLine="640" w:firstLineChars="200"/>
        <w:rPr>
          <w:rFonts w:ascii="仿宋_GB2312" w:eastAsia="仿宋_GB2312" w:hAnsi="楷体"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楷体" w:hint="eastAsia"/>
          <w:sz w:val="32"/>
          <w:szCs w:val="32"/>
          <w:lang w:eastAsia="zh-CN"/>
        </w:rPr>
        <w:t>寿县迎河镇中心卫生院</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2024.01.01-2024.12.31</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楷体" w:hint="eastAsia"/>
          <w:sz w:val="32"/>
          <w:szCs w:val="32"/>
        </w:rPr>
        <w:t>提高</w:t>
      </w:r>
      <w:r>
        <w:rPr>
          <w:rFonts w:ascii="仿宋_GB2312" w:eastAsia="仿宋_GB2312" w:hAnsi="楷体" w:hint="eastAsia"/>
          <w:sz w:val="32"/>
          <w:szCs w:val="32"/>
          <w:lang w:eastAsia="zh-CN"/>
        </w:rPr>
        <w:t>单位</w:t>
      </w:r>
      <w:r>
        <w:rPr>
          <w:rFonts w:ascii="仿宋_GB2312" w:eastAsia="仿宋_GB2312" w:hAnsi="楷体" w:hint="eastAsia"/>
          <w:sz w:val="32"/>
          <w:szCs w:val="32"/>
        </w:rPr>
        <w:t>资金使用效率，确保执行率符合要求，为人民身体健康提供医疗与护理保健服务</w:t>
      </w:r>
      <w:r>
        <w:rPr>
          <w:rFonts w:ascii="仿宋_GB2312" w:eastAsia="仿宋_GB2312" w:hAnsi="楷体" w:hint="eastAsia"/>
          <w:sz w:val="32"/>
          <w:szCs w:val="32"/>
          <w:lang w:eastAsia="zh-CN"/>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（6）年度预算安排。</w:t>
      </w:r>
      <w:r>
        <w:rPr>
          <w:rFonts w:ascii="仿宋_GB2312" w:eastAsia="仿宋_GB2312" w:hAnsi="仿宋" w:hint="eastAsia"/>
          <w:sz w:val="32"/>
          <w:szCs w:val="32"/>
          <w:lang w:val="en-US" w:eastAsia="zh-CN"/>
        </w:rPr>
        <w:t>2000万元。</w:t>
      </w:r>
    </w:p>
    <w:p>
      <w:pPr>
        <w:adjustRightInd w:val="0"/>
        <w:snapToGrid w:val="0"/>
        <w:spacing w:line="60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r>
        <w:rPr>
          <w:rFonts w:ascii="仿宋_GB2312" w:eastAsia="仿宋_GB2312" w:hAnsi="仿宋" w:cs="Times New Roman" w:hint="eastAsia"/>
          <w:sz w:val="32"/>
          <w:szCs w:val="32"/>
        </w:rPr>
        <w:t>保障机构日常运转、完成日常工作任务</w:t>
      </w:r>
      <w:r>
        <w:rPr>
          <w:rFonts w:ascii="仿宋_GB2312" w:eastAsia="仿宋_GB2312" w:hAnsi="仿宋" w:cs="Times New Roman" w:hint="eastAsia"/>
          <w:sz w:val="32"/>
          <w:szCs w:val="32"/>
          <w:lang w:eastAsia="zh-CN"/>
        </w:rPr>
        <w:t>。</w:t>
      </w:r>
    </w:p>
    <w:p>
      <w:pPr>
        <w:topLinePunct/>
        <w:adjustRightInd w:val="0"/>
        <w:snapToGrid w:val="0"/>
        <w:spacing w:line="580" w:lineRule="exact"/>
        <w:ind w:firstLine="640" w:firstLineChars="200"/>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寿县迎河镇中心卫生院</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hAnsi="宋体" w:cs="宋体" w:hint="eastAsia"/>
                <w:color w:val="000000"/>
                <w:kern w:val="0"/>
                <w:sz w:val="18"/>
                <w:szCs w:val="18"/>
                <w:lang w:bidi="ar"/>
              </w:rPr>
            </w:pPr>
            <w:bookmarkStart w:id="0" w:name="OLE_LINK1" w:colFirst="1" w:colLast="1"/>
            <w:r>
              <w:rPr>
                <w:rFonts w:ascii="宋体" w:hAnsi="宋体" w:cs="宋体" w:hint="eastAsia"/>
                <w:color w:val="000000"/>
                <w:kern w:val="0"/>
                <w:sz w:val="18"/>
                <w:szCs w:val="18"/>
                <w:lang w:bidi="ar"/>
              </w:rPr>
              <w:t xml:space="preserve">主管部门 </w:t>
            </w:r>
          </w:p>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及代码</w:t>
            </w:r>
          </w:p>
        </w:tc>
        <w:tc>
          <w:tcPr>
            <w:tcW w:w="3349"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eastAsia"/>
                <w:sz w:val="18"/>
                <w:szCs w:val="18"/>
                <w:lang w:eastAsia="zh-CN"/>
              </w:rPr>
            </w:pPr>
            <w:r>
              <w:rPr>
                <w:rFonts w:hint="eastAsia"/>
                <w:sz w:val="18"/>
                <w:szCs w:val="18"/>
                <w:lang w:eastAsia="zh-CN"/>
              </w:rPr>
              <w:t>寿县迎河镇中心卫生院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单位资金</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eastAsia"/>
                <w:sz w:val="18"/>
                <w:szCs w:val="18"/>
                <w:lang w:eastAsia="zh-CN"/>
              </w:rPr>
            </w:pPr>
            <w:r>
              <w:rPr>
                <w:rFonts w:hint="eastAsia"/>
                <w:sz w:val="18"/>
                <w:szCs w:val="18"/>
                <w:lang w:eastAsia="zh-CN"/>
              </w:rPr>
              <w:t>一年</w:t>
            </w:r>
          </w:p>
        </w:tc>
      </w:tr>
      <w:bookmarkEnd w:id="0"/>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2000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2000</w:t>
            </w: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tabs>
                <w:tab w:val="left" w:pos="845"/>
              </w:tabs>
              <w:spacing w:line="260" w:lineRule="exact"/>
              <w:jc w:val="left"/>
              <w:rPr>
                <w:rFonts w:ascii="宋体" w:cs="宋体" w:hint="eastAsia"/>
                <w:sz w:val="18"/>
                <w:szCs w:val="18"/>
                <w:lang w:eastAsia="zh-CN"/>
              </w:rPr>
            </w:pPr>
            <w:r>
              <w:rPr>
                <w:rFonts w:ascii="宋体" w:cs="宋体" w:hint="eastAsia"/>
                <w:sz w:val="18"/>
                <w:szCs w:val="18"/>
                <w:lang w:eastAsia="zh-CN"/>
              </w:rPr>
              <w:t>目标1：保障机构日常运转。 </w:t>
            </w:r>
          </w:p>
          <w:p>
            <w:pPr>
              <w:tabs>
                <w:tab w:val="left" w:pos="845"/>
              </w:tabs>
              <w:spacing w:line="260" w:lineRule="exact"/>
              <w:jc w:val="left"/>
              <w:rPr>
                <w:rFonts w:ascii="宋体" w:cs="宋体" w:hint="eastAsia"/>
                <w:sz w:val="18"/>
                <w:szCs w:val="18"/>
                <w:lang w:eastAsia="zh-CN"/>
              </w:rPr>
            </w:pPr>
            <w:r>
              <w:rPr>
                <w:rFonts w:ascii="宋体" w:cs="宋体" w:hint="eastAsia"/>
                <w:sz w:val="18"/>
                <w:szCs w:val="18"/>
                <w:lang w:eastAsia="zh-CN"/>
              </w:rPr>
              <w:t xml:space="preserve">目标2：完成日常工作任务。  </w:t>
            </w:r>
          </w:p>
          <w:p>
            <w:pPr>
              <w:tabs>
                <w:tab w:val="left" w:pos="845"/>
              </w:tabs>
              <w:spacing w:line="260" w:lineRule="exact"/>
              <w:jc w:val="left"/>
              <w:rPr>
                <w:rFonts w:ascii="宋体" w:eastAsia="宋体" w:cs="宋体" w:hint="eastAsia"/>
                <w:sz w:val="18"/>
                <w:szCs w:val="18"/>
                <w:lang w:eastAsia="zh-CN"/>
              </w:rPr>
            </w:pPr>
            <w:r>
              <w:rPr>
                <w:rFonts w:ascii="宋体" w:cs="宋体" w:hint="eastAsia"/>
                <w:sz w:val="18"/>
                <w:szCs w:val="18"/>
                <w:lang w:eastAsia="zh-CN"/>
              </w:rPr>
              <w:t>目标3：保障辖区居民健康。</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eastAsia="宋体" w:cs="宋体" w:hint="eastAsia"/>
                <w:sz w:val="18"/>
                <w:szCs w:val="18"/>
                <w:lang w:eastAsia="zh-CN"/>
              </w:rPr>
            </w:pPr>
            <w:r>
              <w:rPr>
                <w:rFonts w:ascii="宋体" w:cs="宋体" w:hint="eastAsia"/>
                <w:sz w:val="18"/>
                <w:szCs w:val="18"/>
                <w:lang w:eastAsia="zh-CN"/>
              </w:rPr>
              <w:t>医院接诊量</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eastAsia="zh-CN"/>
              </w:rPr>
              <w:t>≥</w:t>
            </w:r>
            <w:r>
              <w:rPr>
                <w:rFonts w:ascii="宋体" w:cs="宋体" w:hint="eastAsia"/>
                <w:sz w:val="18"/>
                <w:szCs w:val="18"/>
                <w:lang w:val="en-US" w:eastAsia="zh-CN"/>
              </w:rPr>
              <w:t>6万人次</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医疗收费标准规范执行率</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各项工作完成及时率</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成本合规率</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业务总收入</w:t>
            </w:r>
          </w:p>
        </w:tc>
        <w:tc>
          <w:tcPr>
            <w:tcW w:w="4228" w:type="dxa"/>
            <w:gridSpan w:val="2"/>
            <w:noWrap w:val="0"/>
            <w:vAlign w:val="center"/>
          </w:tcPr>
          <w:p>
            <w:pPr>
              <w:spacing w:line="260" w:lineRule="exact"/>
              <w:jc w:val="center"/>
              <w:rPr>
                <w:rFonts w:ascii="宋体" w:cs="宋体" w:hint="default"/>
                <w:sz w:val="18"/>
                <w:szCs w:val="18"/>
                <w:lang w:val="en-US"/>
              </w:rPr>
            </w:pPr>
            <w:r>
              <w:rPr>
                <w:rFonts w:ascii="宋体" w:cs="宋体" w:hint="eastAsia"/>
                <w:sz w:val="18"/>
                <w:szCs w:val="18"/>
                <w:lang w:eastAsia="zh-CN"/>
              </w:rPr>
              <w:t>≥</w:t>
            </w:r>
            <w:r>
              <w:rPr>
                <w:rFonts w:ascii="宋体" w:cs="宋体" w:hint="eastAsia"/>
                <w:sz w:val="18"/>
                <w:szCs w:val="18"/>
                <w:lang w:val="en-US" w:eastAsia="zh-CN"/>
              </w:rPr>
              <w:t>2000万元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提升医疗服务水平</w:t>
            </w:r>
          </w:p>
        </w:tc>
        <w:tc>
          <w:tcPr>
            <w:tcW w:w="4228"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保障</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医疗废弃物按标准排放</w:t>
            </w:r>
          </w:p>
        </w:tc>
        <w:tc>
          <w:tcPr>
            <w:tcW w:w="4228"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标准排放</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保障辖区居民健康水平</w:t>
            </w:r>
          </w:p>
        </w:tc>
        <w:tc>
          <w:tcPr>
            <w:tcW w:w="4228"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持续保障</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eastAsia="宋体" w:hAnsi="宋体" w:cs="宋体" w:hint="eastAsia"/>
                <w:sz w:val="18"/>
                <w:szCs w:val="18"/>
                <w:lang w:eastAsia="zh-CN"/>
              </w:rPr>
            </w:pPr>
            <w:r>
              <w:rPr>
                <w:rFonts w:ascii="宋体" w:hAnsi="宋体" w:cs="宋体" w:hint="eastAsia"/>
                <w:color w:val="000000"/>
                <w:kern w:val="0"/>
                <w:sz w:val="18"/>
                <w:szCs w:val="18"/>
                <w:lang w:bidi="ar"/>
              </w:rPr>
              <w:t>辖区居民</w:t>
            </w:r>
            <w:r>
              <w:rPr>
                <w:rFonts w:ascii="宋体" w:hAnsi="宋体" w:cs="宋体" w:hint="eastAsia"/>
                <w:color w:val="000000"/>
                <w:kern w:val="0"/>
                <w:sz w:val="18"/>
                <w:szCs w:val="18"/>
                <w:lang w:eastAsia="zh-CN" w:bidi="ar"/>
              </w:rPr>
              <w:t>满意度</w:t>
            </w:r>
          </w:p>
        </w:tc>
        <w:tc>
          <w:tcPr>
            <w:tcW w:w="4228" w:type="dxa"/>
            <w:gridSpan w:val="2"/>
            <w:noWrap w:val="0"/>
            <w:vAlign w:val="center"/>
          </w:tcPr>
          <w:p>
            <w:pPr>
              <w:spacing w:line="260" w:lineRule="exact"/>
              <w:jc w:val="center"/>
              <w:rPr>
                <w:rFonts w:ascii="宋体" w:cs="宋体" w:hint="default"/>
                <w:sz w:val="18"/>
                <w:szCs w:val="18"/>
                <w:lang w:val="en-US"/>
              </w:rPr>
            </w:pPr>
            <w:bookmarkStart w:id="1" w:name="_GoBack"/>
            <w:r>
              <w:rPr>
                <w:rFonts w:ascii="宋体" w:cs="宋体" w:hint="eastAsia"/>
                <w:sz w:val="18"/>
                <w:szCs w:val="18"/>
                <w:lang w:eastAsia="zh-CN"/>
              </w:rPr>
              <w:t>≥</w:t>
            </w:r>
            <w:r>
              <w:rPr>
                <w:rFonts w:ascii="宋体" w:cs="宋体" w:hint="eastAsia"/>
                <w:sz w:val="18"/>
                <w:szCs w:val="18"/>
                <w:lang w:val="en-US" w:eastAsia="zh-CN"/>
              </w:rPr>
              <w:t>90%</w:t>
            </w:r>
            <w:bookmarkEnd w:id="1"/>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寿县迎河镇中心卫生院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lang w:eastAsia="zh-CN"/>
        </w:rPr>
        <w:t>寿县迎河镇中心卫生院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21.9</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21.9</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lang w:eastAsia="zh-CN"/>
        </w:rPr>
        <w:t>寿县迎河镇中心卫生院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台，单价100万元以上的专用设备</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台。</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2024年部门预算安排购置公务用车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lang w:eastAsia="zh-CN"/>
        </w:rPr>
        <w:t>寿县迎河镇中心卫生院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lang w:val="en-US" w:eastAsia="zh-CN"/>
        </w:rPr>
        <w:t>200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十二、</w:t>
      </w:r>
      <w:r>
        <w:rPr>
          <w:rFonts w:ascii="TimesNewRoman" w:eastAsia="仿宋_GB2312" w:hAnsi="TimesNewRoman" w:cs="TimesNewRoman"/>
          <w:sz w:val="32"/>
          <w:szCs w:val="32"/>
        </w:rPr>
        <w:t>……。</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TimesNewRoman" w:eastAsia="仿宋_GB2312" w:hAnsi="TimesNewRoman" w:cs="TimesNewRoman"/>
          <w:sz w:val="32"/>
          <w:szCs w:val="32"/>
        </w:rPr>
        <w:t>……</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pgSz w:w="11907" w:h="16840"/>
          <w:pgMar w:top="2098" w:right="1474" w:bottom="1985" w:left="1588" w:header="851" w:footer="1021" w:gutter="0"/>
          <w:cols w:num="1" w:space="425"/>
          <w:docGrid w:type="lines" w:linePitch="312" w:charSpace="0"/>
        </w:sectPr>
      </w:pPr>
      <w:r>
        <w:rPr>
          <w:rFonts w:ascii="TimesNewRoman" w:eastAsia="楷体_GB2312" w:hAnsi="TimesNewRoman" w:cs="TimesNewRoman"/>
          <w:sz w:val="32"/>
          <w:szCs w:val="32"/>
        </w:rPr>
        <w:t>（各部门、单位均应公开名词解释，并可根据实际情况增</w:t>
      </w: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ËÎÌå">
    <w:altName w:val="Times New Roman"/>
    <w:panose1 w:val="00000000000000000000"/>
    <w:charset w:val="00"/>
    <w:family w:val="auto"/>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10" w:usb3="00000000" w:csb0="0004009F" w:csb1="00000000"/>
  </w:font>
  <w:font w:name="汉仪中秀体简">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43A5387"/>
    <w:rsid w:val="07C5140B"/>
    <w:rsid w:val="092C1016"/>
    <w:rsid w:val="0CF85DDF"/>
    <w:rsid w:val="0E56100F"/>
    <w:rsid w:val="16B70AB9"/>
    <w:rsid w:val="170D06D9"/>
    <w:rsid w:val="1B0C776C"/>
    <w:rsid w:val="1BC16C12"/>
    <w:rsid w:val="1EF108E0"/>
    <w:rsid w:val="20825C93"/>
    <w:rsid w:val="20F85F56"/>
    <w:rsid w:val="23D34A58"/>
    <w:rsid w:val="25A95A70"/>
    <w:rsid w:val="29E4351B"/>
    <w:rsid w:val="2D4D587B"/>
    <w:rsid w:val="34C97AC9"/>
    <w:rsid w:val="38740160"/>
    <w:rsid w:val="3C7626F9"/>
    <w:rsid w:val="424D126F"/>
    <w:rsid w:val="4BD17363"/>
    <w:rsid w:val="4E600B13"/>
    <w:rsid w:val="5314011E"/>
    <w:rsid w:val="54B03230"/>
    <w:rsid w:val="5D69550A"/>
    <w:rsid w:val="61855943"/>
    <w:rsid w:val="657A02B4"/>
    <w:rsid w:val="69EC54F9"/>
    <w:rsid w:val="6C7812C6"/>
    <w:rsid w:val="6F951726"/>
    <w:rsid w:val="73B01345"/>
    <w:rsid w:val="74114673"/>
    <w:rsid w:val="74911176"/>
    <w:rsid w:val="75834F63"/>
  </w:rsids>
  <w:docVars>
    <w:docVar w:name="commondata" w:val="eyJoZGlkIjoiOTA5NjIwMzFjMmEzOWViMDZlNThjNjI3OWFiMDgzN2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15</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陈小迪</cp:lastModifiedBy>
  <cp:revision>1</cp:revision>
  <dcterms:created xsi:type="dcterms:W3CDTF">2024-01-16T02:39:00Z</dcterms:created>
  <dcterms:modified xsi:type="dcterms:W3CDTF">2024-01-23T04:45:18Z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