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pPr>
        <w:spacing w:line="560" w:lineRule="exact"/>
        <w:rPr>
          <w:rFonts w:ascii="黑体" w:eastAsia="黑体" w:hAnsi="黑体" w:cs="TimesNewRoman"/>
          <w:sz w:val="32"/>
          <w:szCs w:val="32"/>
        </w:rPr>
      </w:pPr>
      <w:r>
        <w:rPr>
          <w:rFonts w:ascii="黑体" w:eastAsia="黑体" w:hAnsi="黑体" w:cs="TimesNewRoman" w:hint="eastAsia"/>
          <w:sz w:val="32"/>
          <w:szCs w:val="32"/>
        </w:rPr>
        <w:t>附件1</w:t>
      </w:r>
    </w:p>
    <w:p>
      <w:pPr>
        <w:spacing w:line="560" w:lineRule="exact"/>
        <w:rPr>
          <w:rFonts w:ascii="TimesNewRoman" w:eastAsia="黑体" w:hAnsi="TimesNewRoman" w:cs="TimesNewRoman"/>
          <w:szCs w:val="32"/>
        </w:rPr>
      </w:pPr>
    </w:p>
    <w:p>
      <w:pPr>
        <w:spacing w:line="560" w:lineRule="exact"/>
        <w:jc w:val="center"/>
        <w:rPr>
          <w:rFonts w:ascii="方正小标宋_GBK" w:eastAsia="方正小标宋_GBK" w:hAnsi="TimesNewRoman" w:cs="TimesNewRoman"/>
          <w:szCs w:val="32"/>
        </w:rPr>
      </w:pPr>
    </w:p>
    <w:p>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lang w:eastAsia="zh-CN"/>
        </w:rPr>
        <w:t>炎刘镇中心</w:t>
      </w:r>
      <w:r>
        <w:rPr>
          <w:rFonts w:ascii="方正小标宋_GBK" w:eastAsia="方正小标宋_GBK" w:hAnsi="TimesNewRoman" w:cs="TimesNewRoman" w:hint="eastAsia"/>
          <w:sz w:val="44"/>
          <w:szCs w:val="44"/>
        </w:rPr>
        <w:t>卫生院</w:t>
      </w:r>
      <w:r>
        <w:rPr>
          <w:rFonts w:ascii="方正小标宋_GBK" w:eastAsia="方正小标宋_GBK" w:hAnsi="TimesNewRoman" w:cs="TimesNewRoman" w:hint="eastAsia"/>
          <w:sz w:val="44"/>
          <w:szCs w:val="44"/>
          <w:lang w:eastAsia="zh-CN"/>
        </w:rPr>
        <w:t>广岩分院</w:t>
      </w:r>
      <w:r>
        <w:rPr>
          <w:rFonts w:ascii="方正小标宋_GBK" w:eastAsia="方正小标宋_GBK" w:hAnsi="TimesNewRoman" w:cs="TimesNewRoman" w:hint="eastAsia"/>
          <w:sz w:val="44"/>
          <w:szCs w:val="44"/>
        </w:rPr>
        <w:t>2024年</w:t>
      </w:r>
    </w:p>
    <w:p>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单位预算</w:t>
      </w:r>
    </w:p>
    <w:p>
      <w:pPr>
        <w:pStyle w:val="NormalWeb"/>
        <w:adjustRightInd w:val="0"/>
        <w:snapToGrid w:val="0"/>
        <w:spacing w:line="560" w:lineRule="exact"/>
        <w:jc w:val="center"/>
        <w:outlineLvl w:val="0"/>
        <w:rPr>
          <w:rFonts w:ascii="方正小标宋_GBK" w:eastAsia="方正小标宋_GBK" w:hAnsi="TimesNewRoman" w:cs="TimesNewRoman"/>
          <w:sz w:val="32"/>
          <w:szCs w:val="32"/>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bCs/>
          <w:sz w:val="36"/>
          <w:szCs w:val="32"/>
        </w:rPr>
      </w:pPr>
      <w:r>
        <w:rPr>
          <w:rFonts w:ascii="仿宋_GB2312" w:eastAsia="仿宋_GB2312" w:hAnsi="TimesNewRoman" w:cs="TimesNewRoman" w:hint="eastAsia"/>
          <w:bCs/>
          <w:sz w:val="36"/>
          <w:szCs w:val="32"/>
        </w:rPr>
        <w:t>2024年1月</w:t>
      </w:r>
    </w:p>
    <w:p>
      <w:pPr>
        <w:pStyle w:val="NormalWeb"/>
        <w:adjustRightInd w:val="0"/>
        <w:snapToGrid w:val="0"/>
        <w:spacing w:line="560" w:lineRule="exact"/>
        <w:jc w:val="center"/>
        <w:rPr>
          <w:rFonts w:ascii="方正小标宋_GBK" w:eastAsia="方正小标宋_GBK" w:hAnsi="TimesNewRoman" w:cs="TimesNewRoman"/>
          <w:bCs/>
          <w:sz w:val="44"/>
          <w:szCs w:val="44"/>
        </w:rPr>
      </w:pPr>
    </w:p>
    <w:p>
      <w:pPr>
        <w:pStyle w:val="NormalWeb"/>
        <w:adjustRightInd w:val="0"/>
        <w:snapToGrid w:val="0"/>
        <w:spacing w:line="560" w:lineRule="exact"/>
        <w:jc w:val="center"/>
        <w:rPr>
          <w:rFonts w:ascii="方正小标宋_GBK" w:eastAsia="方正小标宋_GBK" w:hAnsi="TimesNewRoman" w:cs="TimesNewRoman"/>
          <w:bCs/>
          <w:sz w:val="44"/>
          <w:szCs w:val="44"/>
        </w:rPr>
      </w:pPr>
    </w:p>
    <w:p>
      <w:pPr>
        <w:pStyle w:val="NormalWeb"/>
        <w:adjustRightInd w:val="0"/>
        <w:snapToGrid w:val="0"/>
        <w:spacing w:line="560" w:lineRule="exact"/>
        <w:jc w:val="center"/>
        <w:rPr>
          <w:rFonts w:ascii="方正小标宋_GBK" w:eastAsia="方正小标宋_GBK" w:hAnsi="TimesNewRoman" w:cs="TimesNewRoman"/>
          <w:bCs/>
          <w:sz w:val="44"/>
          <w:szCs w:val="44"/>
        </w:rPr>
      </w:pP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第一部分单位概况</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1.主要职责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2.部门预算单位构成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年单位预算表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年单位预算情况说明</w:t>
      </w:r>
    </w:p>
    <w:p>
      <w:pPr>
        <w:pStyle w:val="NormalWeb"/>
        <w:numPr>
          <w:ilvl w:val="0"/>
          <w:numId w:val="1"/>
        </w:numPr>
        <w:topLinePunct/>
        <w:adjustRightInd w:val="0"/>
        <w:snapToGrid w:val="0"/>
        <w:spacing w:beforeAutospacing="0" w:afterAutospacing="0" w:line="560" w:lineRule="exact"/>
        <w:jc w:val="both"/>
        <w:rPr>
          <w:rFonts w:ascii="仿宋_GB2312" w:eastAsia="仿宋_GB2312" w:hAnsi="TimesNewRoman" w:cs="TimesNewRoman"/>
          <w:bCs/>
          <w:sz w:val="32"/>
          <w:szCs w:val="32"/>
        </w:rPr>
      </w:pP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rPr>
          <w:rFonts w:ascii="TimesNewRoman" w:eastAsia="黑体" w:hAnsi="TimesNewRoman" w:cs="TimesNewRoman"/>
          <w:bCs/>
          <w:sz w:val="36"/>
          <w:szCs w:val="36"/>
        </w:rPr>
      </w:pPr>
    </w:p>
    <w:p>
      <w:pPr>
        <w:pStyle w:val="NormalWeb"/>
        <w:numPr>
          <w:ilvl w:val="0"/>
          <w:numId w:val="2"/>
        </w:numPr>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单位概况</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一、主要职责</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bCs/>
          <w:sz w:val="32"/>
          <w:szCs w:val="32"/>
        </w:rPr>
        <w:t>（一）</w:t>
      </w:r>
      <w:r>
        <w:rPr>
          <w:rFonts w:ascii="仿宋_GB2312" w:eastAsia="仿宋_GB2312" w:hAnsi="仿宋_GB2312" w:cs="仿宋_GB2312" w:hint="eastAsia"/>
          <w:sz w:val="32"/>
          <w:szCs w:val="32"/>
        </w:rPr>
        <w:t>负责</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炎刘镇广岩</w:t>
      </w:r>
      <w:r>
        <w:rPr>
          <w:rFonts w:ascii="仿宋_GB2312" w:eastAsia="仿宋_GB2312" w:hAnsi="仿宋_GB2312" w:cs="仿宋_GB2312" w:hint="eastAsia"/>
          <w:sz w:val="32"/>
          <w:szCs w:val="32"/>
        </w:rPr>
        <w:t>辖区农村人口基本医疗和基本公共卫生服务工作</w:t>
      </w:r>
      <w:r>
        <w:rPr>
          <w:rFonts w:ascii="仿宋_GB2312" w:eastAsia="仿宋_GB2312" w:hAnsi="仿宋_GB2312" w:cs="仿宋_GB2312" w:hint="eastAsia"/>
          <w:sz w:val="32"/>
          <w:szCs w:val="32"/>
          <w:lang w:eastAsia="zh-CN"/>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b/>
          <w:bCs/>
          <w:sz w:val="32"/>
          <w:szCs w:val="32"/>
        </w:rPr>
        <w:t>单位预算构成</w:t>
      </w:r>
    </w:p>
    <w:p>
      <w:pPr>
        <w:pStyle w:val="NormalWeb"/>
        <w:adjustRightInd w:val="0"/>
        <w:snapToGrid w:val="0"/>
        <w:spacing w:before="0" w:beforeAutospacing="0" w:after="0" w:afterAutospacing="0" w:line="360" w:lineRule="auto"/>
        <w:ind w:firstLine="627" w:firstLineChars="196"/>
        <w:rPr>
          <w:rFonts w:ascii="仿宋_GB2312" w:eastAsia="仿宋_GB2312" w:hAnsi="仿宋_GB2312" w:cs="仿宋_GB2312" w:hint="eastAsia"/>
          <w:bCs/>
          <w:sz w:val="32"/>
          <w:szCs w:val="32"/>
        </w:rPr>
      </w:pPr>
      <w:r>
        <w:rPr>
          <w:rFonts w:ascii="仿宋_GB2312" w:eastAsia="仿宋_GB2312" w:hAnsi="仿宋_GB2312" w:cs="仿宋_GB2312" w:hint="eastAsia"/>
          <w:sz w:val="32"/>
          <w:szCs w:val="32"/>
          <w:lang w:val="en-US" w:eastAsia="zh-CN"/>
        </w:rPr>
        <w:t>从预算单位构成看，</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仿宋_GB2312" w:cs="仿宋_GB2312" w:hint="eastAsia"/>
          <w:sz w:val="32"/>
          <w:szCs w:val="32"/>
          <w:lang w:val="en-US" w:eastAsia="zh-CN"/>
        </w:rPr>
        <w:t>2024年度部门预算仅包括本单位预算，无其他下属单位预算。</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三、2024年度主要工作任务</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仿宋_GB2312" w:cs="仿宋_GB2312" w:hint="eastAsia"/>
          <w:bCs/>
          <w:sz w:val="32"/>
          <w:szCs w:val="32"/>
        </w:rPr>
      </w:pPr>
      <w:r>
        <w:rPr>
          <w:rFonts w:ascii="TimesNewRoman" w:eastAsia="仿宋_GB2312" w:hAnsi="TimesNewRoman" w:cs="TimesNewRoman"/>
          <w:bCs/>
          <w:sz w:val="32"/>
          <w:szCs w:val="32"/>
        </w:rPr>
        <w:t>（一）</w:t>
      </w:r>
      <w:r>
        <w:rPr>
          <w:rFonts w:ascii="仿宋_GB2312" w:eastAsia="仿宋_GB2312" w:hAnsi="仿宋_GB2312" w:cs="仿宋_GB2312" w:hint="eastAsia"/>
          <w:sz w:val="32"/>
          <w:szCs w:val="32"/>
        </w:rPr>
        <w:t>公共卫生服务体系：进一步提高居民健康档案、健康教育、免疫规划、传染病防治、儿童保健、孕产妇保健、老年人保健、慢性病管理、重性精神病患者管理、家庭医生签约服务等13类国家基本公共卫生服务项目服务水平。</w:t>
      </w:r>
    </w:p>
    <w:p>
      <w:pPr>
        <w:pStyle w:val="NormalWeb"/>
        <w:numPr>
          <w:ilvl w:val="0"/>
          <w:numId w:val="0"/>
        </w:numPr>
        <w:adjustRightInd w:val="0"/>
        <w:snapToGrid w:val="0"/>
        <w:spacing w:before="0" w:beforeAutospacing="0" w:after="0" w:afterAutospacing="0" w:line="360" w:lineRule="auto"/>
        <w:ind w:firstLine="640" w:firstLineChars="200"/>
        <w:jc w:val="both"/>
        <w:rPr>
          <w:rFonts w:ascii="仿宋_GB2312" w:eastAsia="仿宋_GB2312" w:hAnsi="黑体"/>
          <w:bCs/>
          <w:sz w:val="32"/>
          <w:szCs w:val="32"/>
        </w:rPr>
      </w:pPr>
      <w:r>
        <w:rPr>
          <w:rFonts w:ascii="TimesNewRoman" w:eastAsia="仿宋_GB2312" w:hAnsi="TimesNewRoman" w:cs="TimesNewRoman"/>
          <w:bCs/>
          <w:sz w:val="32"/>
          <w:szCs w:val="32"/>
        </w:rPr>
        <w:t>（二）</w:t>
      </w:r>
      <w:r>
        <w:rPr>
          <w:rFonts w:ascii="仿宋_GB2312" w:eastAsia="仿宋_GB2312" w:hAnsi="仿宋_GB2312" w:cs="仿宋_GB2312" w:hint="eastAsia"/>
          <w:sz w:val="32"/>
          <w:szCs w:val="32"/>
        </w:rPr>
        <w:t>医疗服务体系：加强医院基础设施建设，努力达到医院标准化水平，使医院发挥最大效益，做到功能突出、流程合理，优化就医环境。创建群众满意的卫生院。</w:t>
      </w:r>
    </w:p>
    <w:p>
      <w:pPr>
        <w:pStyle w:val="NormalWeb"/>
        <w:adjustRightInd w:val="0"/>
        <w:snapToGrid w:val="0"/>
        <w:spacing w:line="560" w:lineRule="exact"/>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第二部分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年单位预算表</w:t>
      </w:r>
    </w:p>
    <w:p>
      <w:pPr>
        <w:spacing w:line="560" w:lineRule="exact"/>
        <w:ind w:firstLine="6600" w:firstLineChars="3300"/>
        <w:jc w:val="lef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公开表1</w:t>
      </w:r>
    </w:p>
    <w:p>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炎刘镇</w:t>
      </w:r>
      <w:r>
        <w:rPr>
          <w:rFonts w:ascii="宋体" w:hAnsi="宋体" w:cs="TimesNewRoman"/>
          <w:b/>
          <w:bCs/>
          <w:kern w:val="0"/>
          <w:sz w:val="28"/>
          <w:szCs w:val="32"/>
        </w:rPr>
        <w:t>中心卫生院</w:t>
      </w:r>
      <w:r>
        <w:rPr>
          <w:rFonts w:ascii="宋体" w:hAnsi="宋体" w:cs="TimesNewRoman" w:hint="eastAsia"/>
          <w:b/>
          <w:bCs/>
          <w:kern w:val="0"/>
          <w:sz w:val="28"/>
          <w:szCs w:val="32"/>
          <w:lang w:eastAsia="zh-CN"/>
        </w:rPr>
        <w:t>广岩分院</w:t>
      </w:r>
      <w:r>
        <w:rPr>
          <w:rFonts w:ascii="宋体" w:hAnsi="宋体" w:cs="TimesNewRoman" w:hint="eastAsia"/>
          <w:b/>
          <w:bCs/>
          <w:kern w:val="0"/>
          <w:sz w:val="28"/>
          <w:szCs w:val="32"/>
        </w:rPr>
        <w:t>2024</w:t>
      </w:r>
      <w:r>
        <w:rPr>
          <w:rFonts w:ascii="宋体" w:hAnsi="宋体" w:cs="TimesNewRoman"/>
          <w:b/>
          <w:bCs/>
          <w:kern w:val="0"/>
          <w:sz w:val="28"/>
          <w:szCs w:val="32"/>
        </w:rPr>
        <w:t>年收支总表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20" w:type="dxa"/>
        <w:tblInd w:w="0" w:type="dxa"/>
        <w:tblLayout w:type="fixed"/>
        <w:tblCellMar>
          <w:top w:w="0" w:type="dxa"/>
          <w:left w:w="108" w:type="dxa"/>
          <w:bottom w:w="0" w:type="dxa"/>
          <w:right w:w="108" w:type="dxa"/>
        </w:tblCellMar>
      </w:tblPr>
      <w:tblGrid>
        <w:gridCol w:w="3728"/>
        <w:gridCol w:w="1089"/>
        <w:gridCol w:w="3470"/>
        <w:gridCol w:w="933"/>
      </w:tblGrid>
      <w:tr>
        <w:tblPrEx>
          <w:tblW w:w="9220" w:type="dxa"/>
          <w:tblInd w:w="0" w:type="dxa"/>
          <w:tblLayout w:type="fixed"/>
          <w:tblCellMar>
            <w:top w:w="0" w:type="dxa"/>
            <w:left w:w="108" w:type="dxa"/>
            <w:bottom w:w="0" w:type="dxa"/>
            <w:right w:w="108" w:type="dxa"/>
          </w:tblCellMar>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收            入             </w:t>
            </w:r>
          </w:p>
        </w:tc>
        <w:tc>
          <w:tcPr>
            <w:tcW w:w="4403" w:type="dxa"/>
            <w:gridSpan w:val="2"/>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          出</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 入 项 目</w:t>
            </w:r>
          </w:p>
        </w:tc>
        <w:tc>
          <w:tcPr>
            <w:tcW w:w="1089"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rPr>
            </w:pPr>
            <w:r>
              <w:rPr>
                <w:rFonts w:ascii="宋体" w:eastAsia="宋体" w:hAnsi="宋体" w:cs="宋体" w:hint="eastAsia"/>
                <w:i w:val="0"/>
                <w:iCs w:val="0"/>
                <w:color w:val="000000"/>
                <w:kern w:val="0"/>
                <w:sz w:val="18"/>
                <w:szCs w:val="18"/>
                <w:u w:val="none"/>
                <w:lang w:val="en-US" w:eastAsia="zh-CN" w:bidi="ar"/>
              </w:rPr>
              <w:t>119.39</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rPr>
            </w:pPr>
            <w:r>
              <w:rPr>
                <w:rFonts w:ascii="宋体" w:eastAsia="宋体" w:hAnsi="宋体" w:cs="宋体" w:hint="eastAsia"/>
                <w:i w:val="0"/>
                <w:iCs w:val="0"/>
                <w:color w:val="000000"/>
                <w:kern w:val="0"/>
                <w:sz w:val="18"/>
                <w:szCs w:val="18"/>
                <w:u w:val="none"/>
                <w:lang w:val="en-US" w:eastAsia="zh-CN" w:bidi="ar"/>
              </w:rPr>
              <w:t>119.39</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18"/>
                <w:szCs w:val="18"/>
                <w:u w:val="none"/>
                <w:lang w:val="en-US" w:eastAsia="zh-CN" w:bidi="ar"/>
              </w:rPr>
              <w:t>18.10</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18"/>
                <w:szCs w:val="18"/>
                <w:u w:val="none"/>
                <w:lang w:val="en-US" w:eastAsia="zh-CN" w:bidi="ar"/>
              </w:rPr>
              <w:t>492.50</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18"/>
                <w:szCs w:val="18"/>
                <w:u w:val="none"/>
                <w:lang w:val="en-US" w:eastAsia="zh-CN" w:bidi="ar"/>
              </w:rPr>
              <w:t>400.00</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其中：事业收入</w:t>
            </w:r>
          </w:p>
        </w:tc>
        <w:tc>
          <w:tcPr>
            <w:tcW w:w="1089"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18"/>
                <w:szCs w:val="18"/>
                <w:u w:val="none"/>
                <w:lang w:val="en-US" w:eastAsia="zh-CN" w:bidi="ar"/>
              </w:rPr>
              <w:t>400.00</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事业单位经营收入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上级补助收入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附属单位上缴收入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其他收入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宋体" w:eastAsia="宋体" w:hAnsi="宋体" w:cs="宋体" w:hint="eastAsia"/>
                <w:i w:val="0"/>
                <w:iCs w:val="0"/>
                <w:color w:val="000000"/>
                <w:kern w:val="0"/>
                <w:sz w:val="18"/>
                <w:szCs w:val="18"/>
                <w:u w:val="none"/>
                <w:lang w:val="en-US" w:eastAsia="zh-CN" w:bidi="ar"/>
              </w:rPr>
              <w:t>519.39</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收  入  小  计</w:t>
            </w:r>
          </w:p>
        </w:tc>
        <w:tc>
          <w:tcPr>
            <w:tcW w:w="1089"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18"/>
                <w:szCs w:val="18"/>
                <w:u w:val="none"/>
                <w:lang w:val="en-US" w:eastAsia="zh-CN" w:bidi="ar-SA"/>
              </w:rPr>
            </w:pPr>
            <w:r>
              <w:rPr>
                <w:rFonts w:ascii="宋体" w:eastAsia="宋体" w:hAnsi="宋体" w:cs="宋体" w:hint="eastAsia"/>
                <w:i w:val="0"/>
                <w:iCs w:val="0"/>
                <w:color w:val="000000"/>
                <w:kern w:val="0"/>
                <w:sz w:val="18"/>
                <w:szCs w:val="18"/>
                <w:u w:val="none"/>
                <w:lang w:val="en-US" w:eastAsia="zh-CN" w:bidi="ar"/>
              </w:rPr>
              <w:t>519.39</w:t>
            </w:r>
          </w:p>
        </w:tc>
        <w:tc>
          <w:tcPr>
            <w:tcW w:w="3470"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支  出  小  计</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宋体" w:eastAsia="宋体" w:hAnsi="宋体" w:cs="宋体" w:hint="eastAsia"/>
                <w:i w:val="0"/>
                <w:iCs w:val="0"/>
                <w:color w:val="000000"/>
                <w:kern w:val="0"/>
                <w:sz w:val="18"/>
                <w:szCs w:val="18"/>
                <w:u w:val="none"/>
                <w:lang w:val="en-US" w:eastAsia="zh-CN" w:bidi="ar"/>
              </w:rPr>
              <w:t>519.39</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eastAsia="仿宋_GB2312" w:hAnsi="TimesNewRoman" w:cs="TimesNewRoman"/>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hint="default"/>
                <w:kern w:val="0"/>
                <w:sz w:val="18"/>
                <w:szCs w:val="18"/>
                <w:lang w:val="en-US"/>
              </w:rPr>
            </w:pPr>
            <w:r>
              <w:rPr>
                <w:rFonts w:ascii="TimesNewRoman" w:hAnsi="TimesNewRoman" w:cs="TimesNewRoman" w:hint="default"/>
                <w:kern w:val="0"/>
                <w:sz w:val="18"/>
                <w:szCs w:val="18"/>
                <w:lang w:val="en-US"/>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b/>
                <w:bCs/>
                <w:kern w:val="0"/>
                <w:sz w:val="18"/>
                <w:szCs w:val="18"/>
              </w:rPr>
            </w:pPr>
            <w:r>
              <w:rPr>
                <w:rFonts w:ascii="宋体" w:eastAsia="宋体" w:hAnsi="宋体" w:cs="宋体" w:hint="eastAsia"/>
                <w:i w:val="0"/>
                <w:iCs w:val="0"/>
                <w:color w:val="000000"/>
                <w:kern w:val="0"/>
                <w:sz w:val="18"/>
                <w:szCs w:val="18"/>
                <w:u w:val="none"/>
                <w:lang w:val="en-US" w:eastAsia="zh-CN" w:bidi="ar"/>
              </w:rPr>
              <w:t>519.39</w:t>
            </w:r>
            <w:r>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宋体" w:eastAsia="宋体" w:hAnsi="宋体" w:cs="宋体" w:hint="eastAsia"/>
                <w:i w:val="0"/>
                <w:iCs w:val="0"/>
                <w:color w:val="000000"/>
                <w:kern w:val="0"/>
                <w:sz w:val="18"/>
                <w:szCs w:val="18"/>
                <w:u w:val="none"/>
                <w:lang w:val="en-US" w:eastAsia="zh-CN" w:bidi="ar"/>
              </w:rPr>
              <w:t>519.39</w:t>
            </w:r>
          </w:p>
        </w:tc>
      </w:tr>
    </w:tbl>
    <w:p>
      <w:pPr>
        <w:spacing w:line="560" w:lineRule="exact"/>
        <w:jc w:val="center"/>
        <w:rPr>
          <w:rFonts w:ascii="TimesNewRoman" w:hAnsi="TimesNewRoman" w:cs="TimesNewRoman"/>
          <w:kern w:val="0"/>
          <w:sz w:val="20"/>
        </w:rPr>
        <w:sectPr>
          <w:footerReference w:type="even" r:id="rId4"/>
          <w:footerReference w:type="default" r:id="rId5"/>
          <w:pgSz w:w="11907" w:h="16840"/>
          <w:pgMar w:top="2098" w:right="1474" w:bottom="1985" w:left="1588" w:header="851" w:footer="1021" w:gutter="0"/>
          <w:cols w:num="1" w:space="425"/>
          <w:titlePg/>
          <w:docGrid w:type="linesAndChars" w:linePitch="312" w:charSpace="0"/>
        </w:sectPr>
      </w:pPr>
    </w:p>
    <w:p>
      <w:pPr>
        <w:spacing w:line="560" w:lineRule="exact"/>
        <w:jc w:val="center"/>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公开表2</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炎刘镇</w:t>
      </w:r>
      <w:r>
        <w:rPr>
          <w:rFonts w:ascii="宋体" w:hAnsi="宋体" w:cs="TimesNewRoman"/>
          <w:b/>
          <w:bCs/>
          <w:kern w:val="0"/>
          <w:sz w:val="28"/>
          <w:szCs w:val="32"/>
        </w:rPr>
        <w:t>中心卫生院</w:t>
      </w:r>
      <w:r>
        <w:rPr>
          <w:rFonts w:ascii="宋体" w:hAnsi="宋体" w:cs="TimesNewRoman" w:hint="eastAsia"/>
          <w:b/>
          <w:bCs/>
          <w:kern w:val="0"/>
          <w:sz w:val="28"/>
          <w:szCs w:val="32"/>
          <w:lang w:eastAsia="zh-CN"/>
        </w:rPr>
        <w:t>广岩分院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5168" w:type="dxa"/>
        <w:tblInd w:w="-1026" w:type="dxa"/>
        <w:tblLayout w:type="fixed"/>
        <w:tblCellMar>
          <w:top w:w="0" w:type="dxa"/>
          <w:left w:w="108" w:type="dxa"/>
          <w:bottom w:w="0" w:type="dxa"/>
          <w:right w:w="108" w:type="dxa"/>
        </w:tblCellMar>
      </w:tblPr>
      <w:tblGrid>
        <w:gridCol w:w="2295"/>
        <w:gridCol w:w="966"/>
        <w:gridCol w:w="992"/>
        <w:gridCol w:w="992"/>
        <w:gridCol w:w="567"/>
        <w:gridCol w:w="567"/>
        <w:gridCol w:w="425"/>
        <w:gridCol w:w="567"/>
        <w:gridCol w:w="567"/>
        <w:gridCol w:w="709"/>
        <w:gridCol w:w="709"/>
        <w:gridCol w:w="850"/>
        <w:gridCol w:w="709"/>
        <w:gridCol w:w="567"/>
        <w:gridCol w:w="567"/>
        <w:gridCol w:w="567"/>
        <w:gridCol w:w="567"/>
        <w:gridCol w:w="709"/>
        <w:gridCol w:w="1276"/>
      </w:tblGrid>
      <w:tr>
        <w:tblPrEx>
          <w:tblW w:w="15168" w:type="dxa"/>
          <w:tblInd w:w="-1026" w:type="dxa"/>
          <w:tblLayout w:type="fixed"/>
          <w:tblCellMar>
            <w:top w:w="0" w:type="dxa"/>
            <w:left w:w="108" w:type="dxa"/>
            <w:bottom w:w="0" w:type="dxa"/>
            <w:right w:w="108" w:type="dxa"/>
          </w:tblCellMar>
        </w:tblPrEx>
        <w:trPr>
          <w:trHeight w:val="501"/>
        </w:trPr>
        <w:tc>
          <w:tcPr>
            <w:tcW w:w="2295"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966"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7654" w:type="dxa"/>
            <w:gridSpan w:val="11"/>
            <w:tcBorders>
              <w:top w:val="single" w:sz="4" w:space="0" w:color="auto"/>
              <w:left w:val="nil"/>
              <w:bottom w:val="single" w:sz="4" w:space="0" w:color="auto"/>
              <w:right w:val="single" w:sz="4" w:space="0" w:color="000000"/>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53" w:type="dxa"/>
            <w:gridSpan w:val="6"/>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5168" w:type="dxa"/>
          <w:tblInd w:w="-1026" w:type="dxa"/>
          <w:tblLayout w:type="fixed"/>
          <w:tblCellMar>
            <w:top w:w="0" w:type="dxa"/>
            <w:left w:w="108" w:type="dxa"/>
            <w:bottom w:w="0" w:type="dxa"/>
            <w:right w:w="108" w:type="dxa"/>
          </w:tblCellMar>
        </w:tblPrEx>
        <w:trPr>
          <w:trHeight w:val="424"/>
        </w:trPr>
        <w:tc>
          <w:tcPr>
            <w:tcW w:w="2295"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b/>
                <w:kern w:val="0"/>
                <w:sz w:val="18"/>
                <w:szCs w:val="18"/>
              </w:rPr>
            </w:pPr>
          </w:p>
        </w:tc>
        <w:tc>
          <w:tcPr>
            <w:tcW w:w="966"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b/>
                <w:kern w:val="0"/>
                <w:sz w:val="18"/>
                <w:szCs w:val="18"/>
              </w:rPr>
            </w:pPr>
          </w:p>
        </w:tc>
        <w:tc>
          <w:tcPr>
            <w:tcW w:w="992"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992"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567" w:type="dxa"/>
            <w:vMerge w:val="restart"/>
            <w:tcBorders>
              <w:top w:val="nil"/>
              <w:left w:val="single" w:sz="4" w:space="0" w:color="auto"/>
              <w:bottom w:val="single" w:sz="4" w:space="0" w:color="000000"/>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425" w:type="dxa"/>
            <w:vMerge w:val="restart"/>
            <w:tcBorders>
              <w:top w:val="nil"/>
              <w:left w:val="single" w:sz="4" w:space="0" w:color="auto"/>
              <w:bottom w:val="single" w:sz="4" w:space="0" w:color="000000"/>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4111" w:type="dxa"/>
            <w:gridSpan w:val="6"/>
            <w:tcBorders>
              <w:top w:val="single" w:sz="4" w:space="0" w:color="auto"/>
              <w:left w:val="nil"/>
              <w:bottom w:val="single" w:sz="4" w:space="0" w:color="auto"/>
              <w:right w:val="single" w:sz="4" w:space="0" w:color="000000"/>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709"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276"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5168" w:type="dxa"/>
          <w:tblInd w:w="-1026" w:type="dxa"/>
          <w:tblLayout w:type="fixed"/>
          <w:tblCellMar>
            <w:top w:w="0" w:type="dxa"/>
            <w:left w:w="108" w:type="dxa"/>
            <w:bottom w:w="0" w:type="dxa"/>
            <w:right w:w="108" w:type="dxa"/>
          </w:tblCellMar>
        </w:tblPrEx>
        <w:trPr>
          <w:trHeight w:val="2579"/>
        </w:trPr>
        <w:tc>
          <w:tcPr>
            <w:tcW w:w="2295"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66"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92"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92"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single" w:sz="4" w:space="0" w:color="000000"/>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425" w:type="dxa"/>
            <w:vMerge/>
            <w:tcBorders>
              <w:top w:val="nil"/>
              <w:left w:val="single" w:sz="4" w:space="0" w:color="auto"/>
              <w:bottom w:val="single" w:sz="4" w:space="0" w:color="000000"/>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567"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     收入</w:t>
            </w:r>
          </w:p>
        </w:tc>
        <w:tc>
          <w:tcPr>
            <w:tcW w:w="709"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709"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850"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709"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   收入</w:t>
            </w: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709"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1276"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寿县炎刘镇中心卫生院广岩分院</w:t>
            </w:r>
          </w:p>
        </w:tc>
        <w:tc>
          <w:tcPr>
            <w:tcW w:w="966"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519.39</w:t>
            </w:r>
          </w:p>
        </w:tc>
        <w:tc>
          <w:tcPr>
            <w:tcW w:w="992" w:type="dxa"/>
            <w:tcBorders>
              <w:top w:val="single" w:sz="4" w:space="0" w:color="auto"/>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519.39</w:t>
            </w:r>
          </w:p>
        </w:tc>
        <w:tc>
          <w:tcPr>
            <w:tcW w:w="992" w:type="dxa"/>
            <w:tcBorders>
              <w:top w:val="single" w:sz="4" w:space="0" w:color="auto"/>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119.39</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400.00</w:t>
            </w:r>
          </w:p>
        </w:tc>
        <w:tc>
          <w:tcPr>
            <w:tcW w:w="567"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400.00</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pPr>
        <w:spacing w:line="560" w:lineRule="exact"/>
        <w:jc w:val="right"/>
        <w:rPr>
          <w:rFonts w:ascii="TimesNewRoman" w:hAnsi="TimesNewRoman" w:cs="TimesNewRoman"/>
          <w:kern w:val="0"/>
          <w:sz w:val="20"/>
        </w:rPr>
      </w:pPr>
    </w:p>
    <w:p>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公开表3</w:t>
      </w:r>
    </w:p>
    <w:p>
      <w:pPr>
        <w:spacing w:line="560" w:lineRule="exact"/>
        <w:jc w:val="center"/>
        <w:rPr>
          <w:rFonts w:ascii="TimesNewRoman" w:hAnsi="TimesNewRoman" w:cs="TimesNewRoman"/>
          <w:kern w:val="0"/>
          <w:sz w:val="20"/>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炎刘镇</w:t>
      </w:r>
      <w:r>
        <w:rPr>
          <w:rFonts w:ascii="宋体" w:hAnsi="宋体" w:cs="TimesNewRoman"/>
          <w:b/>
          <w:bCs/>
          <w:kern w:val="0"/>
          <w:sz w:val="28"/>
          <w:szCs w:val="32"/>
        </w:rPr>
        <w:t>中心卫生院</w:t>
      </w:r>
      <w:r>
        <w:rPr>
          <w:rFonts w:ascii="宋体" w:hAnsi="宋体" w:cs="TimesNewRoman" w:hint="eastAsia"/>
          <w:b/>
          <w:bCs/>
          <w:kern w:val="0"/>
          <w:sz w:val="28"/>
          <w:szCs w:val="32"/>
          <w:lang w:eastAsia="zh-CN"/>
        </w:rPr>
        <w:t>广岩分院</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p>
    <w:p>
      <w:pPr>
        <w:spacing w:line="560" w:lineRule="exact"/>
        <w:jc w:val="right"/>
        <w:rPr>
          <w:rFonts w:ascii="TimesNewRoman" w:hAnsi="TimesNewRoman" w:cs="TimesNewRoman"/>
          <w:kern w:val="0"/>
          <w:sz w:val="20"/>
        </w:rPr>
      </w:pPr>
      <w:r>
        <w:rPr>
          <w:rFonts w:ascii="TimesNewRoman" w:hAnsi="TimesNewRoman" w:cs="TimesNewRoman"/>
          <w:kern w:val="0"/>
          <w:sz w:val="20"/>
        </w:rPr>
        <w:t>单位：万元</w:t>
      </w:r>
    </w:p>
    <w:tbl>
      <w:tblPr>
        <w:tblStyle w:val="TableNormal"/>
        <w:tblW w:w="14192" w:type="dxa"/>
        <w:tblInd w:w="0" w:type="dxa"/>
        <w:tblLayout w:type="fixed"/>
        <w:tblCellMar>
          <w:top w:w="0" w:type="dxa"/>
          <w:left w:w="108" w:type="dxa"/>
          <w:bottom w:w="0" w:type="dxa"/>
          <w:right w:w="108" w:type="dxa"/>
        </w:tblCellMar>
      </w:tblPr>
      <w:tblGrid>
        <w:gridCol w:w="1639"/>
        <w:gridCol w:w="4495"/>
        <w:gridCol w:w="1213"/>
        <w:gridCol w:w="1181"/>
        <w:gridCol w:w="1150"/>
        <w:gridCol w:w="1430"/>
        <w:gridCol w:w="1353"/>
        <w:gridCol w:w="1731"/>
      </w:tblGrid>
      <w:tr>
        <w:tblPrEx>
          <w:tblW w:w="14192" w:type="dxa"/>
          <w:tblInd w:w="0" w:type="dxa"/>
          <w:tblLayout w:type="fixed"/>
          <w:tblCellMar>
            <w:top w:w="0" w:type="dxa"/>
            <w:left w:w="108" w:type="dxa"/>
            <w:bottom w:w="0" w:type="dxa"/>
            <w:right w:w="108" w:type="dxa"/>
          </w:tblCellMar>
        </w:tblPrEx>
        <w:trPr>
          <w:trHeight w:val="744"/>
        </w:trPr>
        <w:tc>
          <w:tcPr>
            <w:tcW w:w="1639" w:type="dxa"/>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社会</w:t>
            </w:r>
            <w:r>
              <w:rPr>
                <w:rFonts w:ascii="TimesNewRoman" w:hAnsi="TimesNewRoman" w:cs="TimesNewRoman"/>
                <w:kern w:val="0"/>
                <w:sz w:val="18"/>
                <w:szCs w:val="18"/>
              </w:rPr>
              <w:t>保障和就业支出</w:t>
            </w:r>
          </w:p>
        </w:tc>
        <w:tc>
          <w:tcPr>
            <w:tcW w:w="1213"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18.10</w:t>
            </w:r>
          </w:p>
        </w:tc>
        <w:tc>
          <w:tcPr>
            <w:tcW w:w="118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18.10</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805</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行政</w:t>
            </w:r>
            <w:r>
              <w:rPr>
                <w:rFonts w:ascii="TimesNewRoman" w:hAnsi="TimesNewRoman" w:cs="TimesNewRoman"/>
                <w:kern w:val="0"/>
                <w:sz w:val="18"/>
                <w:szCs w:val="18"/>
              </w:rPr>
              <w:t>事业单位养老支出</w:t>
            </w:r>
          </w:p>
        </w:tc>
        <w:tc>
          <w:tcPr>
            <w:tcW w:w="1213"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17.59</w:t>
            </w:r>
          </w:p>
        </w:tc>
        <w:tc>
          <w:tcPr>
            <w:tcW w:w="118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17.59</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2</w:t>
            </w:r>
            <w:r>
              <w:rPr>
                <w:rFonts w:ascii="TimesNewRoman" w:hAnsi="TimesNewRoman" w:cs="TimesNewRoman" w:hint="eastAsia"/>
                <w:kern w:val="0"/>
                <w:sz w:val="18"/>
                <w:szCs w:val="18"/>
              </w:rPr>
              <w:t>080502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事业</w:t>
            </w:r>
            <w:r>
              <w:rPr>
                <w:rFonts w:ascii="TimesNewRoman" w:hAnsi="TimesNewRoman" w:cs="TimesNewRoman"/>
                <w:kern w:val="0"/>
                <w:sz w:val="18"/>
                <w:szCs w:val="18"/>
              </w:rPr>
              <w:t>单位离退休</w:t>
            </w:r>
          </w:p>
        </w:tc>
        <w:tc>
          <w:tcPr>
            <w:tcW w:w="1213"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11.72</w:t>
            </w:r>
          </w:p>
        </w:tc>
        <w:tc>
          <w:tcPr>
            <w:tcW w:w="118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11.72</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2080505</w:t>
            </w:r>
          </w:p>
        </w:tc>
        <w:tc>
          <w:tcPr>
            <w:tcW w:w="4495" w:type="dxa"/>
            <w:tcBorders>
              <w:top w:val="nil"/>
              <w:left w:val="nil"/>
              <w:bottom w:val="single" w:sz="4" w:space="0" w:color="auto"/>
              <w:right w:val="single" w:sz="4" w:space="0" w:color="auto"/>
            </w:tcBorders>
            <w:noWrap/>
            <w:vAlign w:val="center"/>
          </w:tcPr>
          <w:p>
            <w:pPr>
              <w:widowControl/>
              <w:spacing w:line="260" w:lineRule="exact"/>
              <w:ind w:firstLine="360" w:firstLineChars="200"/>
              <w:rPr>
                <w:rFonts w:ascii="TimesNewRoman" w:eastAsia="仿宋_GB2312" w:hAnsi="TimesNewRoman" w:cs="TimesNewRoman"/>
                <w:kern w:val="0"/>
                <w:sz w:val="18"/>
                <w:szCs w:val="18"/>
              </w:rPr>
            </w:pPr>
            <w:r>
              <w:rPr>
                <w:rFonts w:ascii="TimesNewRoman" w:hAnsi="TimesNewRoman" w:cs="TimesNewRoman" w:hint="eastAsia"/>
                <w:kern w:val="0"/>
                <w:sz w:val="18"/>
                <w:szCs w:val="18"/>
              </w:rPr>
              <w:t>机关事业单位基本养老保险缴费支出</w:t>
            </w:r>
          </w:p>
        </w:tc>
        <w:tc>
          <w:tcPr>
            <w:tcW w:w="1213"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color w:val="auto"/>
                <w:kern w:val="0"/>
                <w:sz w:val="18"/>
                <w:szCs w:val="18"/>
                <w:lang w:val="en-US" w:eastAsia="zh-CN"/>
              </w:rPr>
            </w:pPr>
            <w:r>
              <w:rPr>
                <w:rFonts w:ascii="宋体" w:eastAsia="宋体" w:hAnsi="宋体" w:cs="宋体" w:hint="eastAsia"/>
                <w:i w:val="0"/>
                <w:iCs w:val="0"/>
                <w:color w:val="000000"/>
                <w:kern w:val="0"/>
                <w:sz w:val="20"/>
                <w:szCs w:val="20"/>
                <w:u w:val="none"/>
                <w:lang w:val="en-US" w:eastAsia="zh-CN" w:bidi="ar"/>
              </w:rPr>
              <w:t>5.86</w:t>
            </w:r>
          </w:p>
        </w:tc>
        <w:tc>
          <w:tcPr>
            <w:tcW w:w="118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color w:val="auto"/>
                <w:kern w:val="0"/>
                <w:sz w:val="18"/>
                <w:szCs w:val="18"/>
                <w:lang w:val="en-US" w:eastAsia="zh-CN"/>
              </w:rPr>
            </w:pPr>
            <w:r>
              <w:rPr>
                <w:rFonts w:ascii="宋体" w:eastAsia="宋体" w:hAnsi="宋体" w:cs="宋体" w:hint="eastAsia"/>
                <w:i w:val="0"/>
                <w:iCs w:val="0"/>
                <w:color w:val="000000"/>
                <w:kern w:val="0"/>
                <w:sz w:val="20"/>
                <w:szCs w:val="20"/>
                <w:u w:val="none"/>
                <w:lang w:val="en-US" w:eastAsia="zh-CN" w:bidi="ar"/>
              </w:rPr>
              <w:t>5.86</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2080506</w:t>
            </w:r>
          </w:p>
        </w:tc>
        <w:tc>
          <w:tcPr>
            <w:tcW w:w="4495" w:type="dxa"/>
            <w:tcBorders>
              <w:top w:val="nil"/>
              <w:left w:val="nil"/>
              <w:bottom w:val="single" w:sz="4" w:space="0" w:color="auto"/>
              <w:right w:val="single" w:sz="4" w:space="0" w:color="auto"/>
            </w:tcBorders>
            <w:noWrap/>
            <w:vAlign w:val="center"/>
          </w:tcPr>
          <w:p>
            <w:pPr>
              <w:widowControl/>
              <w:spacing w:line="26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Pr>
                <w:rFonts w:asciiTheme="majorEastAsia" w:eastAsiaTheme="majorEastAsia" w:hAnsiTheme="majorEastAsia" w:cs="汉仪中秀体简" w:hint="eastAsia"/>
                <w:sz w:val="18"/>
                <w:szCs w:val="18"/>
              </w:rPr>
              <w:t>机关事业单位职业年金缴费支出</w:t>
            </w:r>
          </w:p>
        </w:tc>
        <w:tc>
          <w:tcPr>
            <w:tcW w:w="1213"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0.51</w:t>
            </w:r>
          </w:p>
        </w:tc>
        <w:tc>
          <w:tcPr>
            <w:tcW w:w="118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color w:val="auto"/>
                <w:kern w:val="0"/>
                <w:sz w:val="18"/>
                <w:szCs w:val="18"/>
                <w:lang w:val="en-US" w:eastAsia="zh-CN"/>
              </w:rPr>
            </w:pPr>
            <w:r>
              <w:rPr>
                <w:rFonts w:ascii="宋体" w:eastAsia="宋体" w:hAnsi="宋体" w:cs="宋体" w:hint="eastAsia"/>
                <w:i w:val="0"/>
                <w:iCs w:val="0"/>
                <w:color w:val="000000"/>
                <w:kern w:val="0"/>
                <w:sz w:val="20"/>
                <w:szCs w:val="20"/>
                <w:u w:val="none"/>
                <w:lang w:val="en-US" w:eastAsia="zh-CN" w:bidi="ar"/>
              </w:rPr>
              <w:t>0.51</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20899</w:t>
            </w: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其他社会保障和就业支出</w:t>
            </w:r>
          </w:p>
        </w:tc>
        <w:tc>
          <w:tcPr>
            <w:tcW w:w="1213"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0.51</w:t>
            </w:r>
          </w:p>
        </w:tc>
        <w:tc>
          <w:tcPr>
            <w:tcW w:w="118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0.51</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2089999</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其他社会保障和就业支出</w:t>
            </w:r>
          </w:p>
        </w:tc>
        <w:tc>
          <w:tcPr>
            <w:tcW w:w="1213"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492.50</w:t>
            </w:r>
          </w:p>
        </w:tc>
        <w:tc>
          <w:tcPr>
            <w:tcW w:w="118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492.50</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w:t>
            </w: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卫生健康支出</w:t>
            </w:r>
          </w:p>
        </w:tc>
        <w:tc>
          <w:tcPr>
            <w:tcW w:w="1213"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487.45</w:t>
            </w:r>
          </w:p>
        </w:tc>
        <w:tc>
          <w:tcPr>
            <w:tcW w:w="118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487.45</w:t>
            </w:r>
          </w:p>
        </w:tc>
        <w:tc>
          <w:tcPr>
            <w:tcW w:w="1150"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401.88</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21003</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基层医疗卫生机构</w:t>
            </w:r>
          </w:p>
        </w:tc>
        <w:tc>
          <w:tcPr>
            <w:tcW w:w="1213"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487.45</w:t>
            </w:r>
          </w:p>
        </w:tc>
        <w:tc>
          <w:tcPr>
            <w:tcW w:w="118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487.45</w:t>
            </w:r>
          </w:p>
        </w:tc>
        <w:tc>
          <w:tcPr>
            <w:tcW w:w="1150"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401.88</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2100302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乡镇卫生院</w:t>
            </w:r>
          </w:p>
        </w:tc>
        <w:tc>
          <w:tcPr>
            <w:tcW w:w="1213"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5.06</w:t>
            </w:r>
          </w:p>
        </w:tc>
        <w:tc>
          <w:tcPr>
            <w:tcW w:w="118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5.06</w:t>
            </w:r>
          </w:p>
        </w:tc>
        <w:tc>
          <w:tcPr>
            <w:tcW w:w="1150"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401.88</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99"/>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21004</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公共卫生</w:t>
            </w:r>
          </w:p>
        </w:tc>
        <w:tc>
          <w:tcPr>
            <w:tcW w:w="1213"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5.06</w:t>
            </w:r>
          </w:p>
        </w:tc>
        <w:tc>
          <w:tcPr>
            <w:tcW w:w="118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5.06</w:t>
            </w:r>
          </w:p>
        </w:tc>
        <w:tc>
          <w:tcPr>
            <w:tcW w:w="1150"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429"/>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2100408</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基本公共卫生服务</w:t>
            </w:r>
          </w:p>
        </w:tc>
        <w:tc>
          <w:tcPr>
            <w:tcW w:w="1213"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8.79</w:t>
            </w:r>
          </w:p>
        </w:tc>
        <w:tc>
          <w:tcPr>
            <w:tcW w:w="118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8.79</w:t>
            </w:r>
          </w:p>
        </w:tc>
        <w:tc>
          <w:tcPr>
            <w:tcW w:w="1150"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21011</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行政事业单位医疗</w:t>
            </w:r>
          </w:p>
        </w:tc>
        <w:tc>
          <w:tcPr>
            <w:tcW w:w="1213"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color w:val="auto"/>
                <w:kern w:val="0"/>
                <w:sz w:val="18"/>
                <w:szCs w:val="18"/>
                <w:lang w:val="en-US" w:eastAsia="zh-CN"/>
              </w:rPr>
            </w:pPr>
            <w:r>
              <w:rPr>
                <w:rFonts w:ascii="宋体" w:eastAsia="宋体" w:hAnsi="宋体" w:cs="宋体" w:hint="eastAsia"/>
                <w:i w:val="0"/>
                <w:iCs w:val="0"/>
                <w:color w:val="000000"/>
                <w:kern w:val="0"/>
                <w:sz w:val="20"/>
                <w:szCs w:val="20"/>
                <w:u w:val="none"/>
                <w:lang w:val="en-US" w:eastAsia="zh-CN" w:bidi="ar"/>
              </w:rPr>
              <w:t>8.79</w:t>
            </w:r>
          </w:p>
        </w:tc>
        <w:tc>
          <w:tcPr>
            <w:tcW w:w="118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8.79</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2101102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事业单位医疗</w:t>
            </w:r>
          </w:p>
        </w:tc>
        <w:tc>
          <w:tcPr>
            <w:tcW w:w="1213"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8.79</w:t>
            </w:r>
          </w:p>
        </w:tc>
        <w:tc>
          <w:tcPr>
            <w:tcW w:w="118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8.79</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住房保障支出</w:t>
            </w:r>
          </w:p>
        </w:tc>
        <w:tc>
          <w:tcPr>
            <w:tcW w:w="1213"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color w:val="auto"/>
                <w:kern w:val="0"/>
                <w:sz w:val="18"/>
                <w:szCs w:val="18"/>
                <w:lang w:val="en-US" w:eastAsia="zh-CN"/>
              </w:rPr>
            </w:pPr>
            <w:r>
              <w:rPr>
                <w:rFonts w:ascii="宋体" w:eastAsia="宋体" w:hAnsi="宋体" w:cs="宋体" w:hint="eastAsia"/>
                <w:i w:val="0"/>
                <w:iCs w:val="0"/>
                <w:color w:val="000000"/>
                <w:kern w:val="0"/>
                <w:sz w:val="20"/>
                <w:szCs w:val="20"/>
                <w:u w:val="none"/>
                <w:lang w:val="en-US" w:eastAsia="zh-CN" w:bidi="ar"/>
              </w:rPr>
              <w:t>18.10</w:t>
            </w:r>
          </w:p>
        </w:tc>
        <w:tc>
          <w:tcPr>
            <w:tcW w:w="118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18.10</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22102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住房改革支出</w:t>
            </w:r>
          </w:p>
        </w:tc>
        <w:tc>
          <w:tcPr>
            <w:tcW w:w="1213"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17.59</w:t>
            </w:r>
          </w:p>
        </w:tc>
        <w:tc>
          <w:tcPr>
            <w:tcW w:w="118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17.59</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2210201</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住房公积金</w:t>
            </w:r>
          </w:p>
        </w:tc>
        <w:tc>
          <w:tcPr>
            <w:tcW w:w="1213"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11.72</w:t>
            </w:r>
          </w:p>
        </w:tc>
        <w:tc>
          <w:tcPr>
            <w:tcW w:w="118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11.72</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6134" w:type="dxa"/>
            <w:gridSpan w:val="2"/>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213"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519.39</w:t>
            </w:r>
          </w:p>
        </w:tc>
        <w:tc>
          <w:tcPr>
            <w:tcW w:w="118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b/>
                <w:bCs/>
                <w:color w:val="auto"/>
                <w:kern w:val="0"/>
                <w:sz w:val="18"/>
                <w:szCs w:val="18"/>
              </w:rPr>
            </w:pPr>
            <w:r>
              <w:rPr>
                <w:rFonts w:ascii="宋体" w:eastAsia="宋体" w:hAnsi="宋体" w:cs="宋体" w:hint="eastAsia"/>
                <w:i w:val="0"/>
                <w:iCs w:val="0"/>
                <w:color w:val="000000"/>
                <w:kern w:val="0"/>
                <w:sz w:val="20"/>
                <w:szCs w:val="20"/>
                <w:u w:val="none"/>
                <w:lang w:val="en-US" w:eastAsia="zh-CN" w:bidi="ar"/>
              </w:rPr>
              <w:t>519.39</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color w:val="auto"/>
                <w:kern w:val="0"/>
                <w:sz w:val="18"/>
                <w:szCs w:val="18"/>
              </w:rPr>
            </w:pPr>
            <w:r>
              <w:rPr>
                <w:rFonts w:ascii="宋体" w:eastAsia="宋体" w:hAnsi="宋体" w:cs="宋体" w:hint="eastAsia"/>
                <w:i w:val="0"/>
                <w:iCs w:val="0"/>
                <w:color w:val="000000"/>
                <w:kern w:val="0"/>
                <w:sz w:val="20"/>
                <w:szCs w:val="20"/>
                <w:u w:val="none"/>
                <w:lang w:val="en-US" w:eastAsia="zh-CN" w:bidi="ar"/>
              </w:rPr>
              <w:t>401.88</w:t>
            </w:r>
            <w:r>
              <w:rPr>
                <w:rFonts w:ascii="TimesNewRoman" w:hAnsi="TimesNewRoman" w:cs="TimesNewRoman"/>
                <w:b/>
                <w:bCs/>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color w:val="0000FF"/>
                <w:kern w:val="0"/>
                <w:sz w:val="18"/>
                <w:szCs w:val="18"/>
              </w:rPr>
            </w:pPr>
            <w:r>
              <w:rPr>
                <w:rFonts w:ascii="TimesNewRoman" w:hAnsi="TimesNewRoman" w:cs="TimesNewRoman"/>
                <w:b/>
                <w:bCs/>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kern w:val="0"/>
          <w:sz w:val="20"/>
        </w:rPr>
        <w:sectPr>
          <w:pgSz w:w="16840" w:h="11907" w:orient="landscape"/>
          <w:pgMar w:top="1588" w:right="1389" w:bottom="1474" w:left="1418" w:header="851" w:footer="1021" w:gutter="0"/>
          <w:cols w:num="1" w:space="425"/>
          <w:docGrid w:type="linesAndChars" w:linePitch="312" w:charSpace="0"/>
        </w:sectPr>
      </w:pPr>
    </w:p>
    <w:p>
      <w:pPr>
        <w:spacing w:line="560" w:lineRule="exac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公开表4</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炎刘镇</w:t>
      </w:r>
      <w:r>
        <w:rPr>
          <w:rFonts w:ascii="宋体" w:hAnsi="宋体" w:cs="TimesNewRoman"/>
          <w:b/>
          <w:bCs/>
          <w:kern w:val="0"/>
          <w:sz w:val="28"/>
          <w:szCs w:val="32"/>
        </w:rPr>
        <w:t>中心卫生院</w:t>
      </w:r>
      <w:r>
        <w:rPr>
          <w:rFonts w:ascii="宋体" w:hAnsi="宋体" w:cs="TimesNewRoman" w:hint="eastAsia"/>
          <w:b/>
          <w:bCs/>
          <w:kern w:val="0"/>
          <w:sz w:val="28"/>
          <w:szCs w:val="32"/>
          <w:lang w:eastAsia="zh-CN"/>
        </w:rPr>
        <w:t>广岩分院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74" w:type="dxa"/>
        <w:tblInd w:w="0" w:type="dxa"/>
        <w:tblLayout w:type="fixed"/>
        <w:tblCellMar>
          <w:top w:w="0" w:type="dxa"/>
          <w:left w:w="108" w:type="dxa"/>
          <w:bottom w:w="0" w:type="dxa"/>
          <w:right w:w="108" w:type="dxa"/>
        </w:tblCellMar>
      </w:tblPr>
      <w:tblGrid>
        <w:gridCol w:w="2995"/>
        <w:gridCol w:w="1167"/>
        <w:gridCol w:w="3821"/>
        <w:gridCol w:w="1291"/>
      </w:tblGrid>
      <w:tr>
        <w:tblPrEx>
          <w:tblW w:w="9274" w:type="dxa"/>
          <w:tblInd w:w="0" w:type="dxa"/>
          <w:tblLayout w:type="fixed"/>
          <w:tblCellMar>
            <w:top w:w="0" w:type="dxa"/>
            <w:left w:w="108" w:type="dxa"/>
            <w:bottom w:w="0" w:type="dxa"/>
            <w:right w:w="108" w:type="dxa"/>
          </w:tblCellMar>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w:t>
            </w:r>
          </w:p>
        </w:tc>
        <w:tc>
          <w:tcPr>
            <w:tcW w:w="5112" w:type="dxa"/>
            <w:gridSpan w:val="2"/>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119.39</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119.39</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350"/>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color w:val="auto"/>
                <w:kern w:val="0"/>
                <w:sz w:val="18"/>
                <w:szCs w:val="18"/>
              </w:rPr>
            </w:pPr>
            <w:r>
              <w:rPr>
                <w:rFonts w:ascii="宋体" w:eastAsia="宋体" w:hAnsi="宋体" w:cs="宋体" w:hint="eastAsia"/>
                <w:i w:val="0"/>
                <w:iCs w:val="0"/>
                <w:color w:val="000000"/>
                <w:kern w:val="0"/>
                <w:sz w:val="20"/>
                <w:szCs w:val="20"/>
                <w:u w:val="none"/>
                <w:lang w:val="en-US" w:eastAsia="zh-CN" w:bidi="ar"/>
              </w:rPr>
              <w:t>119.39</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1"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1" w:type="dxa"/>
            <w:tcBorders>
              <w:top w:val="nil"/>
              <w:left w:val="single" w:sz="4" w:space="0" w:color="auto"/>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18.10</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1" w:type="dxa"/>
            <w:tcBorders>
              <w:top w:val="nil"/>
              <w:left w:val="single" w:sz="4" w:space="0" w:color="auto"/>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92.50</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1"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1"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1"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1"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8.79</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color w:val="auto"/>
                <w:kern w:val="0"/>
                <w:sz w:val="18"/>
                <w:szCs w:val="18"/>
              </w:rPr>
            </w:pPr>
            <w:r>
              <w:rPr>
                <w:rFonts w:ascii="宋体" w:eastAsia="宋体" w:hAnsi="宋体" w:cs="宋体" w:hint="eastAsia"/>
                <w:i w:val="0"/>
                <w:iCs w:val="0"/>
                <w:color w:val="000000"/>
                <w:kern w:val="0"/>
                <w:sz w:val="20"/>
                <w:szCs w:val="20"/>
                <w:u w:val="none"/>
                <w:lang w:val="en-US" w:eastAsia="zh-CN" w:bidi="ar"/>
              </w:rPr>
              <w:t>119.39</w:t>
            </w:r>
            <w:r>
              <w:rPr>
                <w:rFonts w:ascii="TimesNewRoman" w:hAnsi="TimesNewRoman" w:cs="TimesNewRoman"/>
                <w:b/>
                <w:bCs/>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119.39</w:t>
            </w:r>
          </w:p>
        </w:tc>
      </w:tr>
    </w:tbl>
    <w:p>
      <w:pPr>
        <w:spacing w:line="560" w:lineRule="exact"/>
        <w:jc w:val="right"/>
        <w:rPr>
          <w:rFonts w:ascii="TimesNewRoman" w:hAnsi="TimesNewRoman" w:cs="TimesNewRoman"/>
          <w:kern w:val="0"/>
          <w:sz w:val="20"/>
        </w:rPr>
        <w:sectPr>
          <w:pgSz w:w="11907" w:h="16840"/>
          <w:pgMar w:top="2098" w:right="1474" w:bottom="1985" w:left="1588" w:header="851" w:footer="1021" w:gutter="0"/>
          <w:cols w:num="1" w:space="425"/>
          <w:docGrid w:type="lines" w:linePitch="312" w:charSpace="0"/>
        </w:sectPr>
      </w:pPr>
    </w:p>
    <w:tbl>
      <w:tblPr>
        <w:tblStyle w:val="TableNormal"/>
        <w:tblW w:w="1328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
      <w:tblGrid>
        <w:gridCol w:w="5508"/>
        <w:gridCol w:w="3816"/>
        <w:gridCol w:w="816"/>
        <w:gridCol w:w="816"/>
        <w:gridCol w:w="816"/>
        <w:gridCol w:w="525"/>
        <w:gridCol w:w="1216"/>
      </w:tblGrid>
      <w:tr>
        <w:tblPrEx>
          <w:tblW w:w="1328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315"/>
        </w:trPr>
        <w:tc>
          <w:tcPr>
            <w:tcW w:w="12297" w:type="dxa"/>
            <w:gridSpan w:val="6"/>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hAnsi="宋体" w:cs="宋体" w:hint="eastAsia"/>
                <w:i w:val="0"/>
                <w:iCs w:val="0"/>
                <w:color w:val="000000"/>
                <w:kern w:val="0"/>
                <w:sz w:val="20"/>
                <w:szCs w:val="20"/>
                <w:u w:val="none"/>
                <w:lang w:val="en-US" w:eastAsia="zh-CN" w:bidi="ar"/>
              </w:rPr>
              <w:t>单位</w:t>
            </w:r>
            <w:r>
              <w:rPr>
                <w:rFonts w:ascii="宋体" w:eastAsia="宋体" w:hAnsi="宋体" w:cs="宋体" w:hint="eastAsia"/>
                <w:i w:val="0"/>
                <w:iCs w:val="0"/>
                <w:color w:val="000000"/>
                <w:kern w:val="0"/>
                <w:sz w:val="20"/>
                <w:szCs w:val="20"/>
                <w:u w:val="none"/>
                <w:lang w:val="en-US" w:eastAsia="zh-CN" w:bidi="ar"/>
              </w:rPr>
              <w:t>公开表5</w:t>
            </w:r>
          </w:p>
        </w:tc>
        <w:tc>
          <w:tcPr>
            <w:tcW w:w="984" w:type="dxa"/>
            <w:tcBorders>
              <w:top w:val="nil"/>
              <w:left w:val="nil"/>
              <w:bottom w:val="nil"/>
              <w:right w:val="nil"/>
            </w:tcBorders>
            <w:shd w:val="clear" w:color="auto" w:fill="auto"/>
            <w:noWrap/>
            <w:vAlign w:val="center"/>
          </w:tcPr>
          <w:p>
            <w:pPr>
              <w:jc w:val="right"/>
              <w:rPr>
                <w:rFonts w:ascii="宋体" w:eastAsia="宋体" w:hAnsi="宋体" w:cs="宋体" w:hint="eastAsia"/>
                <w:i w:val="0"/>
                <w:iCs w:val="0"/>
                <w:color w:val="000000"/>
                <w:sz w:val="22"/>
                <w:szCs w:val="22"/>
                <w:u w:val="none"/>
              </w:rPr>
            </w:pPr>
          </w:p>
        </w:tc>
      </w:tr>
      <w:tr>
        <w:tblPrEx>
          <w:tblW w:w="13281" w:type="dxa"/>
          <w:tblInd w:w="0" w:type="dxa"/>
          <w:shd w:val="clear" w:color="auto" w:fill="auto"/>
          <w:tblCellMar>
            <w:top w:w="0" w:type="dxa"/>
            <w:left w:w="108" w:type="dxa"/>
            <w:bottom w:w="0" w:type="dxa"/>
            <w:right w:w="108" w:type="dxa"/>
          </w:tblCellMar>
        </w:tblPrEx>
        <w:trPr>
          <w:trHeight w:val="525"/>
        </w:trPr>
        <w:tc>
          <w:tcPr>
            <w:tcW w:w="0" w:type="auto"/>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eastAsia="黑体" w:hAnsi="宋体" w:cs="黑体"/>
                <w:i w:val="0"/>
                <w:iCs w:val="0"/>
                <w:color w:val="000000"/>
                <w:sz w:val="32"/>
                <w:szCs w:val="32"/>
                <w:u w:val="none"/>
              </w:rPr>
            </w:pPr>
            <w:r>
              <w:rPr>
                <w:rFonts w:ascii="黑体" w:eastAsia="黑体" w:hAnsi="宋体" w:cs="黑体" w:hint="eastAsia"/>
                <w:i w:val="0"/>
                <w:iCs w:val="0"/>
                <w:color w:val="000000"/>
                <w:kern w:val="0"/>
                <w:sz w:val="32"/>
                <w:szCs w:val="32"/>
                <w:u w:val="none"/>
                <w:lang w:val="en-US" w:eastAsia="zh-CN" w:bidi="ar"/>
              </w:rPr>
              <w:t>2024年部门一般公共预算支出表</w:t>
            </w:r>
          </w:p>
        </w:tc>
      </w:tr>
      <w:tr>
        <w:tblPrEx>
          <w:tblW w:w="13281" w:type="dxa"/>
          <w:tblInd w:w="0" w:type="dxa"/>
          <w:shd w:val="clear" w:color="auto" w:fill="auto"/>
          <w:tblCellMar>
            <w:top w:w="0" w:type="dxa"/>
            <w:left w:w="108" w:type="dxa"/>
            <w:bottom w:w="0" w:type="dxa"/>
            <w:right w:w="108" w:type="dxa"/>
          </w:tblCellMar>
        </w:tblPrEx>
        <w:trPr>
          <w:trHeight w:val="360"/>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Calibri" w:hAnsi="Calibri" w:cs="Calibri"/>
                <w:i w:val="0"/>
                <w:iCs w:val="0"/>
                <w:color w:val="000000"/>
                <w:sz w:val="22"/>
                <w:szCs w:val="22"/>
                <w:u w:val="none"/>
              </w:rPr>
            </w:pPr>
            <w:r>
              <w:rPr>
                <w:rFonts w:ascii="Calibri" w:eastAsia="宋体" w:hAnsi="Calibri" w:cs="Calibri" w:hint="default"/>
                <w:i w:val="0"/>
                <w:iCs w:val="0"/>
                <w:color w:val="000000"/>
                <w:kern w:val="0"/>
                <w:sz w:val="22"/>
                <w:szCs w:val="22"/>
                <w:u w:val="none"/>
                <w:lang w:val="en-US" w:eastAsia="zh-CN" w:bidi="ar"/>
              </w:rPr>
              <w:t>153041-寿县炎刘镇中心卫生院广岩分院</w:t>
            </w:r>
          </w:p>
        </w:tc>
        <w:tc>
          <w:tcPr>
            <w:tcW w:w="0" w:type="auto"/>
            <w:tcBorders>
              <w:top w:val="nil"/>
              <w:left w:val="nil"/>
              <w:bottom w:val="nil"/>
              <w:right w:val="nil"/>
            </w:tcBorders>
            <w:shd w:val="clear" w:color="auto" w:fill="auto"/>
            <w:noWrap/>
            <w:vAlign w:val="bottom"/>
          </w:tcPr>
          <w:p>
            <w:pPr>
              <w:rPr>
                <w:rFonts w:ascii="Calibri" w:hAnsi="Calibri" w:cs="Calibri" w:hint="default"/>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ascii="宋体" w:eastAsia="宋体" w:hAnsi="宋体" w:cs="宋体" w:hint="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ascii="宋体" w:eastAsia="宋体" w:hAnsi="宋体" w:cs="宋体" w:hint="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ascii="宋体" w:eastAsia="宋体" w:hAnsi="宋体" w:cs="宋体" w:hint="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ascii="宋体" w:eastAsia="宋体" w:hAnsi="宋体" w:cs="宋体" w:hint="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单位：万元</w:t>
            </w:r>
          </w:p>
        </w:tc>
      </w:tr>
      <w:tr>
        <w:tblPrEx>
          <w:tblW w:w="13281" w:type="dxa"/>
          <w:tblInd w:w="0" w:type="dxa"/>
          <w:shd w:val="clear" w:color="auto" w:fill="auto"/>
          <w:tblCellMar>
            <w:top w:w="0" w:type="dxa"/>
            <w:left w:w="108" w:type="dxa"/>
            <w:bottom w:w="0" w:type="dxa"/>
            <w:right w:w="108" w:type="dxa"/>
          </w:tblCellMar>
        </w:tblPrEx>
        <w:trPr>
          <w:trHeight w:val="375"/>
        </w:trPr>
        <w:tc>
          <w:tcPr>
            <w:tcW w:w="6744" w:type="dxa"/>
            <w:vMerge w:val="restar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科目编码</w:t>
            </w:r>
          </w:p>
        </w:tc>
        <w:tc>
          <w:tcPr>
            <w:tcW w:w="2891" w:type="dxa"/>
            <w:vMerge w:val="restar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科目名称</w:t>
            </w:r>
          </w:p>
        </w:tc>
        <w:tc>
          <w:tcPr>
            <w:tcW w:w="7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合计</w:t>
            </w:r>
          </w:p>
        </w:tc>
        <w:tc>
          <w:tcPr>
            <w:tcW w:w="19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基本支出</w:t>
            </w:r>
          </w:p>
        </w:tc>
        <w:tc>
          <w:tcPr>
            <w:tcW w:w="984" w:type="dxa"/>
            <w:vMerge w:val="restar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项目支出</w:t>
            </w:r>
          </w:p>
        </w:tc>
      </w:tr>
      <w:tr>
        <w:tblPrEx>
          <w:tblW w:w="13281" w:type="dxa"/>
          <w:tblInd w:w="0" w:type="dxa"/>
          <w:shd w:val="clear" w:color="auto" w:fill="auto"/>
          <w:tblCellMar>
            <w:top w:w="0" w:type="dxa"/>
            <w:left w:w="108" w:type="dxa"/>
            <w:bottom w:w="0" w:type="dxa"/>
            <w:right w:w="108" w:type="dxa"/>
          </w:tblCellMar>
        </w:tblPrEx>
        <w:trPr>
          <w:trHeight w:val="375"/>
        </w:trPr>
        <w:tc>
          <w:tcPr>
            <w:tcW w:w="6744" w:type="dxa"/>
            <w:vMerge/>
            <w:tcBorders>
              <w:top w:val="single" w:sz="4" w:space="0" w:color="000000"/>
              <w:left w:val="single" w:sz="4" w:space="0" w:color="000000"/>
              <w:bottom w:val="nil"/>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2891" w:type="dxa"/>
            <w:vMerge/>
            <w:tcBorders>
              <w:top w:val="single" w:sz="4" w:space="0" w:color="000000"/>
              <w:left w:val="single" w:sz="4" w:space="0" w:color="000000"/>
              <w:bottom w:val="nil"/>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小计</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人员经费</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公用经费</w:t>
            </w:r>
          </w:p>
        </w:tc>
        <w:tc>
          <w:tcPr>
            <w:tcW w:w="984" w:type="dxa"/>
            <w:vMerge/>
            <w:tcBorders>
              <w:top w:val="single" w:sz="4" w:space="0" w:color="000000"/>
              <w:left w:val="single" w:sz="4" w:space="0" w:color="000000"/>
              <w:bottom w:val="nil"/>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r>
      <w:tr>
        <w:tblPrEx>
          <w:tblW w:w="13281" w:type="dxa"/>
          <w:tblInd w:w="0" w:type="dxa"/>
          <w:shd w:val="clear" w:color="auto" w:fill="auto"/>
          <w:tblCellMar>
            <w:top w:w="0" w:type="dxa"/>
            <w:left w:w="108" w:type="dxa"/>
            <w:bottom w:w="0" w:type="dxa"/>
            <w:right w:w="108" w:type="dxa"/>
          </w:tblCellMar>
        </w:tblPrEx>
        <w:trPr>
          <w:trHeight w:val="540"/>
        </w:trPr>
        <w:tc>
          <w:tcPr>
            <w:tcW w:w="0" w:type="auto"/>
            <w:tcBorders>
              <w:top w:val="single" w:sz="4" w:space="0" w:color="000000"/>
              <w:left w:val="single" w:sz="4" w:space="0" w:color="000000"/>
              <w:bottom w:val="single" w:sz="4" w:space="0" w:color="000000"/>
              <w:right w:val="nil"/>
            </w:tcBorders>
            <w:shd w:val="clear" w:color="auto" w:fill="auto"/>
            <w:noWrap/>
            <w:vAlign w:val="center"/>
          </w:tcPr>
          <w:p>
            <w:pPr>
              <w:jc w:val="left"/>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119.39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117.51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117.51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1.88</w:t>
            </w:r>
          </w:p>
        </w:tc>
      </w:tr>
      <w:tr>
        <w:tblPrEx>
          <w:tblW w:w="13281" w:type="dxa"/>
          <w:tblInd w:w="0" w:type="dxa"/>
          <w:shd w:val="clear" w:color="auto" w:fill="auto"/>
          <w:tblCellMar>
            <w:top w:w="0" w:type="dxa"/>
            <w:left w:w="108" w:type="dxa"/>
            <w:bottom w:w="0" w:type="dxa"/>
            <w:right w:w="108" w:type="dxa"/>
          </w:tblCellMar>
        </w:tblPrEx>
        <w:trPr>
          <w:trHeight w:val="540"/>
        </w:trPr>
        <w:tc>
          <w:tcPr>
            <w:tcW w:w="0" w:type="auto"/>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13281" w:type="dxa"/>
          <w:tblInd w:w="0" w:type="dxa"/>
          <w:shd w:val="clear" w:color="auto" w:fill="auto"/>
          <w:tblCellMar>
            <w:top w:w="0" w:type="dxa"/>
            <w:left w:w="108" w:type="dxa"/>
            <w:bottom w:w="0" w:type="dxa"/>
            <w:right w:w="108" w:type="dxa"/>
          </w:tblCellMar>
        </w:tblPrEx>
        <w:trPr>
          <w:trHeight w:val="540"/>
        </w:trPr>
        <w:tc>
          <w:tcPr>
            <w:tcW w:w="0" w:type="auto"/>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行政事业单位养老支出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17.59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17.59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17.59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13281" w:type="dxa"/>
          <w:tblInd w:w="0" w:type="dxa"/>
          <w:shd w:val="clear" w:color="auto" w:fill="auto"/>
          <w:tblCellMar>
            <w:top w:w="0" w:type="dxa"/>
            <w:left w:w="108" w:type="dxa"/>
            <w:bottom w:w="0" w:type="dxa"/>
            <w:right w:w="108" w:type="dxa"/>
          </w:tblCellMar>
        </w:tblPrEx>
        <w:trPr>
          <w:trHeight w:val="540"/>
        </w:trPr>
        <w:tc>
          <w:tcPr>
            <w:tcW w:w="0" w:type="auto"/>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机关事业单位基本养老保险缴费支出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13281" w:type="dxa"/>
          <w:tblInd w:w="0" w:type="dxa"/>
          <w:shd w:val="clear" w:color="auto" w:fill="auto"/>
          <w:tblCellMar>
            <w:top w:w="0" w:type="dxa"/>
            <w:left w:w="108" w:type="dxa"/>
            <w:bottom w:w="0" w:type="dxa"/>
            <w:right w:w="108" w:type="dxa"/>
          </w:tblCellMar>
        </w:tblPrEx>
        <w:trPr>
          <w:trHeight w:val="540"/>
        </w:trPr>
        <w:tc>
          <w:tcPr>
            <w:tcW w:w="0" w:type="auto"/>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机关事业单位职业年金缴费支出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5.86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5.86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5.86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13281" w:type="dxa"/>
          <w:tblInd w:w="0" w:type="dxa"/>
          <w:shd w:val="clear" w:color="auto" w:fill="auto"/>
          <w:tblCellMar>
            <w:top w:w="0" w:type="dxa"/>
            <w:left w:w="108" w:type="dxa"/>
            <w:bottom w:w="0" w:type="dxa"/>
            <w:right w:w="108" w:type="dxa"/>
          </w:tblCellMar>
        </w:tblPrEx>
        <w:trPr>
          <w:trHeight w:val="540"/>
        </w:trPr>
        <w:tc>
          <w:tcPr>
            <w:tcW w:w="0" w:type="auto"/>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0.51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0.51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0.51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13281" w:type="dxa"/>
          <w:tblInd w:w="0" w:type="dxa"/>
          <w:shd w:val="clear" w:color="auto" w:fill="auto"/>
          <w:tblCellMar>
            <w:top w:w="0" w:type="dxa"/>
            <w:left w:w="108" w:type="dxa"/>
            <w:bottom w:w="0" w:type="dxa"/>
            <w:right w:w="108" w:type="dxa"/>
          </w:tblCellMar>
        </w:tblPrEx>
        <w:trPr>
          <w:trHeight w:val="540"/>
        </w:trPr>
        <w:tc>
          <w:tcPr>
            <w:tcW w:w="0" w:type="auto"/>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2089999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0.51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0.51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0.51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13281" w:type="dxa"/>
          <w:tblInd w:w="0" w:type="dxa"/>
          <w:shd w:val="clear" w:color="auto" w:fill="auto"/>
          <w:tblCellMar>
            <w:top w:w="0" w:type="dxa"/>
            <w:left w:w="108" w:type="dxa"/>
            <w:bottom w:w="0" w:type="dxa"/>
            <w:right w:w="108" w:type="dxa"/>
          </w:tblCellMar>
        </w:tblPrEx>
        <w:trPr>
          <w:trHeight w:val="540"/>
        </w:trPr>
        <w:tc>
          <w:tcPr>
            <w:tcW w:w="0" w:type="auto"/>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92.50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90.62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90.62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1.88</w:t>
            </w:r>
          </w:p>
        </w:tc>
      </w:tr>
      <w:tr>
        <w:tblPrEx>
          <w:tblW w:w="13281" w:type="dxa"/>
          <w:tblInd w:w="0" w:type="dxa"/>
          <w:shd w:val="clear" w:color="auto" w:fill="auto"/>
          <w:tblCellMar>
            <w:top w:w="0" w:type="dxa"/>
            <w:left w:w="108" w:type="dxa"/>
            <w:bottom w:w="0" w:type="dxa"/>
            <w:right w:w="108" w:type="dxa"/>
          </w:tblCellMar>
        </w:tblPrEx>
        <w:trPr>
          <w:trHeight w:val="540"/>
        </w:trPr>
        <w:tc>
          <w:tcPr>
            <w:tcW w:w="0" w:type="auto"/>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21003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基层医疗卫生机构</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87.45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85.57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85.57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1.88</w:t>
            </w:r>
          </w:p>
        </w:tc>
      </w:tr>
      <w:tr>
        <w:tblPrEx>
          <w:tblW w:w="13281" w:type="dxa"/>
          <w:tblInd w:w="0" w:type="dxa"/>
          <w:shd w:val="clear" w:color="auto" w:fill="auto"/>
          <w:tblCellMar>
            <w:top w:w="0" w:type="dxa"/>
            <w:left w:w="108" w:type="dxa"/>
            <w:bottom w:w="0" w:type="dxa"/>
            <w:right w:w="108" w:type="dxa"/>
          </w:tblCellMar>
        </w:tblPrEx>
        <w:trPr>
          <w:trHeight w:val="540"/>
        </w:trPr>
        <w:tc>
          <w:tcPr>
            <w:tcW w:w="0" w:type="auto"/>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2100302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乡镇卫生院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87.45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85.57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85.57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1.88</w:t>
            </w:r>
          </w:p>
        </w:tc>
      </w:tr>
      <w:tr>
        <w:tblPrEx>
          <w:tblW w:w="13281" w:type="dxa"/>
          <w:tblInd w:w="0" w:type="dxa"/>
          <w:shd w:val="clear" w:color="auto" w:fill="auto"/>
          <w:tblCellMar>
            <w:top w:w="0" w:type="dxa"/>
            <w:left w:w="108" w:type="dxa"/>
            <w:bottom w:w="0" w:type="dxa"/>
            <w:right w:w="108" w:type="dxa"/>
          </w:tblCellMar>
        </w:tblPrEx>
        <w:trPr>
          <w:trHeight w:val="540"/>
        </w:trPr>
        <w:tc>
          <w:tcPr>
            <w:tcW w:w="0" w:type="auto"/>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行政事业单位医疗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13281" w:type="dxa"/>
          <w:tblInd w:w="0" w:type="dxa"/>
          <w:shd w:val="clear" w:color="auto" w:fill="auto"/>
          <w:tblCellMar>
            <w:top w:w="0" w:type="dxa"/>
            <w:left w:w="108" w:type="dxa"/>
            <w:bottom w:w="0" w:type="dxa"/>
            <w:right w:w="108" w:type="dxa"/>
          </w:tblCellMar>
        </w:tblPrEx>
        <w:trPr>
          <w:trHeight w:val="540"/>
        </w:trPr>
        <w:tc>
          <w:tcPr>
            <w:tcW w:w="0" w:type="auto"/>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2101102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13281" w:type="dxa"/>
          <w:tblInd w:w="0" w:type="dxa"/>
          <w:shd w:val="clear" w:color="auto" w:fill="auto"/>
          <w:tblCellMar>
            <w:top w:w="0" w:type="dxa"/>
            <w:left w:w="108" w:type="dxa"/>
            <w:bottom w:w="0" w:type="dxa"/>
            <w:right w:w="108" w:type="dxa"/>
          </w:tblCellMar>
        </w:tblPrEx>
        <w:trPr>
          <w:trHeight w:val="540"/>
        </w:trPr>
        <w:tc>
          <w:tcPr>
            <w:tcW w:w="0" w:type="auto"/>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221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住房保障支出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8.79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8.79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8.79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13281" w:type="dxa"/>
          <w:tblInd w:w="0" w:type="dxa"/>
          <w:shd w:val="clear" w:color="auto" w:fill="auto"/>
          <w:tblCellMar>
            <w:top w:w="0" w:type="dxa"/>
            <w:left w:w="108" w:type="dxa"/>
            <w:bottom w:w="0" w:type="dxa"/>
            <w:right w:w="108" w:type="dxa"/>
          </w:tblCellMar>
        </w:tblPrEx>
        <w:trPr>
          <w:trHeight w:val="540"/>
        </w:trPr>
        <w:tc>
          <w:tcPr>
            <w:tcW w:w="0" w:type="auto"/>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22102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住房改革支出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8.79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8.79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8.79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13281" w:type="dxa"/>
          <w:tblInd w:w="0" w:type="dxa"/>
          <w:shd w:val="clear" w:color="auto" w:fill="auto"/>
          <w:tblCellMar>
            <w:top w:w="0" w:type="dxa"/>
            <w:left w:w="108" w:type="dxa"/>
            <w:bottom w:w="0" w:type="dxa"/>
            <w:right w:w="108" w:type="dxa"/>
          </w:tblCellMar>
        </w:tblPrEx>
        <w:trPr>
          <w:trHeight w:val="540"/>
        </w:trPr>
        <w:tc>
          <w:tcPr>
            <w:tcW w:w="0" w:type="auto"/>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2210201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住房公积金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8.79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8.79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8.79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bl>
    <w:p>
      <w:pPr>
        <w:spacing w:line="560" w:lineRule="exact"/>
        <w:ind w:left="903" w:leftChars="430"/>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公开表6</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瓦埠</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05" w:type="dxa"/>
        <w:tblInd w:w="0" w:type="dxa"/>
        <w:tblLayout w:type="fixed"/>
        <w:tblCellMar>
          <w:top w:w="0" w:type="dxa"/>
          <w:left w:w="108" w:type="dxa"/>
          <w:bottom w:w="0" w:type="dxa"/>
          <w:right w:w="108" w:type="dxa"/>
        </w:tblCellMar>
      </w:tblPr>
      <w:tblGrid>
        <w:gridCol w:w="2930"/>
        <w:gridCol w:w="4350"/>
        <w:gridCol w:w="1530"/>
        <w:gridCol w:w="2631"/>
        <w:gridCol w:w="2564"/>
      </w:tblGrid>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5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w:t>
            </w:r>
          </w:p>
        </w:tc>
        <w:tc>
          <w:tcPr>
            <w:tcW w:w="435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工资福利支出</w:t>
            </w:r>
          </w:p>
        </w:tc>
        <w:tc>
          <w:tcPr>
            <w:tcW w:w="1530"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rPr>
            </w:pPr>
            <w:r>
              <w:rPr>
                <w:rFonts w:ascii="宋体" w:eastAsia="宋体" w:hAnsi="宋体" w:cs="宋体" w:hint="eastAsia"/>
                <w:i w:val="0"/>
                <w:iCs w:val="0"/>
                <w:color w:val="000000"/>
                <w:kern w:val="0"/>
                <w:sz w:val="20"/>
                <w:szCs w:val="20"/>
                <w:u w:val="none"/>
                <w:lang w:val="en-US" w:eastAsia="zh-CN" w:bidi="ar"/>
              </w:rPr>
              <w:t>105.22</w:t>
            </w:r>
          </w:p>
        </w:tc>
        <w:tc>
          <w:tcPr>
            <w:tcW w:w="263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105.22</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30101</w:t>
            </w:r>
          </w:p>
        </w:tc>
        <w:tc>
          <w:tcPr>
            <w:tcW w:w="435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基本工资</w:t>
            </w:r>
          </w:p>
        </w:tc>
        <w:tc>
          <w:tcPr>
            <w:tcW w:w="1530"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rPr>
            </w:pPr>
            <w:r>
              <w:rPr>
                <w:rFonts w:ascii="宋体" w:eastAsia="宋体" w:hAnsi="宋体" w:cs="宋体" w:hint="eastAsia"/>
                <w:i w:val="0"/>
                <w:iCs w:val="0"/>
                <w:color w:val="000000"/>
                <w:kern w:val="0"/>
                <w:sz w:val="20"/>
                <w:szCs w:val="20"/>
                <w:u w:val="none"/>
                <w:lang w:val="en-US" w:eastAsia="zh-CN" w:bidi="ar"/>
              </w:rPr>
              <w:t>47.95</w:t>
            </w:r>
          </w:p>
        </w:tc>
        <w:tc>
          <w:tcPr>
            <w:tcW w:w="263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47.95</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3010</w:t>
            </w:r>
            <w:r>
              <w:rPr>
                <w:rFonts w:ascii="TimesNewRoman" w:hAnsi="TimesNewRoman" w:cs="TimesNewRoman" w:hint="eastAsia"/>
                <w:kern w:val="0"/>
                <w:sz w:val="18"/>
                <w:szCs w:val="18"/>
              </w:rPr>
              <w:t>7</w:t>
            </w:r>
          </w:p>
        </w:tc>
        <w:tc>
          <w:tcPr>
            <w:tcW w:w="435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绩效</w:t>
            </w:r>
            <w:r>
              <w:rPr>
                <w:rFonts w:ascii="TimesNewRoman" w:hAnsi="TimesNewRoman" w:cs="TimesNewRoman"/>
                <w:kern w:val="0"/>
                <w:sz w:val="18"/>
                <w:szCs w:val="18"/>
              </w:rPr>
              <w:t>工资</w:t>
            </w:r>
          </w:p>
        </w:tc>
        <w:tc>
          <w:tcPr>
            <w:tcW w:w="1530"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rPr>
            </w:pPr>
            <w:r>
              <w:rPr>
                <w:rFonts w:ascii="宋体" w:eastAsia="宋体" w:hAnsi="宋体" w:cs="宋体" w:hint="eastAsia"/>
                <w:i w:val="0"/>
                <w:iCs w:val="0"/>
                <w:color w:val="000000"/>
                <w:kern w:val="0"/>
                <w:sz w:val="20"/>
                <w:szCs w:val="20"/>
                <w:u w:val="none"/>
                <w:lang w:val="en-US" w:eastAsia="zh-CN" w:bidi="ar"/>
              </w:rPr>
              <w:t>25.31</w:t>
            </w:r>
          </w:p>
        </w:tc>
        <w:tc>
          <w:tcPr>
            <w:tcW w:w="263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25.31</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3010</w:t>
            </w:r>
            <w:r>
              <w:rPr>
                <w:rFonts w:ascii="TimesNewRoman" w:hAnsi="TimesNewRoman" w:cs="TimesNewRoman" w:hint="eastAsia"/>
                <w:kern w:val="0"/>
                <w:sz w:val="18"/>
                <w:szCs w:val="18"/>
              </w:rPr>
              <w:t>8</w:t>
            </w:r>
          </w:p>
        </w:tc>
        <w:tc>
          <w:tcPr>
            <w:tcW w:w="4350" w:type="dxa"/>
            <w:tcBorders>
              <w:top w:val="nil"/>
              <w:left w:val="nil"/>
              <w:bottom w:val="single" w:sz="4" w:space="0" w:color="auto"/>
              <w:right w:val="single" w:sz="4" w:space="0" w:color="auto"/>
            </w:tcBorders>
            <w:noWrap/>
            <w:vAlign w:val="center"/>
          </w:tcPr>
          <w:p>
            <w:pPr>
              <w:widowControl/>
              <w:spacing w:line="28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Pr>
                <w:rFonts w:asciiTheme="majorEastAsia" w:eastAsiaTheme="majorEastAsia" w:hAnsiTheme="majorEastAsia" w:cs="汉仪中秀体简" w:hint="eastAsia"/>
                <w:sz w:val="18"/>
                <w:szCs w:val="18"/>
              </w:rPr>
              <w:t>机关事业单位基本养老保险缴费</w:t>
            </w:r>
          </w:p>
        </w:tc>
        <w:tc>
          <w:tcPr>
            <w:tcW w:w="1530"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rPr>
            </w:pPr>
            <w:r>
              <w:rPr>
                <w:rFonts w:ascii="宋体" w:eastAsia="宋体" w:hAnsi="宋体" w:cs="宋体" w:hint="eastAsia"/>
                <w:i w:val="0"/>
                <w:iCs w:val="0"/>
                <w:color w:val="000000"/>
                <w:kern w:val="0"/>
                <w:sz w:val="20"/>
                <w:szCs w:val="20"/>
                <w:u w:val="none"/>
                <w:lang w:val="en-US" w:eastAsia="zh-CN" w:bidi="ar"/>
              </w:rPr>
              <w:t>11.72</w:t>
            </w:r>
          </w:p>
        </w:tc>
        <w:tc>
          <w:tcPr>
            <w:tcW w:w="263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11.72</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3010</w:t>
            </w:r>
            <w:r>
              <w:rPr>
                <w:rFonts w:ascii="TimesNewRoman" w:hAnsi="TimesNewRoman" w:cs="TimesNewRoman" w:hint="eastAsia"/>
                <w:kern w:val="0"/>
                <w:sz w:val="18"/>
                <w:szCs w:val="18"/>
              </w:rPr>
              <w:t>9</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职业年级缴费　</w:t>
            </w:r>
          </w:p>
        </w:tc>
        <w:tc>
          <w:tcPr>
            <w:tcW w:w="1530"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rPr>
            </w:pPr>
            <w:r>
              <w:rPr>
                <w:rFonts w:ascii="宋体" w:eastAsia="宋体" w:hAnsi="宋体" w:cs="宋体" w:hint="eastAsia"/>
                <w:i w:val="0"/>
                <w:iCs w:val="0"/>
                <w:color w:val="000000"/>
                <w:kern w:val="0"/>
                <w:sz w:val="20"/>
                <w:szCs w:val="20"/>
                <w:u w:val="none"/>
                <w:lang w:val="en-US" w:eastAsia="zh-CN" w:bidi="ar"/>
              </w:rPr>
              <w:t>5.86</w:t>
            </w:r>
          </w:p>
        </w:tc>
        <w:tc>
          <w:tcPr>
            <w:tcW w:w="263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5.86</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10</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职工基本医疗保险缴费　</w:t>
            </w:r>
          </w:p>
        </w:tc>
        <w:tc>
          <w:tcPr>
            <w:tcW w:w="1530"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rPr>
            </w:pPr>
            <w:r>
              <w:rPr>
                <w:rFonts w:ascii="宋体" w:eastAsia="宋体" w:hAnsi="宋体" w:cs="宋体" w:hint="eastAsia"/>
                <w:i w:val="0"/>
                <w:iCs w:val="0"/>
                <w:color w:val="000000"/>
                <w:kern w:val="0"/>
                <w:sz w:val="20"/>
                <w:szCs w:val="20"/>
                <w:u w:val="none"/>
                <w:lang w:val="en-US" w:eastAsia="zh-CN" w:bidi="ar"/>
              </w:rPr>
              <w:t>5.06</w:t>
            </w:r>
          </w:p>
        </w:tc>
        <w:tc>
          <w:tcPr>
            <w:tcW w:w="263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5.06</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12</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其他社会保障缴费　</w:t>
            </w:r>
          </w:p>
        </w:tc>
        <w:tc>
          <w:tcPr>
            <w:tcW w:w="1530"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rPr>
            </w:pPr>
            <w:r>
              <w:rPr>
                <w:rFonts w:ascii="宋体" w:eastAsia="宋体" w:hAnsi="宋体" w:cs="宋体" w:hint="eastAsia"/>
                <w:i w:val="0"/>
                <w:iCs w:val="0"/>
                <w:color w:val="000000"/>
                <w:kern w:val="0"/>
                <w:sz w:val="20"/>
                <w:szCs w:val="20"/>
                <w:u w:val="none"/>
                <w:lang w:val="en-US" w:eastAsia="zh-CN" w:bidi="ar"/>
              </w:rPr>
              <w:t>0.51</w:t>
            </w:r>
          </w:p>
        </w:tc>
        <w:tc>
          <w:tcPr>
            <w:tcW w:w="263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0.51</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13</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住房公积金</w:t>
            </w:r>
          </w:p>
        </w:tc>
        <w:tc>
          <w:tcPr>
            <w:tcW w:w="1530"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rPr>
            </w:pPr>
            <w:r>
              <w:rPr>
                <w:rFonts w:ascii="宋体" w:eastAsia="宋体" w:hAnsi="宋体" w:cs="宋体" w:hint="eastAsia"/>
                <w:i w:val="0"/>
                <w:iCs w:val="0"/>
                <w:color w:val="000000"/>
                <w:kern w:val="0"/>
                <w:sz w:val="20"/>
                <w:szCs w:val="20"/>
                <w:u w:val="none"/>
                <w:lang w:val="en-US" w:eastAsia="zh-CN" w:bidi="ar"/>
              </w:rPr>
              <w:t>8.79</w:t>
            </w:r>
          </w:p>
        </w:tc>
        <w:tc>
          <w:tcPr>
            <w:tcW w:w="263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8.79</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99</w:t>
            </w:r>
          </w:p>
        </w:tc>
        <w:tc>
          <w:tcPr>
            <w:tcW w:w="4350" w:type="dxa"/>
            <w:tcBorders>
              <w:top w:val="nil"/>
              <w:left w:val="nil"/>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r>
              <w:rPr>
                <w:rFonts w:ascii="TimesNewRoman" w:hAnsi="TimesNewRoman" w:cs="TimesNewRoman"/>
                <w:kern w:val="0"/>
                <w:sz w:val="18"/>
                <w:szCs w:val="18"/>
              </w:rPr>
              <w:t>其他工资福利支出</w:t>
            </w:r>
          </w:p>
        </w:tc>
        <w:tc>
          <w:tcPr>
            <w:tcW w:w="1530"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rPr>
            </w:pPr>
            <w:r>
              <w:rPr>
                <w:rFonts w:ascii="宋体" w:eastAsia="宋体" w:hAnsi="宋体" w:cs="宋体" w:hint="eastAsia"/>
                <w:i w:val="0"/>
                <w:iCs w:val="0"/>
                <w:color w:val="000000"/>
                <w:kern w:val="0"/>
                <w:sz w:val="20"/>
                <w:szCs w:val="20"/>
                <w:u w:val="none"/>
                <w:lang w:val="en-US" w:eastAsia="zh-CN" w:bidi="ar"/>
              </w:rPr>
              <w:t>0.01</w:t>
            </w:r>
          </w:p>
        </w:tc>
        <w:tc>
          <w:tcPr>
            <w:tcW w:w="263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0.01</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303</w:t>
            </w:r>
          </w:p>
        </w:tc>
        <w:tc>
          <w:tcPr>
            <w:tcW w:w="4350" w:type="dxa"/>
            <w:tcBorders>
              <w:top w:val="nil"/>
              <w:left w:val="nil"/>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对个人和家庭的补助</w:t>
            </w:r>
          </w:p>
        </w:tc>
        <w:tc>
          <w:tcPr>
            <w:tcW w:w="1530"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rPr>
            </w:pPr>
            <w:r>
              <w:rPr>
                <w:rFonts w:ascii="宋体" w:eastAsia="宋体" w:hAnsi="宋体" w:cs="宋体" w:hint="eastAsia"/>
                <w:i w:val="0"/>
                <w:iCs w:val="0"/>
                <w:color w:val="000000"/>
                <w:kern w:val="0"/>
                <w:sz w:val="20"/>
                <w:szCs w:val="20"/>
                <w:u w:val="none"/>
                <w:lang w:val="en-US" w:eastAsia="zh-CN" w:bidi="ar"/>
              </w:rPr>
              <w:t>12.29</w:t>
            </w:r>
          </w:p>
        </w:tc>
        <w:tc>
          <w:tcPr>
            <w:tcW w:w="263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12.29</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w:t>
            </w:r>
            <w:r>
              <w:rPr>
                <w:rFonts w:ascii="TimesNewRoman" w:hAnsi="TimesNewRoman" w:cs="TimesNewRoman" w:hint="eastAsia"/>
                <w:kern w:val="0"/>
                <w:sz w:val="18"/>
                <w:szCs w:val="18"/>
              </w:rPr>
              <w:t>302</w:t>
            </w:r>
          </w:p>
        </w:tc>
        <w:tc>
          <w:tcPr>
            <w:tcW w:w="4350" w:type="dxa"/>
            <w:tcBorders>
              <w:top w:val="nil"/>
              <w:left w:val="nil"/>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r>
              <w:rPr>
                <w:rFonts w:ascii="TimesNewRoman" w:hAnsi="TimesNewRoman" w:cs="TimesNewRoman"/>
                <w:kern w:val="0"/>
                <w:sz w:val="18"/>
                <w:szCs w:val="18"/>
              </w:rPr>
              <w:t>退休费</w:t>
            </w:r>
          </w:p>
        </w:tc>
        <w:tc>
          <w:tcPr>
            <w:tcW w:w="1530"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rPr>
            </w:pPr>
            <w:r>
              <w:rPr>
                <w:rFonts w:ascii="宋体" w:eastAsia="宋体" w:hAnsi="宋体" w:cs="宋体" w:hint="eastAsia"/>
                <w:i w:val="0"/>
                <w:iCs w:val="0"/>
                <w:color w:val="000000"/>
                <w:kern w:val="0"/>
                <w:sz w:val="20"/>
                <w:szCs w:val="20"/>
                <w:u w:val="none"/>
                <w:lang w:val="en-US" w:eastAsia="zh-CN" w:bidi="ar"/>
              </w:rPr>
              <w:t>9.47</w:t>
            </w:r>
          </w:p>
        </w:tc>
        <w:tc>
          <w:tcPr>
            <w:tcW w:w="263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9.47</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w:t>
            </w:r>
            <w:r>
              <w:rPr>
                <w:rFonts w:ascii="TimesNewRoman" w:hAnsi="TimesNewRoman" w:cs="TimesNewRoman" w:hint="eastAsia"/>
                <w:kern w:val="0"/>
                <w:sz w:val="18"/>
                <w:szCs w:val="18"/>
              </w:rPr>
              <w:t>305</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生活补助</w:t>
            </w:r>
          </w:p>
        </w:tc>
        <w:tc>
          <w:tcPr>
            <w:tcW w:w="1530"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rPr>
            </w:pPr>
            <w:r>
              <w:rPr>
                <w:rFonts w:ascii="宋体" w:eastAsia="宋体" w:hAnsi="宋体" w:cs="宋体" w:hint="eastAsia"/>
                <w:i w:val="0"/>
                <w:iCs w:val="0"/>
                <w:color w:val="000000"/>
                <w:kern w:val="0"/>
                <w:sz w:val="20"/>
                <w:szCs w:val="20"/>
                <w:u w:val="none"/>
                <w:lang w:val="en-US" w:eastAsia="zh-CN" w:bidi="ar"/>
              </w:rPr>
              <w:t>2.82</w:t>
            </w:r>
          </w:p>
        </w:tc>
        <w:tc>
          <w:tcPr>
            <w:tcW w:w="263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2.82</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530"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b/>
                <w:bCs/>
                <w:kern w:val="0"/>
                <w:sz w:val="18"/>
                <w:szCs w:val="18"/>
                <w:lang w:val="en-US" w:eastAsia="zh-CN"/>
              </w:rPr>
            </w:pPr>
            <w:r>
              <w:rPr>
                <w:rFonts w:ascii="宋体" w:eastAsia="宋体" w:hAnsi="宋体" w:cs="宋体" w:hint="eastAsia"/>
                <w:i w:val="0"/>
                <w:iCs w:val="0"/>
                <w:color w:val="000000"/>
                <w:kern w:val="0"/>
                <w:sz w:val="20"/>
                <w:szCs w:val="20"/>
                <w:u w:val="none"/>
                <w:lang w:val="en-US" w:eastAsia="zh-CN" w:bidi="ar"/>
              </w:rPr>
              <w:t>117.51</w:t>
            </w:r>
          </w:p>
        </w:tc>
        <w:tc>
          <w:tcPr>
            <w:tcW w:w="2631"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eastAsia="宋体" w:hAnsi="TimesNewRoman" w:cs="TimesNewRoman" w:hint="default"/>
                <w:b/>
                <w:bCs/>
                <w:kern w:val="0"/>
                <w:sz w:val="18"/>
                <w:szCs w:val="18"/>
                <w:lang w:val="en-US" w:eastAsia="zh-CN"/>
              </w:rPr>
            </w:pPr>
            <w:r>
              <w:rPr>
                <w:rFonts w:ascii="宋体" w:eastAsia="宋体" w:hAnsi="宋体" w:cs="宋体" w:hint="eastAsia"/>
                <w:i w:val="0"/>
                <w:iCs w:val="0"/>
                <w:color w:val="000000"/>
                <w:kern w:val="0"/>
                <w:sz w:val="20"/>
                <w:szCs w:val="20"/>
                <w:u w:val="none"/>
                <w:lang w:val="en-US" w:eastAsia="zh-CN" w:bidi="ar"/>
              </w:rPr>
              <w:t>117.51</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公开表7</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炎刘镇</w:t>
      </w:r>
      <w:r>
        <w:rPr>
          <w:rFonts w:ascii="宋体" w:hAnsi="宋体" w:cs="TimesNewRoman"/>
          <w:b/>
          <w:bCs/>
          <w:kern w:val="0"/>
          <w:sz w:val="28"/>
          <w:szCs w:val="32"/>
        </w:rPr>
        <w:t>中心卫生院</w:t>
      </w:r>
      <w:r>
        <w:rPr>
          <w:rFonts w:ascii="宋体" w:hAnsi="宋体" w:cs="TimesNewRoman" w:hint="eastAsia"/>
          <w:b/>
          <w:bCs/>
          <w:kern w:val="0"/>
          <w:sz w:val="28"/>
          <w:szCs w:val="32"/>
          <w:lang w:eastAsia="zh-CN"/>
        </w:rPr>
        <w:t>广岩分院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W w:w="13951" w:type="dxa"/>
          <w:tblInd w:w="0" w:type="dxa"/>
          <w:tblLayout w:type="fixed"/>
          <w:tblCellMar>
            <w:top w:w="0" w:type="dxa"/>
            <w:left w:w="108" w:type="dxa"/>
            <w:bottom w:w="0" w:type="dxa"/>
            <w:right w:w="108" w:type="dxa"/>
          </w:tblCellMar>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Ind w:w="0" w:type="dxa"/>
          <w:tblLayout w:type="fixed"/>
          <w:tblCellMar>
            <w:top w:w="0" w:type="dxa"/>
            <w:left w:w="108" w:type="dxa"/>
            <w:bottom w:w="0" w:type="dxa"/>
            <w:right w:w="108" w:type="dxa"/>
          </w:tblCellMar>
        </w:tblPrEx>
        <w:trPr>
          <w:trHeight w:val="570"/>
        </w:trPr>
        <w:tc>
          <w:tcPr>
            <w:tcW w:w="1911"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8177"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ascii="TimesNewRoman" w:hAnsi="TimesNewRoman" w:cs="TimesNewRoman" w:hint="eastAsia"/>
          <w:kern w:val="0"/>
          <w:sz w:val="24"/>
        </w:rPr>
        <w:t>寿县</w:t>
      </w:r>
      <w:r>
        <w:rPr>
          <w:rFonts w:ascii="TimesNewRoman" w:hAnsi="TimesNewRoman" w:cs="TimesNewRoman" w:hint="eastAsia"/>
          <w:kern w:val="0"/>
          <w:sz w:val="24"/>
          <w:lang w:eastAsia="zh-CN"/>
        </w:rPr>
        <w:t>炎刘镇</w:t>
      </w:r>
      <w:r>
        <w:rPr>
          <w:rFonts w:ascii="TimesNewRoman" w:hAnsi="TimesNewRoman" w:cs="TimesNewRoman"/>
          <w:kern w:val="0"/>
          <w:sz w:val="24"/>
        </w:rPr>
        <w:t>中心卫生院</w:t>
      </w:r>
      <w:r>
        <w:rPr>
          <w:rFonts w:ascii="TimesNewRoman" w:hAnsi="TimesNewRoman" w:cs="TimesNewRoman" w:hint="eastAsia"/>
          <w:kern w:val="0"/>
          <w:sz w:val="24"/>
          <w:lang w:eastAsia="zh-CN"/>
        </w:rPr>
        <w:t>广岩分院</w:t>
      </w:r>
      <w:r>
        <w:rPr>
          <w:rFonts w:ascii="TimesNewRoman" w:hAnsi="TimesNewRoman" w:cs="TimesNewRoman"/>
          <w:kern w:val="0"/>
          <w:sz w:val="24"/>
        </w:rPr>
        <w:t>没有政府性基金预算拨款收入，也没有政府性基金预算拨款安排的支出，故本表无数据”。</w:t>
      </w:r>
    </w:p>
    <w:p>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eastAsia="仿宋_GB2312" w:hAnsi="TimesNewRoman" w:cs="TimesNewRoman"/>
          <w:sz w:val="20"/>
          <w:szCs w:val="20"/>
        </w:rPr>
        <w:t xml:space="preserve"> </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公开表8</w:t>
      </w:r>
    </w:p>
    <w:tbl>
      <w:tblPr>
        <w:tblStyle w:val="TableNormal"/>
        <w:tblW w:w="13751" w:type="dxa"/>
        <w:tblInd w:w="0" w:type="dxa"/>
        <w:tblLayout w:type="fixed"/>
        <w:tblCellMar>
          <w:top w:w="0" w:type="dxa"/>
          <w:left w:w="108" w:type="dxa"/>
          <w:bottom w:w="0" w:type="dxa"/>
          <w:right w:w="108" w:type="dxa"/>
        </w:tblCellMar>
      </w:tblPr>
      <w:tblGrid>
        <w:gridCol w:w="342"/>
        <w:gridCol w:w="3140"/>
        <w:gridCol w:w="692"/>
        <w:gridCol w:w="1908"/>
        <w:gridCol w:w="1712"/>
        <w:gridCol w:w="1495"/>
        <w:gridCol w:w="2013"/>
        <w:gridCol w:w="1890"/>
        <w:gridCol w:w="559"/>
      </w:tblGrid>
      <w:tr>
        <w:tblPrEx>
          <w:tblW w:w="13751" w:type="dxa"/>
          <w:tblInd w:w="0" w:type="dxa"/>
          <w:tblLayout w:type="fixed"/>
          <w:tblCellMar>
            <w:top w:w="0" w:type="dxa"/>
            <w:left w:w="108" w:type="dxa"/>
            <w:bottom w:w="0" w:type="dxa"/>
            <w:right w:w="108" w:type="dxa"/>
          </w:tblCellMar>
        </w:tblPrEx>
        <w:trPr>
          <w:gridAfter w:val="1"/>
          <w:wAfter w:w="559" w:type="dxa"/>
          <w:trHeight w:val="441"/>
        </w:trPr>
        <w:tc>
          <w:tcPr>
            <w:tcW w:w="13192" w:type="dxa"/>
            <w:gridSpan w:val="8"/>
            <w:tcBorders>
              <w:top w:val="nil"/>
              <w:left w:val="nil"/>
              <w:bottom w:val="nil"/>
              <w:right w:val="nil"/>
            </w:tcBorders>
            <w:noWrap/>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炎刘镇</w:t>
            </w:r>
            <w:r>
              <w:rPr>
                <w:rFonts w:ascii="宋体" w:hAnsi="宋体" w:cs="TimesNewRoman"/>
                <w:b/>
                <w:bCs/>
                <w:kern w:val="0"/>
                <w:sz w:val="28"/>
                <w:szCs w:val="32"/>
              </w:rPr>
              <w:t>中心卫生院</w:t>
            </w:r>
            <w:r>
              <w:rPr>
                <w:rFonts w:ascii="宋体" w:hAnsi="宋体" w:cs="TimesNewRoman" w:hint="eastAsia"/>
                <w:b/>
                <w:bCs/>
                <w:kern w:val="0"/>
                <w:sz w:val="28"/>
                <w:szCs w:val="32"/>
                <w:lang w:eastAsia="zh-CN"/>
              </w:rPr>
              <w:t>广岩分院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751" w:type="dxa"/>
          <w:tblInd w:w="0" w:type="dxa"/>
          <w:tblLayout w:type="fixed"/>
          <w:tblCellMar>
            <w:top w:w="0" w:type="dxa"/>
            <w:left w:w="108" w:type="dxa"/>
            <w:bottom w:w="0" w:type="dxa"/>
            <w:right w:w="108" w:type="dxa"/>
          </w:tblCellMar>
        </w:tblPrEx>
        <w:trPr>
          <w:gridAfter w:val="5"/>
          <w:wAfter w:w="7669" w:type="dxa"/>
          <w:trHeight w:val="545"/>
        </w:trPr>
        <w:tc>
          <w:tcPr>
            <w:tcW w:w="342" w:type="dxa"/>
            <w:tcBorders>
              <w:top w:val="nil"/>
              <w:left w:val="nil"/>
              <w:bottom w:val="nil"/>
              <w:right w:val="nil"/>
            </w:tcBorders>
            <w:noWrap/>
            <w:vAlign w:val="center"/>
          </w:tcPr>
          <w:p>
            <w:pPr>
              <w:widowControl/>
              <w:spacing w:line="560" w:lineRule="exact"/>
              <w:jc w:val="left"/>
              <w:rPr>
                <w:rFonts w:ascii="TimesNewRoman" w:hAnsi="TimesNewRoman" w:cs="TimesNewRoman"/>
                <w:kern w:val="0"/>
                <w:sz w:val="20"/>
              </w:rPr>
            </w:pPr>
          </w:p>
        </w:tc>
        <w:tc>
          <w:tcPr>
            <w:tcW w:w="3832" w:type="dxa"/>
            <w:gridSpan w:val="2"/>
            <w:tcBorders>
              <w:top w:val="nil"/>
              <w:left w:val="nil"/>
              <w:bottom w:val="nil"/>
              <w:right w:val="nil"/>
            </w:tcBorders>
            <w:noWrap/>
            <w:vAlign w:val="center"/>
          </w:tcPr>
          <w:p>
            <w:pPr>
              <w:widowControl/>
              <w:spacing w:line="560" w:lineRule="exact"/>
              <w:jc w:val="lef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 xml:space="preserve">   </w:t>
            </w:r>
          </w:p>
        </w:tc>
        <w:tc>
          <w:tcPr>
            <w:tcW w:w="1908" w:type="dxa"/>
            <w:tcBorders>
              <w:top w:val="nil"/>
              <w:left w:val="nil"/>
              <w:bottom w:val="nil"/>
              <w:right w:val="nil"/>
            </w:tcBorders>
            <w:noWrap/>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751" w:type="dxa"/>
          <w:tblInd w:w="0" w:type="dxa"/>
          <w:tblLayout w:type="fixed"/>
          <w:tblCellMar>
            <w:top w:w="0" w:type="dxa"/>
            <w:left w:w="108" w:type="dxa"/>
            <w:bottom w:w="0" w:type="dxa"/>
            <w:right w:w="108" w:type="dxa"/>
          </w:tblCellMar>
        </w:tblPrEx>
        <w:trPr>
          <w:trHeight w:val="323"/>
        </w:trPr>
        <w:tc>
          <w:tcPr>
            <w:tcW w:w="7794" w:type="dxa"/>
            <w:gridSpan w:val="5"/>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7" w:type="dxa"/>
            <w:gridSpan w:val="4"/>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751" w:type="dxa"/>
          <w:tblInd w:w="0" w:type="dxa"/>
          <w:tblLayout w:type="fixed"/>
          <w:tblCellMar>
            <w:top w:w="0" w:type="dxa"/>
            <w:left w:w="108" w:type="dxa"/>
            <w:bottom w:w="0" w:type="dxa"/>
            <w:right w:w="108" w:type="dxa"/>
          </w:tblCellMar>
        </w:tblPrEx>
        <w:trPr>
          <w:trHeight w:val="323"/>
        </w:trPr>
        <w:tc>
          <w:tcPr>
            <w:tcW w:w="3482"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gridSpan w:val="3"/>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9" w:type="dxa"/>
            <w:gridSpan w:val="2"/>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751" w:type="dxa"/>
          <w:tblInd w:w="0" w:type="dxa"/>
          <w:tblLayout w:type="fixed"/>
          <w:tblCellMar>
            <w:top w:w="0" w:type="dxa"/>
            <w:left w:w="108" w:type="dxa"/>
            <w:bottom w:w="0" w:type="dxa"/>
            <w:right w:w="108" w:type="dxa"/>
          </w:tblCellMar>
        </w:tblPrEx>
        <w:trPr>
          <w:trHeight w:val="323"/>
        </w:trPr>
        <w:tc>
          <w:tcPr>
            <w:tcW w:w="3482"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Cs/>
                <w:kern w:val="0"/>
                <w:sz w:val="18"/>
                <w:szCs w:val="18"/>
              </w:rPr>
            </w:pPr>
          </w:p>
        </w:tc>
        <w:tc>
          <w:tcPr>
            <w:tcW w:w="4312" w:type="dxa"/>
            <w:gridSpan w:val="3"/>
            <w:tcBorders>
              <w:top w:val="single" w:sz="4" w:space="0" w:color="auto"/>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bCs/>
                <w:kern w:val="0"/>
                <w:sz w:val="18"/>
                <w:szCs w:val="18"/>
              </w:rPr>
            </w:pPr>
          </w:p>
        </w:tc>
        <w:tc>
          <w:tcPr>
            <w:tcW w:w="1495" w:type="dxa"/>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9" w:type="dxa"/>
            <w:gridSpan w:val="2"/>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751" w:type="dxa"/>
          <w:tblInd w:w="0" w:type="dxa"/>
          <w:tblLayout w:type="fixed"/>
          <w:tblCellMar>
            <w:top w:w="0" w:type="dxa"/>
            <w:left w:w="108" w:type="dxa"/>
            <w:bottom w:w="0" w:type="dxa"/>
            <w:right w:w="108" w:type="dxa"/>
          </w:tblCellMar>
        </w:tblPrEx>
        <w:trPr>
          <w:trHeight w:val="323"/>
        </w:trPr>
        <w:tc>
          <w:tcPr>
            <w:tcW w:w="3482"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4312" w:type="dxa"/>
            <w:gridSpan w:val="3"/>
            <w:tcBorders>
              <w:top w:val="single" w:sz="4" w:space="0" w:color="auto"/>
              <w:left w:val="nil"/>
              <w:bottom w:val="single" w:sz="4" w:space="0" w:color="auto"/>
              <w:right w:val="single" w:sz="4" w:space="0" w:color="auto"/>
            </w:tcBorders>
            <w:noWrap/>
            <w:vAlign w:val="center"/>
          </w:tcPr>
          <w:p>
            <w:pPr>
              <w:widowControl/>
              <w:spacing w:line="280" w:lineRule="exact"/>
              <w:ind w:firstLine="360" w:firstLineChars="200"/>
              <w:jc w:val="left"/>
              <w:rPr>
                <w:rFonts w:ascii="TimesNewRoman" w:hAnsi="TimesNewRoman" w:cs="TimesNewRoman"/>
                <w:kern w:val="0"/>
                <w:sz w:val="18"/>
                <w:szCs w:val="18"/>
              </w:rPr>
            </w:pPr>
          </w:p>
        </w:tc>
        <w:tc>
          <w:tcPr>
            <w:tcW w:w="1495"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9"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751" w:type="dxa"/>
          <w:tblInd w:w="0" w:type="dxa"/>
          <w:tblLayout w:type="fixed"/>
          <w:tblCellMar>
            <w:top w:w="0" w:type="dxa"/>
            <w:left w:w="108" w:type="dxa"/>
            <w:bottom w:w="0" w:type="dxa"/>
            <w:right w:w="108" w:type="dxa"/>
          </w:tblCellMar>
        </w:tblPrEx>
        <w:trPr>
          <w:trHeight w:val="323"/>
        </w:trPr>
        <w:tc>
          <w:tcPr>
            <w:tcW w:w="3482"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4312" w:type="dxa"/>
            <w:gridSpan w:val="3"/>
            <w:tcBorders>
              <w:top w:val="single" w:sz="4" w:space="0" w:color="auto"/>
              <w:left w:val="nil"/>
              <w:bottom w:val="single" w:sz="4" w:space="0" w:color="auto"/>
              <w:right w:val="single" w:sz="4" w:space="0" w:color="auto"/>
            </w:tcBorders>
            <w:noWrap/>
            <w:vAlign w:val="center"/>
          </w:tcPr>
          <w:p>
            <w:pPr>
              <w:widowControl/>
              <w:spacing w:line="280" w:lineRule="exact"/>
              <w:ind w:firstLine="720" w:firstLineChars="400"/>
              <w:jc w:val="left"/>
              <w:rPr>
                <w:rFonts w:ascii="TimesNewRoman" w:hAnsi="TimesNewRoman" w:cs="TimesNewRoman"/>
                <w:kern w:val="0"/>
                <w:sz w:val="18"/>
                <w:szCs w:val="18"/>
              </w:rPr>
            </w:pPr>
          </w:p>
        </w:tc>
        <w:tc>
          <w:tcPr>
            <w:tcW w:w="1495"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9"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751" w:type="dxa"/>
          <w:tblInd w:w="0" w:type="dxa"/>
          <w:tblLayout w:type="fixed"/>
          <w:tblCellMar>
            <w:top w:w="0" w:type="dxa"/>
            <w:left w:w="108" w:type="dxa"/>
            <w:bottom w:w="0" w:type="dxa"/>
            <w:right w:w="108" w:type="dxa"/>
          </w:tblCellMar>
        </w:tblPrEx>
        <w:trPr>
          <w:trHeight w:val="323"/>
        </w:trPr>
        <w:tc>
          <w:tcPr>
            <w:tcW w:w="7794" w:type="dxa"/>
            <w:gridSpan w:val="5"/>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tcBorders>
              <w:top w:val="nil"/>
              <w:left w:val="nil"/>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9" w:type="dxa"/>
            <w:gridSpan w:val="2"/>
            <w:tcBorders>
              <w:top w:val="nil"/>
              <w:left w:val="nil"/>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751" w:type="dxa"/>
          <w:tblInd w:w="0" w:type="dxa"/>
          <w:tblLayout w:type="fixed"/>
          <w:tblCellMar>
            <w:top w:w="0" w:type="dxa"/>
            <w:left w:w="108" w:type="dxa"/>
            <w:bottom w:w="0" w:type="dxa"/>
            <w:right w:w="108" w:type="dxa"/>
          </w:tblCellMar>
        </w:tblPrEx>
        <w:trPr>
          <w:trHeight w:val="633"/>
        </w:trPr>
        <w:tc>
          <w:tcPr>
            <w:tcW w:w="13751" w:type="dxa"/>
            <w:gridSpan w:val="9"/>
            <w:tcBorders>
              <w:top w:val="single" w:sz="4" w:space="0" w:color="auto"/>
              <w:left w:val="nil"/>
              <w:bottom w:val="nil"/>
              <w:right w:val="nil"/>
            </w:tcBorders>
            <w:noWrap/>
            <w:vAlign w:val="center"/>
          </w:tcPr>
          <w:p>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ascii="TimesNewRoman" w:hAnsi="TimesNewRoman" w:cs="TimesNewRoman" w:hint="eastAsia"/>
                <w:kern w:val="0"/>
                <w:sz w:val="24"/>
              </w:rPr>
              <w:t>寿县</w:t>
            </w:r>
            <w:r>
              <w:rPr>
                <w:rFonts w:ascii="TimesNewRoman" w:hAnsi="TimesNewRoman" w:cs="TimesNewRoman" w:hint="eastAsia"/>
                <w:kern w:val="0"/>
                <w:sz w:val="24"/>
                <w:lang w:eastAsia="zh-CN"/>
              </w:rPr>
              <w:t>炎刘镇</w:t>
            </w:r>
            <w:r>
              <w:rPr>
                <w:rFonts w:ascii="TimesNewRoman" w:hAnsi="TimesNewRoman" w:cs="TimesNewRoman"/>
                <w:kern w:val="0"/>
                <w:sz w:val="24"/>
              </w:rPr>
              <w:t>中心卫生院</w:t>
            </w:r>
            <w:r>
              <w:rPr>
                <w:rFonts w:ascii="TimesNewRoman" w:hAnsi="TimesNewRoman" w:cs="TimesNewRoman" w:hint="eastAsia"/>
                <w:kern w:val="0"/>
                <w:sz w:val="24"/>
                <w:lang w:eastAsia="zh-CN"/>
              </w:rPr>
              <w:t>广岩分院</w:t>
            </w:r>
            <w:r>
              <w:rPr>
                <w:rFonts w:ascii="TimesNewRoman" w:hAnsi="TimesNewRoman" w:cs="TimesNewRoman"/>
                <w:kern w:val="0"/>
                <w:sz w:val="24"/>
              </w:rPr>
              <w:t>没有国有资本经营预算拨款收入，也没有国有资本经营预算拨款安排的支出，故本表无数据”。</w:t>
            </w:r>
          </w:p>
        </w:tc>
      </w:tr>
    </w:tbl>
    <w:p>
      <w:pPr>
        <w:spacing w:line="560" w:lineRule="exact"/>
        <w:jc w:val="center"/>
        <w:rPr>
          <w:rFonts w:ascii="TimesNewRoman" w:hAnsi="TimesNewRoman" w:cs="TimesNewRoman"/>
          <w:kern w:val="0"/>
          <w:sz w:val="20"/>
        </w:rPr>
      </w:pP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公开表9</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炎刘镇</w:t>
      </w:r>
      <w:r>
        <w:rPr>
          <w:rFonts w:ascii="宋体" w:hAnsi="宋体" w:cs="TimesNewRoman"/>
          <w:b/>
          <w:bCs/>
          <w:kern w:val="0"/>
          <w:sz w:val="28"/>
          <w:szCs w:val="32"/>
        </w:rPr>
        <w:t>中心卫生院</w:t>
      </w:r>
      <w:r>
        <w:rPr>
          <w:rFonts w:ascii="宋体" w:hAnsi="宋体" w:cs="TimesNewRoman" w:hint="eastAsia"/>
          <w:b/>
          <w:bCs/>
          <w:kern w:val="0"/>
          <w:sz w:val="28"/>
          <w:szCs w:val="32"/>
          <w:lang w:eastAsia="zh-CN"/>
        </w:rPr>
        <w:t>广岩分院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71" w:type="dxa"/>
        <w:tblInd w:w="0" w:type="dxa"/>
        <w:tblLayout w:type="fixed"/>
        <w:tblCellMar>
          <w:top w:w="0" w:type="dxa"/>
          <w:left w:w="108" w:type="dxa"/>
          <w:bottom w:w="0" w:type="dxa"/>
          <w:right w:w="108" w:type="dxa"/>
        </w:tblCellMar>
      </w:tblPr>
      <w:tblGrid>
        <w:gridCol w:w="1194"/>
        <w:gridCol w:w="1433"/>
        <w:gridCol w:w="1353"/>
        <w:gridCol w:w="916"/>
        <w:gridCol w:w="1214"/>
        <w:gridCol w:w="1214"/>
        <w:gridCol w:w="1214"/>
        <w:gridCol w:w="1214"/>
        <w:gridCol w:w="1214"/>
        <w:gridCol w:w="1214"/>
        <w:gridCol w:w="1015"/>
        <w:gridCol w:w="876"/>
      </w:tblGrid>
      <w:tr>
        <w:tblPrEx>
          <w:tblW w:w="14071" w:type="dxa"/>
          <w:tblInd w:w="0" w:type="dxa"/>
          <w:tblLayout w:type="fixed"/>
          <w:tblCellMar>
            <w:top w:w="0" w:type="dxa"/>
            <w:left w:w="108" w:type="dxa"/>
            <w:bottom w:w="0" w:type="dxa"/>
            <w:right w:w="108" w:type="dxa"/>
          </w:tblCellMar>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Ind w:w="0" w:type="dxa"/>
          <w:tblLayout w:type="fixed"/>
          <w:tblCellMar>
            <w:top w:w="0" w:type="dxa"/>
            <w:left w:w="108" w:type="dxa"/>
            <w:bottom w:w="0" w:type="dxa"/>
            <w:right w:w="108" w:type="dxa"/>
          </w:tblCellMar>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特定目标类</w:t>
            </w:r>
          </w:p>
        </w:tc>
        <w:tc>
          <w:tcPr>
            <w:tcW w:w="143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三年</w:t>
            </w:r>
            <w:r>
              <w:rPr>
                <w:rFonts w:ascii="TimesNewRoman" w:hAnsi="TimesNewRoman" w:cs="TimesNewRoman"/>
                <w:kern w:val="0"/>
                <w:sz w:val="18"/>
                <w:szCs w:val="18"/>
              </w:rPr>
              <w:t>过度安置人员补助</w:t>
            </w:r>
          </w:p>
        </w:tc>
        <w:tc>
          <w:tcPr>
            <w:tcW w:w="1353" w:type="dxa"/>
            <w:tcBorders>
              <w:top w:val="nil"/>
              <w:left w:val="nil"/>
              <w:bottom w:val="single" w:sz="4" w:space="0" w:color="auto"/>
              <w:right w:val="single" w:sz="4" w:space="0" w:color="auto"/>
            </w:tcBorders>
            <w:noWrap/>
            <w:vAlign w:val="center"/>
          </w:tcPr>
          <w:p>
            <w:pPr>
              <w:keepNext w:val="0"/>
              <w:keepLines w:val="0"/>
              <w:widowControl/>
              <w:suppressLineNumbers w:val="0"/>
              <w:jc w:val="lef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寿县炎刘镇中心卫生院广岩分院</w:t>
            </w:r>
          </w:p>
        </w:tc>
        <w:tc>
          <w:tcPr>
            <w:tcW w:w="916"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1.88</w:t>
            </w:r>
          </w:p>
        </w:tc>
        <w:tc>
          <w:tcPr>
            <w:tcW w:w="1214"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bCs/>
                <w:kern w:val="0"/>
                <w:sz w:val="18"/>
                <w:szCs w:val="18"/>
              </w:rPr>
            </w:pPr>
            <w:r>
              <w:rPr>
                <w:rFonts w:ascii="宋体" w:eastAsia="宋体" w:hAnsi="宋体" w:cs="宋体" w:hint="eastAsia"/>
                <w:i w:val="0"/>
                <w:iCs w:val="0"/>
                <w:color w:val="000000"/>
                <w:kern w:val="0"/>
                <w:sz w:val="20"/>
                <w:szCs w:val="20"/>
                <w:u w:val="none"/>
                <w:lang w:val="en-US" w:eastAsia="zh-CN" w:bidi="ar"/>
              </w:rPr>
              <w:t>1.88</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b/>
                <w:bCs/>
                <w:kern w:val="0"/>
                <w:sz w:val="18"/>
                <w:szCs w:val="18"/>
                <w:lang w:eastAsia="zh-CN"/>
              </w:rPr>
              <w:t>其他运转类</w:t>
            </w: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乡镇</w:t>
            </w:r>
            <w:r>
              <w:rPr>
                <w:rFonts w:ascii="TimesNewRoman" w:hAnsi="TimesNewRoman" w:cs="TimesNewRoman"/>
                <w:kern w:val="0"/>
                <w:sz w:val="18"/>
                <w:szCs w:val="18"/>
              </w:rPr>
              <w:t>卫生院医疗卫生支出</w:t>
            </w:r>
          </w:p>
        </w:tc>
        <w:tc>
          <w:tcPr>
            <w:tcW w:w="1353" w:type="dxa"/>
            <w:tcBorders>
              <w:top w:val="nil"/>
              <w:left w:val="nil"/>
              <w:bottom w:val="single" w:sz="4" w:space="0" w:color="auto"/>
              <w:right w:val="single" w:sz="4" w:space="0" w:color="auto"/>
            </w:tcBorders>
            <w:noWrap/>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寿县炎刘镇中心卫生院广岩分院</w:t>
            </w:r>
          </w:p>
        </w:tc>
        <w:tc>
          <w:tcPr>
            <w:tcW w:w="916"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400.00</w:t>
            </w:r>
          </w:p>
        </w:tc>
        <w:tc>
          <w:tcPr>
            <w:tcW w:w="1214" w:type="dxa"/>
            <w:tcBorders>
              <w:top w:val="nil"/>
              <w:left w:val="nil"/>
              <w:bottom w:val="single" w:sz="4" w:space="0" w:color="auto"/>
              <w:right w:val="single" w:sz="4" w:space="0" w:color="auto"/>
            </w:tcBorders>
            <w:noWrap/>
            <w:vAlign w:val="center"/>
          </w:tcPr>
          <w:p>
            <w:pPr>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400.00</w:t>
            </w:r>
          </w:p>
        </w:tc>
      </w:tr>
      <w:tr>
        <w:tblPrEx>
          <w:tblW w:w="14071" w:type="dxa"/>
          <w:tblInd w:w="0" w:type="dxa"/>
          <w:tblLayout w:type="fixed"/>
          <w:tblCellMar>
            <w:top w:w="0" w:type="dxa"/>
            <w:left w:w="108" w:type="dxa"/>
            <w:bottom w:w="0" w:type="dxa"/>
            <w:right w:w="108" w:type="dxa"/>
          </w:tblCellMar>
        </w:tblPrEx>
        <w:trPr>
          <w:trHeight w:val="531"/>
        </w:trPr>
        <w:tc>
          <w:tcPr>
            <w:tcW w:w="3980" w:type="dxa"/>
            <w:gridSpan w:val="3"/>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 xml:space="preserve">总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noWrap/>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400.00</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1.88</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400.00</w:t>
            </w:r>
            <w:r>
              <w:rPr>
                <w:rFonts w:ascii="TimesNewRoman" w:hAnsi="TimesNewRoman" w:cs="TimesNewRoman"/>
                <w:b/>
                <w:bCs/>
                <w:kern w:val="0"/>
                <w:sz w:val="18"/>
                <w:szCs w:val="18"/>
              </w:rPr>
              <w:t>　</w:t>
            </w:r>
          </w:p>
        </w:tc>
      </w:tr>
    </w:tbl>
    <w:p>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sz w:val="20"/>
          <w:szCs w:val="20"/>
          <w:u w:val="single"/>
        </w:rPr>
        <w:t>（单位）</w:t>
      </w:r>
      <w:r>
        <w:rPr>
          <w:rFonts w:ascii="TimesNewRoman" w:hAnsi="TimesNewRoman" w:cs="TimesNewRoman"/>
          <w:sz w:val="20"/>
          <w:szCs w:val="20"/>
        </w:rPr>
        <w:t>公开表10</w:t>
      </w:r>
    </w:p>
    <w:tbl>
      <w:tblPr>
        <w:tblStyle w:val="TableNormal"/>
        <w:tblW w:w="14109" w:type="dxa"/>
        <w:tblInd w:w="0" w:type="dxa"/>
        <w:tblLayout w:type="fixed"/>
        <w:tblCellMar>
          <w:top w:w="0" w:type="dxa"/>
          <w:left w:w="108" w:type="dxa"/>
          <w:bottom w:w="0" w:type="dxa"/>
          <w:right w:w="108" w:type="dxa"/>
        </w:tblCellMar>
      </w:tblPr>
      <w:tblGrid>
        <w:gridCol w:w="1907"/>
        <w:gridCol w:w="1827"/>
        <w:gridCol w:w="1430"/>
        <w:gridCol w:w="1643"/>
        <w:gridCol w:w="1823"/>
        <w:gridCol w:w="1811"/>
        <w:gridCol w:w="1780"/>
        <w:gridCol w:w="1888"/>
      </w:tblGrid>
      <w:tr>
        <w:tblPrEx>
          <w:tblW w:w="14109" w:type="dxa"/>
          <w:tblInd w:w="0" w:type="dxa"/>
          <w:tblLayout w:type="fixed"/>
          <w:tblCellMar>
            <w:top w:w="0" w:type="dxa"/>
            <w:left w:w="108" w:type="dxa"/>
            <w:bottom w:w="0" w:type="dxa"/>
            <w:right w:w="108" w:type="dxa"/>
          </w:tblCellMar>
        </w:tblPrEx>
        <w:trPr>
          <w:trHeight w:val="482"/>
        </w:trPr>
        <w:tc>
          <w:tcPr>
            <w:tcW w:w="14109" w:type="dxa"/>
            <w:gridSpan w:val="8"/>
            <w:tcBorders>
              <w:top w:val="nil"/>
              <w:left w:val="nil"/>
              <w:bottom w:val="nil"/>
              <w:right w:val="nil"/>
            </w:tcBorders>
            <w:noWrap/>
            <w:vAlign w:val="center"/>
          </w:tcPr>
          <w:p>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w:t>
            </w:r>
            <w:r>
              <w:rPr>
                <w:rFonts w:ascii="TimesNewRoman" w:eastAsia="华文中宋" w:hAnsi="TimesNewRoman" w:cs="TimesNewRoman" w:hint="eastAsia"/>
                <w:b/>
                <w:bCs/>
                <w:kern w:val="0"/>
                <w:szCs w:val="32"/>
                <w:lang w:eastAsia="zh-CN"/>
              </w:rPr>
              <w:t>炎刘镇</w:t>
            </w:r>
            <w:r>
              <w:rPr>
                <w:rFonts w:ascii="TimesNewRoman" w:eastAsia="华文中宋" w:hAnsi="TimesNewRoman" w:cs="TimesNewRoman"/>
                <w:b/>
                <w:bCs/>
                <w:kern w:val="0"/>
                <w:szCs w:val="32"/>
              </w:rPr>
              <w:t>中心卫生院</w:t>
            </w:r>
            <w:r>
              <w:rPr>
                <w:rFonts w:ascii="TimesNewRoman" w:eastAsia="华文中宋" w:hAnsi="TimesNewRoman" w:cs="TimesNewRoman" w:hint="eastAsia"/>
                <w:b/>
                <w:bCs/>
                <w:kern w:val="0"/>
                <w:szCs w:val="32"/>
                <w:lang w:eastAsia="zh-CN"/>
              </w:rPr>
              <w:t>广岩</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单位：万元</w:t>
            </w:r>
          </w:p>
        </w:tc>
      </w:tr>
      <w:tr>
        <w:tblPrEx>
          <w:tblW w:w="14109" w:type="dxa"/>
          <w:tblInd w:w="0" w:type="dxa"/>
          <w:tblLayout w:type="fixed"/>
          <w:tblCellMar>
            <w:top w:w="0" w:type="dxa"/>
            <w:left w:w="108" w:type="dxa"/>
            <w:bottom w:w="0" w:type="dxa"/>
            <w:right w:w="108" w:type="dxa"/>
          </w:tblCellMar>
        </w:tblPrEx>
        <w:trPr>
          <w:trHeight w:val="800"/>
        </w:trPr>
        <w:tc>
          <w:tcPr>
            <w:tcW w:w="1907" w:type="dxa"/>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single" w:sz="4" w:space="0" w:color="auto"/>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kern w:val="0"/>
                <w:sz w:val="20"/>
                <w:szCs w:val="24"/>
                <w:lang w:val="en-US" w:eastAsia="zh-CN" w:bidi="ar-SA"/>
              </w:rPr>
            </w:pPr>
            <w:r>
              <w:rPr>
                <w:rFonts w:ascii="TimesNewRoman" w:hAnsi="TimesNewRoman" w:cs="TimesNewRoman"/>
                <w:kern w:val="0"/>
                <w:sz w:val="20"/>
              </w:rPr>
              <w:t>　台式计算机</w:t>
            </w:r>
          </w:p>
        </w:tc>
        <w:tc>
          <w:tcPr>
            <w:tcW w:w="1430"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hint="eastAsia"/>
                <w:kern w:val="0"/>
                <w:sz w:val="20"/>
                <w:lang w:val="en-US" w:eastAsia="zh-CN"/>
              </w:rPr>
              <w:t>2</w:t>
            </w:r>
            <w:r>
              <w:rPr>
                <w:rFonts w:ascii="TimesNewRoman" w:hAnsi="TimesNewRoman" w:cs="TimesNewRoman"/>
                <w:kern w:val="0"/>
                <w:sz w:val="20"/>
              </w:rPr>
              <w:t>　</w:t>
            </w:r>
          </w:p>
        </w:tc>
        <w:tc>
          <w:tcPr>
            <w:tcW w:w="1643"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823"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811"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780"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888"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hint="eastAsia"/>
                <w:kern w:val="0"/>
                <w:sz w:val="20"/>
                <w:lang w:val="en-US" w:eastAsia="zh-CN"/>
              </w:rPr>
              <w:t>2</w:t>
            </w: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　</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kern w:val="0"/>
                <w:sz w:val="20"/>
                <w:szCs w:val="24"/>
                <w:lang w:val="en-US" w:eastAsia="zh-CN" w:bidi="ar-SA"/>
              </w:rPr>
            </w:pPr>
            <w:r>
              <w:rPr>
                <w:rFonts w:ascii="TimesNewRoman" w:hAnsi="TimesNewRoman" w:cs="TimesNewRoman" w:hint="eastAsia"/>
                <w:kern w:val="0"/>
                <w:sz w:val="20"/>
              </w:rPr>
              <w:t xml:space="preserve">  票据打印机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r>
              <w:rPr>
                <w:rFonts w:ascii="TimesNewRoman" w:hAnsi="TimesNewRoman" w:cs="TimesNewRoman" w:hint="eastAsia"/>
                <w:kern w:val="0"/>
                <w:sz w:val="20"/>
                <w:lang w:val="en-US" w:eastAsia="zh-CN"/>
              </w:rPr>
              <w:t>0.5</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r>
              <w:rPr>
                <w:rFonts w:ascii="TimesNewRoman" w:hAnsi="TimesNewRoman" w:cs="TimesNewRoman" w:hint="eastAsia"/>
                <w:kern w:val="0"/>
                <w:sz w:val="20"/>
                <w:lang w:val="en-US" w:eastAsia="zh-CN"/>
              </w:rPr>
              <w:t>0.5</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kern w:val="0"/>
                <w:sz w:val="20"/>
                <w:szCs w:val="24"/>
                <w:lang w:val="en-US" w:eastAsia="zh-CN" w:bidi="ar-SA"/>
              </w:rPr>
            </w:pPr>
            <w:r>
              <w:rPr>
                <w:rFonts w:ascii="TimesNewRoman" w:hAnsi="TimesNewRoman" w:cs="TimesNewRoman" w:hint="eastAsia"/>
                <w:kern w:val="0"/>
                <w:sz w:val="20"/>
              </w:rPr>
              <w:t xml:space="preserve">  空调机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r>
              <w:rPr>
                <w:rFonts w:ascii="TimesNewRoman" w:hAnsi="TimesNewRoman" w:cs="TimesNewRoman" w:hint="eastAsia"/>
                <w:kern w:val="0"/>
                <w:sz w:val="20"/>
                <w:lang w:val="en-US" w:eastAsia="zh-CN"/>
              </w:rPr>
              <w:t>1.44</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hint="eastAsia"/>
                <w:kern w:val="0"/>
                <w:sz w:val="20"/>
                <w:lang w:val="en-US" w:eastAsia="zh-CN"/>
              </w:rPr>
              <w:t>1.44</w:t>
            </w:r>
          </w:p>
        </w:tc>
      </w:tr>
      <w:tr>
        <w:tblPrEx>
          <w:tblW w:w="14109" w:type="dxa"/>
          <w:tblInd w:w="0" w:type="dxa"/>
          <w:tblLayout w:type="fixed"/>
          <w:tblCellMar>
            <w:top w:w="0" w:type="dxa"/>
            <w:left w:w="108" w:type="dxa"/>
            <w:bottom w:w="0" w:type="dxa"/>
            <w:right w:w="108" w:type="dxa"/>
          </w:tblCellMar>
        </w:tblPrEx>
        <w:trPr>
          <w:trHeight w:val="496"/>
        </w:trPr>
        <w:tc>
          <w:tcPr>
            <w:tcW w:w="3734"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计</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3.9</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3.9</w:t>
            </w:r>
            <w:r>
              <w:rPr>
                <w:rFonts w:ascii="TimesNewRoman" w:hAnsi="TimesNewRoman" w:cs="TimesNewRoman"/>
                <w:kern w:val="0"/>
                <w:sz w:val="20"/>
              </w:rPr>
              <w:t>　</w:t>
            </w:r>
          </w:p>
        </w:tc>
      </w:tr>
    </w:tbl>
    <w:p>
      <w:pPr>
        <w:spacing w:line="560" w:lineRule="exact"/>
        <w:rPr>
          <w:rFonts w:ascii="TimesNewRoman" w:hAnsi="TimesNewRoman" w:cs="TimesNewRoman"/>
        </w:rPr>
      </w:pPr>
    </w:p>
    <w:p>
      <w:pPr>
        <w:spacing w:line="560" w:lineRule="exact"/>
        <w:rPr>
          <w:rFonts w:ascii="TimesNewRoman" w:hAnsi="TimesNewRoman" w:cs="TimesNewRoman"/>
        </w:rPr>
      </w:pPr>
    </w:p>
    <w:p>
      <w:pPr>
        <w:pStyle w:val="NormalWeb"/>
        <w:wordWrap w:val="0"/>
        <w:adjustRightInd w:val="0"/>
        <w:snapToGrid w:val="0"/>
        <w:spacing w:line="560" w:lineRule="exact"/>
        <w:jc w:val="right"/>
        <w:rPr>
          <w:rFonts w:ascii="TimesNewRoman" w:hAnsi="TimesNewRoman" w:cs="TimesNewRoman"/>
          <w:sz w:val="20"/>
          <w:szCs w:val="20"/>
        </w:rPr>
      </w:pPr>
      <w:r>
        <w:rPr>
          <w:rFonts w:ascii="TimesNewRoman" w:hAnsi="TimesNewRoman" w:cs="TimesNewRoman"/>
          <w:sz w:val="20"/>
          <w:szCs w:val="20"/>
          <w:u w:val="single"/>
        </w:rPr>
        <w:t>（单位）</w:t>
      </w:r>
      <w:r>
        <w:rPr>
          <w:rFonts w:ascii="TimesNewRoman" w:hAnsi="TimesNewRoman" w:cs="TimesNewRoman"/>
          <w:sz w:val="20"/>
          <w:szCs w:val="20"/>
        </w:rPr>
        <w:t>公开表11</w:t>
      </w:r>
    </w:p>
    <w:tbl>
      <w:tblPr>
        <w:tblStyle w:val="TableNormal"/>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W w:w="13709" w:type="dxa"/>
          <w:jc w:val="center"/>
          <w:tblLayout w:type="fixed"/>
          <w:tblCellMar>
            <w:top w:w="0" w:type="dxa"/>
            <w:left w:w="108" w:type="dxa"/>
            <w:bottom w:w="0" w:type="dxa"/>
            <w:right w:w="108" w:type="dxa"/>
          </w:tblCellMar>
        </w:tblPrEx>
        <w:trPr>
          <w:gridAfter w:val="1"/>
          <w:wAfter w:w="17" w:type="dxa"/>
          <w:trHeight w:val="673"/>
          <w:jc w:val="center"/>
        </w:trPr>
        <w:tc>
          <w:tcPr>
            <w:tcW w:w="13692" w:type="dxa"/>
            <w:gridSpan w:val="7"/>
            <w:tcBorders>
              <w:top w:val="nil"/>
              <w:left w:val="nil"/>
              <w:bottom w:val="nil"/>
              <w:right w:val="nil"/>
            </w:tcBorders>
            <w:noWrap/>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炎刘镇</w:t>
            </w:r>
            <w:r>
              <w:rPr>
                <w:rFonts w:ascii="宋体" w:hAnsi="宋体" w:cs="TimesNewRoman"/>
                <w:b/>
                <w:bCs/>
                <w:kern w:val="0"/>
                <w:sz w:val="28"/>
                <w:szCs w:val="32"/>
              </w:rPr>
              <w:t>中心卫生院</w:t>
            </w:r>
            <w:r>
              <w:rPr>
                <w:rFonts w:ascii="宋体" w:hAnsi="宋体" w:cs="TimesNewRoman" w:hint="eastAsia"/>
                <w:b/>
                <w:bCs/>
                <w:kern w:val="0"/>
                <w:sz w:val="28"/>
                <w:szCs w:val="32"/>
                <w:lang w:eastAsia="zh-CN"/>
              </w:rPr>
              <w:t>广岩分院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W w:w="13709" w:type="dxa"/>
          <w:jc w:val="center"/>
          <w:tblLayout w:type="fixed"/>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项目名称</w:t>
            </w:r>
          </w:p>
        </w:tc>
        <w:tc>
          <w:tcPr>
            <w:tcW w:w="1948"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一级目录名称</w:t>
            </w:r>
          </w:p>
        </w:tc>
        <w:tc>
          <w:tcPr>
            <w:tcW w:w="1780"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二级目录名称</w:t>
            </w:r>
          </w:p>
        </w:tc>
        <w:tc>
          <w:tcPr>
            <w:tcW w:w="1928"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三级目录名称</w:t>
            </w:r>
          </w:p>
        </w:tc>
        <w:tc>
          <w:tcPr>
            <w:tcW w:w="2477"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购买金额</w:t>
            </w: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合计</w:t>
            </w:r>
          </w:p>
        </w:tc>
        <w:tc>
          <w:tcPr>
            <w:tcW w:w="194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r>
    </w:tbl>
    <w:p>
      <w:pPr>
        <w:spacing w:line="560" w:lineRule="exact"/>
        <w:rPr>
          <w:rFonts w:ascii="TimesNewRoman" w:hAnsi="TimesNewRoman" w:cs="TimesNewRoman"/>
          <w:kern w:val="0"/>
          <w:sz w:val="22"/>
        </w:rPr>
      </w:pPr>
      <w:r>
        <w:rPr>
          <w:rFonts w:ascii="TimesNewRoman" w:hAnsi="TimesNewRoman" w:cs="TimesNewRoman"/>
          <w:kern w:val="0"/>
          <w:sz w:val="22"/>
        </w:rPr>
        <w:t>注：“</w:t>
      </w:r>
      <w:r>
        <w:rPr>
          <w:rFonts w:ascii="TimesNewRoman" w:hAnsi="TimesNewRoman" w:cs="TimesNewRoman" w:hint="eastAsia"/>
          <w:kern w:val="0"/>
          <w:sz w:val="22"/>
        </w:rPr>
        <w:t>寿县</w:t>
      </w:r>
      <w:r>
        <w:rPr>
          <w:rFonts w:ascii="TimesNewRoman" w:hAnsi="TimesNewRoman" w:cs="TimesNewRoman" w:hint="eastAsia"/>
          <w:kern w:val="0"/>
          <w:sz w:val="22"/>
          <w:lang w:eastAsia="zh-CN"/>
        </w:rPr>
        <w:t>炎刘镇</w:t>
      </w:r>
      <w:r>
        <w:rPr>
          <w:rFonts w:ascii="TimesNewRoman" w:hAnsi="TimesNewRoman" w:cs="TimesNewRoman"/>
          <w:kern w:val="0"/>
          <w:sz w:val="22"/>
        </w:rPr>
        <w:t>中心卫生院</w:t>
      </w:r>
      <w:r>
        <w:rPr>
          <w:rFonts w:ascii="TimesNewRoman" w:hAnsi="TimesNewRoman" w:cs="TimesNewRoman" w:hint="eastAsia"/>
          <w:kern w:val="0"/>
          <w:sz w:val="22"/>
          <w:lang w:eastAsia="zh-CN"/>
        </w:rPr>
        <w:t>广岩分院</w:t>
      </w:r>
      <w:r>
        <w:rPr>
          <w:rFonts w:ascii="TimesNewRoman" w:hAnsi="TimesNewRoman" w:cs="TimesNewRoman"/>
          <w:kern w:val="0"/>
          <w:sz w:val="22"/>
        </w:rPr>
        <w:t>没有安排政府购买服务支出，故本表无数据”。</w:t>
      </w:r>
    </w:p>
    <w:p>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num="1" w:space="425"/>
          <w:docGrid w:type="linesAndChars" w:linePitch="312" w:charSpace="0"/>
        </w:sect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一、关于2024年收支总表的说明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按照综合预算的原则，</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sz w:val="32"/>
          <w:szCs w:val="32"/>
        </w:rPr>
        <w:t>所有收入和支出均纳入单位预算管理。</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sz w:val="32"/>
          <w:szCs w:val="32"/>
        </w:rPr>
        <w:t>2024年收支总预算</w:t>
      </w:r>
      <w:r>
        <w:rPr>
          <w:rFonts w:ascii="仿宋_GB2312" w:eastAsia="仿宋_GB2312" w:hAnsi="TimesNewRoman" w:cs="TimesNewRoman" w:hint="eastAsia"/>
          <w:sz w:val="32"/>
          <w:szCs w:val="32"/>
          <w:lang w:val="en-US" w:eastAsia="zh-CN"/>
        </w:rPr>
        <w:t>519.39</w:t>
      </w:r>
      <w:r>
        <w:rPr>
          <w:rFonts w:ascii="仿宋_GB2312" w:eastAsia="仿宋_GB2312" w:hAnsi="TimesNewRoman" w:cs="TimesNewRoman" w:hint="eastAsia"/>
          <w:sz w:val="32"/>
          <w:szCs w:val="32"/>
        </w:rPr>
        <w:t>万元，收入包括一般公共预算拨款收入</w:t>
      </w:r>
      <w:r>
        <w:rPr>
          <w:rFonts w:ascii="仿宋_GB2312" w:eastAsia="仿宋_GB2312" w:hAnsi="TimesNewRoman" w:cs="TimesNewRoman" w:hint="eastAsia"/>
          <w:sz w:val="32"/>
          <w:szCs w:val="32"/>
          <w:lang w:val="en-US" w:eastAsia="zh-CN"/>
        </w:rPr>
        <w:t>119.39</w:t>
      </w:r>
      <w:r>
        <w:rPr>
          <w:rFonts w:ascii="仿宋_GB2312" w:eastAsia="仿宋_GB2312" w:hAnsi="TimesNewRoman" w:cs="TimesNewRoman" w:hint="eastAsia"/>
          <w:sz w:val="32"/>
          <w:szCs w:val="32"/>
        </w:rPr>
        <w:t>万元、单位资金收入</w:t>
      </w:r>
      <w:r>
        <w:rPr>
          <w:rFonts w:ascii="仿宋_GB2312" w:eastAsia="仿宋_GB2312" w:hAnsi="TimesNewRoman" w:cs="TimesNewRoman" w:hint="eastAsia"/>
          <w:sz w:val="32"/>
          <w:szCs w:val="32"/>
          <w:lang w:val="en-US" w:eastAsia="zh-CN"/>
        </w:rPr>
        <w:t>400</w:t>
      </w:r>
      <w:r>
        <w:rPr>
          <w:rFonts w:ascii="仿宋_GB2312" w:eastAsia="仿宋_GB2312" w:hAnsi="TimesNewRoman" w:cs="TimesNewRoman" w:hint="eastAsia"/>
          <w:sz w:val="32"/>
          <w:szCs w:val="32"/>
        </w:rPr>
        <w:t>万元；支出包括：社会保障和就业支出</w:t>
      </w:r>
      <w:r>
        <w:rPr>
          <w:rFonts w:ascii="仿宋_GB2312" w:eastAsia="仿宋_GB2312" w:hAnsi="TimesNewRoman" w:cs="TimesNewRoman" w:hint="eastAsia"/>
          <w:sz w:val="32"/>
          <w:szCs w:val="32"/>
          <w:lang w:val="en-US" w:eastAsia="zh-CN"/>
        </w:rPr>
        <w:t>18.1</w:t>
      </w:r>
      <w:r>
        <w:rPr>
          <w:rFonts w:ascii="仿宋_GB2312" w:eastAsia="仿宋_GB2312" w:hAnsi="TimesNewRoman" w:cs="TimesNewRoman" w:hint="eastAsia"/>
          <w:sz w:val="32"/>
          <w:szCs w:val="32"/>
        </w:rPr>
        <w:t>万元、卫生健康支出</w:t>
      </w:r>
      <w:r>
        <w:rPr>
          <w:rFonts w:ascii="仿宋_GB2312" w:eastAsia="仿宋_GB2312" w:hAnsi="TimesNewRoman" w:cs="TimesNewRoman" w:hint="eastAsia"/>
          <w:sz w:val="32"/>
          <w:szCs w:val="32"/>
          <w:lang w:val="en-US" w:eastAsia="zh-CN"/>
        </w:rPr>
        <w:t>492.5</w:t>
      </w:r>
      <w:r>
        <w:rPr>
          <w:rFonts w:ascii="仿宋_GB2312" w:eastAsia="仿宋_GB2312" w:hAnsi="TimesNewRoman" w:cs="TimesNewRoman" w:hint="eastAsia"/>
          <w:sz w:val="32"/>
          <w:szCs w:val="32"/>
        </w:rPr>
        <w:t>万元、住房保障支出</w:t>
      </w:r>
      <w:r>
        <w:rPr>
          <w:rFonts w:ascii="仿宋_GB2312" w:eastAsia="仿宋_GB2312" w:hAnsi="TimesNewRoman" w:cs="TimesNewRoman" w:hint="eastAsia"/>
          <w:sz w:val="32"/>
          <w:szCs w:val="32"/>
          <w:lang w:val="en-US" w:eastAsia="zh-CN"/>
        </w:rPr>
        <w:t>8.79</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sz w:val="32"/>
          <w:szCs w:val="32"/>
        </w:rPr>
        <w:t>2024年收入预算</w:t>
      </w:r>
      <w:r>
        <w:rPr>
          <w:rFonts w:ascii="仿宋_GB2312" w:eastAsia="仿宋_GB2312" w:hAnsi="TimesNewRoman" w:cs="TimesNewRoman" w:hint="eastAsia"/>
          <w:sz w:val="32"/>
          <w:szCs w:val="32"/>
          <w:lang w:val="en-US" w:eastAsia="zh-CN"/>
        </w:rPr>
        <w:t>519.39</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lang w:val="en-US" w:eastAsia="zh-CN"/>
        </w:rPr>
        <w:t>519.39</w:t>
      </w:r>
      <w:r>
        <w:rPr>
          <w:rFonts w:ascii="仿宋_GB2312" w:eastAsia="仿宋_GB2312" w:hAnsi="TimesNewRoman" w:cs="TimesNewRoman" w:hint="eastAsia"/>
          <w:sz w:val="32"/>
          <w:szCs w:val="32"/>
        </w:rPr>
        <w:t>万元。</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lang w:val="en-US" w:eastAsia="zh-CN"/>
        </w:rPr>
        <w:t>519.39</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lang w:val="en-US" w:eastAsia="zh-CN"/>
        </w:rPr>
        <w:t>119.39</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22.98</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11.81</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10.97</w:t>
      </w:r>
      <w:r>
        <w:rPr>
          <w:rFonts w:ascii="仿宋_GB2312" w:eastAsia="仿宋_GB2312" w:hAnsi="TimesNewRoman" w:cs="TimesNewRoman" w:hint="eastAsia"/>
          <w:sz w:val="32"/>
          <w:szCs w:val="32"/>
        </w:rPr>
        <w:t>%，增长原因主要一是在职人员增加，人员经费增加，二是项目经费增加；单位资金收入</w:t>
      </w:r>
      <w:r>
        <w:rPr>
          <w:rFonts w:ascii="仿宋_GB2312" w:eastAsia="仿宋_GB2312" w:hAnsi="TimesNewRoman" w:cs="TimesNewRoman" w:hint="eastAsia"/>
          <w:sz w:val="32"/>
          <w:szCs w:val="32"/>
          <w:lang w:val="en-US" w:eastAsia="zh-CN"/>
        </w:rPr>
        <w:t>400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77.01</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40</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11.11</w:t>
      </w:r>
      <w:r>
        <w:rPr>
          <w:rFonts w:ascii="仿宋_GB2312" w:eastAsia="仿宋_GB2312" w:hAnsi="TimesNewRoman" w:cs="TimesNewRoman" w:hint="eastAsia"/>
          <w:sz w:val="32"/>
          <w:szCs w:val="32"/>
        </w:rPr>
        <w:t>%，增长原因主要是： 医疗收入增加。</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三、关于2024年支出总表的说明</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sz w:val="32"/>
          <w:szCs w:val="32"/>
        </w:rPr>
        <w:t>2024年支出预算</w:t>
      </w:r>
      <w:r>
        <w:rPr>
          <w:rFonts w:ascii="仿宋_GB2312" w:eastAsia="仿宋_GB2312" w:hAnsi="TimesNewRoman" w:cs="TimesNewRoman" w:hint="eastAsia"/>
          <w:sz w:val="32"/>
          <w:szCs w:val="32"/>
          <w:lang w:val="en-US" w:eastAsia="zh-CN"/>
        </w:rPr>
        <w:t>519.39</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51.81</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11.08</w:t>
      </w:r>
      <w:r>
        <w:rPr>
          <w:rFonts w:ascii="仿宋_GB2312" w:eastAsia="仿宋_GB2312" w:hAnsi="TimesNewRoman" w:cs="TimesNewRoman" w:hint="eastAsia"/>
          <w:sz w:val="32"/>
          <w:szCs w:val="32"/>
        </w:rPr>
        <w:t>%，增长原因主要一是在职人员增加，人员经费支出增加；二是项目支出增加；三是医疗支出增加。其中，基本支出</w:t>
      </w:r>
      <w:r>
        <w:rPr>
          <w:rFonts w:ascii="仿宋_GB2312" w:eastAsia="仿宋_GB2312" w:hAnsi="TimesNewRoman" w:cs="TimesNewRoman" w:hint="eastAsia"/>
          <w:sz w:val="32"/>
          <w:szCs w:val="32"/>
          <w:lang w:val="en-US" w:eastAsia="zh-CN"/>
        </w:rPr>
        <w:t>117.51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22.62</w:t>
      </w:r>
      <w:r>
        <w:rPr>
          <w:rFonts w:ascii="仿宋_GB2312" w:eastAsia="仿宋_GB2312" w:hAnsi="TimesNewRoman" w:cs="TimesNewRoman" w:hint="eastAsia"/>
          <w:sz w:val="32"/>
          <w:szCs w:val="32"/>
        </w:rPr>
        <w:t>%，主要用于保障机构日常运转、保障医疗人员工资待遇；项目支出</w:t>
      </w:r>
      <w:r>
        <w:rPr>
          <w:rFonts w:ascii="仿宋_GB2312" w:eastAsia="仿宋_GB2312" w:hAnsi="TimesNewRoman" w:cs="TimesNewRoman" w:hint="eastAsia"/>
          <w:sz w:val="32"/>
          <w:szCs w:val="32"/>
          <w:lang w:val="en-US" w:eastAsia="zh-CN"/>
        </w:rPr>
        <w:t>401.88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77.37</w:t>
      </w:r>
      <w:r>
        <w:rPr>
          <w:rFonts w:ascii="仿宋_GB2312" w:eastAsia="仿宋_GB2312" w:hAnsi="TimesNewRoman" w:cs="TimesNewRoman" w:hint="eastAsia"/>
          <w:sz w:val="32"/>
          <w:szCs w:val="32"/>
        </w:rPr>
        <w:t>%，主要用于保障机构日常运转、完成日常医疗工作任务。</w:t>
      </w:r>
      <w:r>
        <w:rPr>
          <w:rFonts w:ascii="仿宋_GB2312" w:eastAsia="仿宋_GB2312" w:hAnsi="TimesNewRoman" w:cs="TimesNewRoman"/>
          <w:sz w:val="32"/>
          <w:szCs w:val="32"/>
        </w:rPr>
        <w:t xml:space="preserve"> </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sz w:val="32"/>
          <w:szCs w:val="32"/>
        </w:rPr>
        <w:t>2024年财政拨款收支预算</w:t>
      </w:r>
      <w:r>
        <w:rPr>
          <w:rFonts w:ascii="仿宋_GB2312" w:eastAsia="仿宋_GB2312" w:hAnsi="TimesNewRoman" w:cs="TimesNewRoman" w:hint="eastAsia"/>
          <w:sz w:val="32"/>
          <w:szCs w:val="32"/>
          <w:lang w:val="en-US" w:eastAsia="zh-CN"/>
        </w:rPr>
        <w:t>119.39</w:t>
      </w:r>
      <w:r>
        <w:rPr>
          <w:rFonts w:ascii="仿宋_GB2312" w:eastAsia="仿宋_GB2312" w:hAnsi="TimesNewRoman" w:cs="TimesNewRoman" w:hint="eastAsia"/>
          <w:sz w:val="32"/>
          <w:szCs w:val="32"/>
        </w:rPr>
        <w:t>万元。收入按资金来源分：全部为一般公共预算拨款</w:t>
      </w:r>
      <w:r>
        <w:rPr>
          <w:rFonts w:ascii="仿宋_GB2312" w:eastAsia="仿宋_GB2312" w:hAnsi="TimesNewRoman" w:cs="TimesNewRoman" w:hint="eastAsia"/>
          <w:sz w:val="32"/>
          <w:szCs w:val="32"/>
          <w:lang w:val="en-US" w:eastAsia="zh-CN"/>
        </w:rPr>
        <w:t>119.39</w:t>
      </w:r>
      <w:r>
        <w:rPr>
          <w:rFonts w:ascii="仿宋_GB2312" w:eastAsia="仿宋_GB2312" w:hAnsi="TimesNewRoman" w:cs="TimesNewRoman" w:hint="eastAsia"/>
          <w:sz w:val="32"/>
          <w:szCs w:val="32"/>
        </w:rPr>
        <w:t>万元；按资金年度分：全部为本年财政拨款收入</w:t>
      </w:r>
      <w:r>
        <w:rPr>
          <w:rFonts w:ascii="仿宋_GB2312" w:eastAsia="仿宋_GB2312" w:hAnsi="TimesNewRoman" w:cs="TimesNewRoman" w:hint="eastAsia"/>
          <w:sz w:val="32"/>
          <w:szCs w:val="32"/>
          <w:lang w:val="en-US" w:eastAsia="zh-CN"/>
        </w:rPr>
        <w:t>119.39</w:t>
      </w:r>
      <w:r>
        <w:rPr>
          <w:rFonts w:ascii="仿宋_GB2312" w:eastAsia="仿宋_GB2312" w:hAnsi="TimesNewRoman" w:cs="TimesNewRoman" w:hint="eastAsia"/>
          <w:sz w:val="32"/>
          <w:szCs w:val="32"/>
        </w:rPr>
        <w:t>万元。按支出按功能分类分为：社会保障和就业支出</w:t>
      </w:r>
      <w:r>
        <w:rPr>
          <w:rFonts w:ascii="仿宋_GB2312" w:eastAsia="仿宋_GB2312" w:hAnsi="TimesNewRoman" w:cs="TimesNewRoman" w:hint="eastAsia"/>
          <w:sz w:val="32"/>
          <w:szCs w:val="32"/>
          <w:lang w:val="en-US" w:eastAsia="zh-CN"/>
        </w:rPr>
        <w:t>18.1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15.16</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92.5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77.47</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8.79</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7.36</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sz w:val="32"/>
          <w:szCs w:val="32"/>
        </w:rPr>
        <w:t>2024年一般公共预算支出</w:t>
      </w:r>
      <w:r>
        <w:rPr>
          <w:rFonts w:ascii="仿宋_GB2312" w:eastAsia="仿宋_GB2312" w:hAnsi="TimesNewRoman" w:cs="TimesNewRoman" w:hint="eastAsia"/>
          <w:sz w:val="32"/>
          <w:szCs w:val="32"/>
          <w:lang w:val="en-US" w:eastAsia="zh-CN"/>
        </w:rPr>
        <w:t>119.39</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11.81</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10.97</w:t>
      </w:r>
      <w:r>
        <w:rPr>
          <w:rFonts w:ascii="仿宋_GB2312" w:eastAsia="仿宋_GB2312" w:hAnsi="TimesNewRoman" w:cs="TimesNewRoman" w:hint="eastAsia"/>
          <w:sz w:val="32"/>
          <w:szCs w:val="32"/>
        </w:rPr>
        <w:t>%，主要原因：一是在职人员增加，人员经费增加；二是项目支出增加。</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lang w:val="en-US" w:eastAsia="zh-CN"/>
        </w:rPr>
        <w:t>18.1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15.16</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90.62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75.9</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8.79</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7.36</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val="en-US" w:eastAsia="zh-CN"/>
        </w:rPr>
        <w:t>;项目支出1.88万元，占0.01%</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（三）一般公共预算支出具体使用情况。</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1.社会保障和就业支出（类）行政事业单位养老支出（款）机关事业单位基本养老保险缴费支出、机关事业单位职业年金缴费支出、事业单位离退休费（项）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18.1</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0.34</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1.9</w:t>
      </w:r>
      <w:r>
        <w:rPr>
          <w:rFonts w:ascii="仿宋_GB2312" w:eastAsia="仿宋_GB2312" w:hAnsi="TimesNewRoman" w:cs="TimesNewRoman" w:hint="eastAsia"/>
          <w:sz w:val="32"/>
          <w:szCs w:val="32"/>
        </w:rPr>
        <w:t>%，增长原因主要一是在职人员增加，人员经费支出增加；二是退休人员支出经费增加。</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2.住房保障支出（类）住房改革支出（款）住房公积金（项）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8.79</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0.16</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1.9</w:t>
      </w:r>
      <w:r>
        <w:rPr>
          <w:rFonts w:ascii="仿宋_GB2312" w:eastAsia="仿宋_GB2312" w:hAnsi="TimesNewRoman" w:cs="TimesNewRoman" w:hint="eastAsia"/>
          <w:sz w:val="32"/>
          <w:szCs w:val="32"/>
        </w:rPr>
        <w:t>%。增长原因主要是在职人员增加，人员经费支出增加。</w:t>
      </w:r>
    </w:p>
    <w:p>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b/>
          <w:sz w:val="32"/>
          <w:szCs w:val="32"/>
        </w:rPr>
        <w:t>卫生健康（类）基层医疗卫生机构（款）乡镇卫生院（项）</w:t>
      </w:r>
      <w:r>
        <w:rPr>
          <w:rFonts w:ascii="仿宋_GB2312" w:eastAsia="仿宋_GB2312" w:hAnsi="仿宋" w:hint="eastAsia"/>
          <w:sz w:val="32"/>
          <w:szCs w:val="32"/>
        </w:rPr>
        <w:t>2024年预算</w:t>
      </w:r>
      <w:r>
        <w:rPr>
          <w:rFonts w:ascii="仿宋_GB2312" w:eastAsia="仿宋_GB2312" w:hAnsi="仿宋" w:hint="eastAsia"/>
          <w:sz w:val="32"/>
          <w:szCs w:val="32"/>
          <w:lang w:val="en-US" w:eastAsia="zh-CN"/>
        </w:rPr>
        <w:t>92.5</w:t>
      </w:r>
      <w:r>
        <w:rPr>
          <w:rFonts w:ascii="仿宋_GB2312" w:eastAsia="仿宋_GB2312" w:hAnsi="仿宋" w:hint="eastAsia"/>
          <w:sz w:val="32"/>
          <w:szCs w:val="32"/>
        </w:rPr>
        <w:t>万元，比2023年预算增加</w:t>
      </w:r>
      <w:r>
        <w:rPr>
          <w:rFonts w:ascii="仿宋_GB2312" w:eastAsia="仿宋_GB2312" w:hAnsi="仿宋" w:hint="eastAsia"/>
          <w:sz w:val="32"/>
          <w:szCs w:val="32"/>
          <w:lang w:val="en-US" w:eastAsia="zh-CN"/>
        </w:rPr>
        <w:t>11.3</w:t>
      </w:r>
      <w:r>
        <w:rPr>
          <w:rFonts w:ascii="仿宋_GB2312" w:eastAsia="仿宋_GB2312" w:hAnsi="仿宋" w:hint="eastAsia"/>
          <w:sz w:val="32"/>
          <w:szCs w:val="32"/>
        </w:rPr>
        <w:t>万元，增加</w:t>
      </w:r>
      <w:r>
        <w:rPr>
          <w:rFonts w:ascii="仿宋_GB2312" w:eastAsia="仿宋_GB2312" w:hAnsi="仿宋" w:hint="eastAsia"/>
          <w:sz w:val="32"/>
          <w:szCs w:val="32"/>
          <w:lang w:val="en-US" w:eastAsia="zh-CN"/>
        </w:rPr>
        <w:t>13.91</w:t>
      </w:r>
      <w:r>
        <w:rPr>
          <w:rFonts w:ascii="仿宋_GB2312" w:eastAsia="仿宋_GB2312" w:hAnsi="仿宋" w:hint="eastAsia"/>
          <w:sz w:val="32"/>
          <w:szCs w:val="32"/>
        </w:rPr>
        <w:t>%，增加原因主要一是人员基本支出增加，二是项目预算支出增加。</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六、关于2024年一般公共预算基本支出表的说明</w:t>
      </w:r>
    </w:p>
    <w:p>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sz w:val="32"/>
          <w:szCs w:val="32"/>
        </w:rPr>
        <w:t>2024年一般公共预算基本支出</w:t>
      </w:r>
      <w:r>
        <w:rPr>
          <w:rFonts w:ascii="仿宋_GB2312" w:eastAsia="仿宋_GB2312" w:hAnsi="TimesNewRoman" w:cs="TimesNewRoman" w:hint="eastAsia"/>
          <w:sz w:val="32"/>
          <w:szCs w:val="32"/>
          <w:lang w:val="en-US" w:eastAsia="zh-CN"/>
        </w:rPr>
        <w:t>119.39</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lang w:val="en-US" w:eastAsia="zh-CN"/>
        </w:rPr>
        <w:t>117.51</w:t>
      </w:r>
      <w:r>
        <w:rPr>
          <w:rFonts w:ascii="仿宋_GB2312" w:eastAsia="仿宋_GB2312" w:hAnsi="TimesNewRoman" w:cs="TimesNewRoman" w:hint="eastAsia"/>
          <w:sz w:val="32"/>
          <w:szCs w:val="32"/>
        </w:rPr>
        <w:t>万元。</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人员经费</w:t>
      </w:r>
      <w:r>
        <w:rPr>
          <w:rFonts w:ascii="仿宋_GB2312" w:eastAsia="仿宋_GB2312" w:hAnsi="TimesNewRoman" w:cs="TimesNewRoman" w:hint="eastAsia"/>
          <w:sz w:val="32"/>
          <w:szCs w:val="32"/>
          <w:lang w:val="en-US" w:eastAsia="zh-CN"/>
        </w:rPr>
        <w:t>117.51</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single"/>
        </w:rPr>
        <w:t>基本工资、绩效工资、机关事业单位基本养老保险费、职业年金缴费、职工基本医疗保险缴费、其他社会保障缴费、住房公积金、退休费、生活补助。</w:t>
      </w:r>
    </w:p>
    <w:p>
      <w:pPr>
        <w:topLinePunct/>
        <w:spacing w:line="580" w:lineRule="exact"/>
        <w:ind w:firstLine="640" w:firstLineChars="200"/>
        <w:rPr>
          <w:rFonts w:ascii="仿宋_GB2312" w:eastAsia="仿宋_GB2312" w:hAnsi="TimesNewRoman" w:cs="TimesNewRoman"/>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七、关于2024年政府性基金预算支出表的说明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sz w:val="32"/>
          <w:szCs w:val="32"/>
        </w:rPr>
        <w:t>2024年没有政府性基金预算拨款收入，也没有使用政府性基金预算拨款安排的支出。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sz w:val="32"/>
          <w:szCs w:val="32"/>
        </w:rPr>
        <w:t>2024年没有国有资本经营预算拨款收入，也没有使用国有资本经营预算拨款安排的支出。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九、关于2024年项目支出表的说明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sz w:val="32"/>
          <w:szCs w:val="32"/>
        </w:rPr>
        <w:t>2024年预算共安排项目支出</w:t>
      </w:r>
      <w:r>
        <w:rPr>
          <w:rFonts w:ascii="仿宋_GB2312" w:eastAsia="仿宋_GB2312" w:hAnsi="TimesNewRoman" w:cs="TimesNewRoman" w:hint="eastAsia"/>
          <w:sz w:val="32"/>
          <w:szCs w:val="32"/>
          <w:lang w:val="en-US" w:eastAsia="zh-CN"/>
        </w:rPr>
        <w:t>401.88</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40.14</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11.09</w:t>
      </w:r>
      <w:r>
        <w:rPr>
          <w:rFonts w:ascii="仿宋_GB2312" w:eastAsia="仿宋_GB2312" w:hAnsi="TimesNewRoman" w:cs="TimesNewRoman" w:hint="eastAsia"/>
          <w:sz w:val="32"/>
          <w:szCs w:val="32"/>
        </w:rPr>
        <w:t>%，增长原因主要增加医疗卫生支出。主要包括：本年财政拨款安排</w:t>
      </w:r>
      <w:r>
        <w:rPr>
          <w:rFonts w:ascii="仿宋_GB2312" w:eastAsia="仿宋_GB2312" w:hAnsi="TimesNewRoman" w:cs="TimesNewRoman" w:hint="eastAsia"/>
          <w:sz w:val="32"/>
          <w:szCs w:val="32"/>
          <w:lang w:val="en-US" w:eastAsia="zh-CN"/>
        </w:rPr>
        <w:t>1.88</w:t>
      </w:r>
      <w:r>
        <w:rPr>
          <w:rFonts w:ascii="仿宋_GB2312" w:eastAsia="仿宋_GB2312" w:hAnsi="TimesNewRoman" w:cs="TimesNewRoman" w:hint="eastAsia"/>
          <w:sz w:val="32"/>
          <w:szCs w:val="32"/>
        </w:rPr>
        <w:t>万元（其中，一般公共预算拨款安排</w:t>
      </w:r>
      <w:r>
        <w:rPr>
          <w:rFonts w:ascii="仿宋_GB2312" w:eastAsia="仿宋_GB2312" w:hAnsi="TimesNewRoman" w:cs="TimesNewRoman" w:hint="eastAsia"/>
          <w:sz w:val="32"/>
          <w:szCs w:val="32"/>
          <w:lang w:val="en-US" w:eastAsia="zh-CN"/>
        </w:rPr>
        <w:t>1.88</w:t>
      </w:r>
      <w:r>
        <w:rPr>
          <w:rFonts w:ascii="仿宋_GB2312" w:eastAsia="仿宋_GB2312" w:hAnsi="TimesNewRoman" w:cs="TimesNewRoman" w:hint="eastAsia"/>
          <w:sz w:val="32"/>
          <w:szCs w:val="32"/>
        </w:rPr>
        <w:t>万元），单位资金安排</w:t>
      </w:r>
      <w:r>
        <w:rPr>
          <w:rFonts w:ascii="仿宋_GB2312" w:eastAsia="仿宋_GB2312" w:hAnsi="TimesNewRoman" w:cs="TimesNewRoman" w:hint="eastAsia"/>
          <w:sz w:val="32"/>
          <w:szCs w:val="32"/>
          <w:lang w:val="en-US" w:eastAsia="zh-CN"/>
        </w:rPr>
        <w:t>400</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sz w:val="32"/>
          <w:szCs w:val="32"/>
        </w:rPr>
        <w:t>2024年政府采购支出全部是单位资金安排的政府采购支出。</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sz w:val="32"/>
          <w:szCs w:val="32"/>
        </w:rPr>
        <w:t>2024年预算安排政府采购支出</w:t>
      </w:r>
      <w:r>
        <w:rPr>
          <w:rFonts w:ascii="仿宋_GB2312" w:eastAsia="仿宋_GB2312" w:hAnsi="TimesNewRoman" w:cs="TimesNewRoman" w:hint="eastAsia"/>
          <w:sz w:val="32"/>
          <w:szCs w:val="32"/>
          <w:lang w:val="en-US" w:eastAsia="zh-CN"/>
        </w:rPr>
        <w:t>3.94</w:t>
      </w:r>
      <w:r>
        <w:rPr>
          <w:rFonts w:ascii="仿宋_GB2312" w:eastAsia="仿宋_GB2312" w:hAnsi="TimesNewRoman" w:cs="TimesNewRoman" w:hint="eastAsia"/>
          <w:sz w:val="32"/>
          <w:szCs w:val="32"/>
        </w:rPr>
        <w:t>万元，比2023年预算</w:t>
      </w:r>
      <w:r>
        <w:rPr>
          <w:rFonts w:ascii="仿宋_GB2312" w:eastAsia="仿宋_GB2312" w:hAnsi="TimesNewRoman" w:cs="TimesNewRoman" w:hint="eastAsia"/>
          <w:sz w:val="32"/>
          <w:szCs w:val="32"/>
          <w:lang w:eastAsia="zh-CN"/>
        </w:rPr>
        <w:t>减少</w:t>
      </w:r>
      <w:r>
        <w:rPr>
          <w:rFonts w:ascii="仿宋_GB2312" w:eastAsia="仿宋_GB2312" w:hAnsi="TimesNewRoman" w:cs="TimesNewRoman" w:hint="eastAsia"/>
          <w:sz w:val="32"/>
          <w:szCs w:val="32"/>
          <w:lang w:val="en-US" w:eastAsia="zh-CN"/>
        </w:rPr>
        <w:t>3.25</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减少</w:t>
      </w:r>
      <w:r>
        <w:rPr>
          <w:rFonts w:ascii="仿宋_GB2312" w:eastAsia="仿宋_GB2312" w:hAnsi="TimesNewRoman" w:cs="TimesNewRoman" w:hint="eastAsia"/>
          <w:sz w:val="32"/>
          <w:szCs w:val="32"/>
          <w:lang w:val="en-US" w:eastAsia="zh-CN"/>
        </w:rPr>
        <w:t>45.2</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eastAsia="zh-CN"/>
        </w:rPr>
        <w:t>减少</w:t>
      </w:r>
      <w:r>
        <w:rPr>
          <w:rFonts w:ascii="仿宋_GB2312" w:eastAsia="仿宋_GB2312" w:hAnsi="TimesNewRoman" w:cs="TimesNewRoman" w:hint="eastAsia"/>
          <w:sz w:val="32"/>
          <w:szCs w:val="32"/>
        </w:rPr>
        <w:t>原因主要是</w:t>
      </w:r>
      <w:r>
        <w:rPr>
          <w:rFonts w:ascii="仿宋_GB2312" w:eastAsia="仿宋_GB2312" w:hAnsi="TimesNewRoman" w:cs="TimesNewRoman" w:hint="eastAsia"/>
          <w:sz w:val="32"/>
          <w:szCs w:val="32"/>
          <w:lang w:eastAsia="zh-CN"/>
        </w:rPr>
        <w:t>减少</w:t>
      </w:r>
      <w:r>
        <w:rPr>
          <w:rFonts w:ascii="仿宋_GB2312" w:eastAsia="仿宋_GB2312" w:hAnsi="TimesNewRoman" w:cs="TimesNewRoman" w:hint="eastAsia"/>
          <w:sz w:val="32"/>
          <w:szCs w:val="32"/>
        </w:rPr>
        <w:t>了办公设备的采购。全部是单位资金安排</w:t>
      </w:r>
      <w:r>
        <w:rPr>
          <w:rFonts w:ascii="仿宋_GB2312" w:eastAsia="仿宋_GB2312" w:hAnsi="TimesNewRoman" w:cs="TimesNewRoman" w:hint="eastAsia"/>
          <w:sz w:val="32"/>
          <w:szCs w:val="32"/>
          <w:lang w:val="en-US" w:eastAsia="zh-CN"/>
        </w:rPr>
        <w:t>3.94</w:t>
      </w:r>
      <w:r>
        <w:rPr>
          <w:rFonts w:ascii="仿宋_GB2312" w:eastAsia="仿宋_GB2312" w:hAnsi="TimesNewRoman" w:cs="TimesNewRoman" w:hint="eastAsia"/>
          <w:sz w:val="32"/>
          <w:szCs w:val="32"/>
        </w:rPr>
        <w:t>万元，占100.00%。</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十一、关于2024年政府购买服务支出表的说明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sz w:val="32"/>
          <w:szCs w:val="32"/>
        </w:rPr>
        <w:t>2024年没有安排政府购买服务支出。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十二、其他重要事项情况说明</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（一）项目及绩效目标情况。</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1.“</w:t>
      </w:r>
      <w:r>
        <w:rPr>
          <w:rFonts w:ascii="仿宋_GB2312" w:eastAsia="仿宋_GB2312" w:hAnsi="楷体" w:hint="eastAsia"/>
          <w:b/>
          <w:sz w:val="32"/>
          <w:szCs w:val="32"/>
          <w:lang w:val="en-US" w:eastAsia="zh-CN"/>
        </w:rPr>
        <w:t>乡镇卫生院医疗卫生支出</w:t>
      </w:r>
      <w:r>
        <w:rPr>
          <w:rFonts w:ascii="仿宋_GB2312" w:eastAsia="仿宋_GB2312" w:hAnsi="TimesNewRoman" w:cs="TimesNewRoman" w:hint="eastAsia"/>
          <w:b/>
          <w:sz w:val="32"/>
          <w:szCs w:val="32"/>
        </w:rPr>
        <w:t>”项目。</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（1）项目概述</w:t>
      </w:r>
      <w:r>
        <w:rPr>
          <w:rFonts w:ascii="仿宋_GB2312" w:eastAsia="仿宋_GB2312" w:hAnsi="TimesNewRoman" w:cs="TimesNewRoman" w:hint="eastAsia"/>
          <w:sz w:val="32"/>
          <w:szCs w:val="32"/>
          <w:lang w:val="en-US" w:eastAsia="zh-CN"/>
        </w:rPr>
        <w:t>和内容</w:t>
      </w:r>
      <w:r>
        <w:rPr>
          <w:rFonts w:ascii="仿宋_GB2312" w:eastAsia="仿宋_GB2312" w:hAnsi="TimesNewRoman" w:cs="TimesNewRoman" w:hint="eastAsia"/>
          <w:sz w:val="32"/>
          <w:szCs w:val="32"/>
        </w:rPr>
        <w:t>。</w:t>
      </w:r>
    </w:p>
    <w:p>
      <w:pPr>
        <w:spacing w:line="600" w:lineRule="exact"/>
        <w:ind w:firstLine="640" w:firstLineChars="200"/>
        <w:rPr>
          <w:rFonts w:ascii="仿宋_GB2312" w:eastAsia="仿宋_GB2312" w:hAnsi="TimesNewRoman" w:cs="TimesNewRoman" w:hint="eastAsia"/>
          <w:sz w:val="32"/>
          <w:szCs w:val="32"/>
        </w:rPr>
      </w:pPr>
      <w:r>
        <w:rPr>
          <w:rFonts w:ascii="仿宋_GB2312" w:eastAsia="仿宋_GB2312" w:hAnsi="仿宋" w:hint="eastAsia"/>
          <w:sz w:val="32"/>
          <w:szCs w:val="32"/>
        </w:rPr>
        <w:t>项目概述</w:t>
      </w:r>
      <w:r>
        <w:rPr>
          <w:rFonts w:ascii="仿宋_GB2312" w:eastAsia="仿宋_GB2312" w:hAnsi="仿宋" w:hint="eastAsia"/>
          <w:sz w:val="32"/>
          <w:szCs w:val="32"/>
          <w:lang w:eastAsia="zh-CN"/>
        </w:rPr>
        <w:t>：</w:t>
      </w:r>
      <w:r>
        <w:rPr>
          <w:rFonts w:ascii="仿宋_GB2312" w:eastAsia="仿宋_GB2312" w:hAnsi="楷体" w:hint="eastAsia"/>
          <w:b w:val="0"/>
          <w:bCs w:val="0"/>
          <w:sz w:val="32"/>
          <w:szCs w:val="32"/>
        </w:rPr>
        <w:t>1.加快我院的发展，提高我院的医疗安全质量，为患者提供一个安全放心的就医场所；2.保障我院日常开支，确保日常后勤工作顺利开展。</w:t>
      </w:r>
      <w:r>
        <w:rPr>
          <w:rFonts w:ascii="仿宋_GB2312" w:eastAsia="仿宋_GB2312" w:hAnsi="仿宋" w:hint="eastAsia"/>
          <w:sz w:val="32"/>
          <w:szCs w:val="32"/>
        </w:rPr>
        <w:t>内容</w:t>
      </w:r>
      <w:r>
        <w:rPr>
          <w:rFonts w:ascii="仿宋_GB2312" w:eastAsia="仿宋_GB2312" w:hAnsi="仿宋" w:hint="eastAsia"/>
          <w:sz w:val="32"/>
          <w:szCs w:val="32"/>
          <w:lang w:eastAsia="zh-CN"/>
        </w:rPr>
        <w:t>：</w:t>
      </w:r>
      <w:r>
        <w:rPr>
          <w:rFonts w:ascii="仿宋_GB2312" w:eastAsia="仿宋_GB2312" w:hAnsi="楷体" w:hint="eastAsia"/>
          <w:sz w:val="32"/>
          <w:szCs w:val="32"/>
        </w:rPr>
        <w:t>为人民身体健康提供医疗保健服务，常病多发病诊治与护理、卫生防疫、妇幼保健、计划免疫、乡村医生业务培训、卫生员业务培训、接生员业务培训与技术指导、初级卫生保健规划实施。</w:t>
      </w:r>
    </w:p>
    <w:p>
      <w:pPr>
        <w:numPr>
          <w:ilvl w:val="0"/>
          <w:numId w:val="3"/>
        </w:num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立项依据。</w:t>
      </w:r>
    </w:p>
    <w:p>
      <w:pPr>
        <w:numPr>
          <w:ilvl w:val="0"/>
          <w:numId w:val="0"/>
        </w:numPr>
        <w:spacing w:line="600" w:lineRule="exact"/>
        <w:ind w:firstLine="640" w:firstLineChars="200"/>
        <w:rPr>
          <w:rFonts w:ascii="仿宋_GB2312" w:eastAsia="仿宋_GB2312" w:hAnsi="仿宋" w:hint="eastAsia"/>
          <w:sz w:val="32"/>
          <w:szCs w:val="32"/>
          <w:u w:val="single"/>
        </w:rPr>
      </w:pPr>
      <w:r>
        <w:rPr>
          <w:rFonts w:ascii="仿宋_GB2312" w:eastAsia="仿宋_GB2312" w:hAnsi="TimesNewRoman" w:cs="TimesNewRoman" w:hint="eastAsia"/>
          <w:sz w:val="32"/>
          <w:szCs w:val="32"/>
          <w:lang w:val="en-US" w:eastAsia="zh-CN"/>
        </w:rPr>
        <w:t xml:space="preserve"> </w:t>
      </w:r>
      <w:r>
        <w:rPr>
          <w:rFonts w:ascii="仿宋_GB2312" w:eastAsia="仿宋_GB2312" w:hAnsi="楷体" w:hint="eastAsia"/>
          <w:b w:val="0"/>
          <w:bCs w:val="0"/>
          <w:sz w:val="32"/>
          <w:szCs w:val="32"/>
        </w:rPr>
        <w:t>为人民身体健康提供医疗保健服务，常见病多发病诊治与护理、卫生防疫、妇幼保健、计划免疫、乡村医生业务培训、卫生员业务培训、接生员业务培训与技术指导、初级卫生保健规划实施。</w:t>
      </w:r>
    </w:p>
    <w:p>
      <w:pPr>
        <w:numPr>
          <w:ilvl w:val="0"/>
          <w:numId w:val="0"/>
        </w:numPr>
        <w:topLinePunct/>
        <w:adjustRightInd w:val="0"/>
        <w:snapToGrid w:val="0"/>
        <w:spacing w:line="580" w:lineRule="exact"/>
        <w:rPr>
          <w:rFonts w:ascii="仿宋_GB2312" w:eastAsia="仿宋_GB2312" w:hAnsi="TimesNewRoman" w:cs="TimesNewRoman" w:hint="default"/>
          <w:sz w:val="32"/>
          <w:szCs w:val="32"/>
          <w:lang w:val="en-US" w:eastAsia="zh-CN"/>
        </w:rPr>
      </w:pPr>
    </w:p>
    <w:p>
      <w:pPr>
        <w:numPr>
          <w:ilvl w:val="0"/>
          <w:numId w:val="3"/>
        </w:numPr>
        <w:topLinePunct/>
        <w:adjustRightInd w:val="0"/>
        <w:snapToGrid w:val="0"/>
        <w:spacing w:line="580" w:lineRule="exact"/>
        <w:ind w:left="0" w:firstLine="640" w:leftChars="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实施主体。</w:t>
      </w:r>
    </w:p>
    <w:p>
      <w:pPr>
        <w:numPr>
          <w:ilvl w:val="0"/>
          <w:numId w:val="0"/>
        </w:numPr>
        <w:topLinePunct/>
        <w:adjustRightInd w:val="0"/>
        <w:snapToGrid w:val="0"/>
        <w:spacing w:line="580" w:lineRule="exact"/>
        <w:ind w:left="420" w:leftChars="200"/>
        <w:rPr>
          <w:rFonts w:ascii="仿宋_GB2312" w:eastAsia="仿宋_GB2312" w:hAnsi="TimesNewRoman" w:cs="TimesNewRoman" w:hint="eastAsia"/>
          <w:sz w:val="32"/>
          <w:szCs w:val="32"/>
          <w:lang w:val="en-US" w:eastAsia="zh-CN"/>
        </w:rPr>
      </w:pPr>
      <w:r>
        <w:rPr>
          <w:rFonts w:ascii="仿宋_GB2312" w:eastAsia="仿宋_GB2312" w:hAnsi="TimesNewRoman" w:cs="TimesNewRoman" w:hint="eastAsia"/>
          <w:sz w:val="32"/>
          <w:szCs w:val="32"/>
          <w:lang w:val="en-US" w:eastAsia="zh-CN"/>
        </w:rPr>
        <w:t xml:space="preserve">   </w:t>
      </w:r>
      <w:r>
        <w:rPr>
          <w:rFonts w:ascii="仿宋_GB2312" w:eastAsia="仿宋_GB2312" w:hAnsi="楷体" w:hint="eastAsia"/>
          <w:b w:val="0"/>
          <w:bCs w:val="0"/>
          <w:sz w:val="32"/>
          <w:szCs w:val="32"/>
          <w:lang w:val="en-US" w:eastAsia="zh-CN"/>
        </w:rPr>
        <w:t>实施主体：</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楷体" w:hint="eastAsia"/>
          <w:b w:val="0"/>
          <w:bCs w:val="0"/>
          <w:sz w:val="32"/>
          <w:szCs w:val="32"/>
          <w:lang w:eastAsia="zh-CN"/>
        </w:rPr>
        <w:t>。</w:t>
      </w:r>
    </w:p>
    <w:p>
      <w:pPr>
        <w:numPr>
          <w:ilvl w:val="0"/>
          <w:numId w:val="3"/>
        </w:numPr>
        <w:topLinePunct/>
        <w:adjustRightInd w:val="0"/>
        <w:snapToGrid w:val="0"/>
        <w:spacing w:line="580" w:lineRule="exact"/>
        <w:ind w:left="0" w:firstLine="640" w:leftChars="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起止时间。</w:t>
      </w:r>
    </w:p>
    <w:p>
      <w:pPr>
        <w:numPr>
          <w:ilvl w:val="0"/>
          <w:numId w:val="0"/>
        </w:numPr>
        <w:adjustRightInd w:val="0"/>
        <w:snapToGrid w:val="0"/>
        <w:spacing w:line="600" w:lineRule="exact"/>
        <w:ind w:firstLine="640" w:firstLineChars="200"/>
        <w:rPr>
          <w:rFonts w:ascii="仿宋_GB2312" w:eastAsia="仿宋_GB2312" w:hAnsi="楷体" w:hint="eastAsia"/>
          <w:b w:val="0"/>
          <w:bCs w:val="0"/>
          <w:sz w:val="32"/>
          <w:szCs w:val="32"/>
          <w:lang w:val="en-US" w:eastAsia="zh-CN"/>
        </w:rPr>
      </w:pPr>
      <w:r>
        <w:rPr>
          <w:rFonts w:ascii="仿宋_GB2312" w:eastAsia="仿宋_GB2312" w:hAnsi="TimesNewRoman" w:cs="TimesNewRoman" w:hint="eastAsia"/>
          <w:sz w:val="32"/>
          <w:szCs w:val="32"/>
          <w:lang w:val="en-US" w:eastAsia="zh-CN"/>
        </w:rPr>
        <w:t xml:space="preserve"> </w:t>
      </w:r>
      <w:r>
        <w:rPr>
          <w:rFonts w:ascii="仿宋_GB2312" w:eastAsia="仿宋_GB2312" w:hAnsi="楷体" w:hint="eastAsia"/>
          <w:b w:val="0"/>
          <w:bCs w:val="0"/>
          <w:sz w:val="32"/>
          <w:szCs w:val="32"/>
          <w:lang w:val="en-US" w:eastAsia="zh-CN"/>
        </w:rPr>
        <w:t>起止时间：</w:t>
      </w:r>
      <w:r>
        <w:rPr>
          <w:rFonts w:ascii="仿宋_GB2312" w:eastAsia="仿宋_GB2312" w:hAnsi="楷体" w:hint="eastAsia"/>
          <w:b w:val="0"/>
          <w:bCs w:val="0"/>
          <w:sz w:val="32"/>
          <w:szCs w:val="32"/>
        </w:rPr>
        <w:t>202</w:t>
      </w:r>
      <w:r>
        <w:rPr>
          <w:rFonts w:ascii="仿宋_GB2312" w:eastAsia="仿宋_GB2312" w:hAnsi="楷体" w:hint="eastAsia"/>
          <w:b w:val="0"/>
          <w:bCs w:val="0"/>
          <w:sz w:val="32"/>
          <w:szCs w:val="32"/>
          <w:lang w:val="en-US" w:eastAsia="zh-CN"/>
        </w:rPr>
        <w:t>4</w:t>
      </w:r>
      <w:r>
        <w:rPr>
          <w:rFonts w:ascii="仿宋_GB2312" w:eastAsia="仿宋_GB2312" w:hAnsi="楷体" w:hint="eastAsia"/>
          <w:b w:val="0"/>
          <w:bCs w:val="0"/>
          <w:sz w:val="32"/>
          <w:szCs w:val="32"/>
        </w:rPr>
        <w:t>年</w:t>
      </w:r>
      <w:r>
        <w:rPr>
          <w:rFonts w:ascii="仿宋_GB2312" w:eastAsia="仿宋_GB2312" w:hAnsi="楷体" w:hint="eastAsia"/>
          <w:sz w:val="32"/>
          <w:szCs w:val="32"/>
        </w:rPr>
        <w:t>1月1日至202</w:t>
      </w:r>
      <w:r>
        <w:rPr>
          <w:rFonts w:ascii="仿宋_GB2312" w:eastAsia="仿宋_GB2312" w:hAnsi="楷体" w:hint="eastAsia"/>
          <w:sz w:val="32"/>
          <w:szCs w:val="32"/>
          <w:lang w:val="en-US" w:eastAsia="zh-CN"/>
        </w:rPr>
        <w:t>4</w:t>
      </w:r>
      <w:r>
        <w:rPr>
          <w:rFonts w:ascii="仿宋_GB2312" w:eastAsia="仿宋_GB2312" w:hAnsi="楷体" w:hint="eastAsia"/>
          <w:sz w:val="32"/>
          <w:szCs w:val="32"/>
        </w:rPr>
        <w:t>年12月31日</w:t>
      </w:r>
      <w:r>
        <w:rPr>
          <w:rFonts w:ascii="仿宋_GB2312" w:eastAsia="仿宋_GB2312" w:hAnsi="仿宋" w:hint="eastAsia"/>
          <w:sz w:val="32"/>
          <w:szCs w:val="32"/>
        </w:rPr>
        <w:t>。</w:t>
      </w:r>
    </w:p>
    <w:p>
      <w:pPr>
        <w:numPr>
          <w:ilvl w:val="0"/>
          <w:numId w:val="3"/>
        </w:numPr>
        <w:topLinePunct/>
        <w:adjustRightInd w:val="0"/>
        <w:snapToGrid w:val="0"/>
        <w:spacing w:line="580" w:lineRule="exact"/>
        <w:ind w:left="0" w:firstLine="640" w:leftChars="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年度预算安排</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lang w:val="en-US" w:eastAsia="zh-CN"/>
        </w:rPr>
        <w:t>400万元</w:t>
      </w:r>
    </w:p>
    <w:p>
      <w:pPr>
        <w:numPr>
          <w:ilvl w:val="0"/>
          <w:numId w:val="3"/>
        </w:numPr>
        <w:topLinePunct/>
        <w:adjustRightInd w:val="0"/>
        <w:snapToGrid w:val="0"/>
        <w:spacing w:line="580" w:lineRule="exact"/>
        <w:ind w:left="0" w:firstLine="640" w:leftChars="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绩效目标。</w:t>
      </w:r>
    </w:p>
    <w:p>
      <w:pPr>
        <w:adjustRightInd w:val="0"/>
        <w:snapToGrid w:val="0"/>
        <w:spacing w:line="600" w:lineRule="exact"/>
        <w:ind w:firstLine="640" w:firstLineChars="200"/>
        <w:rPr>
          <w:rFonts w:ascii="仿宋_GB2312" w:eastAsia="仿宋_GB2312" w:hAnsi="楷体" w:hint="eastAsia"/>
          <w:sz w:val="32"/>
          <w:szCs w:val="32"/>
        </w:rPr>
      </w:pPr>
      <w:r>
        <w:rPr>
          <w:rFonts w:ascii="仿宋_GB2312" w:eastAsia="仿宋_GB2312" w:hAnsi="TimesNewRoman" w:cs="TimesNewRoman" w:hint="eastAsia"/>
          <w:sz w:val="32"/>
          <w:szCs w:val="32"/>
          <w:lang w:val="en-US" w:eastAsia="zh-CN"/>
        </w:rPr>
        <w:t xml:space="preserve">   </w:t>
      </w:r>
      <w:r>
        <w:rPr>
          <w:rFonts w:ascii="仿宋_GB2312" w:eastAsia="仿宋_GB2312" w:hAnsi="仿宋" w:hint="eastAsia"/>
          <w:sz w:val="32"/>
          <w:szCs w:val="32"/>
          <w:lang w:val="en-US" w:eastAsia="zh-CN"/>
        </w:rPr>
        <w:t>绩效目标：保</w:t>
      </w:r>
      <w:r>
        <w:rPr>
          <w:rFonts w:ascii="仿宋_GB2312" w:eastAsia="仿宋_GB2312" w:hAnsi="楷体" w:hint="eastAsia"/>
          <w:sz w:val="32"/>
          <w:szCs w:val="32"/>
          <w:lang w:eastAsia="zh-CN"/>
        </w:rPr>
        <w:t>障卫生院的正常运转、运行，持续为辖区内常驻居民提供基本医疗健康服务。</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53"/>
        </w:trPr>
        <w:tc>
          <w:tcPr>
            <w:tcW w:w="9020" w:type="dxa"/>
            <w:gridSpan w:val="7"/>
            <w:tcBorders>
              <w:top w:val="nil"/>
              <w:left w:val="nil"/>
              <w:bottom w:val="nil"/>
              <w:right w:val="nil"/>
            </w:tcBorders>
            <w:noWrap w:val="0"/>
            <w:vAlign w:val="center"/>
          </w:tcPr>
          <w:p>
            <w:pPr>
              <w:widowControl/>
              <w:jc w:val="center"/>
              <w:textAlignment w:val="center"/>
              <w:rPr>
                <w:rFonts w:ascii="宋体" w:cs="宋体"/>
                <w:b/>
                <w:bCs/>
                <w:szCs w:val="32"/>
              </w:rPr>
            </w:pPr>
            <w:r>
              <w:rPr>
                <w:rFonts w:ascii="宋体" w:hAnsi="宋体" w:cs="宋体" w:hint="eastAsia"/>
                <w:b/>
                <w:color w:val="000000"/>
                <w:kern w:val="0"/>
                <w:sz w:val="28"/>
                <w:szCs w:val="28"/>
                <w:lang w:bidi="ar"/>
              </w:rPr>
              <w:t>项目支出绩效目标表</w:t>
            </w:r>
          </w:p>
        </w:tc>
      </w:tr>
      <w:tr>
        <w:tblPrEx>
          <w:tblW w:w="0" w:type="auto"/>
          <w:tblInd w:w="0" w:type="dxa"/>
          <w:tblLayout w:type="fixed"/>
          <w:tblCellMar>
            <w:top w:w="0" w:type="dxa"/>
            <w:left w:w="108" w:type="dxa"/>
            <w:bottom w:w="0" w:type="dxa"/>
            <w:right w:w="108" w:type="dxa"/>
          </w:tblCellMar>
        </w:tblPrEx>
        <w:trPr>
          <w:trHeight w:val="270"/>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（2024年度）                                </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noWrap w:val="0"/>
            <w:vAlign w:val="center"/>
          </w:tcPr>
          <w:p>
            <w:pPr>
              <w:spacing w:line="260" w:lineRule="exact"/>
              <w:jc w:val="both"/>
              <w:rPr>
                <w:rFonts w:ascii="宋体" w:eastAsia="宋体" w:cs="宋体" w:hint="default"/>
                <w:sz w:val="18"/>
                <w:szCs w:val="18"/>
                <w:lang w:val="en-US" w:eastAsia="zh-CN"/>
              </w:rPr>
            </w:pPr>
            <w:r>
              <w:rPr>
                <w:rFonts w:ascii="宋体" w:cs="宋体" w:hint="eastAsia"/>
                <w:sz w:val="18"/>
                <w:szCs w:val="18"/>
                <w:lang w:val="en-US" w:eastAsia="zh-CN"/>
              </w:rPr>
              <w:t>乡镇卫生院医疗卫生支出</w:t>
            </w:r>
          </w:p>
        </w:tc>
      </w:tr>
      <w:tr>
        <w:tblPrEx>
          <w:tblW w:w="0" w:type="auto"/>
          <w:tblInd w:w="0" w:type="dxa"/>
          <w:tblLayout w:type="fixed"/>
          <w:tblCellMar>
            <w:top w:w="0" w:type="dxa"/>
            <w:left w:w="108" w:type="dxa"/>
            <w:bottom w:w="0" w:type="dxa"/>
            <w:right w:w="108" w:type="dxa"/>
          </w:tblCellMar>
        </w:tblPrEx>
        <w:trPr>
          <w:trHeight w:val="491"/>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主管部门   及代码</w:t>
            </w:r>
          </w:p>
        </w:tc>
        <w:tc>
          <w:tcPr>
            <w:tcW w:w="3349" w:type="dxa"/>
            <w:gridSpan w:val="2"/>
            <w:noWrap w:val="0"/>
            <w:vAlign w:val="center"/>
          </w:tcPr>
          <w:p>
            <w:pPr>
              <w:spacing w:line="260" w:lineRule="exact"/>
              <w:jc w:val="center"/>
              <w:rPr>
                <w:rFonts w:ascii="宋体" w:eastAsia="宋体" w:cs="宋体" w:hint="default"/>
                <w:sz w:val="18"/>
                <w:szCs w:val="18"/>
                <w:lang w:val="en-US" w:eastAsia="zh-CN"/>
              </w:rPr>
            </w:pPr>
            <w:r>
              <w:rPr>
                <w:rFonts w:ascii="宋体" w:eastAsia="宋体" w:cs="宋体" w:hint="default"/>
                <w:sz w:val="18"/>
                <w:szCs w:val="18"/>
                <w:lang w:val="en-US" w:eastAsia="zh-CN"/>
              </w:rPr>
              <w:t>寿县卫生健康委员会</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noWrap w:val="0"/>
            <w:vAlign w:val="center"/>
          </w:tcPr>
          <w:p>
            <w:pPr>
              <w:spacing w:line="260" w:lineRule="exact"/>
              <w:jc w:val="center"/>
              <w:rPr>
                <w:rFonts w:eastAsia="宋体" w:hint="default"/>
                <w:sz w:val="18"/>
                <w:szCs w:val="18"/>
                <w:lang w:val="en-US" w:eastAsia="zh-CN"/>
              </w:rPr>
            </w:pPr>
            <w:r>
              <w:rPr>
                <w:rFonts w:ascii="仿宋_GB2312" w:eastAsia="仿宋_GB2312" w:hAnsi="TimesNewRoman" w:cs="TimesNewRoman" w:hint="eastAsia"/>
                <w:bCs/>
                <w:sz w:val="18"/>
                <w:szCs w:val="18"/>
              </w:rPr>
              <w:t>寿县</w:t>
            </w:r>
            <w:r>
              <w:rPr>
                <w:rFonts w:ascii="仿宋_GB2312" w:eastAsia="仿宋_GB2312" w:hAnsi="TimesNewRoman" w:cs="TimesNewRoman" w:hint="eastAsia"/>
                <w:bCs/>
                <w:sz w:val="18"/>
                <w:szCs w:val="18"/>
                <w:lang w:eastAsia="zh-CN"/>
              </w:rPr>
              <w:t>炎刘镇中心</w:t>
            </w:r>
            <w:r>
              <w:rPr>
                <w:rFonts w:ascii="仿宋_GB2312" w:eastAsia="仿宋_GB2312" w:hAnsi="TimesNewRoman" w:cs="TimesNewRoman" w:hint="eastAsia"/>
                <w:bCs/>
                <w:sz w:val="18"/>
                <w:szCs w:val="18"/>
              </w:rPr>
              <w:t>卫生院</w:t>
            </w:r>
            <w:r>
              <w:rPr>
                <w:rFonts w:ascii="仿宋_GB2312" w:eastAsia="仿宋_GB2312" w:hAnsi="TimesNewRoman" w:cs="TimesNewRoman" w:hint="eastAsia"/>
                <w:bCs/>
                <w:sz w:val="18"/>
                <w:szCs w:val="18"/>
                <w:lang w:eastAsia="zh-CN"/>
              </w:rPr>
              <w:t>广岩分院</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单位资金</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noWrap w:val="0"/>
            <w:vAlign w:val="center"/>
          </w:tcPr>
          <w:p>
            <w:pPr>
              <w:spacing w:line="260" w:lineRule="exact"/>
              <w:jc w:val="center"/>
              <w:rPr>
                <w:rFonts w:eastAsia="宋体" w:hint="default"/>
                <w:sz w:val="18"/>
                <w:szCs w:val="18"/>
                <w:lang w:val="en-US" w:eastAsia="zh-CN"/>
              </w:rPr>
            </w:pPr>
            <w:r>
              <w:rPr>
                <w:rFonts w:hint="eastAsia"/>
                <w:sz w:val="18"/>
                <w:szCs w:val="18"/>
                <w:lang w:val="en-US" w:eastAsia="zh-CN"/>
              </w:rPr>
              <w:t>2024.1-2024.12</w:t>
            </w:r>
          </w:p>
        </w:tc>
      </w:tr>
      <w:tr>
        <w:tblPrEx>
          <w:tblW w:w="0" w:type="auto"/>
          <w:tblInd w:w="0" w:type="dxa"/>
          <w:tblLayout w:type="fixed"/>
          <w:tblCellMar>
            <w:top w:w="0" w:type="dxa"/>
            <w:left w:w="108" w:type="dxa"/>
            <w:bottom w:w="0" w:type="dxa"/>
            <w:right w:w="108" w:type="dxa"/>
          </w:tblCellMar>
        </w:tblPrEx>
        <w:trPr>
          <w:trHeight w:val="343"/>
        </w:trPr>
        <w:tc>
          <w:tcPr>
            <w:tcW w:w="1443" w:type="dxa"/>
            <w:gridSpan w:val="3"/>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年度资金总额：</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400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ascii="宋体" w:eastAsia="宋体" w:cs="宋体" w:hint="eastAsia"/>
                <w:sz w:val="18"/>
                <w:szCs w:val="18"/>
                <w:lang w:val="en-US" w:eastAsia="zh-CN"/>
              </w:rPr>
            </w:pPr>
            <w:r>
              <w:rPr>
                <w:rFonts w:ascii="宋体" w:cs="宋体" w:hint="eastAsia"/>
                <w:sz w:val="18"/>
                <w:szCs w:val="18"/>
                <w:lang w:val="en-US" w:eastAsia="zh-CN"/>
              </w:rPr>
              <w:t>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noWrap w:val="0"/>
            <w:vAlign w:val="center"/>
          </w:tcPr>
          <w:p>
            <w:pPr>
              <w:spacing w:line="260" w:lineRule="exact"/>
              <w:jc w:val="right"/>
              <w:rPr>
                <w:rFonts w:ascii="宋体" w:eastAsia="宋体" w:cs="宋体" w:hint="eastAsia"/>
                <w:sz w:val="18"/>
                <w:szCs w:val="18"/>
                <w:lang w:val="en-US" w:eastAsia="zh-CN"/>
              </w:rPr>
            </w:pPr>
            <w:r>
              <w:rPr>
                <w:rFonts w:ascii="宋体" w:cs="宋体" w:hint="eastAsia"/>
                <w:sz w:val="18"/>
                <w:szCs w:val="18"/>
                <w:lang w:val="en-US" w:eastAsia="zh-CN"/>
              </w:rPr>
              <w:t>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400</w:t>
            </w:r>
          </w:p>
        </w:tc>
      </w:tr>
      <w:tr>
        <w:tblPrEx>
          <w:tblW w:w="0" w:type="auto"/>
          <w:tblInd w:w="0" w:type="dxa"/>
          <w:tblLayout w:type="fixed"/>
          <w:tblCellMar>
            <w:top w:w="0" w:type="dxa"/>
            <w:left w:w="108" w:type="dxa"/>
            <w:bottom w:w="0" w:type="dxa"/>
            <w:right w:w="108" w:type="dxa"/>
          </w:tblCellMar>
        </w:tblPrEx>
        <w:trPr>
          <w:trHeight w:val="1015"/>
        </w:trPr>
        <w:tc>
          <w:tcPr>
            <w:tcW w:w="438"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年度</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目标</w:t>
            </w:r>
          </w:p>
        </w:tc>
        <w:tc>
          <w:tcPr>
            <w:tcW w:w="8582" w:type="dxa"/>
            <w:gridSpan w:val="6"/>
            <w:noWrap w:val="0"/>
            <w:vAlign w:val="center"/>
          </w:tcPr>
          <w:p>
            <w:pPr>
              <w:spacing w:line="260" w:lineRule="exact"/>
              <w:jc w:val="center"/>
              <w:rPr>
                <w:rFonts w:ascii="Times New Roman" w:eastAsia="宋体" w:hAnsi="Times New Roman" w:cs="Times New Roman" w:hint="default"/>
                <w:kern w:val="2"/>
                <w:sz w:val="18"/>
                <w:szCs w:val="18"/>
                <w:lang w:val="en-US" w:eastAsia="zh-CN" w:bidi="ar-SA"/>
              </w:rPr>
            </w:pPr>
            <w:r>
              <w:rPr>
                <w:rFonts w:ascii="仿宋_GB2312" w:eastAsia="仿宋_GB2312" w:hAnsi="TimesNewRoman" w:cs="TimesNewRoman" w:hint="eastAsia"/>
                <w:bCs/>
                <w:sz w:val="18"/>
                <w:szCs w:val="18"/>
              </w:rPr>
              <w:t>寿县</w:t>
            </w:r>
            <w:r>
              <w:rPr>
                <w:rFonts w:ascii="仿宋_GB2312" w:eastAsia="仿宋_GB2312" w:hAnsi="TimesNewRoman" w:cs="TimesNewRoman" w:hint="eastAsia"/>
                <w:bCs/>
                <w:sz w:val="18"/>
                <w:szCs w:val="18"/>
                <w:lang w:eastAsia="zh-CN"/>
              </w:rPr>
              <w:t>炎刘镇中心</w:t>
            </w:r>
            <w:r>
              <w:rPr>
                <w:rFonts w:ascii="仿宋_GB2312" w:eastAsia="仿宋_GB2312" w:hAnsi="TimesNewRoman" w:cs="TimesNewRoman" w:hint="eastAsia"/>
                <w:bCs/>
                <w:sz w:val="18"/>
                <w:szCs w:val="18"/>
              </w:rPr>
              <w:t>卫生院</w:t>
            </w:r>
            <w:r>
              <w:rPr>
                <w:rFonts w:ascii="仿宋_GB2312" w:eastAsia="仿宋_GB2312" w:hAnsi="TimesNewRoman" w:cs="TimesNewRoman" w:hint="eastAsia"/>
                <w:bCs/>
                <w:sz w:val="18"/>
                <w:szCs w:val="18"/>
                <w:lang w:eastAsia="zh-CN"/>
              </w:rPr>
              <w:t>广岩分院</w:t>
            </w:r>
            <w:r>
              <w:rPr>
                <w:rFonts w:ascii="宋体" w:eastAsia="宋体" w:hAnsi="宋体" w:cs="宋体" w:hint="eastAsia"/>
                <w:sz w:val="18"/>
                <w:szCs w:val="18"/>
              </w:rPr>
              <w:t>为寿县卫生健康委员会下属卫生院，为人民身体健康提供医疗保健服务。常见病多发病诊治与护理、卫生防疫、妇幼保健、计划免疫、乡村医生业务培训、卫生员业务培训、接生员业务培训与技术指导、初级卫生保健规划实施。1.提供基本医疗服务，开展常见病多发病的诊治与护理；2.继续稳步推进国家基本公共卫生服务；3.进一步完善医疗卫生基础设施，满足人民群众需求。</w:t>
            </w:r>
          </w:p>
        </w:tc>
      </w:tr>
      <w:tr>
        <w:tblPrEx>
          <w:tblW w:w="0" w:type="auto"/>
          <w:tblInd w:w="0" w:type="dxa"/>
          <w:tblLayout w:type="fixed"/>
          <w:tblCellMar>
            <w:top w:w="0" w:type="dxa"/>
            <w:left w:w="108" w:type="dxa"/>
            <w:bottom w:w="0" w:type="dxa"/>
            <w:right w:w="108" w:type="dxa"/>
          </w:tblCellMar>
        </w:tblPrEx>
        <w:trPr>
          <w:trHeight w:val="508"/>
        </w:trPr>
        <w:tc>
          <w:tcPr>
            <w:tcW w:w="438"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绩</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效</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标</w:t>
            </w:r>
          </w:p>
        </w:tc>
        <w:tc>
          <w:tcPr>
            <w:tcW w:w="723"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一级</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tblPrEx>
          <w:tblW w:w="0" w:type="auto"/>
          <w:tblInd w:w="0" w:type="dxa"/>
          <w:tblLayout w:type="fixed"/>
          <w:tblCellMar>
            <w:top w:w="0" w:type="dxa"/>
            <w:left w:w="108" w:type="dxa"/>
            <w:bottom w:w="0" w:type="dxa"/>
            <w:right w:w="108" w:type="dxa"/>
          </w:tblCellMar>
        </w:tblPrEx>
        <w:trPr>
          <w:trHeight w:val="342"/>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全年接诊人次数</w:t>
            </w:r>
          </w:p>
        </w:tc>
        <w:tc>
          <w:tcPr>
            <w:tcW w:w="4228" w:type="dxa"/>
            <w:gridSpan w:val="2"/>
            <w:noWrap w:val="0"/>
            <w:vAlign w:val="center"/>
          </w:tcPr>
          <w:p>
            <w:pPr>
              <w:keepNext w:val="0"/>
              <w:keepLines w:val="0"/>
              <w:widowControl/>
              <w:suppressLineNumbers w:val="0"/>
              <w:jc w:val="center"/>
              <w:textAlignment w:val="center"/>
              <w:rPr>
                <w:rFonts w:ascii="Arial" w:eastAsia="宋体" w:hAnsi="Arial" w:cs="Arial"/>
                <w:i w:val="0"/>
                <w:iCs w:val="0"/>
                <w:color w:val="000000"/>
                <w:kern w:val="2"/>
                <w:sz w:val="20"/>
                <w:szCs w:val="20"/>
                <w:u w:val="none"/>
                <w:lang w:val="en-US" w:eastAsia="zh-CN" w:bidi="ar-SA"/>
              </w:rPr>
            </w:pPr>
            <w:r>
              <w:rPr>
                <w:rStyle w:val="font11"/>
                <w:rFonts w:ascii="宋体" w:eastAsia="宋体" w:hAnsi="宋体" w:cs="宋体" w:hint="eastAsia"/>
                <w:sz w:val="18"/>
                <w:szCs w:val="18"/>
                <w:lang w:val="en-US" w:eastAsia="zh-CN" w:bidi="ar"/>
              </w:rPr>
              <w:t>≥</w:t>
            </w:r>
            <w:r>
              <w:rPr>
                <w:rStyle w:val="font11"/>
                <w:rFonts w:ascii="宋体" w:hAnsi="宋体" w:cs="宋体" w:hint="eastAsia"/>
                <w:sz w:val="18"/>
                <w:szCs w:val="18"/>
                <w:lang w:val="en-US" w:eastAsia="zh-CN" w:bidi="ar"/>
              </w:rPr>
              <w:t>5</w:t>
            </w:r>
            <w:r>
              <w:rPr>
                <w:rStyle w:val="font31"/>
                <w:rFonts w:ascii="宋体" w:eastAsia="宋体" w:hAnsi="宋体" w:cs="宋体" w:hint="eastAsia"/>
                <w:sz w:val="18"/>
                <w:szCs w:val="18"/>
                <w:lang w:val="en-US" w:eastAsia="zh-CN" w:bidi="ar"/>
              </w:rPr>
              <w:t>万人次</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872" w:type="dxa"/>
            <w:noWrap w:val="0"/>
            <w:vAlign w:val="center"/>
          </w:tcPr>
          <w:p>
            <w:pPr>
              <w:keepNext w:val="0"/>
              <w:keepLines w:val="0"/>
              <w:widowControl/>
              <w:suppressLineNumbers w:val="0"/>
              <w:jc w:val="left"/>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基本完成疾病治愈，治愈率</w:t>
            </w:r>
          </w:p>
        </w:tc>
        <w:tc>
          <w:tcPr>
            <w:tcW w:w="4228" w:type="dxa"/>
            <w:gridSpan w:val="2"/>
            <w:noWrap w:val="0"/>
            <w:vAlign w:val="center"/>
          </w:tcPr>
          <w:p>
            <w:pPr>
              <w:keepNext w:val="0"/>
              <w:keepLines w:val="0"/>
              <w:widowControl/>
              <w:suppressLineNumbers w:val="0"/>
              <w:jc w:val="center"/>
              <w:textAlignment w:val="center"/>
              <w:rPr>
                <w:rFonts w:ascii="宋体" w:eastAsia="宋体" w:hAnsi="宋体" w:cs="宋体" w:hint="eastAsia"/>
                <w:sz w:val="18"/>
                <w:szCs w:val="18"/>
              </w:rPr>
            </w:pPr>
            <w:r>
              <w:rPr>
                <w:rStyle w:val="font21"/>
                <w:rFonts w:ascii="宋体" w:eastAsia="宋体" w:hAnsi="宋体" w:cs="宋体" w:hint="eastAsia"/>
                <w:sz w:val="18"/>
                <w:szCs w:val="18"/>
                <w:lang w:val="en-US" w:eastAsia="zh-CN" w:bidi="ar"/>
              </w:rPr>
              <w:t>≥</w:t>
            </w:r>
            <w:r>
              <w:rPr>
                <w:rFonts w:ascii="宋体" w:eastAsia="宋体" w:hAnsi="宋体" w:cs="宋体" w:hint="eastAsia"/>
                <w:i w:val="0"/>
                <w:iCs w:val="0"/>
                <w:color w:val="000000"/>
                <w:kern w:val="0"/>
                <w:sz w:val="18"/>
                <w:szCs w:val="18"/>
                <w:u w:val="none"/>
                <w:lang w:val="en-US" w:eastAsia="zh-CN" w:bidi="ar"/>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872" w:type="dxa"/>
            <w:noWrap w:val="0"/>
            <w:vAlign w:val="center"/>
          </w:tcPr>
          <w:p>
            <w:pPr>
              <w:keepNext w:val="0"/>
              <w:keepLines w:val="0"/>
              <w:widowControl/>
              <w:suppressLineNumbers w:val="0"/>
              <w:jc w:val="left"/>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满足区域病人快速就诊</w:t>
            </w:r>
          </w:p>
        </w:tc>
        <w:tc>
          <w:tcPr>
            <w:tcW w:w="4228" w:type="dxa"/>
            <w:gridSpan w:val="2"/>
            <w:noWrap w:val="0"/>
            <w:vAlign w:val="center"/>
          </w:tcPr>
          <w:p>
            <w:pPr>
              <w:keepNext w:val="0"/>
              <w:keepLines w:val="0"/>
              <w:widowControl/>
              <w:suppressLineNumbers w:val="0"/>
              <w:jc w:val="center"/>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≤1小时</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成本指标</w:t>
            </w:r>
          </w:p>
        </w:tc>
        <w:tc>
          <w:tcPr>
            <w:tcW w:w="2872" w:type="dxa"/>
            <w:noWrap w:val="0"/>
            <w:vAlign w:val="center"/>
          </w:tcPr>
          <w:p>
            <w:pPr>
              <w:keepNext w:val="0"/>
              <w:keepLines w:val="0"/>
              <w:widowControl/>
              <w:suppressLineNumbers w:val="0"/>
              <w:jc w:val="left"/>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减少病人看病花费</w:t>
            </w:r>
          </w:p>
        </w:tc>
        <w:tc>
          <w:tcPr>
            <w:tcW w:w="4228" w:type="dxa"/>
            <w:gridSpan w:val="2"/>
            <w:noWrap w:val="0"/>
            <w:vAlign w:val="center"/>
          </w:tcPr>
          <w:p>
            <w:pPr>
              <w:keepNext w:val="0"/>
              <w:keepLines w:val="0"/>
              <w:widowControl/>
              <w:suppressLineNumbers w:val="0"/>
              <w:jc w:val="center"/>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≤50元/人次</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keepNext w:val="0"/>
              <w:keepLines w:val="0"/>
              <w:widowControl/>
              <w:suppressLineNumbers w:val="0"/>
              <w:jc w:val="left"/>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项目支出控制额</w:t>
            </w:r>
          </w:p>
        </w:tc>
        <w:tc>
          <w:tcPr>
            <w:tcW w:w="4228" w:type="dxa"/>
            <w:gridSpan w:val="2"/>
            <w:noWrap w:val="0"/>
            <w:vAlign w:val="center"/>
          </w:tcPr>
          <w:p>
            <w:pPr>
              <w:keepNext w:val="0"/>
              <w:keepLines w:val="0"/>
              <w:widowControl/>
              <w:suppressLineNumbers w:val="0"/>
              <w:jc w:val="center"/>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w:t>
            </w:r>
            <w:r>
              <w:rPr>
                <w:rFonts w:ascii="宋体" w:hAnsi="宋体" w:cs="宋体" w:hint="eastAsia"/>
                <w:i w:val="0"/>
                <w:iCs w:val="0"/>
                <w:color w:val="000000"/>
                <w:kern w:val="0"/>
                <w:sz w:val="18"/>
                <w:szCs w:val="18"/>
                <w:u w:val="none"/>
                <w:lang w:val="en-US" w:eastAsia="zh-CN" w:bidi="ar"/>
              </w:rPr>
              <w:t>400</w:t>
            </w:r>
            <w:r>
              <w:rPr>
                <w:rFonts w:ascii="宋体" w:eastAsia="宋体" w:hAnsi="宋体" w:cs="宋体" w:hint="eastAsia"/>
                <w:i w:val="0"/>
                <w:iCs w:val="0"/>
                <w:color w:val="000000"/>
                <w:kern w:val="0"/>
                <w:sz w:val="18"/>
                <w:szCs w:val="18"/>
                <w:u w:val="none"/>
                <w:lang w:val="en-US" w:eastAsia="zh-CN" w:bidi="ar"/>
              </w:rPr>
              <w:t>万元</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872" w:type="dxa"/>
            <w:noWrap w:val="0"/>
            <w:vAlign w:val="center"/>
          </w:tcPr>
          <w:p>
            <w:pPr>
              <w:keepNext w:val="0"/>
              <w:keepLines w:val="0"/>
              <w:suppressLineNumbers w:val="0"/>
              <w:spacing w:before="0" w:beforeAutospacing="0" w:after="0" w:afterAutospacing="0"/>
              <w:ind w:left="0" w:right="0" w:leftChars="0" w:rightChars="0"/>
              <w:rPr>
                <w:rFonts w:ascii="宋体" w:eastAsia="宋体" w:hAnsi="宋体" w:cs="宋体" w:hint="eastAsia"/>
                <w:sz w:val="18"/>
                <w:szCs w:val="18"/>
              </w:rPr>
            </w:pPr>
            <w:r>
              <w:rPr>
                <w:rFonts w:ascii="宋体" w:eastAsia="宋体" w:hAnsi="宋体" w:cs="宋体" w:hint="eastAsia"/>
                <w:sz w:val="18"/>
                <w:szCs w:val="18"/>
              </w:rPr>
              <w:t>满足区域内病人就诊需求</w:t>
            </w:r>
          </w:p>
        </w:tc>
        <w:tc>
          <w:tcPr>
            <w:tcW w:w="4228" w:type="dxa"/>
            <w:gridSpan w:val="2"/>
            <w:noWrap w:val="0"/>
            <w:vAlign w:val="center"/>
          </w:tcPr>
          <w:p>
            <w:pPr>
              <w:keepNext w:val="0"/>
              <w:keepLines w:val="0"/>
              <w:widowControl/>
              <w:suppressLineNumbers w:val="0"/>
              <w:jc w:val="center"/>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≥9</w:t>
            </w:r>
            <w:r>
              <w:rPr>
                <w:rFonts w:ascii="宋体" w:hAnsi="宋体" w:cs="宋体" w:hint="eastAsia"/>
                <w:i w:val="0"/>
                <w:iCs w:val="0"/>
                <w:color w:val="000000"/>
                <w:kern w:val="0"/>
                <w:sz w:val="18"/>
                <w:szCs w:val="18"/>
                <w:u w:val="none"/>
                <w:lang w:val="en-US" w:eastAsia="zh-CN" w:bidi="ar"/>
              </w:rPr>
              <w:t>2</w:t>
            </w:r>
            <w:r>
              <w:rPr>
                <w:rFonts w:ascii="宋体" w:eastAsia="宋体" w:hAnsi="宋体" w:cs="宋体" w:hint="eastAsia"/>
                <w:i w:val="0"/>
                <w:iCs w:val="0"/>
                <w:color w:val="000000"/>
                <w:kern w:val="0"/>
                <w:sz w:val="18"/>
                <w:szCs w:val="18"/>
                <w:u w:val="none"/>
                <w:lang w:val="en-US" w:eastAsia="zh-CN" w:bidi="ar"/>
              </w:rPr>
              <w:t>%</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872" w:type="dxa"/>
            <w:noWrap w:val="0"/>
            <w:vAlign w:val="center"/>
          </w:tcPr>
          <w:p>
            <w:pPr>
              <w:keepNext w:val="0"/>
              <w:keepLines w:val="0"/>
              <w:widowControl/>
              <w:suppressLineNumbers w:val="0"/>
              <w:jc w:val="left"/>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提供医疗服务数量、质量、服务态度</w:t>
            </w:r>
          </w:p>
        </w:tc>
        <w:tc>
          <w:tcPr>
            <w:tcW w:w="4228" w:type="dxa"/>
            <w:gridSpan w:val="2"/>
            <w:noWrap w:val="0"/>
            <w:vAlign w:val="center"/>
          </w:tcPr>
          <w:p>
            <w:pPr>
              <w:keepNext w:val="0"/>
              <w:keepLines w:val="0"/>
              <w:widowControl/>
              <w:suppressLineNumbers w:val="0"/>
              <w:jc w:val="center"/>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≥9</w:t>
            </w:r>
            <w:r>
              <w:rPr>
                <w:rFonts w:ascii="宋体" w:hAnsi="宋体" w:cs="宋体" w:hint="eastAsia"/>
                <w:i w:val="0"/>
                <w:iCs w:val="0"/>
                <w:color w:val="000000"/>
                <w:kern w:val="0"/>
                <w:sz w:val="18"/>
                <w:szCs w:val="18"/>
                <w:u w:val="none"/>
                <w:lang w:val="en-US" w:eastAsia="zh-CN" w:bidi="ar"/>
              </w:rPr>
              <w:t>5</w:t>
            </w:r>
            <w:r>
              <w:rPr>
                <w:rFonts w:ascii="宋体" w:eastAsia="宋体" w:hAnsi="宋体" w:cs="宋体" w:hint="eastAsia"/>
                <w:i w:val="0"/>
                <w:iCs w:val="0"/>
                <w:color w:val="000000"/>
                <w:kern w:val="0"/>
                <w:sz w:val="18"/>
                <w:szCs w:val="18"/>
                <w:u w:val="none"/>
                <w:lang w:val="en-US" w:eastAsia="zh-CN" w:bidi="ar"/>
              </w:rPr>
              <w:t>%</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生态效益指标</w:t>
            </w:r>
          </w:p>
        </w:tc>
        <w:tc>
          <w:tcPr>
            <w:tcW w:w="2872" w:type="dxa"/>
            <w:noWrap w:val="0"/>
            <w:vAlign w:val="center"/>
          </w:tcPr>
          <w:p>
            <w:pPr>
              <w:spacing w:line="260" w:lineRule="exact"/>
              <w:jc w:val="left"/>
              <w:textAlignment w:val="center"/>
              <w:rPr>
                <w:rFonts w:ascii="宋体" w:eastAsia="宋体" w:cs="宋体" w:hint="default"/>
                <w:sz w:val="18"/>
                <w:szCs w:val="18"/>
                <w:lang w:val="en-US" w:eastAsia="zh-CN"/>
              </w:rPr>
            </w:pPr>
            <w:r>
              <w:rPr>
                <w:rFonts w:ascii="宋体" w:cs="宋体" w:hint="eastAsia"/>
                <w:sz w:val="18"/>
                <w:szCs w:val="18"/>
                <w:lang w:val="en-US" w:eastAsia="zh-CN"/>
              </w:rPr>
              <w:t>基层卫生预防保健工作</w:t>
            </w:r>
          </w:p>
        </w:tc>
        <w:tc>
          <w:tcPr>
            <w:tcW w:w="4228" w:type="dxa"/>
            <w:gridSpan w:val="2"/>
            <w:noWrap w:val="0"/>
            <w:vAlign w:val="center"/>
          </w:tcPr>
          <w:p>
            <w:pPr>
              <w:spacing w:line="260" w:lineRule="exact"/>
              <w:jc w:val="center"/>
              <w:rPr>
                <w:rFonts w:ascii="宋体" w:eastAsia="宋体" w:cs="宋体" w:hint="eastAsia"/>
                <w:sz w:val="18"/>
                <w:szCs w:val="18"/>
                <w:lang w:val="en-US" w:eastAsia="zh-CN"/>
              </w:rPr>
            </w:pPr>
            <w:r>
              <w:rPr>
                <w:rFonts w:ascii="宋体" w:cs="宋体" w:hint="eastAsia"/>
                <w:sz w:val="18"/>
                <w:szCs w:val="18"/>
                <w:lang w:val="en-US" w:eastAsia="zh-CN"/>
              </w:rPr>
              <w:t>定性</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汉仪中秀体简" w:eastAsia="汉仪中秀体简" w:hAnsi="汉仪中秀体简" w:cs="汉仪中秀体简" w:hint="eastAsia"/>
                <w:color w:val="000000"/>
                <w:kern w:val="0"/>
                <w:sz w:val="18"/>
                <w:szCs w:val="18"/>
                <w:lang w:bidi="ar"/>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left"/>
              <w:textAlignment w:val="center"/>
              <w:rPr>
                <w:rFonts w:ascii="汉仪中秀体简" w:eastAsia="汉仪中秀体简" w:hAnsi="汉仪中秀体简" w:cs="汉仪中秀体简"/>
                <w:color w:val="000000"/>
                <w:kern w:val="0"/>
                <w:sz w:val="18"/>
                <w:szCs w:val="18"/>
                <w:lang w:bidi="ar"/>
              </w:rPr>
            </w:pPr>
          </w:p>
        </w:tc>
      </w:tr>
      <w:tr>
        <w:tblPrEx>
          <w:tblW w:w="0" w:type="auto"/>
          <w:tblInd w:w="0" w:type="dxa"/>
          <w:tblLayout w:type="fixed"/>
          <w:tblCellMar>
            <w:top w:w="0" w:type="dxa"/>
            <w:left w:w="108" w:type="dxa"/>
            <w:bottom w:w="0" w:type="dxa"/>
            <w:right w:w="108" w:type="dxa"/>
          </w:tblCellMar>
        </w:tblPrEx>
        <w:trPr>
          <w:trHeight w:val="420"/>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可持续影响指标</w:t>
            </w:r>
          </w:p>
        </w:tc>
        <w:tc>
          <w:tcPr>
            <w:tcW w:w="2872" w:type="dxa"/>
            <w:noWrap w:val="0"/>
            <w:vAlign w:val="center"/>
          </w:tcPr>
          <w:p>
            <w:pPr>
              <w:keepNext w:val="0"/>
              <w:keepLines w:val="0"/>
              <w:widowControl/>
              <w:suppressLineNumbers w:val="0"/>
              <w:jc w:val="left"/>
              <w:textAlignment w:val="center"/>
              <w:rPr>
                <w:rFonts w:ascii="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提升医疗卫生工作服务能力</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ascii="宋体" w:eastAsia="宋体" w:hAnsi="宋体" w:cs="宋体" w:hint="eastAsia"/>
                <w:i w:val="0"/>
                <w:iCs w:val="0"/>
                <w:color w:val="000000"/>
                <w:kern w:val="0"/>
                <w:sz w:val="18"/>
                <w:szCs w:val="18"/>
                <w:u w:val="none"/>
                <w:lang w:val="en-US" w:eastAsia="zh-CN" w:bidi="ar"/>
              </w:rPr>
              <w:t>有效提升</w:t>
            </w:r>
          </w:p>
        </w:tc>
      </w:tr>
      <w:tr>
        <w:tblPrEx>
          <w:tblW w:w="0" w:type="auto"/>
          <w:tblInd w:w="0" w:type="dxa"/>
          <w:tblLayout w:type="fixed"/>
          <w:tblCellMar>
            <w:top w:w="0" w:type="dxa"/>
            <w:left w:w="108" w:type="dxa"/>
            <w:bottom w:w="0" w:type="dxa"/>
            <w:right w:w="108" w:type="dxa"/>
          </w:tblCellMar>
        </w:tblPrEx>
        <w:trPr>
          <w:trHeight w:val="444"/>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keepNext w:val="0"/>
              <w:keepLines w:val="0"/>
              <w:widowControl/>
              <w:suppressLineNumbers w:val="0"/>
              <w:jc w:val="left"/>
              <w:textAlignment w:val="center"/>
              <w:rPr>
                <w:rFonts w:ascii="宋体" w:hAnsi="宋体" w:cs="宋体" w:hint="eastAsia"/>
                <w:color w:val="000000"/>
                <w:kern w:val="0"/>
                <w:sz w:val="18"/>
                <w:szCs w:val="18"/>
                <w:lang w:bidi="ar"/>
              </w:rPr>
            </w:pPr>
            <w:r>
              <w:rPr>
                <w:rFonts w:ascii="宋体" w:eastAsia="宋体" w:hAnsi="宋体" w:cs="宋体" w:hint="eastAsia"/>
                <w:i w:val="0"/>
                <w:iCs w:val="0"/>
                <w:color w:val="000000"/>
                <w:kern w:val="0"/>
                <w:sz w:val="18"/>
                <w:szCs w:val="18"/>
                <w:u w:val="none"/>
                <w:lang w:val="en-US" w:eastAsia="zh-CN" w:bidi="ar"/>
              </w:rPr>
              <w:t>卫生院事业发展</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ascii="宋体" w:eastAsia="宋体" w:hAnsi="宋体" w:cs="宋体" w:hint="eastAsia"/>
                <w:i w:val="0"/>
                <w:iCs w:val="0"/>
                <w:color w:val="000000"/>
                <w:kern w:val="0"/>
                <w:sz w:val="18"/>
                <w:szCs w:val="18"/>
                <w:u w:val="none"/>
                <w:lang w:val="en-US" w:eastAsia="zh-CN" w:bidi="ar"/>
              </w:rPr>
              <w:t>持续健康发展</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2872" w:type="dxa"/>
            <w:noWrap w:val="0"/>
            <w:vAlign w:val="center"/>
          </w:tcPr>
          <w:p>
            <w:pPr>
              <w:keepNext w:val="0"/>
              <w:keepLines w:val="0"/>
              <w:widowControl/>
              <w:suppressLineNumbers w:val="0"/>
              <w:jc w:val="left"/>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区域群众就诊满意度</w:t>
            </w:r>
          </w:p>
        </w:tc>
        <w:tc>
          <w:tcPr>
            <w:tcW w:w="4228" w:type="dxa"/>
            <w:gridSpan w:val="2"/>
            <w:noWrap w:val="0"/>
            <w:vAlign w:val="center"/>
          </w:tcPr>
          <w:p>
            <w:pPr>
              <w:keepNext w:val="0"/>
              <w:keepLines w:val="0"/>
              <w:widowControl/>
              <w:suppressLineNumbers w:val="0"/>
              <w:jc w:val="center"/>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≥9</w:t>
            </w:r>
            <w:r>
              <w:rPr>
                <w:rFonts w:ascii="宋体" w:hAnsi="宋体" w:cs="宋体" w:hint="eastAsia"/>
                <w:i w:val="0"/>
                <w:iCs w:val="0"/>
                <w:color w:val="000000"/>
                <w:kern w:val="0"/>
                <w:sz w:val="18"/>
                <w:szCs w:val="18"/>
                <w:u w:val="none"/>
                <w:lang w:val="en-US" w:eastAsia="zh-CN" w:bidi="ar"/>
              </w:rPr>
              <w:t>5</w:t>
            </w:r>
            <w:r>
              <w:rPr>
                <w:rFonts w:ascii="宋体" w:eastAsia="宋体" w:hAnsi="宋体" w:cs="宋体" w:hint="eastAsia"/>
                <w:i w:val="0"/>
                <w:iCs w:val="0"/>
                <w:color w:val="000000"/>
                <w:kern w:val="0"/>
                <w:sz w:val="18"/>
                <w:szCs w:val="18"/>
                <w:u w:val="none"/>
                <w:lang w:val="en-US" w:eastAsia="zh-CN" w:bidi="ar"/>
              </w:rPr>
              <w:t>%</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hAnsi="宋体" w:cs="宋体" w:hint="eastAsia"/>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noWrap w:val="0"/>
            <w:vAlign w:val="center"/>
          </w:tcPr>
          <w:p>
            <w:pPr>
              <w:spacing w:line="260" w:lineRule="exact"/>
              <w:jc w:val="center"/>
              <w:rPr>
                <w:rFonts w:ascii="宋体" w:cs="宋体"/>
                <w:sz w:val="18"/>
                <w:szCs w:val="18"/>
              </w:rPr>
            </w:pPr>
          </w:p>
        </w:tc>
        <w:tc>
          <w:tcPr>
            <w:tcW w:w="723" w:type="dxa"/>
            <w:noWrap w:val="0"/>
            <w:vAlign w:val="center"/>
          </w:tcPr>
          <w:p>
            <w:pPr>
              <w:spacing w:line="260" w:lineRule="exact"/>
              <w:jc w:val="center"/>
              <w:rPr>
                <w:rFonts w:ascii="宋体" w:hAnsi="宋体" w:cs="宋体" w:hint="eastAsia"/>
                <w:sz w:val="18"/>
                <w:szCs w:val="18"/>
              </w:rPr>
            </w:pPr>
          </w:p>
        </w:tc>
        <w:tc>
          <w:tcPr>
            <w:tcW w:w="759" w:type="dxa"/>
            <w:gridSpan w:val="2"/>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bl>
    <w:p>
      <w:pPr>
        <w:pStyle w:val="NormalWeb"/>
        <w:topLinePunct/>
        <w:adjustRightInd w:val="0"/>
        <w:snapToGrid w:val="0"/>
        <w:spacing w:beforeAutospacing="0" w:afterAutospacing="0" w:line="580" w:lineRule="exact"/>
        <w:jc w:val="both"/>
        <w:rPr>
          <w:rFonts w:ascii="楷体_GB2312" w:eastAsia="楷体_GB2312" w:hAnsi="TimesNewRoman" w:cs="TimesNewRoman" w:hint="eastAsia"/>
          <w:b w:val="0"/>
          <w:bCs/>
          <w:sz w:val="32"/>
          <w:szCs w:val="32"/>
          <w:lang w:eastAsia="zh-CN"/>
        </w:rPr>
      </w:pPr>
    </w:p>
    <w:p>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（二）机关运行经费。</w:t>
      </w:r>
    </w:p>
    <w:p>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sz w:val="32"/>
          <w:szCs w:val="32"/>
        </w:rPr>
        <w:t>为非参照公务员法管理的事业单位，按照部门预算机关运行经费口径，2024年无机关运行经费财政拨款预算。</w:t>
      </w:r>
    </w:p>
    <w:p>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（三）政府采购情况。</w:t>
      </w:r>
    </w:p>
    <w:p>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sz w:val="32"/>
          <w:szCs w:val="32"/>
        </w:rPr>
        <w:t>2024年政府采购预算</w:t>
      </w:r>
      <w:r>
        <w:rPr>
          <w:rFonts w:ascii="仿宋_GB2312" w:eastAsia="仿宋_GB2312" w:hAnsi="TimesNewRoman" w:cs="TimesNewRoman" w:hint="eastAsia"/>
          <w:sz w:val="32"/>
          <w:szCs w:val="32"/>
          <w:lang w:val="en-US" w:eastAsia="zh-CN"/>
        </w:rPr>
        <w:t>3.94</w:t>
      </w:r>
      <w:r>
        <w:rPr>
          <w:rFonts w:ascii="仿宋_GB2312" w:eastAsia="仿宋_GB2312" w:hAnsi="TimesNewRoman" w:cs="TimesNewRoman" w:hint="eastAsia"/>
          <w:sz w:val="32"/>
          <w:szCs w:val="32"/>
        </w:rPr>
        <w:t>万元。全部为政府采购货物预算。</w:t>
      </w:r>
    </w:p>
    <w:p>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（四）国有资产占有使用情况。</w:t>
      </w:r>
    </w:p>
    <w:p>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sz w:val="32"/>
          <w:szCs w:val="32"/>
        </w:rPr>
        <w:t>没有公务用车相关车辆；没有单价50万元以上的通用设备，没有单价100万元以上的专用设备。</w:t>
      </w:r>
    </w:p>
    <w:p>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2024年单位预算安排购置公务用车0辆，购置费0万元，其中：副处（县）级及以上领导用车0辆、主要领导干部用车0辆、机要通信用车0辆、应急保障用车0辆、执法执勤用车0辆、特种专业技术用车0辆、离退休干部用车0辆、其他用车0辆；安排购置单价50万元以上的通用设备0台（套），购置费0万元；安排购置单价100万元以上专用设备0台（套），购置费0万元。</w:t>
      </w:r>
    </w:p>
    <w:p>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（五）绩效目标设置情况。</w:t>
      </w:r>
    </w:p>
    <w:p>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lang w:eastAsia="zh-CN"/>
        </w:rPr>
        <w:t>广岩分院</w:t>
      </w:r>
      <w:r>
        <w:rPr>
          <w:rFonts w:ascii="仿宋_GB2312" w:eastAsia="仿宋_GB2312" w:hAnsi="TimesNewRoman" w:cs="TimesNewRoman" w:hint="eastAsia"/>
          <w:sz w:val="32"/>
          <w:szCs w:val="32"/>
        </w:rPr>
        <w:t>1个项目实行了绩效目标管理，涉及单位资金当年安排</w:t>
      </w:r>
      <w:r>
        <w:rPr>
          <w:rFonts w:ascii="仿宋_GB2312" w:eastAsia="仿宋_GB2312" w:hAnsi="TimesNewRoman" w:cs="TimesNewRoman" w:hint="eastAsia"/>
          <w:sz w:val="32"/>
          <w:szCs w:val="32"/>
          <w:lang w:val="en-US" w:eastAsia="zh-CN"/>
        </w:rPr>
        <w:t>400</w:t>
      </w:r>
      <w:r>
        <w:rPr>
          <w:rFonts w:ascii="仿宋_GB2312" w:eastAsia="仿宋_GB2312" w:hAnsi="TimesNewRoman" w:cs="TimesNewRoman" w:hint="eastAsia"/>
          <w:sz w:val="32"/>
          <w:szCs w:val="32"/>
        </w:rPr>
        <w:t>万元。</w:t>
      </w:r>
    </w:p>
    <w:p>
      <w:pPr>
        <w:topLinePunct/>
        <w:adjustRightInd w:val="0"/>
        <w:snapToGrid w:val="0"/>
        <w:spacing w:line="560" w:lineRule="exact"/>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topLinePunct/>
        <w:adjustRightInd w:val="0"/>
        <w:snapToGrid w:val="0"/>
        <w:spacing w:line="560" w:lineRule="exact"/>
        <w:ind w:firstLine="640" w:firstLineChars="200"/>
        <w:rPr>
          <w:rFonts w:ascii="楷体_GB2312" w:eastAsia="楷体_GB2312"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楷体_GB2312" w:eastAsia="楷体_GB2312" w:hAnsi="TimesNewRoman" w:cs="TimesNewRoman"/>
          <w:sz w:val="32"/>
          <w:szCs w:val="32"/>
        </w:rPr>
        <w:t>指部门或单位从同级财政部门取得的财政预算资金。</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r>
        <w:rPr>
          <w:rFonts w:ascii="TimesNewRoman" w:eastAsia="楷体_GB2312" w:hAnsi="TimesNewRoman" w:cs="TimesNewRoman"/>
          <w:sz w:val="32"/>
          <w:szCs w:val="32"/>
        </w:rPr>
        <w:t>根据部门预算实际对重要的支出功能科目进行解释</w:t>
      </w:r>
      <w:r>
        <w:rPr>
          <w:rFonts w:ascii="TimesNewRoman" w:eastAsia="仿宋_GB2312" w:hAnsi="TimesNewRoman" w:cs="TimesNewRoman"/>
          <w:sz w:val="32"/>
          <w:szCs w:val="32"/>
        </w:rPr>
        <w:t>）</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十二、</w:t>
      </w:r>
      <w:r>
        <w:rPr>
          <w:rFonts w:ascii="TimesNewRoman" w:eastAsia="仿宋_GB2312" w:hAnsi="TimesNewRoman" w:cs="TimesNewRoman"/>
          <w:sz w:val="32"/>
          <w:szCs w:val="32"/>
        </w:rPr>
        <w:t>……。</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TimesNewRoman" w:eastAsia="仿宋_GB2312" w:hAnsi="TimesNewRoman" w:cs="TimesNewRoman"/>
          <w:sz w:val="32"/>
          <w:szCs w:val="32"/>
        </w:rPr>
        <w:t>……</w:t>
      </w:r>
    </w:p>
    <w:p>
      <w:pPr>
        <w:pStyle w:val="NormalWeb"/>
        <w:topLinePunct/>
        <w:spacing w:beforeAutospacing="0" w:afterAutospacing="0" w:line="560" w:lineRule="exact"/>
        <w:ind w:firstLine="480" w:firstLineChars="150"/>
        <w:jc w:val="both"/>
        <w:rPr>
          <w:rFonts w:ascii="TimesNewRoman" w:eastAsia="楷体_GB2312" w:hAnsi="TimesNewRoman" w:cs="TimesNewRoman"/>
          <w:sz w:val="32"/>
          <w:szCs w:val="32"/>
        </w:rPr>
        <w:sectPr>
          <w:footerReference w:type="default" r:id="rId6"/>
          <w:type w:val="oddPage"/>
          <w:pgSz w:w="11907" w:h="16840"/>
          <w:pgMar w:top="2098" w:right="1474" w:bottom="1985" w:left="1588" w:header="851" w:footer="1021" w:gutter="0"/>
          <w:cols w:num="1" w:space="425"/>
          <w:docGrid w:type="lines" w:linePitch="312" w:charSpace="0"/>
        </w:sectPr>
      </w:pPr>
      <w:r>
        <w:rPr>
          <w:rFonts w:ascii="TimesNewRoman" w:eastAsia="楷体_GB2312" w:hAnsi="TimesNewRoman" w:cs="TimesNewRoman"/>
          <w:sz w:val="32"/>
          <w:szCs w:val="32"/>
        </w:rPr>
        <w:t>（各部门、单位均应公开名词解释，并可根据实际情况增减）</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p>
    <w:p>
      <w:pPr>
        <w:pStyle w:val="NormalWeb"/>
        <w:topLinePunct/>
        <w:spacing w:beforeAutospacing="0" w:afterAutospacing="0" w:line="560" w:lineRule="exact"/>
        <w:ind w:firstLine="480" w:firstLineChars="150"/>
        <w:jc w:val="both"/>
        <w:rPr>
          <w:rStyle w:val="Strong"/>
          <w:rFonts w:ascii="TimesNewRoman" w:eastAsia="楷体_GB2312" w:hAnsi="TimesNewRoman" w:cs="TimesNewRoman"/>
          <w:b w:val="0"/>
          <w:sz w:val="32"/>
          <w:szCs w:val="32"/>
        </w:rPr>
      </w:pPr>
    </w:p>
    <w:p/>
    <w:sectPr>
      <w:footerReference w:type="default" r:id="rId7"/>
      <w:type w:val="oddPage"/>
      <w:pgSz w:w="11907" w:h="16840"/>
      <w:pgMar w:top="2098" w:right="1474" w:bottom="1985" w:left="1588" w:header="851" w:footer="102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NewRoman">
    <w:altName w:val="Segoe Print"/>
    <w:panose1 w:val="00000000000000000000"/>
    <w:charset w:val="00"/>
    <w:family w:val="auto"/>
    <w:pitch w:val="default"/>
    <w:sig w:usb0="00000000" w:usb1="00000000" w:usb2="00000029" w:usb3="00000000" w:csb0="600001FF" w:csb1="FFFF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汉仪中秀体简">
    <w:altName w:val="微软雅黑"/>
    <w:panose1 w:val="00000000000000000000"/>
    <w:charset w:val="00"/>
    <w:family w:val="auto"/>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15</w:t>
    </w:r>
    <w:r>
      <w:rPr>
        <w:sz w:val="28"/>
        <w:szCs w:val="28"/>
      </w:rPr>
      <w:fldChar w:fldCharType="end"/>
    </w:r>
    <w:r>
      <w:rPr>
        <w:rFonts w:ascii="宋体" w:hAnsi="宋体" w:hint="eastAsia"/>
        <w:sz w:val="28"/>
        <w:szCs w:val="2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37</w:t>
    </w:r>
    <w:r>
      <w:rPr>
        <w:sz w:val="28"/>
        <w:szCs w:val="28"/>
      </w:rPr>
      <w:fldChar w:fldCharType="end"/>
    </w:r>
    <w:r>
      <w:rPr>
        <w:rFonts w:hint="eastAsia"/>
        <w:sz w:val="28"/>
        <w:szCs w:val="28"/>
      </w:rPr>
      <w:t xml:space="preserve"> </w:t>
    </w:r>
    <w:r>
      <w:rPr>
        <w:rFonts w:ascii="宋体" w:hAnsi="宋体" w:hint="eastAsia"/>
        <w:sz w:val="28"/>
        <w:szCs w:val="28"/>
      </w:rPr>
      <w:t xml:space="preserve">— </w:t>
    </w:r>
  </w:p>
  <w:p>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7A14B25"/>
    <w:multiLevelType w:val="singleLevel"/>
    <w:tmpl w:val="D7A14B25"/>
    <w:lvl w:ilvl="0">
      <w:start w:val="1"/>
      <w:numFmt w:val="chineseCounting"/>
      <w:suff w:val="space"/>
      <w:lvlText w:val="第%1部分"/>
      <w:lvlJc w:val="left"/>
      <w:rPr>
        <w:rFonts w:hint="eastAsia"/>
      </w:rPr>
    </w:lvl>
  </w:abstractNum>
  <w:abstractNum w:abstractNumId="1">
    <w:nsid w:val="F37FA1C3"/>
    <w:multiLevelType w:val="singleLevel"/>
    <w:tmpl w:val="F37FA1C3"/>
    <w:lvl w:ilvl="0">
      <w:start w:val="2"/>
      <w:numFmt w:val="decimal"/>
      <w:suff w:val="nothing"/>
      <w:lvlText w:val="（%1）"/>
      <w:lvlJc w:val="left"/>
    </w:lvl>
  </w:abstractNum>
  <w:abstractNum w:abstractNumId="2">
    <w:nsid w:val="3B8521AD"/>
    <w:multiLevelType w:val="multilevel"/>
    <w:tmpl w:val="3B8521AD"/>
    <w:lvl w:ilvl="0">
      <w:start w:val="1"/>
      <w:numFmt w:val="decimal"/>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0034B99"/>
    <w:rsid w:val="00064C4F"/>
    <w:rsid w:val="00066C7B"/>
    <w:rsid w:val="00067E9E"/>
    <w:rsid w:val="00073F6A"/>
    <w:rsid w:val="00084FF6"/>
    <w:rsid w:val="0009390E"/>
    <w:rsid w:val="000C4640"/>
    <w:rsid w:val="001010D4"/>
    <w:rsid w:val="00153C9F"/>
    <w:rsid w:val="00161E59"/>
    <w:rsid w:val="0019146D"/>
    <w:rsid w:val="00194573"/>
    <w:rsid w:val="001B7B68"/>
    <w:rsid w:val="001C03CA"/>
    <w:rsid w:val="001C25D3"/>
    <w:rsid w:val="001D35C5"/>
    <w:rsid w:val="002120CE"/>
    <w:rsid w:val="002547CA"/>
    <w:rsid w:val="002773D8"/>
    <w:rsid w:val="00293613"/>
    <w:rsid w:val="002D74A9"/>
    <w:rsid w:val="00300304"/>
    <w:rsid w:val="00307FE5"/>
    <w:rsid w:val="0031189A"/>
    <w:rsid w:val="003221CE"/>
    <w:rsid w:val="00335052"/>
    <w:rsid w:val="003870D0"/>
    <w:rsid w:val="003F2FA7"/>
    <w:rsid w:val="00400E7D"/>
    <w:rsid w:val="00430195"/>
    <w:rsid w:val="0049709B"/>
    <w:rsid w:val="004A588E"/>
    <w:rsid w:val="004A68E5"/>
    <w:rsid w:val="004C3B04"/>
    <w:rsid w:val="004F221B"/>
    <w:rsid w:val="00516DD1"/>
    <w:rsid w:val="0051769B"/>
    <w:rsid w:val="00531C63"/>
    <w:rsid w:val="00535642"/>
    <w:rsid w:val="005653F6"/>
    <w:rsid w:val="00567286"/>
    <w:rsid w:val="00581F3D"/>
    <w:rsid w:val="005D5FCA"/>
    <w:rsid w:val="005F29AB"/>
    <w:rsid w:val="0060268D"/>
    <w:rsid w:val="00603A55"/>
    <w:rsid w:val="0061062F"/>
    <w:rsid w:val="00611D53"/>
    <w:rsid w:val="00634C76"/>
    <w:rsid w:val="006357BC"/>
    <w:rsid w:val="006462EB"/>
    <w:rsid w:val="00662575"/>
    <w:rsid w:val="00677294"/>
    <w:rsid w:val="006A1744"/>
    <w:rsid w:val="006C52CA"/>
    <w:rsid w:val="006D39B1"/>
    <w:rsid w:val="006E2875"/>
    <w:rsid w:val="006F1E23"/>
    <w:rsid w:val="006F768A"/>
    <w:rsid w:val="00705A1A"/>
    <w:rsid w:val="00710488"/>
    <w:rsid w:val="00747E7F"/>
    <w:rsid w:val="007770D5"/>
    <w:rsid w:val="007955EA"/>
    <w:rsid w:val="007B081C"/>
    <w:rsid w:val="007C2710"/>
    <w:rsid w:val="007C39A1"/>
    <w:rsid w:val="007C6BB6"/>
    <w:rsid w:val="007E4243"/>
    <w:rsid w:val="007E737A"/>
    <w:rsid w:val="00883041"/>
    <w:rsid w:val="008B1D0E"/>
    <w:rsid w:val="008C614C"/>
    <w:rsid w:val="008E748E"/>
    <w:rsid w:val="008F6286"/>
    <w:rsid w:val="0097473A"/>
    <w:rsid w:val="00980D87"/>
    <w:rsid w:val="0099007B"/>
    <w:rsid w:val="0099426B"/>
    <w:rsid w:val="009B0E00"/>
    <w:rsid w:val="009D1509"/>
    <w:rsid w:val="009D1718"/>
    <w:rsid w:val="009D30D7"/>
    <w:rsid w:val="009E6489"/>
    <w:rsid w:val="009F74A6"/>
    <w:rsid w:val="00A333C8"/>
    <w:rsid w:val="00A51ADD"/>
    <w:rsid w:val="00A72DCD"/>
    <w:rsid w:val="00A96794"/>
    <w:rsid w:val="00AC6AB6"/>
    <w:rsid w:val="00AD3FAB"/>
    <w:rsid w:val="00AF7F58"/>
    <w:rsid w:val="00B02827"/>
    <w:rsid w:val="00B053DF"/>
    <w:rsid w:val="00B17560"/>
    <w:rsid w:val="00B20D37"/>
    <w:rsid w:val="00B636EE"/>
    <w:rsid w:val="00B728AC"/>
    <w:rsid w:val="00B83F36"/>
    <w:rsid w:val="00BA7575"/>
    <w:rsid w:val="00BB7E77"/>
    <w:rsid w:val="00BF47AC"/>
    <w:rsid w:val="00C1635D"/>
    <w:rsid w:val="00C2366A"/>
    <w:rsid w:val="00C316A8"/>
    <w:rsid w:val="00C35B59"/>
    <w:rsid w:val="00C36723"/>
    <w:rsid w:val="00C36C3B"/>
    <w:rsid w:val="00C41BA0"/>
    <w:rsid w:val="00C673DF"/>
    <w:rsid w:val="00C74CBD"/>
    <w:rsid w:val="00C82D61"/>
    <w:rsid w:val="00C92022"/>
    <w:rsid w:val="00C95253"/>
    <w:rsid w:val="00CA0A29"/>
    <w:rsid w:val="00CA3B23"/>
    <w:rsid w:val="00CB2568"/>
    <w:rsid w:val="00CB3514"/>
    <w:rsid w:val="00CC5B2D"/>
    <w:rsid w:val="00CC766F"/>
    <w:rsid w:val="00CD5F66"/>
    <w:rsid w:val="00CD60E9"/>
    <w:rsid w:val="00CE7602"/>
    <w:rsid w:val="00CF3828"/>
    <w:rsid w:val="00D04F48"/>
    <w:rsid w:val="00D27835"/>
    <w:rsid w:val="00D33792"/>
    <w:rsid w:val="00D87AF0"/>
    <w:rsid w:val="00D92305"/>
    <w:rsid w:val="00E024D0"/>
    <w:rsid w:val="00E13A24"/>
    <w:rsid w:val="00E17F2C"/>
    <w:rsid w:val="00E210F6"/>
    <w:rsid w:val="00E27C41"/>
    <w:rsid w:val="00E32551"/>
    <w:rsid w:val="00E613F7"/>
    <w:rsid w:val="00E666D5"/>
    <w:rsid w:val="00E670FD"/>
    <w:rsid w:val="00E7009F"/>
    <w:rsid w:val="00E82BED"/>
    <w:rsid w:val="00E84C52"/>
    <w:rsid w:val="00ED223A"/>
    <w:rsid w:val="00F36D8A"/>
    <w:rsid w:val="00F377DE"/>
    <w:rsid w:val="00F57AFC"/>
    <w:rsid w:val="00F60D67"/>
    <w:rsid w:val="00FB3D0D"/>
    <w:rsid w:val="00FC383C"/>
    <w:rsid w:val="00FD48B9"/>
    <w:rsid w:val="00FE6C6E"/>
    <w:rsid w:val="04E62E16"/>
    <w:rsid w:val="07797F74"/>
    <w:rsid w:val="159F064B"/>
    <w:rsid w:val="2B823D2C"/>
    <w:rsid w:val="30AF4E01"/>
    <w:rsid w:val="34C97AC9"/>
    <w:rsid w:val="38302B7D"/>
    <w:rsid w:val="3F016C50"/>
    <w:rsid w:val="520A2B56"/>
    <w:rsid w:val="528F7A8C"/>
    <w:rsid w:val="599A185E"/>
    <w:rsid w:val="5AAA017B"/>
    <w:rsid w:val="5BEC0D44"/>
    <w:rsid w:val="5BEC6705"/>
    <w:rsid w:val="613049C9"/>
    <w:rsid w:val="62F41669"/>
    <w:rsid w:val="7749148C"/>
  </w:rsids>
  <w:docVars>
    <w:docVar w:name="commondata" w:val="eyJoZGlkIjoiZmY2OWRmYjU3MTk4OGVmNTAyNGI1ZTlhNTFjZjkyYTM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autoRedefine/>
    <w:uiPriority w:val="1"/>
    <w:semiHidden/>
    <w:unhideWhenUsed/>
    <w:qFormat/>
  </w:style>
  <w:style w:type="table" w:default="1" w:styleId="TableNormal">
    <w:name w:val="Normal Table"/>
    <w:autoRedefine/>
    <w:uiPriority w:val="99"/>
    <w:semiHidden/>
    <w:unhideWhenUsed/>
    <w:qFormat/>
    <w:tblPr>
      <w:tblCellMar>
        <w:top w:w="0" w:type="dxa"/>
        <w:left w:w="108" w:type="dxa"/>
        <w:bottom w:w="0" w:type="dxa"/>
        <w:right w:w="108" w:type="dxa"/>
      </w:tblCellMar>
    </w:tblPr>
  </w:style>
  <w:style w:type="paragraph" w:styleId="Footer">
    <w:name w:val="footer"/>
    <w:basedOn w:val="Normal"/>
    <w:autoRedefine/>
    <w:qFormat/>
    <w:pPr>
      <w:tabs>
        <w:tab w:val="center" w:pos="4153"/>
        <w:tab w:val="right" w:pos="8306"/>
      </w:tabs>
      <w:snapToGrid w:val="0"/>
      <w:jc w:val="left"/>
    </w:pPr>
    <w:rPr>
      <w:sz w:val="18"/>
      <w:szCs w:val="18"/>
    </w:rPr>
  </w:style>
  <w:style w:type="paragraph" w:styleId="Header">
    <w:name w:val="header"/>
    <w:basedOn w:val="Normal"/>
    <w:link w:val="Char"/>
    <w:autoRedefine/>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autoRedefine/>
    <w:qFormat/>
    <w:pPr>
      <w:spacing w:beforeAutospacing="1" w:afterAutospacing="1"/>
      <w:jc w:val="left"/>
    </w:pPr>
    <w:rPr>
      <w:rFonts w:ascii="Calibri" w:hAnsi="Calibri"/>
      <w:kern w:val="0"/>
      <w:sz w:val="24"/>
    </w:rPr>
  </w:style>
  <w:style w:type="character" w:styleId="Strong">
    <w:name w:val="Strong"/>
    <w:basedOn w:val="DefaultParagraphFont"/>
    <w:autoRedefine/>
    <w:qFormat/>
    <w:rPr>
      <w:b/>
      <w:bCs/>
    </w:rPr>
  </w:style>
  <w:style w:type="character" w:customStyle="1" w:styleId="Char">
    <w:name w:val="页眉 Char"/>
    <w:basedOn w:val="DefaultParagraphFont"/>
    <w:link w:val="Header"/>
    <w:autoRedefine/>
    <w:qFormat/>
    <w:rPr>
      <w:rFonts w:ascii="Times New Roman" w:eastAsia="宋体" w:hAnsi="Times New Roman" w:cs="Times New Roman"/>
      <w:kern w:val="2"/>
      <w:sz w:val="18"/>
      <w:szCs w:val="18"/>
    </w:rPr>
  </w:style>
  <w:style w:type="character" w:customStyle="1" w:styleId="font11">
    <w:name w:val="font11"/>
    <w:basedOn w:val="DefaultParagraphFont"/>
    <w:autoRedefine/>
    <w:qFormat/>
    <w:rPr>
      <w:rFonts w:ascii="Arial" w:hAnsi="Arial" w:cs="Arial" w:hint="default"/>
      <w:color w:val="000000"/>
      <w:sz w:val="20"/>
      <w:szCs w:val="20"/>
      <w:u w:val="none"/>
    </w:rPr>
  </w:style>
  <w:style w:type="character" w:customStyle="1" w:styleId="font31">
    <w:name w:val="font31"/>
    <w:basedOn w:val="DefaultParagraphFont"/>
    <w:autoRedefine/>
    <w:qFormat/>
    <w:rPr>
      <w:rFonts w:ascii="宋体" w:eastAsia="宋体" w:hAnsi="宋体" w:cs="宋体" w:hint="eastAsia"/>
      <w:color w:val="000000"/>
      <w:sz w:val="20"/>
      <w:szCs w:val="20"/>
      <w:u w:val="none"/>
    </w:rPr>
  </w:style>
  <w:style w:type="character" w:customStyle="1" w:styleId="font21">
    <w:name w:val="font21"/>
    <w:basedOn w:val="DefaultParagraphFont"/>
    <w:autoRedefine/>
    <w:qFormat/>
    <w:rPr>
      <w:rFonts w:ascii="Arial" w:hAnsi="Arial" w:cs="Arial" w:hint="default"/>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footer" Target="footer4.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61</TotalTime>
  <Pages>15</Pages>
  <Words>785</Words>
  <Characters>4477</Characters>
  <Application>Microsoft Office Word</Application>
  <DocSecurity>0</DocSecurity>
  <Lines>37</Lines>
  <Paragraphs>10</Paragraphs>
  <ScaleCrop>false</ScaleCrop>
  <Company/>
  <LinksUpToDate>false</LinksUpToDate>
  <CharactersWithSpaces>5252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微信用户</cp:lastModifiedBy>
  <cp:revision>140</cp:revision>
  <dcterms:created xsi:type="dcterms:W3CDTF">2024-01-17T05:53:00Z</dcterms:created>
  <dcterms:modified xsi:type="dcterms:W3CDTF">2024-01-25T02:05:51Z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2052-12.1.0.16250</vt:lpwstr>
  </property>
</Properties>
</file>