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rPr>
        <w:t>附件1</w:t>
      </w:r>
    </w:p>
    <w:p>
      <w:pPr>
        <w:spacing w:line="560" w:lineRule="exact"/>
        <w:rPr>
          <w:rFonts w:ascii="TimesNewRoman" w:eastAsia="黑体" w:hAnsi="TimesNewRoman" w:cs="TimesNewRoman"/>
          <w:szCs w:val="32"/>
        </w:rPr>
      </w:pPr>
    </w:p>
    <w:p>
      <w:pPr>
        <w:spacing w:line="560" w:lineRule="exact"/>
        <w:jc w:val="center"/>
        <w:rPr>
          <w:rFonts w:ascii="方正小标宋_GBK" w:eastAsia="方正小标宋_GBK" w:hAnsi="TimesNewRoman" w:cs="TimesNewRoman"/>
          <w:szCs w:val="32"/>
        </w:rPr>
      </w:pP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小甸</w:t>
      </w:r>
      <w:r>
        <w:rPr>
          <w:rFonts w:ascii="方正小标宋_GBK" w:eastAsia="方正小标宋_GBK" w:hAnsi="TimesNewRoman" w:cs="TimesNewRoman" w:hint="eastAsia"/>
          <w:sz w:val="44"/>
          <w:szCs w:val="44"/>
        </w:rPr>
        <w:t>镇中心卫生院2024年</w:t>
      </w:r>
    </w:p>
    <w:p>
      <w:pPr>
        <w:spacing w:line="560" w:lineRule="exact"/>
        <w:jc w:val="center"/>
        <w:rPr>
          <w:rFonts w:ascii="方正小标宋_GBK" w:eastAsia="方正小标宋_GBK" w:hAnsi="TimesNewRoman" w:cs="TimesNewRoman"/>
          <w:sz w:val="44"/>
          <w:szCs w:val="44"/>
        </w:rPr>
      </w:pPr>
      <w:r>
        <w:rPr>
          <w:rFonts w:ascii="方正小标宋_GBK" w:eastAsia="方正小标宋_GBK" w:hAnsi="TimesNewRoman" w:cs="TimesNewRoman" w:hint="eastAsia"/>
          <w:sz w:val="44"/>
          <w:szCs w:val="44"/>
          <w:u w:val="none"/>
        </w:rPr>
        <w:t>单位</w:t>
      </w: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2024年1月</w:t>
      </w: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黑体" w:eastAsia="黑体" w:hAnsi="黑体" w:cs="TimesNewRoman"/>
          <w:sz w:val="32"/>
          <w:szCs w:val="32"/>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2.部门</w:t>
      </w:r>
      <w:r>
        <w:rPr>
          <w:rFonts w:ascii="仿宋_GB2312" w:eastAsia="仿宋_GB2312" w:hAnsi="TimesNewRoman" w:cs="TimesNewRoman" w:hint="eastAsia"/>
          <w:bCs/>
          <w:sz w:val="32"/>
          <w:szCs w:val="32"/>
          <w:u w:val="single"/>
        </w:rPr>
        <w:t>（单位）</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年部门（单位）预算表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bCs/>
          <w:sz w:val="32"/>
          <w:szCs w:val="32"/>
        </w:rPr>
        <w:t>镇中心卫生院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年部门（单位）预算情况说明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u w:val="none"/>
        </w:rPr>
        <w:t>单位</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（一）根据相关文件规定，寿县</w:t>
      </w:r>
      <w:r>
        <w:rPr>
          <w:rFonts w:ascii="TimesNewRoman" w:eastAsia="仿宋_GB2312" w:hAnsi="TimesNewRoman" w:cs="TimesNewRoman" w:hint="eastAsia"/>
          <w:bCs/>
          <w:sz w:val="32"/>
          <w:szCs w:val="32"/>
          <w:lang w:eastAsia="zh-CN"/>
        </w:rPr>
        <w:t>小甸</w:t>
      </w:r>
      <w:r>
        <w:rPr>
          <w:rFonts w:ascii="TimesNewRoman" w:eastAsia="仿宋_GB2312" w:hAnsi="TimesNewRoman" w:cs="TimesNewRoman"/>
          <w:bCs/>
          <w:sz w:val="32"/>
          <w:szCs w:val="32"/>
        </w:rPr>
        <w:t>镇中心卫生院主要职责是：卫人民群众身体健康和辖区公共卫生提供管理服务。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承担</w:t>
      </w:r>
      <w:r>
        <w:rPr>
          <w:rFonts w:ascii="TimesNewRoman" w:eastAsia="仿宋_GB2312" w:hAnsi="TimesNewRoman" w:cs="TimesNewRoman"/>
          <w:bCs/>
          <w:sz w:val="32"/>
          <w:szCs w:val="32"/>
        </w:rPr>
        <w:t>预防保健等公共卫生服务和一般常见病、多发病的基本医疗服务。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（三）受县级卫生行政部门和所在乡镇政府委托，承担辖区内公共卫生管理。</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小甸</w:t>
      </w:r>
      <w:r>
        <w:rPr>
          <w:rFonts w:ascii="仿宋_GB2312" w:eastAsia="仿宋_GB2312" w:hAnsi="TimesNewRoman" w:cs="TimesNewRoman" w:hint="eastAsia"/>
          <w:bCs/>
          <w:sz w:val="32"/>
          <w:szCs w:val="32"/>
        </w:rPr>
        <w:t>镇中心卫生院2024年度单位预算仅包括单位本级预算，无其他下属单位预算。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三、2024年度主要工作任务</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2024年寿县</w:t>
      </w:r>
      <w:r>
        <w:rPr>
          <w:rFonts w:ascii="楷体_GB2312" w:eastAsia="楷体_GB2312" w:hAnsi="TimesNewRoman" w:cs="TimesNewRoman" w:hint="eastAsia"/>
          <w:b/>
          <w:bCs/>
          <w:sz w:val="32"/>
          <w:szCs w:val="32"/>
          <w:lang w:eastAsia="zh-CN"/>
        </w:rPr>
        <w:t>小甸</w:t>
      </w:r>
      <w:r>
        <w:rPr>
          <w:rFonts w:ascii="楷体_GB2312" w:eastAsia="楷体_GB2312" w:hAnsi="TimesNewRoman" w:cs="TimesNewRoman" w:hint="eastAsia"/>
          <w:b/>
          <w:bCs/>
          <w:sz w:val="32"/>
          <w:szCs w:val="32"/>
        </w:rPr>
        <w:t>镇中心卫生院主要任务是：以公共卫生为主，综合提供预防、保健、基本医疗、健康教育等综合性服务。围绕上述任务，重点抓好以下工作。</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r>
        <w:rPr>
          <w:rFonts w:ascii="TimesNewRoman" w:eastAsia="仿宋_GB2312" w:hAnsi="TimesNewRoman" w:cs="TimesNewRoman"/>
          <w:bCs/>
          <w:sz w:val="32"/>
          <w:szCs w:val="32"/>
        </w:rPr>
        <w:t>（一）</w:t>
      </w:r>
      <w:r>
        <w:rPr>
          <w:rFonts w:ascii="TimesNewRoman" w:eastAsia="仿宋_GB2312" w:hAnsi="TimesNewRoman" w:cs="TimesNewRoman" w:hint="eastAsia"/>
          <w:bCs/>
          <w:sz w:val="32"/>
          <w:szCs w:val="32"/>
        </w:rPr>
        <w:t>健康</w:t>
      </w:r>
      <w:r>
        <w:rPr>
          <w:rFonts w:ascii="TimesNewRoman" w:eastAsia="仿宋_GB2312" w:hAnsi="TimesNewRoman" w:cs="TimesNewRoman"/>
          <w:bCs/>
          <w:sz w:val="32"/>
          <w:szCs w:val="32"/>
        </w:rPr>
        <w:t>档案管理及服务。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治疗</w:t>
      </w:r>
      <w:r>
        <w:rPr>
          <w:rFonts w:ascii="TimesNewRoman" w:eastAsia="仿宋_GB2312" w:hAnsi="TimesNewRoman" w:cs="TimesNewRoman"/>
          <w:bCs/>
          <w:sz w:val="32"/>
          <w:szCs w:val="32"/>
        </w:rPr>
        <w:t>一般常见病、多发病，提供基本医疗服务。</w:t>
      </w: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hint="eastAsia"/>
          <w:bCs/>
          <w:sz w:val="32"/>
          <w:szCs w:val="32"/>
        </w:rPr>
        <w:t>（三）普及疾病预防及卫生保健知识，开展健康教育；抓好公共卫生管理及卫生监督工作。</w:t>
      </w: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6600" w:firstLineChars="3300"/>
        <w:jc w:val="left"/>
        <w:rPr>
          <w:rFonts w:ascii="TimesNewRoman" w:hAnsi="TimesNewRoman" w:cs="TimesNewRoman"/>
          <w:kern w:val="0"/>
          <w:sz w:val="20"/>
        </w:rPr>
      </w:pPr>
      <w:r>
        <w:rPr>
          <w:rFonts w:ascii="TimesNewRoman" w:hAnsi="TimesNewRoman" w:cs="TimesNewRoman"/>
          <w:kern w:val="0"/>
          <w:sz w:val="20"/>
          <w:u w:val="non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372.28</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90"/>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其中：</w:t>
            </w:r>
            <w:r>
              <w:rPr>
                <w:rFonts w:ascii="TimesNewRoman" w:hAnsi="TimesNewRoman" w:cs="TimesNewRoman" w:hint="eastAsia"/>
                <w:kern w:val="0"/>
                <w:sz w:val="18"/>
                <w:szCs w:val="18"/>
                <w:lang w:eastAsia="zh-CN"/>
              </w:rPr>
              <w:t>财政拨款</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371.54</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w:t>
            </w:r>
            <w:r>
              <w:rPr>
                <w:rFonts w:ascii="TimesNewRoman" w:hAnsi="TimesNewRoman" w:cs="TimesNewRoman" w:hint="eastAsia"/>
                <w:kern w:val="0"/>
                <w:sz w:val="18"/>
                <w:szCs w:val="18"/>
                <w:lang w:eastAsia="zh-CN"/>
              </w:rPr>
              <w:t>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0.73</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104.12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1091.74</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26.42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eastAsia="仿宋_GB2312" w:hAnsi="TimesNewRoman" w:cs="TimesNewRoman"/>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1222.28</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1222.28</w:t>
            </w:r>
          </w:p>
        </w:tc>
      </w:tr>
    </w:tbl>
    <w:p>
      <w:pPr>
        <w:spacing w:line="560" w:lineRule="exact"/>
        <w:jc w:val="center"/>
        <w:rPr>
          <w:rFonts w:ascii="TimesNewRoman" w:hAnsi="TimesNewRoman" w:cs="TimesNewRoman"/>
          <w:kern w:val="0"/>
          <w:sz w:val="20"/>
        </w:rPr>
        <w:sectPr>
          <w:footerReference w:type="even" r:id="rId5"/>
          <w:footerReference w:type="default" r:id="rId6"/>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kern w:val="0"/>
          <w:sz w:val="20"/>
          <w:u w:val="non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5168" w:type="dxa"/>
        <w:tblInd w:w="-1026" w:type="dxa"/>
        <w:tblLayout w:type="fixed"/>
        <w:tblCellMar>
          <w:top w:w="0" w:type="dxa"/>
          <w:left w:w="108" w:type="dxa"/>
          <w:bottom w:w="0" w:type="dxa"/>
          <w:right w:w="108" w:type="dxa"/>
        </w:tblCellMar>
      </w:tblPr>
      <w:tblGrid>
        <w:gridCol w:w="2295"/>
        <w:gridCol w:w="966"/>
        <w:gridCol w:w="992"/>
        <w:gridCol w:w="992"/>
        <w:gridCol w:w="567"/>
        <w:gridCol w:w="567"/>
        <w:gridCol w:w="425"/>
        <w:gridCol w:w="567"/>
        <w:gridCol w:w="567"/>
        <w:gridCol w:w="709"/>
        <w:gridCol w:w="709"/>
        <w:gridCol w:w="850"/>
        <w:gridCol w:w="709"/>
        <w:gridCol w:w="567"/>
        <w:gridCol w:w="567"/>
        <w:gridCol w:w="567"/>
        <w:gridCol w:w="567"/>
        <w:gridCol w:w="709"/>
        <w:gridCol w:w="1276"/>
      </w:tblGrid>
      <w:tr>
        <w:tblPrEx>
          <w:tblW w:w="15168" w:type="dxa"/>
          <w:tblInd w:w="-1026" w:type="dxa"/>
          <w:tblLayout w:type="fixed"/>
          <w:tblCellMar>
            <w:top w:w="0" w:type="dxa"/>
            <w:left w:w="108" w:type="dxa"/>
            <w:bottom w:w="0" w:type="dxa"/>
            <w:right w:w="108" w:type="dxa"/>
          </w:tblCellMar>
        </w:tblPrEx>
        <w:trPr>
          <w:trHeight w:val="501"/>
        </w:trPr>
        <w:tc>
          <w:tcPr>
            <w:tcW w:w="2295"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9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654" w:type="dxa"/>
            <w:gridSpan w:val="11"/>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53" w:type="dxa"/>
            <w:gridSpan w:val="6"/>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5168" w:type="dxa"/>
          <w:tblInd w:w="-1026" w:type="dxa"/>
          <w:tblLayout w:type="fixed"/>
          <w:tblCellMar>
            <w:top w:w="0" w:type="dxa"/>
            <w:left w:w="108" w:type="dxa"/>
            <w:bottom w:w="0" w:type="dxa"/>
            <w:right w:w="108" w:type="dxa"/>
          </w:tblCellMar>
        </w:tblPrEx>
        <w:trPr>
          <w:trHeight w:val="424"/>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b/>
                <w:kern w:val="0"/>
                <w:sz w:val="18"/>
                <w:szCs w:val="18"/>
              </w:rPr>
            </w:pP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992"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425" w:type="dxa"/>
            <w:vMerge w:val="restart"/>
            <w:tcBorders>
              <w:top w:val="nil"/>
              <w:left w:val="single" w:sz="4" w:space="0" w:color="auto"/>
              <w:bottom w:val="single" w:sz="4" w:space="0" w:color="000000"/>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4111" w:type="dxa"/>
            <w:gridSpan w:val="6"/>
            <w:tcBorders>
              <w:top w:val="single" w:sz="4" w:space="0" w:color="auto"/>
              <w:left w:val="nil"/>
              <w:bottom w:val="single" w:sz="4" w:space="0" w:color="auto"/>
              <w:right w:val="single" w:sz="4" w:space="0" w:color="000000"/>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567"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709"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276" w:type="dxa"/>
            <w:vMerge w:val="restart"/>
            <w:tcBorders>
              <w:top w:val="nil"/>
              <w:left w:val="single" w:sz="4" w:space="0" w:color="auto"/>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5168" w:type="dxa"/>
          <w:tblInd w:w="-1026" w:type="dxa"/>
          <w:tblLayout w:type="fixed"/>
          <w:tblCellMar>
            <w:top w:w="0" w:type="dxa"/>
            <w:left w:w="108" w:type="dxa"/>
            <w:bottom w:w="0" w:type="dxa"/>
            <w:right w:w="108" w:type="dxa"/>
          </w:tblCellMar>
        </w:tblPrEx>
        <w:trPr>
          <w:trHeight w:val="2579"/>
        </w:trPr>
        <w:tc>
          <w:tcPr>
            <w:tcW w:w="2295"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vMerge/>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92"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425" w:type="dxa"/>
            <w:vMerge/>
            <w:tcBorders>
              <w:top w:val="nil"/>
              <w:left w:val="single" w:sz="4" w:space="0" w:color="auto"/>
              <w:bottom w:val="single" w:sz="4" w:space="0" w:color="000000"/>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567"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709" w:type="dxa"/>
            <w:tcBorders>
              <w:top w:val="nil"/>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850"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709" w:type="dxa"/>
            <w:tcBorders>
              <w:top w:val="nil"/>
              <w:left w:val="nil"/>
              <w:bottom w:val="nil"/>
              <w:right w:val="single" w:sz="4" w:space="0" w:color="auto"/>
            </w:tcBorders>
            <w:noWrap/>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567"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709"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1276" w:type="dxa"/>
            <w:vMerge/>
            <w:tcBorders>
              <w:top w:val="nil"/>
              <w:left w:val="single" w:sz="4" w:space="0" w:color="auto"/>
              <w:bottom w:val="nil"/>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合计</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p>
        </w:tc>
        <w:tc>
          <w:tcPr>
            <w:tcW w:w="992"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850</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850</w:t>
            </w: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single" w:sz="4" w:space="0" w:color="auto"/>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w:t>
            </w:r>
            <w:r>
              <w:rPr>
                <w:rFonts w:ascii="TimesNewRoman" w:hAnsi="TimesNewRoman" w:cs="TimesNewRoman"/>
                <w:kern w:val="0"/>
                <w:sz w:val="18"/>
                <w:szCs w:val="18"/>
              </w:rPr>
              <w:t>卫生健康委员会</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850</w:t>
            </w: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850</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寿县</w:t>
            </w:r>
            <w:r>
              <w:rPr>
                <w:rFonts w:ascii="TimesNewRoman" w:hAnsi="TimesNewRoman" w:cs="TimesNewRoman"/>
                <w:kern w:val="0"/>
                <w:sz w:val="18"/>
                <w:szCs w:val="18"/>
              </w:rPr>
              <w:t>正阳关镇中心卫生院</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1222.28</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850</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w:t>
            </w:r>
            <w:r>
              <w:rPr>
                <w:rFonts w:ascii="TimesNewRoman" w:hAnsi="TimesNewRoman" w:cs="TimesNewRoman" w:hint="eastAsia"/>
                <w:kern w:val="0"/>
                <w:sz w:val="18"/>
                <w:szCs w:val="18"/>
              </w:rPr>
              <w:t>0</w:t>
            </w: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5168" w:type="dxa"/>
          <w:tblInd w:w="-1026" w:type="dxa"/>
          <w:tblLayout w:type="fixed"/>
          <w:tblCellMar>
            <w:top w:w="0" w:type="dxa"/>
            <w:left w:w="108" w:type="dxa"/>
            <w:bottom w:w="0" w:type="dxa"/>
            <w:right w:w="108" w:type="dxa"/>
          </w:tblCellMar>
        </w:tblPrEx>
        <w:trPr>
          <w:trHeight w:val="429"/>
        </w:trPr>
        <w:tc>
          <w:tcPr>
            <w:tcW w:w="2295"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6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992"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25"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567"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09"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76"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pP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none"/>
        </w:rPr>
        <w:t>单位</w:t>
      </w:r>
      <w:r>
        <w:rPr>
          <w:rFonts w:ascii="TimesNewRoman" w:hAnsi="TimesNewRoman" w:cs="TimesNewRoman"/>
          <w:kern w:val="0"/>
          <w:sz w:val="20"/>
        </w:rPr>
        <w:t>公开表3</w:t>
      </w:r>
    </w:p>
    <w:p>
      <w:pPr>
        <w:spacing w:line="560" w:lineRule="exact"/>
        <w:jc w:val="center"/>
        <w:rPr>
          <w:rFonts w:ascii="TimesNewRoman" w:hAnsi="TimesNewRoman" w:cs="TimesNewRoman"/>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p>
    <w:p>
      <w:pPr>
        <w:spacing w:line="560" w:lineRule="exact"/>
        <w:jc w:val="right"/>
        <w:rPr>
          <w:rFonts w:ascii="TimesNewRoman" w:hAnsi="TimesNewRoman" w:cs="TimesNewRoman"/>
          <w:kern w:val="0"/>
          <w:sz w:val="20"/>
        </w:rPr>
      </w:pP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104.12</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102.57</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102.57</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49.73</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49.73</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95"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35.29</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35.29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95"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17.61</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17.61</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1091.74</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237.25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854.5</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1075.82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222.05</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853.76</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1075.82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222.05</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853.76</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21004</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公共卫生</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0.73</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0.73</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2100408</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基本公共卫生服务</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0.73</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0.73</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15.19</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15.19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15.19</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15.19</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1639"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95"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12"/>
        </w:trPr>
        <w:tc>
          <w:tcPr>
            <w:tcW w:w="6134" w:type="dxa"/>
            <w:gridSpan w:val="2"/>
            <w:tcBorders>
              <w:top w:val="nil"/>
              <w:left w:val="single" w:sz="4" w:space="0" w:color="auto"/>
              <w:bottom w:val="single" w:sz="4" w:space="0" w:color="auto"/>
              <w:right w:val="single" w:sz="4" w:space="0" w:color="auto"/>
            </w:tcBorders>
            <w:noWrap/>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1222.28</w:t>
            </w:r>
            <w:r>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367.78</w:t>
            </w:r>
            <w:r>
              <w:rPr>
                <w:rFonts w:ascii="TimesNewRoman" w:hAnsi="TimesNewRoman" w:cs="TimesNewRoman"/>
                <w:b/>
                <w:bCs/>
                <w:kern w:val="0"/>
                <w:sz w:val="18"/>
                <w:szCs w:val="18"/>
              </w:rPr>
              <w:t>　</w:t>
            </w:r>
          </w:p>
        </w:tc>
        <w:tc>
          <w:tcPr>
            <w:tcW w:w="115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854.5</w:t>
            </w: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u w:val="non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371.54</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371.54</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371.54</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104.12</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241.01</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26.42</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371.54</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371.54</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non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TimesNewRoman" w:eastAsia="华文中宋" w:hAnsi="TimesNewRoman" w:cs="TimesNewRoman" w:hint="eastAsia"/>
          <w:b/>
          <w:bCs/>
          <w:kern w:val="0"/>
          <w:sz w:val="30"/>
          <w:szCs w:val="30"/>
          <w:lang w:eastAsia="zh-CN"/>
        </w:rPr>
        <w:t>小甸</w:t>
      </w:r>
      <w:r>
        <w:rPr>
          <w:rFonts w:ascii="TimesNewRoman" w:eastAsia="华文中宋" w:hAnsi="TimesNewRoman" w:cs="TimesNewRoman"/>
          <w:b/>
          <w:bCs/>
          <w:kern w:val="0"/>
          <w:sz w:val="30"/>
          <w:szCs w:val="30"/>
        </w:rPr>
        <w:t>镇中心卫生院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single" w:sz="4" w:space="0" w:color="auto"/>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w:t>
            </w:r>
          </w:p>
        </w:tc>
        <w:tc>
          <w:tcPr>
            <w:tcW w:w="4482" w:type="dxa"/>
            <w:tcBorders>
              <w:top w:val="single" w:sz="4" w:space="0" w:color="auto"/>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社会</w:t>
            </w:r>
            <w:r>
              <w:rPr>
                <w:rFonts w:ascii="TimesNewRoman" w:hAnsi="TimesNewRoman" w:cs="TimesNewRoman"/>
                <w:kern w:val="0"/>
                <w:sz w:val="18"/>
                <w:szCs w:val="18"/>
              </w:rPr>
              <w:t>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371.54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104.12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104.12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3.76</w:t>
            </w: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805</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行政</w:t>
            </w:r>
            <w:r>
              <w:rPr>
                <w:rFonts w:ascii="TimesNewRoman" w:hAnsi="TimesNewRoman" w:cs="TimesNewRoman"/>
                <w:kern w:val="0"/>
                <w:sz w:val="18"/>
                <w:szCs w:val="18"/>
              </w:rPr>
              <w:t>事业单位养老支出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102.57</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102.57</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102.57</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2</w:t>
            </w:r>
            <w:r>
              <w:rPr>
                <w:rFonts w:ascii="TimesNewRoman" w:hAnsi="TimesNewRoman" w:cs="TimesNewRoman" w:hint="eastAsia"/>
                <w:kern w:val="0"/>
                <w:sz w:val="18"/>
                <w:szCs w:val="18"/>
              </w:rPr>
              <w:t>080502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事业</w:t>
            </w:r>
            <w:r>
              <w:rPr>
                <w:rFonts w:ascii="TimesNewRoman" w:hAnsi="TimesNewRoman" w:cs="TimesNewRoman"/>
                <w:kern w:val="0"/>
                <w:sz w:val="18"/>
                <w:szCs w:val="18"/>
              </w:rPr>
              <w:t>单位离退休</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49.73</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49.73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18"/>
                <w:szCs w:val="18"/>
                <w:lang w:val="en-US"/>
              </w:rPr>
            </w:pPr>
            <w:r>
              <w:rPr>
                <w:rFonts w:ascii="TimesNewRoman" w:hAnsi="TimesNewRoman" w:cs="TimesNewRoman" w:hint="eastAsia"/>
                <w:kern w:val="0"/>
                <w:sz w:val="18"/>
                <w:szCs w:val="18"/>
                <w:lang w:val="en-US" w:eastAsia="zh-CN"/>
              </w:rPr>
              <w:t>49.73</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2080505</w:t>
            </w:r>
          </w:p>
        </w:tc>
        <w:tc>
          <w:tcPr>
            <w:tcW w:w="4482" w:type="dxa"/>
            <w:tcBorders>
              <w:top w:val="nil"/>
              <w:left w:val="nil"/>
              <w:bottom w:val="single" w:sz="4" w:space="0" w:color="auto"/>
              <w:right w:val="single" w:sz="4" w:space="0" w:color="auto"/>
            </w:tcBorders>
            <w:noWrap/>
            <w:vAlign w:val="center"/>
          </w:tcPr>
          <w:p>
            <w:pPr>
              <w:widowControl/>
              <w:spacing w:line="260" w:lineRule="exact"/>
              <w:ind w:firstLine="360" w:firstLineChars="200"/>
              <w:rPr>
                <w:rFonts w:ascii="TimesNewRoman" w:eastAsia="仿宋_GB2312" w:hAnsi="TimesNewRoman" w:cs="TimesNewRoman"/>
                <w:kern w:val="0"/>
                <w:sz w:val="18"/>
                <w:szCs w:val="18"/>
              </w:rPr>
            </w:pPr>
            <w:r>
              <w:rPr>
                <w:rFonts w:ascii="TimesNewRoman" w:hAnsi="TimesNewRoman" w:cs="TimesNewRoman" w:hint="eastAsia"/>
                <w:kern w:val="0"/>
                <w:sz w:val="18"/>
                <w:szCs w:val="18"/>
              </w:rPr>
              <w:t>机关事业单位基本养老保险缴费支出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35.23</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35.23</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35.23</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2080506</w:t>
            </w:r>
          </w:p>
        </w:tc>
        <w:tc>
          <w:tcPr>
            <w:tcW w:w="4482" w:type="dxa"/>
            <w:tcBorders>
              <w:top w:val="nil"/>
              <w:left w:val="nil"/>
              <w:bottom w:val="single" w:sz="4" w:space="0" w:color="auto"/>
              <w:right w:val="single" w:sz="4" w:space="0" w:color="auto"/>
            </w:tcBorders>
            <w:noWrap/>
            <w:vAlign w:val="center"/>
          </w:tcPr>
          <w:p>
            <w:pPr>
              <w:widowControl/>
              <w:spacing w:line="26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机关事业单位职业年金缴费支出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17.61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17.61</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17.61</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20899</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其他社会保障和就业支出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1.54</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2089999</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其他社会保障和就业支出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210</w:t>
            </w: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卫生健康支出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241.01</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237.25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237.25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3.76</w:t>
            </w: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21003</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基层医疗卫生机构</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225.82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222.05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222.05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3.76</w:t>
            </w: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2100302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乡镇卫生院</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225.82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222.05</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222.05</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3.76</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21011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行政事业单位医疗</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15.19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15.19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15.19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2101102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事业单位医疗</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15.19</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15.19</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15.19</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221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住房保障支出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180" w:firstLineChars="100"/>
              <w:jc w:val="left"/>
              <w:rPr>
                <w:rFonts w:ascii="TimesNewRoman" w:hAnsi="TimesNewRoman" w:cs="TimesNewRoman"/>
                <w:kern w:val="0"/>
                <w:sz w:val="18"/>
                <w:szCs w:val="18"/>
              </w:rPr>
            </w:pPr>
            <w:r>
              <w:rPr>
                <w:rFonts w:ascii="TimesNewRoman" w:hAnsi="TimesNewRoman" w:cs="TimesNewRoman" w:hint="eastAsia"/>
                <w:kern w:val="0"/>
                <w:sz w:val="18"/>
                <w:szCs w:val="18"/>
              </w:rPr>
              <w:t>22102</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住房改革支出</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12"/>
        </w:trPr>
        <w:tc>
          <w:tcPr>
            <w:tcW w:w="1603" w:type="dxa"/>
            <w:tcBorders>
              <w:top w:val="nil"/>
              <w:left w:val="single" w:sz="4" w:space="0" w:color="auto"/>
              <w:bottom w:val="single" w:sz="4" w:space="0" w:color="auto"/>
              <w:right w:val="single" w:sz="4" w:space="0" w:color="auto"/>
            </w:tcBorders>
            <w:noWrap/>
            <w:vAlign w:val="center"/>
          </w:tcPr>
          <w:p>
            <w:pPr>
              <w:widowControl/>
              <w:spacing w:line="260" w:lineRule="exact"/>
              <w:ind w:firstLine="360" w:firstLineChars="200"/>
              <w:jc w:val="left"/>
              <w:rPr>
                <w:rFonts w:ascii="TimesNewRoman" w:hAnsi="TimesNewRoman" w:cs="TimesNewRoman"/>
                <w:kern w:val="0"/>
                <w:sz w:val="18"/>
                <w:szCs w:val="18"/>
              </w:rPr>
            </w:pPr>
            <w:r>
              <w:rPr>
                <w:rFonts w:ascii="TimesNewRoman" w:hAnsi="TimesNewRoman" w:cs="TimesNewRoman" w:hint="eastAsia"/>
                <w:kern w:val="0"/>
                <w:sz w:val="18"/>
                <w:szCs w:val="18"/>
              </w:rPr>
              <w:t>2210201</w:t>
            </w:r>
          </w:p>
        </w:tc>
        <w:tc>
          <w:tcPr>
            <w:tcW w:w="4482" w:type="dxa"/>
            <w:tcBorders>
              <w:top w:val="nil"/>
              <w:left w:val="nil"/>
              <w:bottom w:val="single" w:sz="4" w:space="0" w:color="auto"/>
              <w:right w:val="single" w:sz="4" w:space="0" w:color="auto"/>
            </w:tcBorders>
            <w:noWrap/>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hint="eastAsia"/>
                <w:kern w:val="0"/>
                <w:sz w:val="18"/>
                <w:szCs w:val="18"/>
              </w:rPr>
              <w:t xml:space="preserve">    住房公积金</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26.42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26.42</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371.54</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367.78</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367.78</w:t>
            </w: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non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49"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316.17</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316.17</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30101</w:t>
            </w:r>
          </w:p>
        </w:tc>
        <w:tc>
          <w:tcPr>
            <w:tcW w:w="4349"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基本工资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139.09</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139.09</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ind w:firstLine="180" w:firstLineChars="100"/>
              <w:jc w:val="left"/>
              <w:rPr>
                <w:rFonts w:ascii="TimesNewRoman" w:hAnsi="TimesNewRoman" w:cs="TimesNewRoman"/>
                <w:kern w:val="0"/>
                <w:sz w:val="18"/>
                <w:szCs w:val="18"/>
              </w:rPr>
            </w:pPr>
            <w:r>
              <w:rPr>
                <w:rFonts w:ascii="TimesNewRoman" w:hAnsi="TimesNewRoman" w:cs="TimesNewRoman"/>
                <w:kern w:val="0"/>
                <w:sz w:val="18"/>
                <w:szCs w:val="18"/>
              </w:rPr>
              <w:t>3010</w:t>
            </w:r>
            <w:r>
              <w:rPr>
                <w:rFonts w:ascii="TimesNewRoman" w:hAnsi="TimesNewRoman" w:cs="TimesNewRoman" w:hint="eastAsia"/>
                <w:kern w:val="0"/>
                <w:sz w:val="18"/>
                <w:szCs w:val="18"/>
              </w:rPr>
              <w:t>7</w:t>
            </w:r>
          </w:p>
        </w:tc>
        <w:tc>
          <w:tcPr>
            <w:tcW w:w="4349"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绩效</w:t>
            </w:r>
            <w:r>
              <w:rPr>
                <w:rFonts w:ascii="TimesNewRoman" w:hAnsi="TimesNewRoman" w:cs="TimesNewRoman"/>
                <w:kern w:val="0"/>
                <w:sz w:val="18"/>
                <w:szCs w:val="18"/>
              </w:rPr>
              <w:t>工资</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80.98</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80.98</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8</w:t>
            </w:r>
          </w:p>
        </w:tc>
        <w:tc>
          <w:tcPr>
            <w:tcW w:w="4349" w:type="dxa"/>
            <w:tcBorders>
              <w:top w:val="nil"/>
              <w:left w:val="nil"/>
              <w:bottom w:val="single" w:sz="4" w:space="0" w:color="auto"/>
              <w:right w:val="single" w:sz="4" w:space="0" w:color="auto"/>
            </w:tcBorders>
            <w:noWrap/>
            <w:vAlign w:val="center"/>
          </w:tcPr>
          <w:p>
            <w:pPr>
              <w:widowControl/>
              <w:spacing w:line="280" w:lineRule="exact"/>
              <w:rPr>
                <w:rFonts w:asciiTheme="majorEastAsia" w:eastAsiaTheme="majorEastAsia" w:hAnsiTheme="majorEastAsia" w:cs="TimesNewRoman"/>
                <w:kern w:val="0"/>
                <w:sz w:val="18"/>
                <w:szCs w:val="18"/>
              </w:rPr>
            </w:pPr>
            <w:r>
              <w:rPr>
                <w:rFonts w:ascii="汉仪中秀体简" w:eastAsia="汉仪中秀体简" w:hAnsi="汉仪中秀体简" w:cs="汉仪中秀体简" w:hint="eastAsia"/>
                <w:sz w:val="18"/>
                <w:szCs w:val="18"/>
              </w:rPr>
              <w:t xml:space="preserve">    </w:t>
            </w:r>
            <w:r>
              <w:rPr>
                <w:rFonts w:asciiTheme="majorEastAsia" w:eastAsiaTheme="majorEastAsia" w:hAnsiTheme="majorEastAsia" w:cs="汉仪中秀体简" w:hint="eastAsia"/>
                <w:sz w:val="18"/>
                <w:szCs w:val="18"/>
              </w:rPr>
              <w:t>机关事业单位基本养老保险缴费</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35.23</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35.23</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3010</w:t>
            </w:r>
            <w:r>
              <w:rPr>
                <w:rFonts w:ascii="TimesNewRoman" w:hAnsi="TimesNewRoman" w:cs="TimesNewRoman" w:hint="eastAsia"/>
                <w:kern w:val="0"/>
                <w:sz w:val="18"/>
                <w:szCs w:val="18"/>
              </w:rPr>
              <w:t>9</w:t>
            </w:r>
          </w:p>
        </w:tc>
        <w:tc>
          <w:tcPr>
            <w:tcW w:w="4349"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职业年</w:t>
            </w:r>
            <w:r>
              <w:rPr>
                <w:rFonts w:ascii="TimesNewRoman" w:hAnsi="TimesNewRoman" w:cs="TimesNewRoman" w:hint="eastAsia"/>
                <w:kern w:val="0"/>
                <w:sz w:val="18"/>
                <w:szCs w:val="18"/>
                <w:lang w:eastAsia="zh-CN"/>
              </w:rPr>
              <w:t>金</w:t>
            </w:r>
            <w:r>
              <w:rPr>
                <w:rFonts w:ascii="TimesNewRoman" w:hAnsi="TimesNewRoman" w:cs="TimesNewRoman"/>
                <w:kern w:val="0"/>
                <w:sz w:val="18"/>
                <w:szCs w:val="18"/>
              </w:rPr>
              <w:t>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17.61</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17.61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10</w:t>
            </w:r>
          </w:p>
        </w:tc>
        <w:tc>
          <w:tcPr>
            <w:tcW w:w="4349"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职工基本医疗保险缴费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15.19</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15.19</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12</w:t>
            </w:r>
          </w:p>
        </w:tc>
        <w:tc>
          <w:tcPr>
            <w:tcW w:w="4349"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其他社会保障缴费　</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1.54</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13</w:t>
            </w:r>
          </w:p>
        </w:tc>
        <w:tc>
          <w:tcPr>
            <w:tcW w:w="4349"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住房公积金</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26.42</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26.42</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301</w:t>
            </w:r>
            <w:r>
              <w:rPr>
                <w:rFonts w:ascii="TimesNewRoman" w:hAnsi="TimesNewRoman" w:cs="TimesNewRoman" w:hint="eastAsia"/>
                <w:kern w:val="0"/>
                <w:sz w:val="18"/>
                <w:szCs w:val="18"/>
              </w:rPr>
              <w:t>99</w:t>
            </w:r>
          </w:p>
        </w:tc>
        <w:tc>
          <w:tcPr>
            <w:tcW w:w="4349"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其他工资福利支出</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0.11</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0.11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303</w:t>
            </w:r>
          </w:p>
        </w:tc>
        <w:tc>
          <w:tcPr>
            <w:tcW w:w="4349"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对个人和家庭的补助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51.61</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51.61</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302</w:t>
            </w:r>
          </w:p>
        </w:tc>
        <w:tc>
          <w:tcPr>
            <w:tcW w:w="4349" w:type="dxa"/>
            <w:tcBorders>
              <w:top w:val="nil"/>
              <w:left w:val="nil"/>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r>
              <w:rPr>
                <w:rFonts w:ascii="TimesNewRoman" w:hAnsi="TimesNewRoman" w:cs="TimesNewRoman"/>
                <w:kern w:val="0"/>
                <w:sz w:val="18"/>
                <w:szCs w:val="18"/>
              </w:rPr>
              <w:t>退休费</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49.73</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49.73</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30</w:t>
            </w:r>
            <w:r>
              <w:rPr>
                <w:rFonts w:ascii="TimesNewRoman" w:hAnsi="TimesNewRoman" w:cs="TimesNewRoman" w:hint="eastAsia"/>
                <w:kern w:val="0"/>
                <w:sz w:val="18"/>
                <w:szCs w:val="18"/>
              </w:rPr>
              <w:t>305</w:t>
            </w:r>
          </w:p>
        </w:tc>
        <w:tc>
          <w:tcPr>
            <w:tcW w:w="4349" w:type="dxa"/>
            <w:tcBorders>
              <w:top w:val="nil"/>
              <w:left w:val="nil"/>
              <w:bottom w:val="single" w:sz="4" w:space="0" w:color="auto"/>
              <w:right w:val="single" w:sz="4" w:space="0" w:color="auto"/>
            </w:tcBorders>
            <w:noWrap/>
            <w:vAlign w:val="center"/>
          </w:tcPr>
          <w:p>
            <w:pPr>
              <w:widowControl/>
              <w:spacing w:line="280" w:lineRule="exact"/>
              <w:ind w:firstLine="360" w:firstLineChars="200"/>
              <w:rPr>
                <w:rFonts w:ascii="TimesNewRoman" w:hAnsi="TimesNewRoman" w:cs="TimesNewRoman"/>
                <w:kern w:val="0"/>
                <w:sz w:val="18"/>
                <w:szCs w:val="18"/>
              </w:rPr>
            </w:pPr>
            <w:r>
              <w:rPr>
                <w:rFonts w:ascii="TimesNewRoman" w:hAnsi="TimesNewRoman" w:cs="TimesNewRoman"/>
                <w:kern w:val="0"/>
                <w:sz w:val="18"/>
                <w:szCs w:val="18"/>
              </w:rPr>
              <w:t>生活补助</w:t>
            </w:r>
          </w:p>
        </w:tc>
        <w:tc>
          <w:tcPr>
            <w:tcW w:w="15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1.88</w:t>
            </w: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1.88</w:t>
            </w: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b/>
                <w:bCs/>
                <w:kern w:val="0"/>
                <w:sz w:val="18"/>
                <w:szCs w:val="18"/>
              </w:rPr>
              <w:t>　</w:t>
            </w:r>
            <w:r>
              <w:rPr>
                <w:rFonts w:ascii="TimesNewRoman" w:hAnsi="TimesNewRoman" w:cs="TimesNewRoman" w:hint="eastAsia"/>
                <w:b/>
                <w:bCs/>
                <w:kern w:val="0"/>
                <w:sz w:val="18"/>
                <w:szCs w:val="18"/>
                <w:lang w:val="en-US" w:eastAsia="zh-CN"/>
              </w:rPr>
              <w:t>367.78</w:t>
            </w:r>
          </w:p>
        </w:tc>
        <w:tc>
          <w:tcPr>
            <w:tcW w:w="2631"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367.78</w:t>
            </w:r>
          </w:p>
        </w:tc>
        <w:tc>
          <w:tcPr>
            <w:tcW w:w="2564"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ind w:firstLine="90" w:firstLineChars="50"/>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注：没有政府性基金收支预算的部门（单位）也要公开空白表，并备注说明：“</w:t>
      </w:r>
      <w:r>
        <w:rPr>
          <w:rFonts w:ascii="TimesNewRoman" w:hAnsi="TimesNewRoman" w:cs="TimesNewRoman" w:hint="eastAsia"/>
          <w:kern w:val="0"/>
          <w:sz w:val="24"/>
        </w:rPr>
        <w:t>寿县正阳</w:t>
      </w:r>
      <w:r>
        <w:rPr>
          <w:rFonts w:ascii="TimesNewRoman" w:hAnsi="TimesNewRoman" w:cs="TimesNewRoman"/>
          <w:kern w:val="0"/>
          <w:sz w:val="24"/>
        </w:rPr>
        <w:t>关镇中心卫生院没有政府性基金预算拨款收入，也没有政府性基金预算拨款安排的支出，故本表无数据”。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non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360" w:firstLineChars="2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ind w:firstLine="720" w:firstLineChars="400"/>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注：没有国有资本经营收支预算的部门（单位）也要公开空白表，并备注说明：“</w:t>
            </w:r>
            <w:r>
              <w:rPr>
                <w:rFonts w:ascii="TimesNewRoman" w:hAnsi="TimesNewRoman" w:cs="TimesNewRoman" w:hint="eastAsia"/>
                <w:kern w:val="0"/>
                <w:sz w:val="24"/>
              </w:rPr>
              <w:t>寿县正阳</w:t>
            </w:r>
            <w:r>
              <w:rPr>
                <w:rFonts w:ascii="TimesNewRoman" w:hAnsi="TimesNewRoman" w:cs="TimesNewRoman"/>
                <w:kern w:val="0"/>
                <w:sz w:val="24"/>
              </w:rPr>
              <w:t>关镇中心卫生院没有国有资本经营预算拨款收入，也没有国有资本经营预算拨款安排的支出，故本表无数据”。</w:t>
            </w:r>
          </w:p>
        </w:tc>
      </w:tr>
    </w:tbl>
    <w:p>
      <w:pPr>
        <w:spacing w:line="560" w:lineRule="exact"/>
        <w:jc w:val="center"/>
        <w:rPr>
          <w:rFonts w:ascii="TimesNewRoman" w:hAnsi="TimesNewRoman" w:cs="TimesNewRoman"/>
          <w:kern w:val="0"/>
          <w:sz w:val="20"/>
        </w:rPr>
      </w:pPr>
    </w:p>
    <w:p>
      <w:pPr>
        <w:spacing w:line="560" w:lineRule="exact"/>
        <w:jc w:val="right"/>
        <w:rPr>
          <w:rFonts w:ascii="TimesNewRoman" w:hAnsi="TimesNewRoman" w:cs="TimesNewRoman"/>
          <w:kern w:val="0"/>
          <w:sz w:val="20"/>
        </w:rPr>
      </w:pPr>
      <w:r>
        <w:rPr>
          <w:rFonts w:ascii="TimesNewRoman" w:hAnsi="TimesNewRoman" w:cs="TimesNewRoman"/>
          <w:kern w:val="0"/>
          <w:sz w:val="20"/>
          <w:u w:val="non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特定目标类</w:t>
            </w:r>
          </w:p>
        </w:tc>
        <w:tc>
          <w:tcPr>
            <w:tcW w:w="1433"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三年</w:t>
            </w:r>
            <w:r>
              <w:rPr>
                <w:rFonts w:ascii="TimesNewRoman" w:hAnsi="TimesNewRoman" w:cs="TimesNewRoman"/>
                <w:kern w:val="0"/>
                <w:sz w:val="18"/>
                <w:szCs w:val="18"/>
              </w:rPr>
              <w:t>过度安置人员补助</w:t>
            </w:r>
          </w:p>
        </w:tc>
        <w:tc>
          <w:tcPr>
            <w:tcW w:w="1353"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3.76</w:t>
            </w:r>
            <w:r>
              <w:rPr>
                <w:rFonts w:ascii="TimesNewRoman" w:hAnsi="TimesNewRoman" w:cs="TimesNewRoman"/>
                <w:b/>
                <w:bCs/>
                <w:kern w:val="0"/>
                <w:sz w:val="18"/>
                <w:szCs w:val="18"/>
              </w:rPr>
              <w:t>　</w:t>
            </w:r>
          </w:p>
        </w:tc>
        <w:tc>
          <w:tcPr>
            <w:tcW w:w="1214"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bCs/>
                <w:kern w:val="0"/>
                <w:sz w:val="18"/>
                <w:szCs w:val="18"/>
              </w:rPr>
            </w:pPr>
            <w:r>
              <w:rPr>
                <w:rFonts w:ascii="TimesNewRoman" w:hAnsi="TimesNewRoman" w:cs="TimesNewRoman" w:hint="eastAsia"/>
                <w:bCs/>
                <w:kern w:val="0"/>
                <w:sz w:val="18"/>
                <w:szCs w:val="18"/>
                <w:lang w:val="en-US" w:eastAsia="zh-CN"/>
              </w:rPr>
              <w:t>3.76</w:t>
            </w:r>
            <w:r>
              <w:rPr>
                <w:rFonts w:ascii="TimesNewRoman" w:hAnsi="TimesNewRoman" w:cs="TimesNewRoman"/>
                <w:bCs/>
                <w:kern w:val="0"/>
                <w:sz w:val="18"/>
                <w:szCs w:val="18"/>
              </w:rPr>
              <w:t>　</w:t>
            </w:r>
          </w:p>
        </w:tc>
        <w:tc>
          <w:tcPr>
            <w:tcW w:w="1214"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b/>
                <w:bCs/>
                <w:kern w:val="0"/>
                <w:sz w:val="18"/>
                <w:szCs w:val="18"/>
              </w:rPr>
              <w:t>特定目标类</w:t>
            </w:r>
            <w:r>
              <w:rPr>
                <w:rFonts w:ascii="TimesNewRoman" w:hAnsi="TimesNewRoman" w:cs="TimesNewRoman"/>
                <w:kern w:val="0"/>
                <w:sz w:val="18"/>
                <w:szCs w:val="18"/>
              </w:rPr>
              <w:t>　</w:t>
            </w:r>
          </w:p>
        </w:tc>
        <w:tc>
          <w:tcPr>
            <w:tcW w:w="1433"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乡镇</w:t>
            </w:r>
            <w:r>
              <w:rPr>
                <w:rFonts w:ascii="TimesNewRoman" w:hAnsi="TimesNewRoman" w:cs="TimesNewRoman"/>
                <w:kern w:val="0"/>
                <w:sz w:val="18"/>
                <w:szCs w:val="18"/>
              </w:rPr>
              <w:t>卫生院医疗卫生支出</w:t>
            </w:r>
          </w:p>
        </w:tc>
        <w:tc>
          <w:tcPr>
            <w:tcW w:w="1353"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850</w:t>
            </w:r>
            <w:r>
              <w:rPr>
                <w:rFonts w:ascii="TimesNewRoman" w:hAnsi="TimesNewRoman" w:cs="TimesNewRoman"/>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r>
              <w:rPr>
                <w:rFonts w:ascii="TimesNewRoman" w:hAnsi="TimesNewRoman" w:cs="TimesNewRoman" w:hint="eastAsia"/>
                <w:kern w:val="0"/>
                <w:sz w:val="18"/>
                <w:szCs w:val="18"/>
              </w:rPr>
              <w:t xml:space="preserve">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850</w:t>
            </w: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853.76</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3.76</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850</w:t>
            </w: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pStyle w:val="NormalWeb"/>
        <w:wordWrap w:val="0"/>
        <w:adjustRightInd w:val="0"/>
        <w:snapToGrid w:val="0"/>
        <w:spacing w:after="156" w:afterLines="50" w:line="560" w:lineRule="exact"/>
        <w:jc w:val="center"/>
        <w:rPr>
          <w:rFonts w:ascii="TimesNewRoman" w:hAnsi="TimesNewRoman" w:cs="TimesNewRoman"/>
          <w:sz w:val="20"/>
          <w:szCs w:val="20"/>
        </w:rPr>
      </w:pP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sz w:val="20"/>
          <w:szCs w:val="20"/>
          <w:u w:val="non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TimesNewRoman" w:eastAsia="华文中宋" w:hAnsi="TimesNewRoman" w:cs="TimesNewRoman" w:hint="eastAsia"/>
                <w:b/>
                <w:bCs/>
                <w:kern w:val="0"/>
                <w:szCs w:val="32"/>
                <w:lang w:eastAsia="zh-CN"/>
              </w:rPr>
              <w:t>小甸</w:t>
            </w:r>
            <w:r>
              <w:rPr>
                <w:rFonts w:ascii="TimesNewRoman" w:eastAsia="华文中宋" w:hAnsi="TimesNewRoman" w:cs="TimesNewRoman"/>
                <w:b/>
                <w:bCs/>
                <w:kern w:val="0"/>
                <w:szCs w:val="32"/>
              </w:rPr>
              <w:t>镇中心卫生院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single" w:sz="4" w:space="0" w:color="auto"/>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台式计算机</w:t>
            </w:r>
          </w:p>
        </w:tc>
        <w:tc>
          <w:tcPr>
            <w:tcW w:w="143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4</w:t>
            </w: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4</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便携式计算机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1.5</w:t>
            </w: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投影仪</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0.5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lang w:eastAsia="zh-CN"/>
              </w:rPr>
            </w:pPr>
            <w:r>
              <w:rPr>
                <w:rFonts w:ascii="TimesNewRoman" w:hAnsi="TimesNewRoman" w:cs="TimesNewRoman" w:hint="eastAsia"/>
                <w:kern w:val="0"/>
                <w:sz w:val="20"/>
              </w:rPr>
              <w:t xml:space="preserve">  </w:t>
            </w:r>
            <w:r>
              <w:rPr>
                <w:rFonts w:ascii="TimesNewRoman" w:hAnsi="TimesNewRoman" w:cs="TimesNewRoman" w:hint="eastAsia"/>
                <w:kern w:val="0"/>
                <w:sz w:val="20"/>
                <w:lang w:val="en-US" w:eastAsia="zh-CN"/>
              </w:rPr>
              <w:t>A3</w:t>
            </w:r>
            <w:r>
              <w:rPr>
                <w:rFonts w:ascii="TimesNewRoman" w:hAnsi="TimesNewRoman" w:cs="TimesNewRoman" w:hint="eastAsia"/>
                <w:kern w:val="0"/>
                <w:sz w:val="20"/>
                <w:lang w:eastAsia="zh-CN"/>
              </w:rPr>
              <w:t>黑白打印机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0.65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0.65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kern w:val="0"/>
                <w:sz w:val="20"/>
                <w:szCs w:val="24"/>
                <w:lang w:val="en-US" w:eastAsia="zh-CN" w:bidi="ar-SA"/>
              </w:rPr>
            </w:pPr>
            <w:r>
              <w:rPr>
                <w:rFonts w:ascii="TimesNewRoman" w:hAnsi="TimesNewRoman" w:cs="TimesNewRoman"/>
                <w:kern w:val="0"/>
                <w:sz w:val="20"/>
              </w:rPr>
              <w:t>乡镇卫生院医疗卫生支出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eastAsia="宋体" w:hAnsi="TimesNewRoman" w:cs="TimesNewRoman" w:hint="eastAsia"/>
                <w:kern w:val="0"/>
                <w:sz w:val="20"/>
                <w:szCs w:val="24"/>
                <w:lang w:val="en-US" w:eastAsia="zh-CN" w:bidi="ar-SA"/>
              </w:rPr>
            </w:pPr>
            <w:r>
              <w:rPr>
                <w:rFonts w:ascii="TimesNewRoman" w:hAnsi="TimesNewRoman" w:cs="TimesNewRoman" w:hint="eastAsia"/>
                <w:kern w:val="0"/>
                <w:sz w:val="20"/>
              </w:rPr>
              <w:t xml:space="preserve">  </w:t>
            </w:r>
            <w:r>
              <w:rPr>
                <w:rFonts w:ascii="TimesNewRoman" w:hAnsi="TimesNewRoman" w:cs="TimesNewRoman" w:hint="eastAsia"/>
                <w:kern w:val="0"/>
                <w:sz w:val="20"/>
                <w:lang w:val="en-US" w:eastAsia="zh-CN"/>
              </w:rPr>
              <w:t>A4</w:t>
            </w:r>
            <w:r>
              <w:rPr>
                <w:rFonts w:ascii="TimesNewRoman" w:hAnsi="TimesNewRoman" w:cs="TimesNewRoman" w:hint="eastAsia"/>
                <w:kern w:val="0"/>
                <w:sz w:val="20"/>
                <w:lang w:eastAsia="zh-CN"/>
              </w:rPr>
              <w:t>黑白打印机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hint="default"/>
                <w:kern w:val="0"/>
                <w:sz w:val="20"/>
                <w:lang w:val="en-US" w:eastAsia="zh-CN"/>
              </w:rPr>
            </w:pPr>
            <w:r>
              <w:rPr>
                <w:rFonts w:ascii="TimesNewRoman" w:hAnsi="TimesNewRoman" w:cs="TimesNewRoman" w:hint="eastAsia"/>
                <w:kern w:val="0"/>
                <w:sz w:val="20"/>
                <w:lang w:val="en-US" w:eastAsia="zh-CN"/>
              </w:rPr>
              <w:t>1.5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eastAsia="宋体" w:hAnsi="TimesNewRoman" w:cs="TimesNewRoman" w:hint="default"/>
                <w:kern w:val="0"/>
                <w:sz w:val="20"/>
                <w:lang w:val="en-US" w:eastAsia="zh-CN"/>
              </w:rPr>
            </w:pPr>
            <w:r>
              <w:rPr>
                <w:rFonts w:ascii="TimesNewRoman" w:hAnsi="TimesNewRoman" w:cs="TimesNewRoman" w:hint="eastAsia"/>
                <w:kern w:val="0"/>
                <w:sz w:val="20"/>
                <w:lang w:val="en-US" w:eastAsia="zh-CN"/>
              </w:rPr>
              <w:t>1.5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乡镇卫生院医疗卫生支出</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hint="eastAsia"/>
                <w:kern w:val="0"/>
                <w:sz w:val="20"/>
              </w:rPr>
              <w:t xml:space="preserve">  票据打印机</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rPr>
              <w:t>0.5</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8.65</w:t>
            </w: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ign w:val="center"/>
          </w:tcPr>
          <w:p>
            <w:pPr>
              <w:widowControl/>
              <w:spacing w:line="280" w:lineRule="exact"/>
              <w:jc w:val="right"/>
              <w:rPr>
                <w:rFonts w:ascii="TimesNewRoman" w:hAnsi="TimesNewRoman" w:cs="TimesNewRoman"/>
                <w:kern w:val="0"/>
                <w:sz w:val="20"/>
              </w:rPr>
            </w:pPr>
            <w:r>
              <w:rPr>
                <w:rFonts w:ascii="TimesNewRoman" w:hAnsi="TimesNewRoman" w:cs="TimesNewRoman" w:hint="eastAsia"/>
                <w:kern w:val="0"/>
                <w:sz w:val="20"/>
                <w:lang w:val="en-US" w:eastAsia="zh-CN"/>
              </w:rPr>
              <w:t>8.65</w:t>
            </w: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kern w:val="0"/>
          <w:sz w:val="22"/>
        </w:rPr>
        <w:t xml:space="preserve">注： </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right"/>
        <w:rPr>
          <w:rFonts w:ascii="TimesNewRoman" w:hAnsi="TimesNewRoman" w:cs="TimesNewRoman"/>
          <w:sz w:val="20"/>
          <w:szCs w:val="20"/>
        </w:rPr>
      </w:pPr>
      <w:r>
        <w:rPr>
          <w:rFonts w:ascii="TimesNewRoman" w:hAnsi="TimesNewRoman" w:cs="TimesNewRoman"/>
          <w:sz w:val="20"/>
          <w:szCs w:val="20"/>
          <w:u w:val="non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小甸</w:t>
            </w:r>
            <w:r>
              <w:rPr>
                <w:rFonts w:ascii="宋体" w:hAnsi="宋体" w:cs="TimesNewRoman"/>
                <w:b/>
                <w:bCs/>
                <w:kern w:val="0"/>
                <w:sz w:val="28"/>
                <w:szCs w:val="32"/>
              </w:rPr>
              <w:t>镇中心卫生院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项目名称</w:t>
            </w:r>
          </w:p>
        </w:tc>
        <w:tc>
          <w:tcPr>
            <w:tcW w:w="194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一级目录名称</w:t>
            </w:r>
          </w:p>
        </w:tc>
        <w:tc>
          <w:tcPr>
            <w:tcW w:w="17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二级目录名称</w:t>
            </w:r>
          </w:p>
        </w:tc>
        <w:tc>
          <w:tcPr>
            <w:tcW w:w="1928"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三级目录名称</w:t>
            </w:r>
          </w:p>
        </w:tc>
        <w:tc>
          <w:tcPr>
            <w:tcW w:w="2477"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合计</w:t>
            </w:r>
          </w:p>
        </w:tc>
        <w:tc>
          <w:tcPr>
            <w:tcW w:w="194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注：未安排政府购买服务预算的（单位），也要公开空白表，并备注说明“</w:t>
      </w:r>
      <w:r>
        <w:rPr>
          <w:rFonts w:ascii="TimesNewRoman" w:hAnsi="TimesNewRoman" w:cs="TimesNewRoman" w:hint="eastAsia"/>
          <w:kern w:val="0"/>
          <w:sz w:val="22"/>
        </w:rPr>
        <w:t>寿县正阳</w:t>
      </w:r>
      <w:r>
        <w:rPr>
          <w:rFonts w:ascii="TimesNewRoman" w:hAnsi="TimesNewRoman" w:cs="TimesNewRoman"/>
          <w:kern w:val="0"/>
          <w:sz w:val="22"/>
        </w:rPr>
        <w:t>关镇中心卫生院没有安排政府购买服务支出，故本表无数据”。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bookmarkStart w:id="0" w:name="_GoBack"/>
      <w:bookmarkEnd w:id="0"/>
      <w:r>
        <w:rPr>
          <w:rFonts w:ascii="TimesNewRoman" w:eastAsia="黑体" w:hAnsi="TimesNewRoman" w:cs="TimesNewRoman"/>
          <w:bCs/>
          <w:sz w:val="36"/>
          <w:szCs w:val="36"/>
        </w:rPr>
        <w:t>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镇中心卫生院所有收入和支出均纳入部门预算管理。寿县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镇中心卫生院2024年收支总预算</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万元，收入包括一般公共预算拨款收入</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万元，单位资金收入</w:t>
      </w:r>
      <w:r>
        <w:rPr>
          <w:rFonts w:ascii="仿宋_GB2312" w:eastAsia="仿宋_GB2312" w:hAnsi="TimesNewRoman" w:cs="TimesNewRoman" w:hint="eastAsia"/>
          <w:sz w:val="32"/>
          <w:szCs w:val="32"/>
          <w:lang w:val="en-US" w:eastAsia="zh-CN"/>
        </w:rPr>
        <w:t>850</w:t>
      </w:r>
      <w:r>
        <w:rPr>
          <w:rFonts w:ascii="仿宋_GB2312" w:eastAsia="仿宋_GB2312" w:hAnsi="TimesNewRoman" w:cs="TimesNewRoman" w:hint="eastAsia"/>
          <w:sz w:val="32"/>
          <w:szCs w:val="32"/>
        </w:rPr>
        <w:t>万元，支出包括：社会保障和就业支出</w:t>
      </w:r>
      <w:r>
        <w:rPr>
          <w:rFonts w:ascii="仿宋_GB2312" w:eastAsia="仿宋_GB2312" w:hAnsi="TimesNewRoman" w:cs="TimesNewRoman" w:hint="eastAsia"/>
          <w:sz w:val="32"/>
          <w:szCs w:val="32"/>
          <w:lang w:val="en-US" w:eastAsia="zh-CN"/>
        </w:rPr>
        <w:t>104.12</w:t>
      </w:r>
      <w:r>
        <w:rPr>
          <w:rFonts w:ascii="仿宋_GB2312" w:eastAsia="仿宋_GB2312" w:hAnsi="TimesNewRoman" w:cs="TimesNewRoman" w:hint="eastAsia"/>
          <w:sz w:val="32"/>
          <w:szCs w:val="32"/>
        </w:rPr>
        <w:t>万元、卫生健康支出</w:t>
      </w:r>
      <w:r>
        <w:rPr>
          <w:rFonts w:ascii="仿宋_GB2312" w:eastAsia="仿宋_GB2312" w:hAnsi="TimesNewRoman" w:cs="TimesNewRoman" w:hint="eastAsia"/>
          <w:sz w:val="32"/>
          <w:szCs w:val="32"/>
          <w:lang w:val="en-US" w:eastAsia="zh-CN"/>
        </w:rPr>
        <w:t>1091.74</w:t>
      </w:r>
      <w:r>
        <w:rPr>
          <w:rFonts w:ascii="仿宋_GB2312" w:eastAsia="仿宋_GB2312" w:hAnsi="TimesNewRoman" w:cs="TimesNewRoman" w:hint="eastAsia"/>
          <w:sz w:val="32"/>
          <w:szCs w:val="32"/>
        </w:rPr>
        <w:t>万元、住房保障支出</w:t>
      </w:r>
      <w:r>
        <w:rPr>
          <w:rFonts w:ascii="仿宋_GB2312" w:eastAsia="仿宋_GB2312" w:hAnsi="TimesNewRoman" w:cs="TimesNewRoman" w:hint="eastAsia"/>
          <w:sz w:val="32"/>
          <w:szCs w:val="32"/>
          <w:lang w:val="en-US" w:eastAsia="zh-CN"/>
        </w:rPr>
        <w:t>26.42</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小甸</w:t>
      </w:r>
      <w:r>
        <w:rPr>
          <w:rFonts w:ascii="仿宋_GB2312" w:eastAsia="仿宋_GB2312" w:hAnsi="TimesNewRoman" w:cs="TimesNewRoman" w:hint="eastAsia"/>
          <w:kern w:val="0"/>
          <w:sz w:val="32"/>
          <w:szCs w:val="32"/>
        </w:rPr>
        <w:t>镇中心卫生院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1222.28</w:t>
      </w:r>
      <w:r>
        <w:rPr>
          <w:rFonts w:ascii="仿宋_GB2312" w:eastAsia="仿宋_GB2312" w:hAnsi="TimesNewRoman" w:cs="TimesNewRoman" w:hint="eastAsia"/>
          <w:sz w:val="32"/>
          <w:szCs w:val="32"/>
        </w:rPr>
        <w:t>万元，上年结转收入0万元。</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1222.28</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371.54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30.3</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53.82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15.56</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3</w:t>
      </w:r>
      <w:r>
        <w:rPr>
          <w:rFonts w:ascii="仿宋_GB2312" w:eastAsia="仿宋_GB2312" w:hAnsi="TimesNewRoman" w:cs="TimesNewRoman" w:hint="eastAsia"/>
          <w:sz w:val="32"/>
          <w:szCs w:val="32"/>
        </w:rPr>
        <w:t>、人员预算增加，基本支出增加，2、调整退休人员补贴，纳入年初预算；单位资金收入</w:t>
      </w:r>
      <w:r>
        <w:rPr>
          <w:rFonts w:ascii="仿宋_GB2312" w:eastAsia="仿宋_GB2312" w:hAnsi="TimesNewRoman" w:cs="TimesNewRoman" w:hint="eastAsia"/>
          <w:sz w:val="32"/>
          <w:szCs w:val="32"/>
          <w:lang w:val="en-US" w:eastAsia="zh-CN"/>
        </w:rPr>
        <w:t>850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69.5</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300</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65</w:t>
      </w:r>
      <w:r>
        <w:rPr>
          <w:rFonts w:ascii="仿宋_GB2312" w:eastAsia="仿宋_GB2312" w:hAnsi="TimesNewRoman" w:cs="TimesNewRoman" w:hint="eastAsia"/>
          <w:sz w:val="32"/>
          <w:szCs w:val="32"/>
        </w:rPr>
        <w:t>%，增长原因主要是新冠疫情结束，医疗业务收入增加。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镇中心卫生院2024年支出预算</w:t>
      </w:r>
      <w:r>
        <w:rPr>
          <w:rFonts w:ascii="仿宋_GB2312" w:eastAsia="仿宋_GB2312" w:hAnsi="TimesNewRoman" w:cs="TimesNewRoman" w:hint="eastAsia"/>
          <w:sz w:val="32"/>
          <w:szCs w:val="32"/>
          <w:lang w:val="en-US" w:eastAsia="zh-CN"/>
        </w:rPr>
        <w:t>1222.28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353.82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40.74</w:t>
      </w:r>
      <w:r>
        <w:rPr>
          <w:rFonts w:ascii="仿宋_GB2312" w:eastAsia="仿宋_GB2312" w:hAnsi="TimesNewRoman" w:cs="TimesNewRoman" w:hint="eastAsia"/>
          <w:sz w:val="32"/>
          <w:szCs w:val="32"/>
        </w:rPr>
        <w:t>%，增长原因主要是1、调整退休人员补贴，纳入年初预算2、疫情结束业务增加，药品支出增加3、人员福利增加。其中，基本支出</w:t>
      </w:r>
      <w:r>
        <w:rPr>
          <w:rFonts w:ascii="仿宋_GB2312" w:eastAsia="仿宋_GB2312" w:hAnsi="TimesNewRoman" w:cs="TimesNewRoman" w:hint="eastAsia"/>
          <w:sz w:val="32"/>
          <w:szCs w:val="32"/>
          <w:lang w:val="en-US" w:eastAsia="zh-CN"/>
        </w:rPr>
        <w:t>367.78</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30.08</w:t>
      </w:r>
      <w:r>
        <w:rPr>
          <w:rFonts w:ascii="仿宋_GB2312" w:eastAsia="仿宋_GB2312" w:hAnsi="TimesNewRoman" w:cs="TimesNewRoman" w:hint="eastAsia"/>
          <w:sz w:val="32"/>
          <w:szCs w:val="32"/>
        </w:rPr>
        <w:t>%，主要用于保障机构日常运转、完成日常工作任务正常开展、人员工资，社保及住房公积金的支出；项目支出</w:t>
      </w:r>
      <w:r>
        <w:rPr>
          <w:rFonts w:ascii="仿宋_GB2312" w:eastAsia="仿宋_GB2312" w:hAnsi="TimesNewRoman" w:cs="TimesNewRoman" w:hint="eastAsia"/>
          <w:sz w:val="32"/>
          <w:szCs w:val="32"/>
          <w:lang w:val="en-US" w:eastAsia="zh-CN"/>
        </w:rPr>
        <w:t>3.76</w:t>
      </w:r>
      <w:r>
        <w:rPr>
          <w:rFonts w:ascii="仿宋_GB2312" w:eastAsia="仿宋_GB2312" w:hAnsi="TimesNewRoman" w:cs="TimesNewRoman" w:hint="eastAsia"/>
          <w:sz w:val="32"/>
          <w:szCs w:val="32"/>
        </w:rPr>
        <w:t>万元，占0.</w:t>
      </w:r>
      <w:r>
        <w:rPr>
          <w:rFonts w:ascii="仿宋_GB2312" w:eastAsia="仿宋_GB2312" w:hAnsi="TimesNewRoman" w:cs="TimesNewRoman" w:hint="eastAsia"/>
          <w:sz w:val="32"/>
          <w:szCs w:val="32"/>
          <w:lang w:val="en-US" w:eastAsia="zh-CN"/>
        </w:rPr>
        <w:t>3</w:t>
      </w:r>
      <w:r>
        <w:rPr>
          <w:rFonts w:ascii="仿宋_GB2312" w:eastAsia="仿宋_GB2312" w:hAnsi="TimesNewRoman" w:cs="TimesNewRoman" w:hint="eastAsia"/>
          <w:sz w:val="32"/>
          <w:szCs w:val="32"/>
        </w:rPr>
        <w:t>%，主要用于三年过度安置人员工资支出及公共卫生项目支出；事业单位经营支出</w:t>
      </w:r>
      <w:r>
        <w:rPr>
          <w:rFonts w:ascii="仿宋_GB2312" w:eastAsia="仿宋_GB2312" w:hAnsi="TimesNewRoman" w:cs="TimesNewRoman" w:hint="eastAsia"/>
          <w:sz w:val="32"/>
          <w:szCs w:val="32"/>
          <w:lang w:val="en-US" w:eastAsia="zh-CN"/>
        </w:rPr>
        <w:t>850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69.54</w:t>
      </w:r>
      <w:r>
        <w:rPr>
          <w:rFonts w:ascii="仿宋_GB2312" w:eastAsia="仿宋_GB2312" w:hAnsi="TimesNewRoman" w:cs="TimesNewRoman" w:hint="eastAsia"/>
          <w:sz w:val="32"/>
          <w:szCs w:val="32"/>
        </w:rPr>
        <w:t>%，主要用于单位的正常开支运转，网采药品及人员福利支出；。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镇中心卫生院2024年财政拨款收支预算</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万元，上年结转收入0万元。支出按功能分类分为：社会保障和就业支出</w:t>
      </w:r>
      <w:r>
        <w:rPr>
          <w:rFonts w:ascii="仿宋_GB2312" w:eastAsia="仿宋_GB2312" w:hAnsi="TimesNewRoman" w:cs="TimesNewRoman" w:hint="eastAsia"/>
          <w:sz w:val="32"/>
          <w:szCs w:val="32"/>
          <w:lang w:val="en-US" w:eastAsia="zh-CN"/>
        </w:rPr>
        <w:t>104.12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27.97</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237.25</w:t>
      </w:r>
      <w:r>
        <w:rPr>
          <w:rFonts w:ascii="仿宋_GB2312" w:eastAsia="仿宋_GB2312" w:hAnsi="TimesNewRoman" w:cs="TimesNewRoman" w:hint="eastAsia"/>
          <w:sz w:val="32"/>
          <w:szCs w:val="32"/>
        </w:rPr>
        <w:t>万元，占6</w:t>
      </w:r>
      <w:r>
        <w:rPr>
          <w:rFonts w:ascii="仿宋_GB2312" w:eastAsia="仿宋_GB2312" w:hAnsi="TimesNewRoman" w:cs="TimesNewRoman" w:hint="eastAsia"/>
          <w:sz w:val="32"/>
          <w:szCs w:val="32"/>
          <w:lang w:val="en-US" w:eastAsia="zh-CN"/>
        </w:rPr>
        <w:t>3.82</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26.42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8.21</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镇中心卫生院2024年一般公共预算支出</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53.82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16.9</w:t>
      </w:r>
      <w:r>
        <w:rPr>
          <w:rFonts w:ascii="仿宋_GB2312" w:eastAsia="仿宋_GB2312" w:hAnsi="TimesNewRoman" w:cs="TimesNewRoman" w:hint="eastAsia"/>
          <w:sz w:val="32"/>
          <w:szCs w:val="32"/>
        </w:rPr>
        <w:t>%，主要原因：一是调整退休人员补贴，纳入年初预算；二是人员预算增加，基本支出增加。</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104.12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27.96</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237.25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63.72</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26.42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7.09</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 社会保障和就业支出（类）行政事业单位养老支出（款）事业单位离退休（项）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49.73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3.8</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0.92</w:t>
      </w:r>
      <w:r>
        <w:rPr>
          <w:rFonts w:ascii="仿宋_GB2312" w:eastAsia="仿宋_GB2312" w:hAnsi="TimesNewRoman" w:cs="TimesNewRoman" w:hint="eastAsia"/>
          <w:sz w:val="32"/>
          <w:szCs w:val="32"/>
        </w:rPr>
        <w:t>%，增长原因主要是退休人员增加。</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 社会保障和就业支出（类）行政事业单位养老支出（款）机关事业单位基本养老保险缴费支出（项）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35.23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0.43</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0.98</w:t>
      </w:r>
      <w:r>
        <w:rPr>
          <w:rFonts w:ascii="仿宋_GB2312" w:eastAsia="仿宋_GB2312" w:hAnsi="TimesNewRoman" w:cs="TimesNewRoman" w:hint="eastAsia"/>
          <w:sz w:val="32"/>
          <w:szCs w:val="32"/>
        </w:rPr>
        <w:t>%，增长原因主要是人员工资增加，职工调资调级。</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3.社会保障和就业支出（类）行政事业单位养老支出（款）机关事业单位职业年金缴费支出（项）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17.61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0.21</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0.98</w:t>
      </w:r>
      <w:r>
        <w:rPr>
          <w:rFonts w:ascii="仿宋_GB2312" w:eastAsia="仿宋_GB2312" w:hAnsi="TimesNewRoman" w:cs="TimesNewRoman" w:hint="eastAsia"/>
          <w:sz w:val="32"/>
          <w:szCs w:val="32"/>
        </w:rPr>
        <w:t>%，增长原因主要是人员工资增加，职工调资调级。</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4. 社会保障和就业支出（类）其他社会保障和就业支出（款）其他社会保障和就业支出（项）</w:t>
      </w:r>
      <w:r>
        <w:rPr>
          <w:rFonts w:ascii="仿宋_GB2312" w:eastAsia="仿宋_GB2312" w:hAnsi="TimesNewRoman" w:cs="TimesNewRoman" w:hint="eastAsia"/>
          <w:sz w:val="32"/>
          <w:szCs w:val="32"/>
        </w:rPr>
        <w:t>2024年预算1.</w:t>
      </w:r>
      <w:r>
        <w:rPr>
          <w:rFonts w:ascii="仿宋_GB2312" w:eastAsia="仿宋_GB2312" w:hAnsi="TimesNewRoman" w:cs="TimesNewRoman" w:hint="eastAsia"/>
          <w:sz w:val="32"/>
          <w:szCs w:val="32"/>
          <w:lang w:val="en-US" w:eastAsia="zh-CN"/>
        </w:rPr>
        <w:t>54</w:t>
      </w:r>
      <w:r>
        <w:rPr>
          <w:rFonts w:ascii="仿宋_GB2312" w:eastAsia="仿宋_GB2312" w:hAnsi="TimesNewRoman" w:cs="TimesNewRoman" w:hint="eastAsia"/>
          <w:sz w:val="32"/>
          <w:szCs w:val="32"/>
        </w:rPr>
        <w:t>万元，比2023年预算增加0.</w:t>
      </w:r>
      <w:r>
        <w:rPr>
          <w:rFonts w:ascii="仿宋_GB2312" w:eastAsia="仿宋_GB2312" w:hAnsi="TimesNewRoman" w:cs="TimesNewRoman" w:hint="eastAsia"/>
          <w:sz w:val="32"/>
          <w:szCs w:val="32"/>
          <w:lang w:val="en-US" w:eastAsia="zh-CN"/>
        </w:rPr>
        <w:t>02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0.98</w:t>
      </w:r>
      <w:r>
        <w:rPr>
          <w:rFonts w:ascii="仿宋_GB2312" w:eastAsia="仿宋_GB2312" w:hAnsi="TimesNewRoman" w:cs="TimesNewRoman" w:hint="eastAsia"/>
          <w:sz w:val="32"/>
          <w:szCs w:val="32"/>
        </w:rPr>
        <w:t>%，增长原因主要是人员工资增加，职工调资调级。</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5. 卫生健康支出（类）基层医疗卫生机构支出（款）乡镇卫生院（项）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222.05</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eastAsia="zh-CN"/>
        </w:rPr>
        <w:t>减少</w:t>
      </w:r>
      <w:r>
        <w:rPr>
          <w:rFonts w:ascii="仿宋_GB2312" w:eastAsia="仿宋_GB2312" w:hAnsi="TimesNewRoman" w:cs="TimesNewRoman" w:hint="eastAsia"/>
          <w:sz w:val="32"/>
          <w:szCs w:val="32"/>
          <w:lang w:val="en-US" w:eastAsia="zh-CN"/>
        </w:rPr>
        <w:t>1.57</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下降</w:t>
      </w:r>
      <w:r>
        <w:rPr>
          <w:rFonts w:ascii="仿宋_GB2312" w:eastAsia="仿宋_GB2312" w:hAnsi="TimesNewRoman" w:cs="TimesNewRoman" w:hint="eastAsia"/>
          <w:sz w:val="32"/>
          <w:szCs w:val="32"/>
          <w:lang w:val="en-US" w:eastAsia="zh-CN"/>
        </w:rPr>
        <w:t>0.99</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下降</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eastAsia="zh-CN"/>
        </w:rPr>
        <w:t>在职人员转退休</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6. 卫生健康支出（类）公共卫生（款）基本公共卫生服务（项）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0.73</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0.73</w:t>
      </w:r>
      <w:r>
        <w:rPr>
          <w:rFonts w:ascii="仿宋_GB2312" w:eastAsia="仿宋_GB2312" w:hAnsi="TimesNewRoman" w:cs="TimesNewRoman" w:hint="eastAsia"/>
          <w:sz w:val="32"/>
          <w:szCs w:val="32"/>
        </w:rPr>
        <w:t>万元，增长100%，增长原因主要是2023年无此项目经费。</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7. 卫生健康支出（类）行政事业单位医疗（款）事业单位医疗（项）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15.19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0.09</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0.99</w:t>
      </w:r>
      <w:r>
        <w:rPr>
          <w:rFonts w:ascii="仿宋_GB2312" w:eastAsia="仿宋_GB2312" w:hAnsi="TimesNewRoman" w:cs="TimesNewRoman" w:hint="eastAsia"/>
          <w:sz w:val="32"/>
          <w:szCs w:val="32"/>
        </w:rPr>
        <w:t>%，增长原因主要是职工人员工资调整，事业单位医疗支出增加。</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8.住房保障支出（类）住房改革支出（款）住房公积金（项）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26.42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0.32</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0.98</w:t>
      </w:r>
      <w:r>
        <w:rPr>
          <w:rFonts w:ascii="仿宋_GB2312" w:eastAsia="仿宋_GB2312" w:hAnsi="TimesNewRoman" w:cs="TimesNewRoman" w:hint="eastAsia"/>
          <w:sz w:val="32"/>
          <w:szCs w:val="32"/>
        </w:rPr>
        <w:t>%，增长（下降）原因主要是职工调资调级，人员经费增加。</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镇中心卫生院2024年一般公共预算基本支出</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372.28</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基本工资、绩效工资、机关事业单位基本养老保险费、职业年金缴费、职工基本医疗保险缴费、其他社会保障缴费、住房公积金、其他工资福利支出、、退休费、生活补助支出。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镇中心卫生院2024年预算共安排项目支出</w:t>
      </w:r>
      <w:r>
        <w:rPr>
          <w:rFonts w:ascii="仿宋_GB2312" w:eastAsia="仿宋_GB2312" w:hAnsi="TimesNewRoman" w:cs="TimesNewRoman" w:hint="eastAsia"/>
          <w:sz w:val="32"/>
          <w:szCs w:val="32"/>
          <w:lang w:val="en-US" w:eastAsia="zh-CN"/>
        </w:rPr>
        <w:t>853.76</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303.76</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64.42</w:t>
      </w:r>
      <w:r>
        <w:rPr>
          <w:rFonts w:ascii="仿宋_GB2312" w:eastAsia="仿宋_GB2312" w:hAnsi="TimesNewRoman" w:cs="TimesNewRoman" w:hint="eastAsia"/>
          <w:sz w:val="32"/>
          <w:szCs w:val="32"/>
        </w:rPr>
        <w:t>%，增长原因主要是疫情结束，业务收入增加。主要包括：本年财政拨款安排</w:t>
      </w:r>
      <w:r>
        <w:rPr>
          <w:rFonts w:ascii="仿宋_GB2312" w:eastAsia="仿宋_GB2312" w:hAnsi="TimesNewRoman" w:cs="TimesNewRoman" w:hint="eastAsia"/>
          <w:sz w:val="32"/>
          <w:szCs w:val="32"/>
          <w:lang w:val="en-US" w:eastAsia="zh-CN"/>
        </w:rPr>
        <w:t>3.76</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3.76</w:t>
      </w:r>
      <w:r>
        <w:rPr>
          <w:rFonts w:ascii="仿宋_GB2312" w:eastAsia="仿宋_GB2312" w:hAnsi="TimesNewRoman" w:cs="TimesNewRoman" w:hint="eastAsia"/>
          <w:sz w:val="32"/>
          <w:szCs w:val="32"/>
        </w:rPr>
        <w:t>万元），单位资金安排</w:t>
      </w:r>
      <w:r>
        <w:rPr>
          <w:rFonts w:ascii="仿宋_GB2312" w:eastAsia="仿宋_GB2312" w:hAnsi="TimesNewRoman" w:cs="TimesNewRoman" w:hint="eastAsia"/>
          <w:sz w:val="32"/>
          <w:szCs w:val="32"/>
          <w:lang w:val="en-US" w:eastAsia="zh-CN"/>
        </w:rPr>
        <w:t>850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highlight w:val="none"/>
        </w:rPr>
        <w:t>寿县</w:t>
      </w:r>
      <w:r>
        <w:rPr>
          <w:rFonts w:ascii="仿宋_GB2312" w:eastAsia="仿宋_GB2312" w:hAnsi="TimesNewRoman" w:cs="TimesNewRoman" w:hint="eastAsia"/>
          <w:sz w:val="32"/>
          <w:szCs w:val="32"/>
          <w:highlight w:val="none"/>
          <w:lang w:eastAsia="zh-CN"/>
        </w:rPr>
        <w:t>小甸</w:t>
      </w:r>
      <w:r>
        <w:rPr>
          <w:rFonts w:ascii="仿宋_GB2312" w:eastAsia="仿宋_GB2312" w:hAnsi="TimesNewRoman" w:cs="TimesNewRoman" w:hint="eastAsia"/>
          <w:sz w:val="32"/>
          <w:szCs w:val="32"/>
          <w:highlight w:val="none"/>
        </w:rPr>
        <w:t>镇中心卫生院2024年预算安排政府采购支出</w:t>
      </w:r>
      <w:r>
        <w:rPr>
          <w:rFonts w:ascii="仿宋_GB2312" w:eastAsia="仿宋_GB2312" w:hAnsi="TimesNewRoman" w:cs="TimesNewRoman" w:hint="eastAsia"/>
          <w:sz w:val="32"/>
          <w:szCs w:val="32"/>
          <w:highlight w:val="none"/>
          <w:lang w:val="en-US" w:eastAsia="zh-CN"/>
        </w:rPr>
        <w:t>8.65</w:t>
      </w:r>
      <w:r>
        <w:rPr>
          <w:rFonts w:ascii="仿宋_GB2312" w:eastAsia="仿宋_GB2312" w:hAnsi="TimesNewRoman" w:cs="TimesNewRoman" w:hint="eastAsia"/>
          <w:sz w:val="32"/>
          <w:szCs w:val="32"/>
        </w:rPr>
        <w:t>万元，比2023年预算</w:t>
      </w:r>
      <w:r>
        <w:rPr>
          <w:rFonts w:ascii="仿宋_GB2312" w:eastAsia="仿宋_GB2312" w:hAnsi="TimesNewRoman" w:cs="TimesNewRoman" w:hint="eastAsia"/>
          <w:sz w:val="32"/>
          <w:szCs w:val="32"/>
          <w:lang w:eastAsia="zh-CN"/>
        </w:rPr>
        <w:t>减少</w:t>
      </w:r>
      <w:r>
        <w:rPr>
          <w:rFonts w:ascii="仿宋_GB2312" w:eastAsia="仿宋_GB2312" w:hAnsi="TimesNewRoman" w:cs="TimesNewRoman" w:hint="eastAsia"/>
          <w:sz w:val="32"/>
          <w:szCs w:val="32"/>
          <w:lang w:val="en-US" w:eastAsia="zh-CN"/>
        </w:rPr>
        <w:t>7.58</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下降</w:t>
      </w:r>
      <w:r>
        <w:rPr>
          <w:rFonts w:ascii="仿宋_GB2312" w:eastAsia="仿宋_GB2312" w:hAnsi="TimesNewRoman" w:cs="TimesNewRoman" w:hint="eastAsia"/>
          <w:sz w:val="32"/>
          <w:szCs w:val="32"/>
          <w:lang w:val="en-US" w:eastAsia="zh-CN"/>
        </w:rPr>
        <w:t>47.81</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下降</w:t>
      </w:r>
      <w:r>
        <w:rPr>
          <w:rFonts w:ascii="仿宋_GB2312" w:eastAsia="仿宋_GB2312" w:hAnsi="TimesNewRoman" w:cs="TimesNewRoman" w:hint="eastAsia"/>
          <w:sz w:val="32"/>
          <w:szCs w:val="32"/>
        </w:rPr>
        <w:t>原因主要是</w:t>
      </w:r>
      <w:r>
        <w:rPr>
          <w:rFonts w:ascii="仿宋_GB2312" w:eastAsia="仿宋_GB2312" w:hAnsi="TimesNewRoman" w:cs="TimesNewRoman" w:hint="eastAsia"/>
          <w:sz w:val="32"/>
          <w:szCs w:val="32"/>
          <w:lang w:eastAsia="zh-CN"/>
        </w:rPr>
        <w:t>办公设备缩减</w:t>
      </w:r>
      <w:r>
        <w:rPr>
          <w:rFonts w:ascii="仿宋_GB2312" w:eastAsia="仿宋_GB2312" w:hAnsi="TimesNewRoman" w:cs="TimesNewRoman" w:hint="eastAsia"/>
          <w:sz w:val="32"/>
          <w:szCs w:val="32"/>
        </w:rPr>
        <w:t>。其中单位资金安排</w:t>
      </w:r>
      <w:r>
        <w:rPr>
          <w:rFonts w:ascii="仿宋_GB2312" w:eastAsia="仿宋_GB2312" w:hAnsi="TimesNewRoman" w:cs="TimesNewRoman" w:hint="eastAsia"/>
          <w:sz w:val="32"/>
          <w:szCs w:val="32"/>
          <w:lang w:val="en-US" w:eastAsia="zh-CN"/>
        </w:rPr>
        <w:t>8.65</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2.32</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1.“乡镇卫生院医疗卫生支出”项目。</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（1）项目概述。1、加快我院的发展，提高我院的医疗安全质量，为患者提供一个安全放心的就医场所；2、保障我院日常开支，确保日常后勤工作顺利开展。</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（2）立项依据。为人民身体健康提供医疗保健服务，常见病多发病诊治与护理、卫生防疫、妇幼保健、计划免疫、乡村医生业务培训、卫生员业务培训、初级卫生保健规划实施。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（3）实施主体。寿县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（4）起止时间。2024年1月1日至2024年12月31日</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（5）项目内容。为人民身体健康提供医疗保健服务，常见病多发病诊治与护理、卫生防疫、妇幼保健、计划免疫、乡村医生业务培训、卫生员业务培训、初级卫生保健规划实施。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val="en-US" w:eastAsia="zh-CN"/>
        </w:rPr>
        <w:t>850万</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（7）绩效目标。为人民身体健康提供医疗保健服务，常见病多发病诊治与护理、卫生防疫、妇幼保健、计划免疫、乡村医生业务培训、卫生员业务培训、初级卫生保健规划实施。</w:t>
      </w:r>
    </w:p>
    <w:p>
      <w:pPr>
        <w:topLinePunct/>
        <w:adjustRightInd w:val="0"/>
        <w:snapToGrid w:val="0"/>
        <w:spacing w:line="580" w:lineRule="exact"/>
        <w:ind w:firstLine="640" w:firstLineChars="200"/>
        <w:rPr>
          <w:rFonts w:ascii="仿宋_GB2312" w:eastAsia="仿宋_GB2312" w:hAnsi="楷体"/>
          <w:sz w:val="32"/>
          <w:szCs w:val="32"/>
        </w:rPr>
      </w:pPr>
    </w:p>
    <w:p>
      <w:pPr>
        <w:topLinePunct/>
        <w:adjustRightInd w:val="0"/>
        <w:snapToGrid w:val="0"/>
        <w:spacing w:line="580" w:lineRule="exact"/>
        <w:ind w:firstLine="640" w:firstLineChars="200"/>
        <w:rPr>
          <w:rFonts w:ascii="仿宋_GB2312" w:eastAsia="仿宋_GB2312" w:hAnsi="楷体"/>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663"/>
        <w:gridCol w:w="342"/>
        <w:gridCol w:w="366"/>
        <w:gridCol w:w="2983"/>
        <w:gridCol w:w="278"/>
        <w:gridCol w:w="1570"/>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8"/>
            <w:tcBorders>
              <w:top w:val="nil"/>
              <w:left w:val="nil"/>
              <w:bottom w:val="nil"/>
              <w:right w:val="nil"/>
            </w:tcBorders>
            <w:noWrap/>
            <w:vAlign w:val="center"/>
          </w:tcPr>
          <w:p>
            <w:pPr>
              <w:widowControl/>
              <w:jc w:val="center"/>
              <w:textAlignment w:val="center"/>
              <w:rPr>
                <w:rFonts w:ascii="宋体" w:hAnsi="宋体" w:cs="宋体" w:hint="eastAsia"/>
                <w:b/>
                <w:color w:val="000000"/>
                <w:kern w:val="0"/>
                <w:sz w:val="28"/>
                <w:szCs w:val="28"/>
              </w:rPr>
            </w:pPr>
          </w:p>
          <w:p>
            <w:pPr>
              <w:widowControl/>
              <w:jc w:val="center"/>
              <w:textAlignment w:val="center"/>
              <w:rPr>
                <w:rFonts w:ascii="宋体" w:hAnsi="宋体" w:cs="宋体" w:hint="eastAsia"/>
                <w:b/>
                <w:color w:val="000000"/>
                <w:kern w:val="0"/>
                <w:sz w:val="28"/>
                <w:szCs w:val="28"/>
              </w:rPr>
            </w:pPr>
          </w:p>
          <w:p>
            <w:pPr>
              <w:widowControl/>
              <w:jc w:val="center"/>
              <w:textAlignment w:val="center"/>
              <w:rPr>
                <w:rFonts w:ascii="宋体" w:hAnsi="宋体" w:cs="宋体" w:hint="eastAsia"/>
                <w:b/>
                <w:color w:val="000000"/>
                <w:kern w:val="0"/>
                <w:sz w:val="28"/>
                <w:szCs w:val="28"/>
              </w:rPr>
            </w:pPr>
          </w:p>
          <w:p>
            <w:pPr>
              <w:widowControl/>
              <w:jc w:val="center"/>
              <w:textAlignment w:val="center"/>
              <w:rPr>
                <w:rFonts w:ascii="宋体" w:hAnsi="宋体" w:cs="宋体" w:hint="eastAsia"/>
                <w:b/>
                <w:color w:val="000000"/>
                <w:kern w:val="0"/>
                <w:sz w:val="28"/>
                <w:szCs w:val="28"/>
              </w:rPr>
            </w:pPr>
          </w:p>
          <w:p>
            <w:pPr>
              <w:widowControl/>
              <w:jc w:val="center"/>
              <w:textAlignment w:val="center"/>
              <w:rPr>
                <w:rFonts w:ascii="宋体" w:cs="宋体"/>
                <w:b/>
                <w:bCs/>
                <w:szCs w:val="32"/>
              </w:rPr>
            </w:pPr>
            <w:r>
              <w:rPr>
                <w:rFonts w:ascii="宋体" w:hAnsi="宋体" w:cs="宋体" w:hint="eastAsia"/>
                <w:b/>
                <w:color w:val="000000"/>
                <w:kern w:val="0"/>
                <w:sz w:val="28"/>
                <w:szCs w:val="28"/>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8"/>
            <w:tcBorders>
              <w:top w:val="nil"/>
              <w:left w:val="nil"/>
              <w:right w:val="nil"/>
            </w:tcBorders>
            <w:noWrap/>
            <w:vAlign w:val="center"/>
          </w:tcPr>
          <w:p>
            <w:pPr>
              <w:widowControl/>
              <w:jc w:val="center"/>
              <w:textAlignment w:val="center"/>
              <w:rPr>
                <w:rFonts w:ascii="宋体" w:cs="宋体"/>
                <w:sz w:val="20"/>
              </w:rPr>
            </w:pPr>
            <w:r>
              <w:rPr>
                <w:rFonts w:ascii="宋体" w:hAnsi="宋体" w:cs="宋体" w:hint="eastAsia"/>
                <w:color w:val="000000"/>
                <w:kern w:val="0"/>
                <w:sz w:val="20"/>
                <w:szCs w:val="20"/>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5"/>
            <w:noWrap/>
            <w:vAlign w:val="center"/>
          </w:tcPr>
          <w:p>
            <w:pPr>
              <w:spacing w:line="260" w:lineRule="exact"/>
              <w:jc w:val="center"/>
              <w:rPr>
                <w:rFonts w:ascii="宋体" w:cs="宋体"/>
                <w:sz w:val="18"/>
                <w:szCs w:val="18"/>
              </w:rPr>
            </w:pPr>
            <w:r>
              <w:rPr>
                <w:rFonts w:ascii="宋体" w:cs="宋体"/>
                <w:sz w:val="18"/>
                <w:szCs w:val="18"/>
              </w:rPr>
              <w:t>乡镇卫生院医疗卫生支出</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pPr>
              <w:spacing w:line="260" w:lineRule="exact"/>
              <w:jc w:val="center"/>
              <w:rPr>
                <w:rFonts w:ascii="宋体" w:cs="宋体"/>
                <w:sz w:val="18"/>
                <w:szCs w:val="18"/>
              </w:rPr>
            </w:pPr>
            <w:r>
              <w:rPr>
                <w:rFonts w:ascii="宋体" w:cs="宋体"/>
                <w:sz w:val="18"/>
                <w:szCs w:val="18"/>
              </w:rPr>
              <w:t>寿县卫生健康委员会</w:t>
            </w:r>
          </w:p>
        </w:tc>
        <w:tc>
          <w:tcPr>
            <w:tcW w:w="1848" w:type="dxa"/>
            <w:gridSpan w:val="2"/>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pPr>
              <w:spacing w:line="260" w:lineRule="exact"/>
              <w:jc w:val="center"/>
              <w:rPr>
                <w:sz w:val="18"/>
                <w:szCs w:val="18"/>
              </w:rPr>
            </w:pPr>
            <w:r>
              <w:rPr>
                <w:sz w:val="18"/>
                <w:szCs w:val="18"/>
              </w:rPr>
              <w:t>寿县</w:t>
            </w:r>
            <w:r>
              <w:rPr>
                <w:rFonts w:hint="eastAsia"/>
                <w:sz w:val="18"/>
                <w:szCs w:val="18"/>
                <w:lang w:eastAsia="zh-CN"/>
              </w:rPr>
              <w:t>小甸</w:t>
            </w:r>
            <w:r>
              <w:rPr>
                <w:sz w:val="18"/>
                <w:szCs w:val="18"/>
              </w:rPr>
              <w:t>镇中心卫生院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pPr>
              <w:spacing w:line="260" w:lineRule="exact"/>
              <w:jc w:val="center"/>
              <w:rPr>
                <w:rFonts w:ascii="宋体" w:cs="宋体"/>
                <w:sz w:val="18"/>
                <w:szCs w:val="18"/>
              </w:rPr>
            </w:pPr>
          </w:p>
        </w:tc>
        <w:tc>
          <w:tcPr>
            <w:tcW w:w="1848" w:type="dxa"/>
            <w:gridSpan w:val="2"/>
            <w:noWrap/>
            <w:vAlign w:val="center"/>
          </w:tcPr>
          <w:p>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pPr>
              <w:spacing w:line="260" w:lineRule="exact"/>
              <w:jc w:val="center"/>
              <w:rPr>
                <w:sz w:val="18"/>
                <w:szCs w:val="18"/>
              </w:rPr>
            </w:pPr>
            <w:r>
              <w:rPr>
                <w:rFonts w:hint="eastAsia"/>
                <w:sz w:val="18"/>
                <w:szCs w:val="18"/>
              </w:rPr>
              <w:t>1年</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r>
            <w:r>
              <w:rPr>
                <w:rFonts w:ascii="宋体" w:hAnsi="宋体" w:cs="宋体" w:hint="eastAsia"/>
                <w:color w:val="000000"/>
                <w:kern w:val="0"/>
                <w:sz w:val="18"/>
                <w:szCs w:val="18"/>
              </w:rPr>
              <w:t>（万元）</w:t>
            </w: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3"/>
            <w:noWrap/>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1222.28</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3"/>
            <w:noWrap/>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372.28</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3"/>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ign w:val="center"/>
          </w:tcPr>
          <w:p>
            <w:pPr>
              <w:spacing w:line="260" w:lineRule="exact"/>
              <w:jc w:val="center"/>
              <w:rPr>
                <w:rFonts w:ascii="宋体" w:cs="宋体"/>
                <w:sz w:val="18"/>
                <w:szCs w:val="18"/>
              </w:rPr>
            </w:pPr>
          </w:p>
        </w:tc>
        <w:tc>
          <w:tcPr>
            <w:tcW w:w="3349"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3"/>
            <w:noWrap/>
            <w:vAlign w:val="center"/>
          </w:tcPr>
          <w:p>
            <w:pPr>
              <w:spacing w:line="260" w:lineRule="exact"/>
              <w:jc w:val="right"/>
              <w:rPr>
                <w:rFonts w:ascii="宋体" w:cs="宋体"/>
                <w:sz w:val="18"/>
                <w:szCs w:val="18"/>
              </w:rPr>
            </w:pPr>
            <w:r>
              <w:rPr>
                <w:rFonts w:ascii="宋体" w:cs="宋体" w:hint="eastAsia"/>
                <w:sz w:val="18"/>
                <w:szCs w:val="18"/>
              </w:rPr>
              <w:t>580</w:t>
            </w:r>
          </w:p>
        </w:tc>
      </w:tr>
      <w:tr>
        <w:tblPrEx>
          <w:tblW w:w="0" w:type="auto"/>
          <w:tblInd w:w="0" w:type="dxa"/>
          <w:tblLayout w:type="fixed"/>
          <w:tblCellMar>
            <w:top w:w="0" w:type="dxa"/>
            <w:left w:w="108" w:type="dxa"/>
            <w:bottom w:w="0" w:type="dxa"/>
            <w:right w:w="108" w:type="dxa"/>
          </w:tblCellMar>
        </w:tblPrEx>
        <w:trPr>
          <w:trHeight w:val="875"/>
        </w:trPr>
        <w:tc>
          <w:tcPr>
            <w:tcW w:w="438"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r>
            <w:r>
              <w:rPr>
                <w:rFonts w:ascii="宋体" w:hAnsi="宋体" w:cs="宋体" w:hint="eastAsia"/>
                <w:color w:val="000000"/>
                <w:kern w:val="0"/>
                <w:sz w:val="18"/>
                <w:szCs w:val="18"/>
              </w:rPr>
              <w:t>目标</w:t>
            </w:r>
          </w:p>
        </w:tc>
        <w:tc>
          <w:tcPr>
            <w:tcW w:w="8582" w:type="dxa"/>
            <w:gridSpan w:val="7"/>
            <w:noWrap/>
            <w:vAlign w:val="center"/>
          </w:tcPr>
          <w:p>
            <w:pPr>
              <w:spacing w:line="260" w:lineRule="exact"/>
              <w:jc w:val="left"/>
              <w:rPr>
                <w:rFonts w:ascii="宋体" w:cs="宋体"/>
                <w:sz w:val="18"/>
                <w:szCs w:val="18"/>
              </w:rPr>
            </w:pPr>
            <w:r>
              <w:rPr>
                <w:rFonts w:ascii="宋体" w:cs="宋体" w:hint="eastAsia"/>
                <w:sz w:val="18"/>
                <w:szCs w:val="18"/>
              </w:rPr>
              <w:t>1.为人民身体健康提供基本医疗保健服务，开展常见病多发病的诊治与护理；2.保障卫生院的正常运转、运行，进一步完善医疗卫生基础设施，满足人民群众需求。</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r>
            <w:r>
              <w:rPr>
                <w:rFonts w:ascii="宋体" w:hAnsi="宋体" w:cs="宋体" w:hint="eastAsia"/>
                <w:color w:val="000000"/>
                <w:kern w:val="0"/>
                <w:sz w:val="18"/>
                <w:szCs w:val="18"/>
              </w:rPr>
              <w:t>效</w:t>
            </w:r>
            <w:r>
              <w:rPr>
                <w:rFonts w:ascii="宋体" w:hAnsi="宋体" w:cs="宋体" w:hint="eastAsia"/>
                <w:color w:val="000000"/>
                <w:kern w:val="0"/>
                <w:sz w:val="18"/>
                <w:szCs w:val="18"/>
              </w:rPr>
              <w:br/>
            </w:r>
            <w:r>
              <w:rPr>
                <w:rFonts w:ascii="宋体" w:hAnsi="宋体" w:cs="宋体" w:hint="eastAsia"/>
                <w:color w:val="000000"/>
                <w:kern w:val="0"/>
                <w:sz w:val="18"/>
                <w:szCs w:val="18"/>
              </w:rPr>
              <w:t>指</w:t>
            </w:r>
            <w:r>
              <w:rPr>
                <w:rFonts w:ascii="宋体" w:hAnsi="宋体" w:cs="宋体" w:hint="eastAsia"/>
                <w:color w:val="000000"/>
                <w:kern w:val="0"/>
                <w:sz w:val="18"/>
                <w:szCs w:val="18"/>
              </w:rPr>
              <w:br/>
            </w:r>
            <w:r>
              <w:rPr>
                <w:rFonts w:ascii="宋体" w:hAnsi="宋体" w:cs="宋体" w:hint="eastAsia"/>
                <w:color w:val="000000"/>
                <w:kern w:val="0"/>
                <w:sz w:val="18"/>
                <w:szCs w:val="18"/>
              </w:rPr>
              <w:t>标</w:t>
            </w:r>
          </w:p>
        </w:tc>
        <w:tc>
          <w:tcPr>
            <w:tcW w:w="663" w:type="dxa"/>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r>
            <w:r>
              <w:rPr>
                <w:rFonts w:ascii="宋体" w:hAnsi="宋体" w:cs="宋体" w:hint="eastAsia"/>
                <w:color w:val="000000"/>
                <w:kern w:val="0"/>
                <w:sz w:val="18"/>
                <w:szCs w:val="18"/>
              </w:rPr>
              <w:t>指标</w:t>
            </w:r>
          </w:p>
        </w:tc>
        <w:tc>
          <w:tcPr>
            <w:tcW w:w="708"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3261"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3950" w:type="dxa"/>
            <w:gridSpan w:val="2"/>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指标1：接待就诊病人</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≥50000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指标2：老年健康体检</w:t>
            </w:r>
          </w:p>
        </w:tc>
        <w:tc>
          <w:tcPr>
            <w:tcW w:w="3950" w:type="dxa"/>
            <w:gridSpan w:val="2"/>
            <w:noWrap/>
            <w:vAlign w:val="center"/>
          </w:tcPr>
          <w:p>
            <w:pPr>
              <w:spacing w:line="260" w:lineRule="exact"/>
              <w:ind w:firstLine="1710" w:firstLineChars="950"/>
              <w:rPr>
                <w:rFonts w:ascii="宋体" w:cs="宋体"/>
                <w:sz w:val="18"/>
                <w:szCs w:val="18"/>
              </w:rPr>
            </w:pPr>
            <w:r>
              <w:rPr>
                <w:rFonts w:ascii="宋体" w:cs="宋体" w:hint="eastAsia"/>
                <w:sz w:val="18"/>
                <w:szCs w:val="18"/>
              </w:rPr>
              <w:t>≥6000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指标1：病人疾病治愈情况</w:t>
            </w:r>
          </w:p>
        </w:tc>
        <w:tc>
          <w:tcPr>
            <w:tcW w:w="3950" w:type="dxa"/>
            <w:gridSpan w:val="2"/>
            <w:noWrap/>
            <w:vAlign w:val="center"/>
          </w:tcPr>
          <w:p>
            <w:pPr>
              <w:spacing w:line="260" w:lineRule="exact"/>
              <w:jc w:val="center"/>
              <w:rPr>
                <w:rFonts w:ascii="宋体" w:cs="宋体"/>
                <w:sz w:val="18"/>
                <w:szCs w:val="18"/>
              </w:rPr>
            </w:pPr>
            <w:r>
              <w:rPr>
                <w:rFonts w:ascii="宋体" w:hAnsi="宋体" w:cs="宋体" w:hint="eastAsia"/>
                <w:color w:val="000000"/>
                <w:kern w:val="0"/>
                <w:sz w:val="18"/>
                <w:szCs w:val="18"/>
              </w:rPr>
              <w:t>基本完成病人疾病治愈</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指标1：满足区域病人快速就诊：</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≤1小时</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指标1：减少就诊患者看病费用</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建</w:t>
            </w:r>
            <w:r>
              <w:rPr>
                <w:rFonts w:ascii="宋体" w:cs="宋体" w:hint="eastAsia"/>
                <w:sz w:val="18"/>
                <w:szCs w:val="18"/>
              </w:rPr>
              <w:t>少</w:t>
            </w:r>
            <w:r>
              <w:rPr>
                <w:rFonts w:ascii="宋体" w:cs="宋体"/>
                <w:sz w:val="18"/>
                <w:szCs w:val="18"/>
              </w:rPr>
              <w:t>病人费用</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指标2：提升就医环境，合理配资医疗资源</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提供服务质量</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指标1：收入费用率（费用/收入）</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降低收入费用率</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指标2：日常运转经费</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减少办公经费</w:t>
            </w:r>
            <w:r>
              <w:rPr>
                <w:rFonts w:ascii="宋体" w:cs="宋体" w:hint="eastAsia"/>
                <w:sz w:val="18"/>
                <w:szCs w:val="18"/>
              </w:rPr>
              <w:t>开支</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指标1：满足区域病人就诊需求</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指标2：减少病人就诊距离</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≤3公里</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3261" w:type="dxa"/>
            <w:gridSpan w:val="2"/>
            <w:noWrap/>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rPr>
              <w:t>指标1：保障基本医疗工作质量</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cs="宋体"/>
                <w:sz w:val="18"/>
                <w:szCs w:val="18"/>
              </w:rPr>
            </w:pPr>
          </w:p>
        </w:tc>
        <w:tc>
          <w:tcPr>
            <w:tcW w:w="3261" w:type="dxa"/>
            <w:gridSpan w:val="2"/>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r>
              <w:rPr>
                <w:rFonts w:ascii="汉仪中秀体简" w:eastAsia="汉仪中秀体简" w:hAnsi="汉仪中秀体简" w:cs="汉仪中秀体简"/>
                <w:color w:val="000000"/>
                <w:kern w:val="0"/>
                <w:sz w:val="18"/>
                <w:szCs w:val="18"/>
              </w:rPr>
              <w:t>…</w:t>
            </w:r>
          </w:p>
        </w:tc>
        <w:tc>
          <w:tcPr>
            <w:tcW w:w="3950" w:type="dxa"/>
            <w:gridSpan w:val="2"/>
            <w:noWrap/>
            <w:vAlign w:val="center"/>
          </w:tcPr>
          <w:p>
            <w:pPr>
              <w:spacing w:line="260" w:lineRule="exact"/>
              <w:jc w:val="left"/>
              <w:textAlignment w:val="center"/>
              <w:rPr>
                <w:rFonts w:ascii="汉仪中秀体简" w:eastAsia="汉仪中秀体简" w:hAnsi="汉仪中秀体简" w:cs="汉仪中秀体简"/>
                <w:color w:val="000000"/>
                <w:kern w:val="0"/>
                <w:sz w:val="18"/>
                <w:szCs w:val="18"/>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3261" w:type="dxa"/>
            <w:gridSpan w:val="2"/>
            <w:noWrap/>
            <w:vAlign w:val="center"/>
          </w:tcPr>
          <w:p>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指标1：规范医疗制度与提高医疗技术</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长期</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cs="宋体"/>
                <w:sz w:val="18"/>
                <w:szCs w:val="18"/>
              </w:rPr>
            </w:pPr>
          </w:p>
        </w:tc>
        <w:tc>
          <w:tcPr>
            <w:tcW w:w="708" w:type="dxa"/>
            <w:gridSpan w:val="2"/>
            <w:vMerge/>
            <w:noWrap/>
            <w:vAlign w:val="center"/>
          </w:tcPr>
          <w:p>
            <w:pPr>
              <w:spacing w:line="260" w:lineRule="exact"/>
              <w:jc w:val="center"/>
              <w:rPr>
                <w:rFonts w:ascii="宋体" w:hAnsi="宋体" w:cs="宋体"/>
                <w:sz w:val="18"/>
                <w:szCs w:val="18"/>
              </w:rPr>
            </w:pPr>
          </w:p>
        </w:tc>
        <w:tc>
          <w:tcPr>
            <w:tcW w:w="3261" w:type="dxa"/>
            <w:gridSpan w:val="2"/>
            <w:noWrap/>
            <w:vAlign w:val="center"/>
          </w:tcPr>
          <w:p>
            <w:pPr>
              <w:spacing w:line="260" w:lineRule="exact"/>
              <w:jc w:val="left"/>
              <w:textAlignment w:val="center"/>
              <w:rPr>
                <w:rFonts w:ascii="宋体" w:hAnsi="宋体" w:cs="宋体"/>
                <w:color w:val="000000"/>
                <w:kern w:val="0"/>
                <w:sz w:val="18"/>
                <w:szCs w:val="18"/>
              </w:rPr>
            </w:pPr>
            <w:r>
              <w:rPr>
                <w:rFonts w:ascii="宋体" w:hAnsi="宋体" w:cs="宋体" w:hint="eastAsia"/>
                <w:color w:val="000000"/>
                <w:kern w:val="0"/>
                <w:sz w:val="18"/>
                <w:szCs w:val="18"/>
              </w:rPr>
              <w:t>指标2：不断完善院内基础设施和标准化建设</w:t>
            </w:r>
          </w:p>
        </w:tc>
        <w:tc>
          <w:tcPr>
            <w:tcW w:w="3950" w:type="dxa"/>
            <w:gridSpan w:val="2"/>
            <w:noWrap/>
            <w:vAlign w:val="center"/>
          </w:tcPr>
          <w:p>
            <w:pPr>
              <w:spacing w:line="260" w:lineRule="exact"/>
              <w:jc w:val="center"/>
              <w:rPr>
                <w:rFonts w:ascii="宋体" w:cs="宋体"/>
                <w:sz w:val="18"/>
                <w:szCs w:val="18"/>
              </w:rPr>
            </w:pPr>
            <w:r>
              <w:rPr>
                <w:rFonts w:ascii="宋体" w:cs="宋体"/>
                <w:sz w:val="18"/>
                <w:szCs w:val="18"/>
              </w:rPr>
              <w:t>长期</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708" w:type="dxa"/>
            <w:gridSpan w:val="2"/>
            <w:vMerge w:val="restart"/>
            <w:noWrap/>
            <w:vAlign w:val="center"/>
          </w:tcPr>
          <w:p>
            <w:pPr>
              <w:spacing w:line="260" w:lineRule="exact"/>
              <w:jc w:val="center"/>
              <w:rPr>
                <w:rFonts w:ascii="宋体" w:hAnsi="宋体" w:cs="宋体"/>
                <w:sz w:val="18"/>
                <w:szCs w:val="18"/>
              </w:rPr>
            </w:pPr>
            <w:r>
              <w:rPr>
                <w:rFonts w:ascii="宋体" w:hAnsi="宋体" w:cs="宋体" w:hint="eastAsia"/>
                <w:sz w:val="18"/>
                <w:szCs w:val="18"/>
              </w:rPr>
              <w:t>满意度指标</w:t>
            </w:r>
          </w:p>
        </w:tc>
        <w:tc>
          <w:tcPr>
            <w:tcW w:w="3261" w:type="dxa"/>
            <w:gridSpan w:val="2"/>
            <w:noWrap/>
            <w:vAlign w:val="center"/>
          </w:tcPr>
          <w:p>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指标1：辖区就诊病人满意度</w:t>
            </w:r>
          </w:p>
        </w:tc>
        <w:tc>
          <w:tcPr>
            <w:tcW w:w="3950" w:type="dxa"/>
            <w:gridSpan w:val="2"/>
            <w:noWrap/>
            <w:vAlign w:val="center"/>
          </w:tcPr>
          <w:p>
            <w:pPr>
              <w:spacing w:line="260" w:lineRule="exact"/>
              <w:jc w:val="center"/>
              <w:rPr>
                <w:rFonts w:ascii="宋体" w:cs="宋体"/>
                <w:sz w:val="18"/>
                <w:szCs w:val="18"/>
              </w:rPr>
            </w:pPr>
            <w:r>
              <w:rPr>
                <w:rFonts w:ascii="宋体" w:cs="宋体" w:hint="eastAsia"/>
                <w:sz w:val="18"/>
                <w:szCs w:val="18"/>
              </w:rPr>
              <w:t>≥90%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ign w:val="center"/>
          </w:tcPr>
          <w:p>
            <w:pPr>
              <w:spacing w:line="260" w:lineRule="exact"/>
              <w:jc w:val="center"/>
              <w:rPr>
                <w:rFonts w:ascii="宋体" w:cs="宋体"/>
                <w:sz w:val="18"/>
                <w:szCs w:val="18"/>
              </w:rPr>
            </w:pPr>
          </w:p>
        </w:tc>
        <w:tc>
          <w:tcPr>
            <w:tcW w:w="663" w:type="dxa"/>
            <w:vMerge/>
            <w:noWrap/>
            <w:vAlign w:val="center"/>
          </w:tcPr>
          <w:p>
            <w:pPr>
              <w:spacing w:line="260" w:lineRule="exact"/>
              <w:jc w:val="center"/>
              <w:rPr>
                <w:rFonts w:ascii="宋体" w:hAnsi="宋体" w:cs="宋体"/>
                <w:sz w:val="18"/>
                <w:szCs w:val="18"/>
              </w:rPr>
            </w:pPr>
          </w:p>
        </w:tc>
        <w:tc>
          <w:tcPr>
            <w:tcW w:w="708" w:type="dxa"/>
            <w:gridSpan w:val="2"/>
            <w:vMerge/>
            <w:noWrap/>
            <w:vAlign w:val="center"/>
          </w:tcPr>
          <w:p>
            <w:pPr>
              <w:spacing w:line="260" w:lineRule="exact"/>
              <w:jc w:val="center"/>
              <w:rPr>
                <w:rFonts w:ascii="宋体" w:hAnsi="宋体" w:cs="宋体"/>
                <w:sz w:val="18"/>
                <w:szCs w:val="18"/>
              </w:rPr>
            </w:pPr>
          </w:p>
        </w:tc>
        <w:tc>
          <w:tcPr>
            <w:tcW w:w="3261" w:type="dxa"/>
            <w:gridSpan w:val="2"/>
            <w:noWrap/>
            <w:vAlign w:val="center"/>
          </w:tcPr>
          <w:p>
            <w:pPr>
              <w:spacing w:line="260" w:lineRule="exact"/>
              <w:jc w:val="left"/>
              <w:textAlignment w:val="center"/>
              <w:rPr>
                <w:rFonts w:ascii="宋体" w:hAnsi="宋体" w:cs="宋体"/>
                <w:sz w:val="18"/>
                <w:szCs w:val="18"/>
              </w:rPr>
            </w:pPr>
            <w:r>
              <w:rPr>
                <w:rFonts w:ascii="宋体" w:hAnsi="宋体" w:cs="宋体" w:hint="eastAsia"/>
                <w:color w:val="000000"/>
                <w:kern w:val="0"/>
                <w:sz w:val="18"/>
                <w:szCs w:val="18"/>
              </w:rPr>
              <w:t>…</w:t>
            </w:r>
          </w:p>
        </w:tc>
        <w:tc>
          <w:tcPr>
            <w:tcW w:w="3950" w:type="dxa"/>
            <w:gridSpan w:val="2"/>
            <w:noWrap/>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Pr>
          <w:rFonts w:ascii="仿宋_GB2312" w:eastAsia="仿宋_GB2312" w:hAnsi="TimesNewRoman" w:cs="TimesNewRoman" w:hint="eastAsia"/>
          <w:sz w:val="32"/>
          <w:szCs w:val="32"/>
          <w:lang w:eastAsia="zh-CN"/>
        </w:rPr>
        <w:t>小甸</w:t>
      </w:r>
      <w:r>
        <w:rPr>
          <w:rFonts w:ascii="仿宋_GB2312" w:eastAsia="仿宋_GB2312" w:hAnsi="TimesNewRoman" w:cs="TimesNewRoman" w:hint="eastAsia"/>
          <w:sz w:val="32"/>
          <w:szCs w:val="32"/>
        </w:rPr>
        <w:t>镇中心卫生院为非参照公务员法管理的事业单位，按照部门预算机关运行经费口径，2024年无机关运行经费财政拨款预算。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小甸</w:t>
      </w:r>
      <w:r>
        <w:rPr>
          <w:rFonts w:ascii="仿宋_GB2312" w:eastAsia="仿宋_GB2312" w:hAnsi="TimesNewRoman" w:cs="TimesNewRoman" w:hint="eastAsia"/>
          <w:kern w:val="0"/>
          <w:sz w:val="32"/>
          <w:szCs w:val="32"/>
        </w:rPr>
        <w:t>镇中心卫生院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8.65</w:t>
      </w:r>
      <w:r>
        <w:rPr>
          <w:rFonts w:ascii="仿宋_GB2312" w:eastAsia="仿宋_GB2312" w:hAnsi="TimesNewRoman" w:cs="TimesNewRoman" w:hint="eastAsia"/>
          <w:sz w:val="32"/>
          <w:szCs w:val="32"/>
        </w:rPr>
        <w:t>万元。全部为政府采购货物预算</w:t>
      </w:r>
      <w:r>
        <w:rPr>
          <w:rFonts w:ascii="仿宋_GB2312" w:eastAsia="仿宋_GB2312" w:hAnsi="TimesNewRoman" w:cs="TimesNewRoman" w:hint="eastAsia"/>
          <w:sz w:val="32"/>
          <w:szCs w:val="32"/>
          <w:lang w:val="en-US" w:eastAsia="zh-CN"/>
        </w:rPr>
        <w:t>8.65</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小甸</w:t>
      </w:r>
      <w:r>
        <w:rPr>
          <w:rFonts w:ascii="仿宋_GB2312" w:eastAsia="仿宋_GB2312" w:hAnsi="TimesNewRoman" w:cs="TimesNewRoman" w:hint="eastAsia"/>
          <w:kern w:val="0"/>
          <w:sz w:val="32"/>
          <w:szCs w:val="32"/>
        </w:rPr>
        <w:t>镇中心卫生院</w:t>
      </w:r>
      <w:r>
        <w:rPr>
          <w:rFonts w:ascii="仿宋_GB2312" w:eastAsia="仿宋_GB2312" w:hAnsi="TimesNewRoman" w:cs="TimesNewRoman" w:hint="eastAsia"/>
          <w:sz w:val="32"/>
          <w:szCs w:val="32"/>
        </w:rPr>
        <w:t>没有公务用相关车辆。没有单价50万元以上的通用设备，没有单价100万元以上的专用设备，也没有安排相关购置预算。</w:t>
      </w:r>
    </w:p>
    <w:p>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仿宋_GB2312" w:eastAsia="仿宋_GB2312" w:hAnsi="TimesNewRoman" w:cs="TimesNewRoman" w:hint="eastAsia"/>
          <w:kern w:val="0"/>
          <w:sz w:val="32"/>
          <w:szCs w:val="32"/>
          <w:lang w:eastAsia="zh-CN"/>
        </w:rPr>
        <w:t>小甸</w:t>
      </w:r>
      <w:r>
        <w:rPr>
          <w:rFonts w:ascii="仿宋_GB2312" w:eastAsia="仿宋_GB2312" w:hAnsi="TimesNewRoman" w:cs="TimesNewRoman" w:hint="eastAsia"/>
          <w:kern w:val="0"/>
          <w:sz w:val="32"/>
          <w:szCs w:val="32"/>
        </w:rPr>
        <w:t>镇中心卫生院</w:t>
      </w:r>
      <w:r>
        <w:rPr>
          <w:rFonts w:ascii="仿宋_GB2312" w:eastAsia="仿宋_GB2312" w:hAnsi="TimesNewRoman" w:cs="TimesNewRoman" w:hint="eastAsia"/>
          <w:sz w:val="32"/>
          <w:szCs w:val="32"/>
        </w:rPr>
        <w:t>1个项目实行了绩效目标管理，涉及单位资金安排</w:t>
      </w:r>
      <w:r>
        <w:rPr>
          <w:rFonts w:ascii="仿宋_GB2312" w:eastAsia="仿宋_GB2312" w:hAnsi="TimesNewRoman" w:cs="TimesNewRoman" w:hint="eastAsia"/>
          <w:sz w:val="32"/>
          <w:szCs w:val="32"/>
          <w:lang w:val="en-US" w:eastAsia="zh-CN"/>
        </w:rPr>
        <w:t>850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hint="eastAsia"/>
          <w:sz w:val="32"/>
          <w:szCs w:val="32"/>
        </w:rPr>
        <w:t>指</w:t>
      </w:r>
      <w:r>
        <w:rPr>
          <w:rFonts w:ascii="TimesNewRoman" w:hAnsi="TimesNewRoman" w:cs="TimesNewRoman"/>
          <w:sz w:val="32"/>
          <w:szCs w:val="32"/>
        </w:rPr>
        <w:t>县财政当年拨付的资金，主要包括一般公共预算拨款收入、政府性基金预算拨款收入、国有资本经营预算拨款收入。</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pPr>
        <w:pStyle w:val="NormalWeb"/>
        <w:topLinePunct/>
        <w:spacing w:beforeAutospacing="0" w:afterAutospacing="0" w:line="560" w:lineRule="exact"/>
        <w:jc w:val="both"/>
        <w:rPr>
          <w:rFonts w:ascii="TimesNewRoman" w:eastAsia="楷体_GB2312" w:hAnsi="TimesNewRoman" w:cs="TimesNewRoman"/>
          <w:sz w:val="32"/>
          <w:szCs w:val="32"/>
        </w:rPr>
        <w:sectPr>
          <w:pgSz w:w="11907" w:h="16840"/>
          <w:pgMar w:top="2098" w:right="1474" w:bottom="1985" w:left="1588" w:header="851" w:footer="1021" w:gutter="0"/>
          <w:cols w:num="1" w:space="425"/>
          <w:docGrid w:type="lines" w:linePitch="312" w:charSpace="0"/>
        </w:sectPr>
      </w:pPr>
    </w:p>
    <w:p>
      <w:pPr>
        <w:pStyle w:val="NormalWeb"/>
        <w:topLinePunct/>
        <w:spacing w:beforeAutospacing="0" w:afterAutospacing="0" w:line="560" w:lineRule="exact"/>
        <w:jc w:val="both"/>
        <w:rPr>
          <w:rStyle w:val="Strong"/>
          <w:rFonts w:ascii="TimesNewRoman" w:eastAsia="楷体_GB2312" w:hAnsi="TimesNewRoman" w:cs="TimesNewRoman"/>
          <w:b w:val="0"/>
          <w:sz w:val="32"/>
          <w:szCs w:val="32"/>
        </w:rPr>
      </w:pPr>
    </w:p>
    <w:sectPr>
      <w:footerReference w:type="default" r:id="rId7"/>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Arial Unicode MS"/>
    <w:panose1 w:val="00000000000000000000"/>
    <w:charset w:val="00"/>
    <w:family w:val="auto"/>
    <w:pitch w:val="default"/>
    <w:sig w:usb0="00000000" w:usb1="00000000" w:usb2="00000029" w:usb3="00000000" w:csb0="600001FF" w:csb1="FFFF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汉仪中秀体简">
    <w:altName w:val="微软雅黑"/>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15</w:t>
    </w:r>
    <w:r>
      <w:rPr>
        <w:sz w:val="28"/>
        <w:szCs w:val="28"/>
      </w:rPr>
      <w:fldChar w:fldCharType="end"/>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082820"/>
    <w:rsid w:val="000A67BF"/>
    <w:rsid w:val="000F175A"/>
    <w:rsid w:val="001802D4"/>
    <w:rsid w:val="002A40AB"/>
    <w:rsid w:val="002C1E47"/>
    <w:rsid w:val="003319AA"/>
    <w:rsid w:val="00341DDC"/>
    <w:rsid w:val="00360AF0"/>
    <w:rsid w:val="0036496D"/>
    <w:rsid w:val="00374C23"/>
    <w:rsid w:val="003A4BDE"/>
    <w:rsid w:val="003C4618"/>
    <w:rsid w:val="003D28D7"/>
    <w:rsid w:val="004C4250"/>
    <w:rsid w:val="00535357"/>
    <w:rsid w:val="0056626B"/>
    <w:rsid w:val="0057509F"/>
    <w:rsid w:val="005C253D"/>
    <w:rsid w:val="00617ECF"/>
    <w:rsid w:val="00682DCF"/>
    <w:rsid w:val="00686AB8"/>
    <w:rsid w:val="006D29DE"/>
    <w:rsid w:val="00707E28"/>
    <w:rsid w:val="007E0F26"/>
    <w:rsid w:val="00815C70"/>
    <w:rsid w:val="00854B9C"/>
    <w:rsid w:val="00890D81"/>
    <w:rsid w:val="00962693"/>
    <w:rsid w:val="009830A5"/>
    <w:rsid w:val="00AE7065"/>
    <w:rsid w:val="00AF0ABD"/>
    <w:rsid w:val="00AF4B21"/>
    <w:rsid w:val="00B2790A"/>
    <w:rsid w:val="00B43BF1"/>
    <w:rsid w:val="00BB4A64"/>
    <w:rsid w:val="00CB751A"/>
    <w:rsid w:val="00CF45B4"/>
    <w:rsid w:val="00D231BD"/>
    <w:rsid w:val="00D25FC1"/>
    <w:rsid w:val="00D505C7"/>
    <w:rsid w:val="00D71FA4"/>
    <w:rsid w:val="00DB7EA4"/>
    <w:rsid w:val="00E35447"/>
    <w:rsid w:val="00E46AD2"/>
    <w:rsid w:val="00F4267C"/>
    <w:rsid w:val="00F45672"/>
    <w:rsid w:val="00F72BB2"/>
    <w:rsid w:val="00F72F7B"/>
    <w:rsid w:val="026304B2"/>
    <w:rsid w:val="02822446"/>
    <w:rsid w:val="02E96621"/>
    <w:rsid w:val="044C6E68"/>
    <w:rsid w:val="05EC445F"/>
    <w:rsid w:val="061439B5"/>
    <w:rsid w:val="06C54CB0"/>
    <w:rsid w:val="087D5A40"/>
    <w:rsid w:val="0ABF74D6"/>
    <w:rsid w:val="0C210BDA"/>
    <w:rsid w:val="0D766D04"/>
    <w:rsid w:val="0E644F96"/>
    <w:rsid w:val="0EB6385C"/>
    <w:rsid w:val="0EC55E01"/>
    <w:rsid w:val="0F0614F0"/>
    <w:rsid w:val="0F580DB7"/>
    <w:rsid w:val="108155C1"/>
    <w:rsid w:val="10B22749"/>
    <w:rsid w:val="10D64C20"/>
    <w:rsid w:val="11317B11"/>
    <w:rsid w:val="113437F5"/>
    <w:rsid w:val="113E37EF"/>
    <w:rsid w:val="11BD71AA"/>
    <w:rsid w:val="11D30171"/>
    <w:rsid w:val="121D3BF2"/>
    <w:rsid w:val="126B7D67"/>
    <w:rsid w:val="15BF23D8"/>
    <w:rsid w:val="15C00E49"/>
    <w:rsid w:val="17487963"/>
    <w:rsid w:val="184F61CB"/>
    <w:rsid w:val="186C55CF"/>
    <w:rsid w:val="18BC23B6"/>
    <w:rsid w:val="19F33BB6"/>
    <w:rsid w:val="1D6F4110"/>
    <w:rsid w:val="1DEF2931"/>
    <w:rsid w:val="1E2A6014"/>
    <w:rsid w:val="1E2F7187"/>
    <w:rsid w:val="1F9E1039"/>
    <w:rsid w:val="20C4005A"/>
    <w:rsid w:val="2572277A"/>
    <w:rsid w:val="271F3A70"/>
    <w:rsid w:val="27286E69"/>
    <w:rsid w:val="29054C21"/>
    <w:rsid w:val="290B259E"/>
    <w:rsid w:val="291A7E08"/>
    <w:rsid w:val="29B8189D"/>
    <w:rsid w:val="2B5F7F28"/>
    <w:rsid w:val="2C2E0A7D"/>
    <w:rsid w:val="2CC94C4A"/>
    <w:rsid w:val="2EB860B8"/>
    <w:rsid w:val="2FD131DA"/>
    <w:rsid w:val="309978E1"/>
    <w:rsid w:val="30E402A4"/>
    <w:rsid w:val="314D7BF8"/>
    <w:rsid w:val="31550BF3"/>
    <w:rsid w:val="31994BEB"/>
    <w:rsid w:val="31B732C3"/>
    <w:rsid w:val="325425A3"/>
    <w:rsid w:val="33596D28"/>
    <w:rsid w:val="34BB756E"/>
    <w:rsid w:val="34C97AC9"/>
    <w:rsid w:val="372907BF"/>
    <w:rsid w:val="37D90437"/>
    <w:rsid w:val="3B305CCE"/>
    <w:rsid w:val="3D2E2245"/>
    <w:rsid w:val="3E151A9D"/>
    <w:rsid w:val="4135614B"/>
    <w:rsid w:val="419E49BD"/>
    <w:rsid w:val="41E47BBA"/>
    <w:rsid w:val="421F113C"/>
    <w:rsid w:val="42E56500"/>
    <w:rsid w:val="436E3370"/>
    <w:rsid w:val="43AE09CA"/>
    <w:rsid w:val="43D2655C"/>
    <w:rsid w:val="43ED0DC6"/>
    <w:rsid w:val="449D27EC"/>
    <w:rsid w:val="45202DCD"/>
    <w:rsid w:val="45AC19CC"/>
    <w:rsid w:val="47F95F8C"/>
    <w:rsid w:val="48E1714C"/>
    <w:rsid w:val="49425710"/>
    <w:rsid w:val="49962799"/>
    <w:rsid w:val="4AC05487"/>
    <w:rsid w:val="4ADF590D"/>
    <w:rsid w:val="4E570707"/>
    <w:rsid w:val="4EC815A0"/>
    <w:rsid w:val="50CC15C2"/>
    <w:rsid w:val="51E8779D"/>
    <w:rsid w:val="52020133"/>
    <w:rsid w:val="525210BA"/>
    <w:rsid w:val="52CA3FFD"/>
    <w:rsid w:val="534F1156"/>
    <w:rsid w:val="54FC530D"/>
    <w:rsid w:val="559F1AA1"/>
    <w:rsid w:val="56C105BC"/>
    <w:rsid w:val="56DC71A4"/>
    <w:rsid w:val="56F72230"/>
    <w:rsid w:val="57062473"/>
    <w:rsid w:val="588B0E82"/>
    <w:rsid w:val="588F448B"/>
    <w:rsid w:val="58CF5213"/>
    <w:rsid w:val="59B73F60"/>
    <w:rsid w:val="5A551748"/>
    <w:rsid w:val="5C214C43"/>
    <w:rsid w:val="5CCB20AE"/>
    <w:rsid w:val="5E6C7060"/>
    <w:rsid w:val="5FF4555F"/>
    <w:rsid w:val="60011A2A"/>
    <w:rsid w:val="61F45CEA"/>
    <w:rsid w:val="62F840BE"/>
    <w:rsid w:val="6353259C"/>
    <w:rsid w:val="664663E8"/>
    <w:rsid w:val="66C44D83"/>
    <w:rsid w:val="675A65EF"/>
    <w:rsid w:val="683706DE"/>
    <w:rsid w:val="68A773E7"/>
    <w:rsid w:val="69BD26B8"/>
    <w:rsid w:val="6A3C400A"/>
    <w:rsid w:val="6AD2649C"/>
    <w:rsid w:val="6B0300C8"/>
    <w:rsid w:val="6C445178"/>
    <w:rsid w:val="6C6972D4"/>
    <w:rsid w:val="6C9F2F49"/>
    <w:rsid w:val="6DE07122"/>
    <w:rsid w:val="6ECE666B"/>
    <w:rsid w:val="70587444"/>
    <w:rsid w:val="70947F48"/>
    <w:rsid w:val="72D6671B"/>
    <w:rsid w:val="72E651DB"/>
    <w:rsid w:val="739B4217"/>
    <w:rsid w:val="73A649A6"/>
    <w:rsid w:val="73B76B77"/>
    <w:rsid w:val="748922C2"/>
    <w:rsid w:val="75DA6B4D"/>
    <w:rsid w:val="76371DD9"/>
    <w:rsid w:val="76783F68"/>
    <w:rsid w:val="76BB072D"/>
    <w:rsid w:val="77020139"/>
    <w:rsid w:val="77130569"/>
    <w:rsid w:val="778E4B3B"/>
    <w:rsid w:val="77C74EAF"/>
    <w:rsid w:val="78857244"/>
    <w:rsid w:val="79055E20"/>
    <w:rsid w:val="79E47F9A"/>
    <w:rsid w:val="7BB03AEC"/>
    <w:rsid w:val="7BCE6B3D"/>
    <w:rsid w:val="7C817D22"/>
    <w:rsid w:val="7CC12540"/>
  </w:rsids>
  <w:docVars>
    <w:docVar w:name="commondata" w:val="eyJoZGlkIjoiZjU0MGY5OGU3NDFmZTc3OWNjMGYyZWQ5Y2IxZmZiYzY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Header">
    <w:name w:val="header"/>
    <w:basedOn w:val="Normal"/>
    <w:link w:val="Char"/>
    <w:autoRedefine/>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 w:type="character" w:customStyle="1" w:styleId="Char">
    <w:name w:val="页眉 Char"/>
    <w:basedOn w:val="DefaultParagraphFont"/>
    <w:link w:val="Header"/>
    <w:autoRedefine/>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footer" Target="footer1.xml" /><Relationship Id="rId6" Type="http://schemas.openxmlformats.org/officeDocument/2006/relationships/footer" Target="footer2.xml" /><Relationship Id="rId7" Type="http://schemas.openxmlformats.org/officeDocument/2006/relationships/footer" Target="footer3.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3E2AF-EEA5-48EA-A0FD-CEB15A5744F6}">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25</Pages>
  <Words>1898</Words>
  <Characters>10820</Characters>
  <Application>Microsoft Office Word</Application>
  <DocSecurity>0</DocSecurity>
  <Lines>90</Lines>
  <Paragraphs>25</Paragraphs>
  <ScaleCrop>false</ScaleCrop>
  <Company/>
  <LinksUpToDate>false</LinksUpToDate>
  <CharactersWithSpaces>12693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WPS_1592042707</cp:lastModifiedBy>
  <cp:revision>9</cp:revision>
  <dcterms:created xsi:type="dcterms:W3CDTF">2024-01-16T02:39:00Z</dcterms:created>
  <dcterms:modified xsi:type="dcterms:W3CDTF">2024-01-24T01:59:56Z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2052-12.1.0.16120</vt:lpwstr>
  </property>
</Properties>
</file>