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5.0 -->
  <w:body>
    <w:p>
      <w:pPr>
        <w:spacing w:line="560" w:lineRule="exact"/>
        <w:rPr>
          <w:rFonts w:ascii="黑体" w:eastAsia="黑体" w:hAnsi="黑体" w:cs="TimesNewRoman"/>
          <w:sz w:val="32"/>
          <w:szCs w:val="32"/>
        </w:rPr>
      </w:pPr>
      <w:r>
        <w:rPr>
          <w:rFonts w:ascii="黑体" w:eastAsia="黑体" w:hAnsi="黑体" w:cs="TimesNewRoman" w:hint="eastAsia"/>
          <w:sz w:val="32"/>
          <w:szCs w:val="32"/>
        </w:rPr>
        <w:t>附件1</w:t>
      </w:r>
    </w:p>
    <w:p>
      <w:pPr>
        <w:spacing w:line="560" w:lineRule="exact"/>
        <w:rPr>
          <w:rFonts w:ascii="TimesNewRoman" w:eastAsia="黑体" w:hAnsi="TimesNewRoman" w:cs="TimesNewRoman"/>
          <w:szCs w:val="32"/>
        </w:rPr>
      </w:pPr>
    </w:p>
    <w:p>
      <w:pPr>
        <w:spacing w:line="560" w:lineRule="exact"/>
        <w:jc w:val="center"/>
        <w:rPr>
          <w:rFonts w:ascii="方正小标宋_GBK" w:eastAsia="方正小标宋_GBK" w:hAnsi="TimesNewRoman" w:cs="TimesNewRoman"/>
          <w:szCs w:val="32"/>
        </w:rPr>
      </w:pPr>
    </w:p>
    <w:p>
      <w:pPr>
        <w:spacing w:line="560" w:lineRule="exact"/>
        <w:jc w:val="center"/>
        <w:rPr>
          <w:rFonts w:ascii="方正小标宋_GBK" w:eastAsia="方正小标宋_GBK" w:hAnsi="TimesNewRoman" w:cs="TimesNewRoman"/>
          <w:sz w:val="44"/>
          <w:szCs w:val="44"/>
        </w:rPr>
      </w:pPr>
      <w:r>
        <w:rPr>
          <w:rFonts w:ascii="方正小标宋_GBK" w:eastAsia="方正小标宋_GBK" w:hAnsi="TimesNewRoman" w:cs="TimesNewRoman" w:hint="eastAsia"/>
          <w:sz w:val="44"/>
          <w:szCs w:val="44"/>
        </w:rPr>
        <w:t>寿县</w:t>
      </w:r>
      <w:r>
        <w:rPr>
          <w:rFonts w:ascii="方正小标宋_GBK" w:eastAsia="方正小标宋_GBK" w:hAnsi="TimesNewRoman" w:cs="TimesNewRoman" w:hint="eastAsia"/>
          <w:sz w:val="44"/>
          <w:szCs w:val="44"/>
          <w:lang w:eastAsia="zh-CN"/>
        </w:rPr>
        <w:t>瓦埠</w:t>
      </w:r>
      <w:r>
        <w:rPr>
          <w:rFonts w:ascii="方正小标宋_GBK" w:eastAsia="方正小标宋_GBK" w:hAnsi="TimesNewRoman" w:cs="TimesNewRoman" w:hint="eastAsia"/>
          <w:sz w:val="44"/>
          <w:szCs w:val="44"/>
        </w:rPr>
        <w:t>镇中心卫生院2024年</w:t>
      </w:r>
    </w:p>
    <w:p>
      <w:pPr>
        <w:spacing w:line="560" w:lineRule="exact"/>
        <w:jc w:val="center"/>
        <w:rPr>
          <w:rFonts w:ascii="方正小标宋_GBK" w:eastAsia="方正小标宋_GBK" w:hAnsi="TimesNewRoman" w:cs="TimesNewRoman"/>
          <w:sz w:val="44"/>
          <w:szCs w:val="44"/>
        </w:rPr>
      </w:pPr>
      <w:r>
        <w:rPr>
          <w:rFonts w:ascii="方正小标宋_GBK" w:eastAsia="方正小标宋_GBK" w:hAnsi="TimesNewRoman" w:cs="TimesNewRoman" w:hint="eastAsia"/>
          <w:sz w:val="44"/>
          <w:szCs w:val="44"/>
        </w:rPr>
        <w:t>部门预算</w:t>
      </w:r>
    </w:p>
    <w:p>
      <w:pPr>
        <w:pStyle w:val="NormalWeb"/>
        <w:adjustRightInd w:val="0"/>
        <w:snapToGrid w:val="0"/>
        <w:spacing w:line="560" w:lineRule="exact"/>
        <w:jc w:val="center"/>
        <w:outlineLvl w:val="0"/>
        <w:rPr>
          <w:rFonts w:ascii="方正小标宋_GBK" w:eastAsia="方正小标宋_GBK" w:hAnsi="TimesNewRoman" w:cs="TimesNewRoman"/>
          <w:sz w:val="32"/>
          <w:szCs w:val="32"/>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2"/>
          <w:szCs w:val="32"/>
        </w:rPr>
      </w:pPr>
    </w:p>
    <w:p>
      <w:pPr>
        <w:pStyle w:val="NormalWeb"/>
        <w:adjustRightInd w:val="0"/>
        <w:snapToGrid w:val="0"/>
        <w:spacing w:line="560" w:lineRule="exact"/>
        <w:jc w:val="center"/>
        <w:rPr>
          <w:rFonts w:ascii="仿宋_GB2312" w:eastAsia="仿宋_GB2312" w:hAnsi="TimesNewRoman" w:cs="TimesNewRoman"/>
          <w:bCs/>
          <w:sz w:val="32"/>
          <w:szCs w:val="32"/>
        </w:rPr>
      </w:pPr>
    </w:p>
    <w:p>
      <w:pPr>
        <w:pStyle w:val="NormalWeb"/>
        <w:adjustRightInd w:val="0"/>
        <w:snapToGrid w:val="0"/>
        <w:spacing w:line="560" w:lineRule="exact"/>
        <w:jc w:val="center"/>
        <w:rPr>
          <w:rFonts w:ascii="仿宋_GB2312" w:eastAsia="仿宋_GB2312" w:hAnsi="TimesNewRoman" w:cs="TimesNewRoman"/>
          <w:bCs/>
          <w:sz w:val="36"/>
          <w:szCs w:val="32"/>
        </w:rPr>
      </w:pPr>
      <w:r>
        <w:rPr>
          <w:rFonts w:ascii="仿宋_GB2312" w:eastAsia="仿宋_GB2312" w:hAnsi="TimesNewRoman" w:cs="TimesNewRoman" w:hint="eastAsia"/>
          <w:bCs/>
          <w:sz w:val="36"/>
          <w:szCs w:val="32"/>
        </w:rPr>
        <w:t>2024年1月</w:t>
      </w:r>
    </w:p>
    <w:p>
      <w:pPr>
        <w:pStyle w:val="NormalWeb"/>
        <w:adjustRightInd w:val="0"/>
        <w:snapToGrid w:val="0"/>
        <w:spacing w:line="560" w:lineRule="exact"/>
        <w:jc w:val="center"/>
        <w:rPr>
          <w:rFonts w:ascii="方正小标宋_GBK" w:eastAsia="方正小标宋_GBK" w:hAnsi="TimesNewRoman" w:cs="TimesNewRoman" w:hint="eastAsia"/>
          <w:bCs/>
          <w:sz w:val="44"/>
          <w:szCs w:val="44"/>
        </w:rPr>
      </w:pPr>
    </w:p>
    <w:p>
      <w:pPr>
        <w:pStyle w:val="NormalWeb"/>
        <w:adjustRightInd w:val="0"/>
        <w:snapToGrid w:val="0"/>
        <w:spacing w:line="560" w:lineRule="exact"/>
        <w:jc w:val="center"/>
        <w:rPr>
          <w:rFonts w:ascii="方正小标宋_GBK" w:eastAsia="方正小标宋_GBK" w:hAnsi="TimesNewRoman" w:cs="TimesNewRoman"/>
          <w:bCs/>
          <w:sz w:val="44"/>
          <w:szCs w:val="44"/>
        </w:rPr>
      </w:pPr>
      <w:r>
        <w:rPr>
          <w:rFonts w:ascii="方正小标宋_GBK" w:eastAsia="方正小标宋_GBK" w:hAnsi="TimesNewRoman" w:cs="TimesNewRoman" w:hint="eastAsia"/>
          <w:bCs/>
          <w:sz w:val="44"/>
          <w:szCs w:val="44"/>
        </w:rPr>
        <w:t>目  录</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第一部分 </w:t>
      </w:r>
      <w:r>
        <w:rPr>
          <w:rFonts w:ascii="黑体" w:eastAsia="黑体" w:hAnsi="黑体" w:cs="TimesNewRoman" w:hint="eastAsia"/>
          <w:sz w:val="32"/>
          <w:szCs w:val="32"/>
          <w:lang w:eastAsia="zh-CN"/>
        </w:rPr>
        <w:t>寿县瓦埠镇中心卫生院</w:t>
      </w:r>
      <w:r>
        <w:rPr>
          <w:rFonts w:ascii="黑体" w:eastAsia="黑体" w:hAnsi="黑体" w:cs="TimesNewRoman"/>
          <w:sz w:val="32"/>
          <w:szCs w:val="32"/>
        </w:rPr>
        <w:t>概况</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hint="eastAsia"/>
          <w:bCs/>
          <w:sz w:val="32"/>
          <w:szCs w:val="32"/>
        </w:rPr>
        <w:t>1.主要职责</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hint="eastAsia"/>
          <w:bCs/>
          <w:sz w:val="32"/>
          <w:szCs w:val="32"/>
        </w:rPr>
        <w:t>2.</w:t>
      </w:r>
      <w:r>
        <w:rPr>
          <w:rFonts w:ascii="仿宋_GB2312" w:eastAsia="仿宋_GB2312" w:hAnsi="TimesNewRoman" w:cs="TimesNewRoman" w:hint="eastAsia"/>
          <w:bCs/>
          <w:sz w:val="32"/>
          <w:szCs w:val="32"/>
          <w:lang w:eastAsia="zh-CN"/>
        </w:rPr>
        <w:t>寿县瓦埠镇中心卫生院</w:t>
      </w:r>
      <w:r>
        <w:rPr>
          <w:rFonts w:ascii="仿宋_GB2312" w:eastAsia="仿宋_GB2312" w:hAnsi="TimesNewRoman" w:cs="TimesNewRoman" w:hint="eastAsia"/>
          <w:bCs/>
          <w:sz w:val="32"/>
          <w:szCs w:val="32"/>
        </w:rPr>
        <w:t>预算构成</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hint="eastAsia"/>
          <w:bCs/>
          <w:sz w:val="32"/>
          <w:szCs w:val="32"/>
        </w:rPr>
        <w:t>3.2024年度主要工作任务</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第二部分 </w:t>
      </w:r>
      <w:r>
        <w:rPr>
          <w:rFonts w:ascii="黑体" w:eastAsia="黑体" w:hAnsi="黑体" w:cs="TimesNewRoman" w:hint="eastAsia"/>
          <w:sz w:val="32"/>
          <w:szCs w:val="32"/>
        </w:rPr>
        <w:t>2024</w:t>
      </w:r>
      <w:r>
        <w:rPr>
          <w:rFonts w:ascii="黑体" w:eastAsia="黑体" w:hAnsi="黑体" w:cs="TimesNewRoman"/>
          <w:sz w:val="32"/>
          <w:szCs w:val="32"/>
        </w:rPr>
        <w:t>年</w:t>
      </w:r>
      <w:r>
        <w:rPr>
          <w:rFonts w:ascii="黑体" w:eastAsia="黑体" w:hAnsi="黑体" w:cs="TimesNewRoman" w:hint="eastAsia"/>
          <w:sz w:val="32"/>
          <w:szCs w:val="32"/>
          <w:lang w:eastAsia="zh-CN"/>
        </w:rPr>
        <w:t>寿县瓦埠镇中心卫生院</w:t>
      </w:r>
      <w:r>
        <w:rPr>
          <w:rFonts w:ascii="黑体" w:eastAsia="黑体" w:hAnsi="黑体" w:cs="TimesNewRoman"/>
          <w:sz w:val="32"/>
          <w:szCs w:val="32"/>
        </w:rPr>
        <w:t>预算表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瓦埠</w:t>
      </w:r>
      <w:r>
        <w:rPr>
          <w:rFonts w:ascii="仿宋_GB2312" w:eastAsia="仿宋_GB2312" w:hAnsi="TimesNewRoman" w:cs="TimesNewRoman"/>
          <w:bCs/>
          <w:sz w:val="32"/>
          <w:szCs w:val="32"/>
        </w:rPr>
        <w:t>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瓦埠</w:t>
      </w:r>
      <w:r>
        <w:rPr>
          <w:rFonts w:ascii="仿宋_GB2312" w:eastAsia="仿宋_GB2312" w:hAnsi="TimesNewRoman" w:cs="TimesNewRoman"/>
          <w:bCs/>
          <w:sz w:val="32"/>
          <w:szCs w:val="32"/>
        </w:rPr>
        <w:t>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瓦埠</w:t>
      </w:r>
      <w:r>
        <w:rPr>
          <w:rFonts w:ascii="仿宋_GB2312" w:eastAsia="仿宋_GB2312" w:hAnsi="TimesNewRoman" w:cs="TimesNewRoman"/>
          <w:bCs/>
          <w:sz w:val="32"/>
          <w:szCs w:val="32"/>
        </w:rPr>
        <w:t>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瓦埠</w:t>
      </w:r>
      <w:r>
        <w:rPr>
          <w:rFonts w:ascii="仿宋_GB2312" w:eastAsia="仿宋_GB2312" w:hAnsi="TimesNewRoman" w:cs="TimesNewRoman"/>
          <w:bCs/>
          <w:sz w:val="32"/>
          <w:szCs w:val="32"/>
        </w:rPr>
        <w:t>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瓦埠</w:t>
      </w:r>
      <w:r>
        <w:rPr>
          <w:rFonts w:ascii="仿宋_GB2312" w:eastAsia="仿宋_GB2312" w:hAnsi="TimesNewRoman" w:cs="TimesNewRoman"/>
          <w:bCs/>
          <w:sz w:val="32"/>
          <w:szCs w:val="32"/>
        </w:rPr>
        <w:t>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瓦埠</w:t>
      </w:r>
      <w:r>
        <w:rPr>
          <w:rFonts w:ascii="仿宋_GB2312" w:eastAsia="仿宋_GB2312" w:hAnsi="TimesNewRoman" w:cs="TimesNewRoman"/>
          <w:bCs/>
          <w:sz w:val="32"/>
          <w:szCs w:val="32"/>
        </w:rPr>
        <w:t>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瓦埠</w:t>
      </w:r>
      <w:r>
        <w:rPr>
          <w:rFonts w:ascii="仿宋_GB2312" w:eastAsia="仿宋_GB2312" w:hAnsi="TimesNewRoman" w:cs="TimesNewRoman"/>
          <w:bCs/>
          <w:sz w:val="32"/>
          <w:szCs w:val="32"/>
        </w:rPr>
        <w:t>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瓦埠</w:t>
      </w:r>
      <w:r>
        <w:rPr>
          <w:rFonts w:ascii="仿宋_GB2312" w:eastAsia="仿宋_GB2312" w:hAnsi="TimesNewRoman" w:cs="TimesNewRoman"/>
          <w:bCs/>
          <w:sz w:val="32"/>
          <w:szCs w:val="32"/>
        </w:rPr>
        <w:t>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瓦埠</w:t>
      </w:r>
      <w:r>
        <w:rPr>
          <w:rFonts w:ascii="仿宋_GB2312" w:eastAsia="仿宋_GB2312" w:hAnsi="TimesNewRoman" w:cs="TimesNewRoman"/>
          <w:bCs/>
          <w:sz w:val="32"/>
          <w:szCs w:val="32"/>
        </w:rPr>
        <w:t>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瓦埠</w:t>
      </w:r>
      <w:r>
        <w:rPr>
          <w:rFonts w:ascii="仿宋_GB2312" w:eastAsia="仿宋_GB2312" w:hAnsi="TimesNewRoman" w:cs="TimesNewRoman"/>
          <w:bCs/>
          <w:sz w:val="32"/>
          <w:szCs w:val="32"/>
        </w:rPr>
        <w:t>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瓦埠</w:t>
      </w:r>
      <w:r>
        <w:rPr>
          <w:rFonts w:ascii="仿宋_GB2312" w:eastAsia="仿宋_GB2312" w:hAnsi="TimesNewRoman" w:cs="TimesNewRoman"/>
          <w:bCs/>
          <w:sz w:val="32"/>
          <w:szCs w:val="32"/>
        </w:rPr>
        <w:t>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第三部分 </w:t>
      </w:r>
      <w:r>
        <w:rPr>
          <w:rFonts w:ascii="黑体" w:eastAsia="黑体" w:hAnsi="黑体" w:cs="TimesNewRoman" w:hint="eastAsia"/>
          <w:sz w:val="32"/>
          <w:szCs w:val="32"/>
        </w:rPr>
        <w:t>2024</w:t>
      </w:r>
      <w:r>
        <w:rPr>
          <w:rFonts w:ascii="黑体" w:eastAsia="黑体" w:hAnsi="黑体" w:cs="TimesNewRoman"/>
          <w:sz w:val="32"/>
          <w:szCs w:val="32"/>
        </w:rPr>
        <w:t>年</w:t>
      </w:r>
      <w:r>
        <w:rPr>
          <w:rFonts w:ascii="黑体" w:eastAsia="黑体" w:hAnsi="黑体" w:cs="TimesNewRoman" w:hint="eastAsia"/>
          <w:sz w:val="32"/>
          <w:szCs w:val="32"/>
          <w:lang w:eastAsia="zh-CN"/>
        </w:rPr>
        <w:t>寿县瓦埠镇中心卫生院</w:t>
      </w:r>
      <w:r>
        <w:rPr>
          <w:rFonts w:ascii="黑体" w:eastAsia="黑体" w:hAnsi="黑体" w:cs="TimesNewRoman"/>
          <w:sz w:val="32"/>
          <w:szCs w:val="32"/>
        </w:rPr>
        <w:t>预算情况说明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12.其他重要事项情况说明</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第四部分 名词解释</w:t>
      </w: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jc w:val="both"/>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第一部分 </w:t>
      </w:r>
      <w:r>
        <w:rPr>
          <w:rFonts w:ascii="TimesNewRoman" w:eastAsia="黑体" w:hAnsi="TimesNewRoman" w:cs="TimesNewRoman" w:hint="eastAsia"/>
          <w:bCs/>
          <w:sz w:val="36"/>
          <w:szCs w:val="36"/>
          <w:lang w:eastAsia="zh-CN"/>
        </w:rPr>
        <w:t>寿县瓦埠镇中心卫生院</w:t>
      </w:r>
      <w:r>
        <w:rPr>
          <w:rFonts w:ascii="TimesNewRoman" w:eastAsia="黑体" w:hAnsi="TimesNewRoman" w:cs="TimesNewRoman"/>
          <w:bCs/>
          <w:sz w:val="36"/>
          <w:szCs w:val="36"/>
        </w:rPr>
        <w:t>概况</w:t>
      </w:r>
    </w:p>
    <w:p>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bCs/>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一、主要职责</w:t>
      </w:r>
    </w:p>
    <w:p>
      <w:pPr>
        <w:pStyle w:val="NormalWeb"/>
        <w:topLinePunct/>
        <w:adjustRightInd w:val="0"/>
        <w:snapToGrid w:val="0"/>
        <w:spacing w:beforeAutospacing="0" w:afterAutospacing="0" w:line="580" w:lineRule="exact"/>
        <w:ind w:firstLine="640" w:firstLineChars="200"/>
        <w:jc w:val="both"/>
        <w:rPr>
          <w:rFonts w:ascii="TimesNewRoman" w:eastAsia="黑体" w:hAnsi="TimesNewRoman" w:cs="TimesNewRoman"/>
          <w:bCs/>
          <w:sz w:val="32"/>
          <w:szCs w:val="32"/>
        </w:rPr>
      </w:pPr>
      <w:r>
        <w:rPr>
          <w:rFonts w:ascii="TimesNewRoman" w:eastAsia="仿宋_GB2312" w:hAnsi="TimesNewRoman" w:cs="TimesNewRoman"/>
          <w:bCs/>
          <w:sz w:val="32"/>
          <w:szCs w:val="32"/>
        </w:rPr>
        <w:t>（一）根据相关文件规定，寿县</w:t>
      </w:r>
      <w:r>
        <w:rPr>
          <w:rFonts w:ascii="TimesNewRoman" w:eastAsia="仿宋_GB2312" w:hAnsi="TimesNewRoman" w:cs="TimesNewRoman" w:hint="eastAsia"/>
          <w:bCs/>
          <w:sz w:val="32"/>
          <w:szCs w:val="32"/>
          <w:lang w:eastAsia="zh-CN"/>
        </w:rPr>
        <w:t>瓦埠</w:t>
      </w:r>
      <w:r>
        <w:rPr>
          <w:rFonts w:ascii="TimesNewRoman" w:eastAsia="仿宋_GB2312" w:hAnsi="TimesNewRoman" w:cs="TimesNewRoman"/>
          <w:bCs/>
          <w:sz w:val="32"/>
          <w:szCs w:val="32"/>
        </w:rPr>
        <w:t>镇中心卫生院主要职责是：</w:t>
      </w:r>
      <w:r>
        <w:rPr>
          <w:rFonts w:ascii="TimesNewRoman" w:eastAsia="仿宋_GB2312" w:hAnsi="TimesNewRoman" w:cs="TimesNewRoman" w:hint="eastAsia"/>
          <w:bCs/>
          <w:sz w:val="32"/>
          <w:szCs w:val="32"/>
          <w:lang w:eastAsia="zh-CN"/>
        </w:rPr>
        <w:t>为</w:t>
      </w:r>
      <w:r>
        <w:rPr>
          <w:rFonts w:ascii="TimesNewRoman" w:eastAsia="仿宋_GB2312" w:hAnsi="TimesNewRoman" w:cs="TimesNewRoman"/>
          <w:bCs/>
          <w:sz w:val="32"/>
          <w:szCs w:val="32"/>
        </w:rPr>
        <w:t>人民群众身体健康和辖区公共卫生提供管理服务。</w:t>
      </w:r>
    </w:p>
    <w:p>
      <w:pPr>
        <w:pStyle w:val="NormalWeb"/>
        <w:topLinePunct/>
        <w:adjustRightInd w:val="0"/>
        <w:snapToGrid w:val="0"/>
        <w:spacing w:beforeAutospacing="0" w:afterAutospacing="0" w:line="580" w:lineRule="exact"/>
        <w:ind w:firstLine="640" w:firstLineChars="200"/>
        <w:jc w:val="both"/>
        <w:rPr>
          <w:rFonts w:ascii="TimesNewRoman" w:eastAsia="仿宋_GB2312" w:hAnsi="TimesNewRoman" w:cs="TimesNewRoman"/>
          <w:bCs/>
          <w:sz w:val="32"/>
          <w:szCs w:val="32"/>
        </w:rPr>
      </w:pPr>
      <w:r>
        <w:rPr>
          <w:rFonts w:ascii="TimesNewRoman" w:eastAsia="仿宋_GB2312" w:hAnsi="TimesNewRoman" w:cs="TimesNewRoman"/>
          <w:bCs/>
          <w:sz w:val="32"/>
          <w:szCs w:val="32"/>
        </w:rPr>
        <w:t>（二）</w:t>
      </w:r>
      <w:r>
        <w:rPr>
          <w:rFonts w:ascii="TimesNewRoman" w:eastAsia="仿宋_GB2312" w:hAnsi="TimesNewRoman" w:cs="TimesNewRoman" w:hint="eastAsia"/>
          <w:bCs/>
          <w:sz w:val="32"/>
          <w:szCs w:val="32"/>
        </w:rPr>
        <w:t>承担</w:t>
      </w:r>
      <w:r>
        <w:rPr>
          <w:rFonts w:ascii="TimesNewRoman" w:eastAsia="仿宋_GB2312" w:hAnsi="TimesNewRoman" w:cs="TimesNewRoman"/>
          <w:bCs/>
          <w:sz w:val="32"/>
          <w:szCs w:val="32"/>
        </w:rPr>
        <w:t>预防保健等公共卫生服务和一般常见病、多发病的基本医疗服务。</w:t>
      </w:r>
    </w:p>
    <w:p>
      <w:pPr>
        <w:pStyle w:val="NormalWeb"/>
        <w:topLinePunct/>
        <w:adjustRightInd w:val="0"/>
        <w:snapToGrid w:val="0"/>
        <w:spacing w:beforeAutospacing="0" w:afterAutospacing="0" w:line="580" w:lineRule="exact"/>
        <w:ind w:firstLine="640" w:firstLineChars="200"/>
        <w:jc w:val="both"/>
        <w:rPr>
          <w:rFonts w:ascii="TimesNewRoman" w:eastAsia="仿宋_GB2312" w:hAnsi="TimesNewRoman" w:cs="TimesNewRoman"/>
          <w:bCs/>
          <w:sz w:val="32"/>
          <w:szCs w:val="32"/>
        </w:rPr>
      </w:pPr>
      <w:r>
        <w:rPr>
          <w:rFonts w:ascii="TimesNewRoman" w:eastAsia="仿宋_GB2312" w:hAnsi="TimesNewRoman" w:cs="TimesNewRoman" w:hint="eastAsia"/>
          <w:bCs/>
          <w:sz w:val="32"/>
          <w:szCs w:val="32"/>
        </w:rPr>
        <w:t>（三）受县级卫生行政部门和所在乡镇政府委托，承担辖区内公共卫生管理。</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二、</w:t>
      </w:r>
      <w:r>
        <w:rPr>
          <w:rFonts w:ascii="楷体_GB2312" w:eastAsia="楷体_GB2312" w:hAnsi="TimesNewRoman" w:cs="TimesNewRoman" w:hint="eastAsia"/>
          <w:b/>
          <w:bCs/>
          <w:sz w:val="32"/>
          <w:szCs w:val="32"/>
          <w:lang w:eastAsia="zh-CN"/>
        </w:rPr>
        <w:t>寿县瓦埠镇中心卫生院</w:t>
      </w:r>
      <w:r>
        <w:rPr>
          <w:rFonts w:ascii="楷体_GB2312" w:eastAsia="楷体_GB2312" w:hAnsi="TimesNewRoman" w:cs="TimesNewRoman"/>
          <w:b/>
          <w:bCs/>
          <w:sz w:val="32"/>
          <w:szCs w:val="32"/>
        </w:rPr>
        <w:t>预算构成</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瓦埠</w:t>
      </w:r>
      <w:r>
        <w:rPr>
          <w:rFonts w:ascii="仿宋_GB2312" w:eastAsia="仿宋_GB2312" w:hAnsi="TimesNewRoman" w:cs="TimesNewRoman" w:hint="eastAsia"/>
          <w:bCs/>
          <w:sz w:val="32"/>
          <w:szCs w:val="32"/>
        </w:rPr>
        <w:t>镇中心卫生院2024年度单位预算仅包括单位本级预算，无其他下属单位预算。</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三、2024年度主要工作任务</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2024年寿县</w:t>
      </w:r>
      <w:r>
        <w:rPr>
          <w:rFonts w:ascii="楷体_GB2312" w:eastAsia="楷体_GB2312" w:hAnsi="TimesNewRoman" w:cs="TimesNewRoman" w:hint="eastAsia"/>
          <w:b/>
          <w:bCs/>
          <w:sz w:val="32"/>
          <w:szCs w:val="32"/>
          <w:lang w:eastAsia="zh-CN"/>
        </w:rPr>
        <w:t>瓦埠</w:t>
      </w:r>
      <w:r>
        <w:rPr>
          <w:rFonts w:ascii="楷体_GB2312" w:eastAsia="楷体_GB2312" w:hAnsi="TimesNewRoman" w:cs="TimesNewRoman" w:hint="eastAsia"/>
          <w:b/>
          <w:bCs/>
          <w:sz w:val="32"/>
          <w:szCs w:val="32"/>
        </w:rPr>
        <w:t>镇中心卫生院主要任务是：以公共卫生为主，综合提供预防、保健、基本医疗、健康教育等综合性服务。围绕上述任务，重点抓好以下工作。</w:t>
      </w:r>
    </w:p>
    <w:p>
      <w:pPr>
        <w:pStyle w:val="NormalWeb"/>
        <w:topLinePunct/>
        <w:adjustRightInd w:val="0"/>
        <w:snapToGrid w:val="0"/>
        <w:spacing w:beforeAutospacing="0" w:afterAutospacing="0" w:line="580" w:lineRule="exact"/>
        <w:ind w:firstLine="640" w:firstLineChars="200"/>
        <w:jc w:val="both"/>
        <w:rPr>
          <w:rFonts w:ascii="TimesNewRoman" w:eastAsia="黑体" w:hAnsi="TimesNewRoman" w:cs="TimesNewRoman"/>
          <w:bCs/>
          <w:sz w:val="32"/>
          <w:szCs w:val="32"/>
        </w:rPr>
      </w:pPr>
      <w:r>
        <w:rPr>
          <w:rFonts w:ascii="TimesNewRoman" w:eastAsia="仿宋_GB2312" w:hAnsi="TimesNewRoman" w:cs="TimesNewRoman"/>
          <w:bCs/>
          <w:sz w:val="32"/>
          <w:szCs w:val="32"/>
        </w:rPr>
        <w:t>（一）</w:t>
      </w:r>
      <w:r>
        <w:rPr>
          <w:rFonts w:ascii="TimesNewRoman" w:eastAsia="仿宋_GB2312" w:hAnsi="TimesNewRoman" w:cs="TimesNewRoman" w:hint="eastAsia"/>
          <w:bCs/>
          <w:sz w:val="32"/>
          <w:szCs w:val="32"/>
        </w:rPr>
        <w:t>健康</w:t>
      </w:r>
      <w:r>
        <w:rPr>
          <w:rFonts w:ascii="TimesNewRoman" w:eastAsia="仿宋_GB2312" w:hAnsi="TimesNewRoman" w:cs="TimesNewRoman"/>
          <w:bCs/>
          <w:sz w:val="32"/>
          <w:szCs w:val="32"/>
        </w:rPr>
        <w:t>档案管理及服务。</w:t>
      </w:r>
    </w:p>
    <w:p>
      <w:pPr>
        <w:pStyle w:val="NormalWeb"/>
        <w:topLinePunct/>
        <w:adjustRightInd w:val="0"/>
        <w:snapToGrid w:val="0"/>
        <w:spacing w:beforeAutospacing="0" w:afterAutospacing="0" w:line="580" w:lineRule="exact"/>
        <w:ind w:firstLine="640" w:firstLineChars="200"/>
        <w:jc w:val="both"/>
        <w:rPr>
          <w:rFonts w:ascii="TimesNewRoman" w:eastAsia="仿宋_GB2312" w:hAnsi="TimesNewRoman" w:cs="TimesNewRoman"/>
          <w:bCs/>
          <w:sz w:val="32"/>
          <w:szCs w:val="32"/>
        </w:rPr>
      </w:pPr>
      <w:r>
        <w:rPr>
          <w:rFonts w:ascii="TimesNewRoman" w:eastAsia="仿宋_GB2312" w:hAnsi="TimesNewRoman" w:cs="TimesNewRoman"/>
          <w:bCs/>
          <w:sz w:val="32"/>
          <w:szCs w:val="32"/>
        </w:rPr>
        <w:t>（二）</w:t>
      </w:r>
      <w:r>
        <w:rPr>
          <w:rFonts w:ascii="TimesNewRoman" w:eastAsia="仿宋_GB2312" w:hAnsi="TimesNewRoman" w:cs="TimesNewRoman" w:hint="eastAsia"/>
          <w:bCs/>
          <w:sz w:val="32"/>
          <w:szCs w:val="32"/>
        </w:rPr>
        <w:t>治疗</w:t>
      </w:r>
      <w:r>
        <w:rPr>
          <w:rFonts w:ascii="TimesNewRoman" w:eastAsia="仿宋_GB2312" w:hAnsi="TimesNewRoman" w:cs="TimesNewRoman"/>
          <w:bCs/>
          <w:sz w:val="32"/>
          <w:szCs w:val="32"/>
        </w:rPr>
        <w:t>一般常见病、多发病，提供基本医疗服务。</w:t>
      </w:r>
    </w:p>
    <w:p>
      <w:pPr>
        <w:pStyle w:val="NormalWeb"/>
        <w:topLinePunct/>
        <w:adjustRightInd w:val="0"/>
        <w:snapToGrid w:val="0"/>
        <w:spacing w:beforeAutospacing="0" w:afterAutospacing="0" w:line="580" w:lineRule="exact"/>
        <w:ind w:firstLine="640" w:firstLineChars="200"/>
        <w:jc w:val="both"/>
        <w:rPr>
          <w:rFonts w:ascii="TimesNewRoman" w:eastAsia="黑体" w:hAnsi="TimesNewRoman" w:cs="TimesNewRoman"/>
          <w:bCs/>
          <w:sz w:val="36"/>
          <w:szCs w:val="36"/>
        </w:rPr>
      </w:pPr>
      <w:r>
        <w:rPr>
          <w:rFonts w:ascii="TimesNewRoman" w:eastAsia="仿宋_GB2312" w:hAnsi="TimesNewRoman" w:cs="TimesNewRoman" w:hint="eastAsia"/>
          <w:bCs/>
          <w:sz w:val="32"/>
          <w:szCs w:val="32"/>
        </w:rPr>
        <w:t>（三）普及疾病预防及卫生保健知识，开展健康教育；抓好公共卫生管理及卫生监督工作。</w:t>
      </w: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第二部分 </w:t>
      </w:r>
      <w:r>
        <w:rPr>
          <w:rFonts w:ascii="TimesNewRoman" w:eastAsia="黑体" w:hAnsi="TimesNewRoman" w:cs="TimesNewRoman" w:hint="eastAsia"/>
          <w:bCs/>
          <w:sz w:val="36"/>
          <w:szCs w:val="36"/>
        </w:rPr>
        <w:t>2024</w:t>
      </w:r>
      <w:r>
        <w:rPr>
          <w:rFonts w:ascii="TimesNewRoman" w:eastAsia="黑体" w:hAnsi="TimesNewRoman" w:cs="TimesNewRoman"/>
          <w:bCs/>
          <w:sz w:val="36"/>
          <w:szCs w:val="36"/>
        </w:rPr>
        <w:t>年</w:t>
      </w:r>
      <w:r>
        <w:rPr>
          <w:rFonts w:ascii="TimesNewRoman" w:eastAsia="黑体" w:hAnsi="TimesNewRoman" w:cs="TimesNewRoman" w:hint="eastAsia"/>
          <w:bCs/>
          <w:sz w:val="36"/>
          <w:szCs w:val="36"/>
          <w:lang w:eastAsia="zh-CN"/>
        </w:rPr>
        <w:t>寿县瓦埠镇中心卫生院</w:t>
      </w:r>
      <w:r>
        <w:rPr>
          <w:rFonts w:ascii="TimesNewRoman" w:eastAsia="黑体" w:hAnsi="TimesNewRoman" w:cs="TimesNewRoman"/>
          <w:bCs/>
          <w:sz w:val="36"/>
          <w:szCs w:val="36"/>
        </w:rPr>
        <w:t>预算表</w:t>
      </w:r>
    </w:p>
    <w:p>
      <w:pPr>
        <w:spacing w:line="560" w:lineRule="exact"/>
        <w:ind w:firstLine="6600" w:firstLineChars="3300"/>
        <w:jc w:val="left"/>
        <w:rPr>
          <w:rFonts w:ascii="TimesNewRoman" w:hAnsi="TimesNewRoman" w:cs="TimesNewRoman"/>
          <w:kern w:val="0"/>
          <w:sz w:val="20"/>
        </w:rPr>
      </w:pPr>
      <w:r>
        <w:rPr>
          <w:rFonts w:ascii="TimesNewRoman" w:hAnsi="TimesNewRoman" w:cs="TimesNewRoman"/>
          <w:kern w:val="0"/>
          <w:sz w:val="20"/>
          <w:u w:val="single"/>
        </w:rPr>
        <w:t>（单位）</w:t>
      </w:r>
      <w:r>
        <w:rPr>
          <w:rFonts w:ascii="TimesNewRoman" w:hAnsi="TimesNewRoman" w:cs="TimesNewRoman"/>
          <w:kern w:val="0"/>
          <w:sz w:val="20"/>
        </w:rPr>
        <w:t>公开表1</w:t>
      </w:r>
    </w:p>
    <w:p>
      <w:pPr>
        <w:spacing w:line="560" w:lineRule="exact"/>
        <w:jc w:val="center"/>
        <w:rPr>
          <w:rFonts w:ascii="宋体" w:hAnsi="宋体" w:cs="TimesNewRoman"/>
          <w:kern w:val="0"/>
          <w:sz w:val="24"/>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瓦埠</w:t>
      </w:r>
      <w:r>
        <w:rPr>
          <w:rFonts w:ascii="宋体" w:hAnsi="宋体" w:cs="TimesNewRoman"/>
          <w:b/>
          <w:bCs/>
          <w:kern w:val="0"/>
          <w:sz w:val="28"/>
          <w:szCs w:val="32"/>
        </w:rPr>
        <w:t>镇中心卫生院</w:t>
      </w:r>
      <w:r>
        <w:rPr>
          <w:rFonts w:ascii="宋体" w:hAnsi="宋体" w:cs="TimesNewRoman" w:hint="eastAsia"/>
          <w:b/>
          <w:bCs/>
          <w:kern w:val="0"/>
          <w:sz w:val="28"/>
          <w:szCs w:val="32"/>
        </w:rPr>
        <w:t>2024</w:t>
      </w:r>
      <w:r>
        <w:rPr>
          <w:rFonts w:ascii="宋体" w:hAnsi="宋体" w:cs="TimesNewRoman"/>
          <w:b/>
          <w:bCs/>
          <w:kern w:val="0"/>
          <w:sz w:val="28"/>
          <w:szCs w:val="32"/>
        </w:rPr>
        <w:t>年收支总表</w:t>
      </w:r>
    </w:p>
    <w:p>
      <w:pPr>
        <w:spacing w:line="560" w:lineRule="exact"/>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9220" w:type="dxa"/>
        <w:tblInd w:w="0" w:type="dxa"/>
        <w:tblLayout w:type="fixed"/>
        <w:tblCellMar>
          <w:top w:w="0" w:type="dxa"/>
          <w:left w:w="108" w:type="dxa"/>
          <w:bottom w:w="0" w:type="dxa"/>
          <w:right w:w="108" w:type="dxa"/>
        </w:tblCellMar>
      </w:tblPr>
      <w:tblGrid>
        <w:gridCol w:w="3728"/>
        <w:gridCol w:w="1089"/>
        <w:gridCol w:w="3470"/>
        <w:gridCol w:w="933"/>
      </w:tblGrid>
      <w:tr>
        <w:tblPrEx>
          <w:tblW w:w="9220" w:type="dxa"/>
          <w:tblInd w:w="0" w:type="dxa"/>
          <w:tblLayout w:type="fixed"/>
          <w:tblCellMar>
            <w:top w:w="0" w:type="dxa"/>
            <w:left w:w="108" w:type="dxa"/>
            <w:bottom w:w="0" w:type="dxa"/>
            <w:right w:w="108" w:type="dxa"/>
          </w:tblCellMar>
        </w:tblPrEx>
        <w:trPr>
          <w:trHeight w:val="12"/>
        </w:trPr>
        <w:tc>
          <w:tcPr>
            <w:tcW w:w="4817" w:type="dxa"/>
            <w:gridSpan w:val="2"/>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 xml:space="preserve">          收            入             </w:t>
            </w:r>
          </w:p>
        </w:tc>
        <w:tc>
          <w:tcPr>
            <w:tcW w:w="4402" w:type="dxa"/>
            <w:gridSpan w:val="2"/>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          出</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收 入 项 目</w:t>
            </w:r>
          </w:p>
        </w:tc>
        <w:tc>
          <w:tcPr>
            <w:tcW w:w="1089" w:type="dxa"/>
            <w:tcBorders>
              <w:top w:val="nil"/>
              <w:left w:val="nil"/>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c>
          <w:tcPr>
            <w:tcW w:w="3470" w:type="dxa"/>
            <w:tcBorders>
              <w:top w:val="nil"/>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支出功能分类科目</w:t>
            </w:r>
          </w:p>
        </w:tc>
        <w:tc>
          <w:tcPr>
            <w:tcW w:w="933" w:type="dxa"/>
            <w:tcBorders>
              <w:top w:val="nil"/>
              <w:left w:val="nil"/>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一、一般公共预算拨款收入</w:t>
            </w:r>
          </w:p>
        </w:tc>
        <w:tc>
          <w:tcPr>
            <w:tcW w:w="1089" w:type="dxa"/>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367.81</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sz="4" w:space="0" w:color="auto"/>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0.43</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sz="4" w:space="0" w:color="auto"/>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rPr>
                <w:rFonts w:ascii="TimesNewRoman" w:hAnsi="TimesNewRoman" w:cs="TimesNewRoman"/>
                <w:kern w:val="0"/>
                <w:sz w:val="18"/>
                <w:szCs w:val="18"/>
              </w:rPr>
            </w:pPr>
            <w:r>
              <w:rPr>
                <w:rFonts w:ascii="TimesNewRoman" w:hAnsi="TimesNewRoman" w:cs="TimesNewRoman"/>
                <w:kern w:val="0"/>
                <w:sz w:val="18"/>
                <w:szCs w:val="18"/>
              </w:rPr>
              <w:t>三、国有资本经营预算拨款收入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sz="4" w:space="0" w:color="auto"/>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113.55</w:t>
            </w: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919.31</w:t>
            </w: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四、财政专户管理资金收入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五、单位资金收入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690</w:t>
            </w: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其中：事业收入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690</w:t>
            </w: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事业单位经营收入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933" w:type="dxa"/>
            <w:tcBorders>
              <w:top w:val="single" w:sz="4" w:space="0" w:color="auto"/>
              <w:left w:val="nil"/>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上级补助收入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933" w:type="dxa"/>
            <w:tcBorders>
              <w:top w:val="single" w:sz="4" w:space="0" w:color="auto"/>
              <w:left w:val="nil"/>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附属单位上缴收入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933" w:type="dxa"/>
            <w:tcBorders>
              <w:top w:val="single" w:sz="4" w:space="0" w:color="auto"/>
              <w:left w:val="nil"/>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其他收入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933" w:type="dxa"/>
            <w:tcBorders>
              <w:top w:val="single" w:sz="4" w:space="0" w:color="auto"/>
              <w:left w:val="nil"/>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933" w:type="dxa"/>
            <w:tcBorders>
              <w:top w:val="single" w:sz="4" w:space="0" w:color="auto"/>
              <w:left w:val="nil"/>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933" w:type="dxa"/>
            <w:tcBorders>
              <w:top w:val="single" w:sz="4" w:space="0" w:color="auto"/>
              <w:left w:val="nil"/>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24.95</w:t>
            </w: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933"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  年  收  入  小  计</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1057.81</w:t>
            </w: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  年  支  出  小  计</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10</w:t>
            </w:r>
            <w:r>
              <w:rPr>
                <w:rFonts w:ascii="TimesNewRoman" w:hAnsi="TimesNewRoman" w:cs="TimesNewRoman" w:hint="eastAsia"/>
                <w:kern w:val="0"/>
                <w:sz w:val="18"/>
                <w:szCs w:val="18"/>
                <w:lang w:val="en-US" w:eastAsia="zh-CN"/>
              </w:rPr>
              <w:t>57</w:t>
            </w:r>
            <w:r>
              <w:rPr>
                <w:rFonts w:ascii="TimesNewRoman" w:hAnsi="TimesNewRoman" w:cs="TimesNewRoman" w:hint="eastAsia"/>
                <w:kern w:val="0"/>
                <w:sz w:val="18"/>
                <w:szCs w:val="18"/>
              </w:rPr>
              <w:t>.</w:t>
            </w:r>
            <w:r>
              <w:rPr>
                <w:rFonts w:ascii="TimesNewRoman" w:hAnsi="TimesNewRoman" w:cs="TimesNewRoman" w:hint="eastAsia"/>
                <w:kern w:val="0"/>
                <w:sz w:val="18"/>
                <w:szCs w:val="18"/>
                <w:lang w:val="en-US" w:eastAsia="zh-CN"/>
              </w:rPr>
              <w:t>81</w:t>
            </w: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上年</w:t>
            </w:r>
            <w:r>
              <w:rPr>
                <w:rFonts w:ascii="TimesNewRoman" w:hAnsi="TimesNewRoman" w:cs="TimesNewRoman" w:hint="eastAsia"/>
                <w:kern w:val="0"/>
                <w:sz w:val="18"/>
                <w:szCs w:val="18"/>
              </w:rPr>
              <w:t>结转数</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eastAsia="仿宋_GB2312" w:hAnsi="TimesNewRoman" w:cs="TimesNewRoman"/>
                <w:kern w:val="0"/>
                <w:sz w:val="18"/>
                <w:szCs w:val="18"/>
              </w:rPr>
            </w:pPr>
            <w:r>
              <w:rPr>
                <w:rFonts w:ascii="TimesNewRoman" w:hAnsi="TimesNewRoman" w:cs="TimesNewRoman" w:hint="eastAsia"/>
                <w:kern w:val="0"/>
                <w:sz w:val="18"/>
                <w:szCs w:val="18"/>
              </w:rPr>
              <w:t>结转下年</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一般公共预算</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一般公共预算</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政府性基金预算</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政府性基金预算</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国有资本经营预算</w:t>
            </w:r>
          </w:p>
        </w:tc>
        <w:tc>
          <w:tcPr>
            <w:tcW w:w="1089" w:type="dxa"/>
            <w:tcBorders>
              <w:top w:val="nil"/>
              <w:left w:val="nil"/>
              <w:bottom w:val="single" w:sz="4" w:space="0" w:color="auto"/>
              <w:right w:val="single" w:sz="4" w:space="0" w:color="auto"/>
            </w:tcBorders>
            <w:noWrap/>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国有资本经营预算</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财政专户管理资金</w:t>
            </w:r>
          </w:p>
        </w:tc>
        <w:tc>
          <w:tcPr>
            <w:tcW w:w="1089" w:type="dxa"/>
            <w:tcBorders>
              <w:top w:val="nil"/>
              <w:left w:val="nil"/>
              <w:bottom w:val="single" w:sz="4" w:space="0" w:color="auto"/>
              <w:right w:val="single" w:sz="4" w:space="0" w:color="auto"/>
            </w:tcBorders>
            <w:noWrap/>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财政专户管理资金</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单位资金</w:t>
            </w:r>
          </w:p>
        </w:tc>
        <w:tc>
          <w:tcPr>
            <w:tcW w:w="1089" w:type="dxa"/>
            <w:tcBorders>
              <w:top w:val="nil"/>
              <w:left w:val="nil"/>
              <w:bottom w:val="single" w:sz="4" w:space="0" w:color="auto"/>
              <w:right w:val="single" w:sz="4" w:space="0" w:color="auto"/>
            </w:tcBorders>
            <w:noWrap/>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单位资金</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   总   计</w:t>
            </w:r>
          </w:p>
        </w:tc>
        <w:tc>
          <w:tcPr>
            <w:tcW w:w="1089" w:type="dxa"/>
            <w:tcBorders>
              <w:top w:val="nil"/>
              <w:left w:val="nil"/>
              <w:bottom w:val="single" w:sz="4" w:space="0" w:color="auto"/>
              <w:right w:val="single" w:sz="4" w:space="0" w:color="auto"/>
            </w:tcBorders>
            <w:noWrap/>
            <w:vAlign w:val="bottom"/>
          </w:tcPr>
          <w:p>
            <w:pPr>
              <w:widowControl/>
              <w:spacing w:line="26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1057.81</w:t>
            </w:r>
            <w:r>
              <w:rPr>
                <w:rFonts w:ascii="TimesNewRoman" w:hAnsi="TimesNewRoman" w:cs="TimesNewRoman"/>
                <w:b/>
                <w:bCs/>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  总　计</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10</w:t>
            </w:r>
            <w:r>
              <w:rPr>
                <w:rFonts w:ascii="TimesNewRoman" w:hAnsi="TimesNewRoman" w:cs="TimesNewRoman" w:hint="eastAsia"/>
                <w:kern w:val="0"/>
                <w:sz w:val="18"/>
                <w:szCs w:val="18"/>
                <w:lang w:val="en-US" w:eastAsia="zh-CN"/>
              </w:rPr>
              <w:t>57</w:t>
            </w:r>
            <w:r>
              <w:rPr>
                <w:rFonts w:ascii="TimesNewRoman" w:hAnsi="TimesNewRoman" w:cs="TimesNewRoman" w:hint="eastAsia"/>
                <w:kern w:val="0"/>
                <w:sz w:val="18"/>
                <w:szCs w:val="18"/>
              </w:rPr>
              <w:t>.</w:t>
            </w:r>
            <w:r>
              <w:rPr>
                <w:rFonts w:ascii="TimesNewRoman" w:hAnsi="TimesNewRoman" w:cs="TimesNewRoman" w:hint="eastAsia"/>
                <w:kern w:val="0"/>
                <w:sz w:val="18"/>
                <w:szCs w:val="18"/>
                <w:lang w:val="en-US" w:eastAsia="zh-CN"/>
              </w:rPr>
              <w:t>81</w:t>
            </w:r>
            <w:r>
              <w:rPr>
                <w:rFonts w:ascii="TimesNewRoman" w:hAnsi="TimesNewRoman" w:cs="TimesNewRoman"/>
                <w:kern w:val="0"/>
                <w:sz w:val="18"/>
                <w:szCs w:val="18"/>
              </w:rPr>
              <w:t>　</w:t>
            </w:r>
          </w:p>
        </w:tc>
      </w:tr>
    </w:tbl>
    <w:p>
      <w:pPr>
        <w:spacing w:line="560" w:lineRule="exact"/>
        <w:jc w:val="center"/>
        <w:rPr>
          <w:rFonts w:ascii="TimesNewRoman" w:hAnsi="TimesNewRoman" w:cs="TimesNewRoman"/>
          <w:kern w:val="0"/>
          <w:sz w:val="20"/>
        </w:rPr>
        <w:sectPr>
          <w:footerReference w:type="even" r:id="rId5"/>
          <w:footerReference w:type="default" r:id="rId6"/>
          <w:pgSz w:w="11907" w:h="16840"/>
          <w:pgMar w:top="2098" w:right="1474" w:bottom="1985" w:left="1588" w:header="851" w:footer="1021" w:gutter="0"/>
          <w:cols w:num="1" w:space="425"/>
          <w:titlePg/>
          <w:docGrid w:type="linesAndChars" w:linePitch="312" w:charSpace="0"/>
        </w:sectPr>
      </w:pPr>
    </w:p>
    <w:p>
      <w:pPr>
        <w:spacing w:line="560" w:lineRule="exact"/>
        <w:jc w:val="center"/>
        <w:rPr>
          <w:rFonts w:ascii="TimesNewRoman" w:hAnsi="TimesNewRoman" w:cs="TimesNewRoman"/>
          <w:kern w:val="0"/>
          <w:sz w:val="20"/>
        </w:rPr>
      </w:pPr>
      <w:r>
        <w:rPr>
          <w:rFonts w:ascii="TimesNewRoman" w:hAnsi="TimesNewRoman" w:cs="TimesNewRoman"/>
          <w:kern w:val="0"/>
          <w:sz w:val="20"/>
          <w:u w:val="single"/>
        </w:rPr>
        <w:t>（单位）</w:t>
      </w:r>
      <w:r>
        <w:rPr>
          <w:rFonts w:ascii="TimesNewRoman" w:hAnsi="TimesNewRoman" w:cs="TimesNewRoman"/>
          <w:kern w:val="0"/>
          <w:sz w:val="20"/>
        </w:rPr>
        <w:t>公开表2</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瓦埠</w:t>
      </w:r>
      <w:r>
        <w:rPr>
          <w:rFonts w:ascii="宋体" w:hAnsi="宋体" w:cs="TimesNewRoman"/>
          <w:b/>
          <w:bCs/>
          <w:kern w:val="0"/>
          <w:sz w:val="28"/>
          <w:szCs w:val="32"/>
        </w:rPr>
        <w:t>镇中心卫生院</w:t>
      </w:r>
      <w:r>
        <w:rPr>
          <w:rFonts w:ascii="宋体" w:hAnsi="宋体" w:cs="TimesNewRoman" w:hint="eastAsia"/>
          <w:b/>
          <w:bCs/>
          <w:kern w:val="0"/>
          <w:sz w:val="28"/>
          <w:szCs w:val="32"/>
        </w:rPr>
        <w:t>2024</w:t>
      </w:r>
      <w:r>
        <w:rPr>
          <w:rFonts w:ascii="宋体" w:hAnsi="宋体" w:cs="TimesNewRoman"/>
          <w:b/>
          <w:bCs/>
          <w:kern w:val="0"/>
          <w:sz w:val="28"/>
          <w:szCs w:val="32"/>
        </w:rPr>
        <w:t>年收入总表</w:t>
      </w:r>
    </w:p>
    <w:p>
      <w:pPr>
        <w:spacing w:line="560" w:lineRule="exact"/>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5168" w:type="dxa"/>
        <w:tblInd w:w="-1026" w:type="dxa"/>
        <w:tblLayout w:type="fixed"/>
        <w:tblCellMar>
          <w:top w:w="0" w:type="dxa"/>
          <w:left w:w="108" w:type="dxa"/>
          <w:bottom w:w="0" w:type="dxa"/>
          <w:right w:w="108" w:type="dxa"/>
        </w:tblCellMar>
      </w:tblPr>
      <w:tblGrid>
        <w:gridCol w:w="2295"/>
        <w:gridCol w:w="966"/>
        <w:gridCol w:w="992"/>
        <w:gridCol w:w="992"/>
        <w:gridCol w:w="567"/>
        <w:gridCol w:w="567"/>
        <w:gridCol w:w="425"/>
        <w:gridCol w:w="567"/>
        <w:gridCol w:w="567"/>
        <w:gridCol w:w="709"/>
        <w:gridCol w:w="709"/>
        <w:gridCol w:w="850"/>
        <w:gridCol w:w="709"/>
        <w:gridCol w:w="567"/>
        <w:gridCol w:w="567"/>
        <w:gridCol w:w="567"/>
        <w:gridCol w:w="567"/>
        <w:gridCol w:w="709"/>
        <w:gridCol w:w="1276"/>
      </w:tblGrid>
      <w:tr>
        <w:tblPrEx>
          <w:tblW w:w="15168" w:type="dxa"/>
          <w:tblInd w:w="-1026" w:type="dxa"/>
          <w:tblLayout w:type="fixed"/>
          <w:tblCellMar>
            <w:top w:w="0" w:type="dxa"/>
            <w:left w:w="108" w:type="dxa"/>
            <w:bottom w:w="0" w:type="dxa"/>
            <w:right w:w="108" w:type="dxa"/>
          </w:tblCellMar>
        </w:tblPrEx>
        <w:trPr>
          <w:trHeight w:val="501"/>
        </w:trPr>
        <w:tc>
          <w:tcPr>
            <w:tcW w:w="2295" w:type="dxa"/>
            <w:vMerge w:val="restart"/>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部门（单位）名称</w:t>
            </w:r>
          </w:p>
        </w:tc>
        <w:tc>
          <w:tcPr>
            <w:tcW w:w="966" w:type="dxa"/>
            <w:vMerge w:val="restart"/>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合计</w:t>
            </w:r>
          </w:p>
        </w:tc>
        <w:tc>
          <w:tcPr>
            <w:tcW w:w="7654" w:type="dxa"/>
            <w:gridSpan w:val="11"/>
            <w:tcBorders>
              <w:top w:val="single" w:sz="4" w:space="0" w:color="auto"/>
              <w:left w:val="nil"/>
              <w:bottom w:val="single" w:sz="4" w:space="0" w:color="auto"/>
              <w:right w:val="single" w:sz="4" w:space="0" w:color="000000"/>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本年收入</w:t>
            </w:r>
          </w:p>
        </w:tc>
        <w:tc>
          <w:tcPr>
            <w:tcW w:w="4253" w:type="dxa"/>
            <w:gridSpan w:val="6"/>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上年结转结余</w:t>
            </w:r>
          </w:p>
        </w:tc>
      </w:tr>
      <w:tr>
        <w:tblPrEx>
          <w:tblW w:w="15168" w:type="dxa"/>
          <w:tblInd w:w="-1026" w:type="dxa"/>
          <w:tblLayout w:type="fixed"/>
          <w:tblCellMar>
            <w:top w:w="0" w:type="dxa"/>
            <w:left w:w="108" w:type="dxa"/>
            <w:bottom w:w="0" w:type="dxa"/>
            <w:right w:w="108" w:type="dxa"/>
          </w:tblCellMar>
        </w:tblPrEx>
        <w:trPr>
          <w:trHeight w:val="424"/>
        </w:trPr>
        <w:tc>
          <w:tcPr>
            <w:tcW w:w="2295" w:type="dxa"/>
            <w:vMerge/>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b/>
                <w:kern w:val="0"/>
                <w:sz w:val="18"/>
                <w:szCs w:val="18"/>
              </w:rPr>
            </w:pPr>
          </w:p>
        </w:tc>
        <w:tc>
          <w:tcPr>
            <w:tcW w:w="966" w:type="dxa"/>
            <w:vMerge/>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b/>
                <w:kern w:val="0"/>
                <w:sz w:val="18"/>
                <w:szCs w:val="18"/>
              </w:rPr>
            </w:pPr>
          </w:p>
        </w:tc>
        <w:tc>
          <w:tcPr>
            <w:tcW w:w="992"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992"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567"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567" w:type="dxa"/>
            <w:vMerge w:val="restart"/>
            <w:tcBorders>
              <w:top w:val="nil"/>
              <w:left w:val="single" w:sz="4" w:space="0" w:color="auto"/>
              <w:bottom w:val="single" w:sz="4" w:space="0" w:color="000000"/>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425" w:type="dxa"/>
            <w:vMerge w:val="restart"/>
            <w:tcBorders>
              <w:top w:val="nil"/>
              <w:left w:val="single" w:sz="4" w:space="0" w:color="auto"/>
              <w:bottom w:val="single" w:sz="4" w:space="0" w:color="000000"/>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4111" w:type="dxa"/>
            <w:gridSpan w:val="6"/>
            <w:tcBorders>
              <w:top w:val="single" w:sz="4" w:space="0" w:color="auto"/>
              <w:left w:val="nil"/>
              <w:bottom w:val="single" w:sz="4" w:space="0" w:color="auto"/>
              <w:right w:val="single" w:sz="4" w:space="0" w:color="000000"/>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c>
          <w:tcPr>
            <w:tcW w:w="567"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567"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567"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567"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709"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1276"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r>
      <w:tr>
        <w:tblPrEx>
          <w:tblW w:w="15168" w:type="dxa"/>
          <w:tblInd w:w="-1026" w:type="dxa"/>
          <w:tblLayout w:type="fixed"/>
          <w:tblCellMar>
            <w:top w:w="0" w:type="dxa"/>
            <w:left w:w="108" w:type="dxa"/>
            <w:bottom w:w="0" w:type="dxa"/>
            <w:right w:w="108" w:type="dxa"/>
          </w:tblCellMar>
        </w:tblPrEx>
        <w:trPr>
          <w:trHeight w:val="2579"/>
        </w:trPr>
        <w:tc>
          <w:tcPr>
            <w:tcW w:w="2295" w:type="dxa"/>
            <w:vMerge/>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966" w:type="dxa"/>
            <w:vMerge/>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992"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992"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567"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567" w:type="dxa"/>
            <w:vMerge/>
            <w:tcBorders>
              <w:top w:val="nil"/>
              <w:left w:val="single" w:sz="4" w:space="0" w:color="auto"/>
              <w:bottom w:val="single" w:sz="4" w:space="0" w:color="000000"/>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425" w:type="dxa"/>
            <w:vMerge/>
            <w:tcBorders>
              <w:top w:val="nil"/>
              <w:left w:val="single" w:sz="4" w:space="0" w:color="auto"/>
              <w:bottom w:val="single" w:sz="4" w:space="0" w:color="000000"/>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567" w:type="dxa"/>
            <w:tcBorders>
              <w:top w:val="nil"/>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567" w:type="dxa"/>
            <w:tcBorders>
              <w:top w:val="nil"/>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     收入</w:t>
            </w:r>
          </w:p>
        </w:tc>
        <w:tc>
          <w:tcPr>
            <w:tcW w:w="709" w:type="dxa"/>
            <w:tcBorders>
              <w:top w:val="nil"/>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事业单位经营收入</w:t>
            </w:r>
          </w:p>
        </w:tc>
        <w:tc>
          <w:tcPr>
            <w:tcW w:w="709" w:type="dxa"/>
            <w:tcBorders>
              <w:top w:val="nil"/>
              <w:left w:val="nil"/>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上级补助收入</w:t>
            </w:r>
          </w:p>
        </w:tc>
        <w:tc>
          <w:tcPr>
            <w:tcW w:w="850" w:type="dxa"/>
            <w:tcBorders>
              <w:top w:val="nil"/>
              <w:left w:val="nil"/>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附属单位上缴收入</w:t>
            </w:r>
          </w:p>
        </w:tc>
        <w:tc>
          <w:tcPr>
            <w:tcW w:w="709" w:type="dxa"/>
            <w:tcBorders>
              <w:top w:val="nil"/>
              <w:left w:val="nil"/>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其他   收入</w:t>
            </w:r>
          </w:p>
        </w:tc>
        <w:tc>
          <w:tcPr>
            <w:tcW w:w="567"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567"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567"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567"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709"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1276"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r>
      <w:tr>
        <w:tblPrEx>
          <w:tblW w:w="15168" w:type="dxa"/>
          <w:tblInd w:w="-1026" w:type="dxa"/>
          <w:tblLayout w:type="fixed"/>
          <w:tblCellMar>
            <w:top w:w="0" w:type="dxa"/>
            <w:left w:w="108" w:type="dxa"/>
            <w:bottom w:w="0" w:type="dxa"/>
            <w:right w:w="108" w:type="dxa"/>
          </w:tblCellMar>
        </w:tblPrEx>
        <w:trPr>
          <w:trHeight w:val="429"/>
        </w:trPr>
        <w:tc>
          <w:tcPr>
            <w:tcW w:w="2295"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eastAsia="宋体" w:hAnsi="TimesNewRoman" w:cs="TimesNewRoman" w:hint="eastAsia"/>
                <w:kern w:val="0"/>
                <w:sz w:val="18"/>
                <w:szCs w:val="18"/>
                <w:lang w:eastAsia="zh-CN"/>
              </w:rPr>
            </w:pPr>
            <w:r>
              <w:rPr>
                <w:rFonts w:ascii="TimesNewRoman" w:hAnsi="TimesNewRoman" w:cs="TimesNewRoman" w:hint="eastAsia"/>
                <w:kern w:val="0"/>
                <w:sz w:val="18"/>
                <w:szCs w:val="18"/>
                <w:lang w:eastAsia="zh-CN"/>
              </w:rPr>
              <w:t>寿县瓦埠镇中心卫生院</w:t>
            </w:r>
          </w:p>
        </w:tc>
        <w:tc>
          <w:tcPr>
            <w:tcW w:w="966"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1057.81</w:t>
            </w:r>
            <w:r>
              <w:rPr>
                <w:rFonts w:ascii="TimesNewRoman" w:hAnsi="TimesNewRoman" w:cs="TimesNewRoman"/>
                <w:kern w:val="0"/>
                <w:sz w:val="18"/>
                <w:szCs w:val="18"/>
              </w:rPr>
              <w:t>　</w:t>
            </w:r>
          </w:p>
        </w:tc>
        <w:tc>
          <w:tcPr>
            <w:tcW w:w="992"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1057.81</w:t>
            </w:r>
            <w:r>
              <w:rPr>
                <w:rFonts w:ascii="TimesNewRoman" w:hAnsi="TimesNewRoman" w:cs="TimesNewRoman"/>
                <w:kern w:val="0"/>
                <w:sz w:val="18"/>
                <w:szCs w:val="18"/>
              </w:rPr>
              <w:t>　</w:t>
            </w:r>
          </w:p>
        </w:tc>
        <w:tc>
          <w:tcPr>
            <w:tcW w:w="992"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367.81</w:t>
            </w:r>
            <w:r>
              <w:rPr>
                <w:rFonts w:ascii="TimesNewRoman" w:hAnsi="TimesNewRoman" w:cs="TimesNewRoman"/>
                <w:kern w:val="0"/>
                <w:sz w:val="18"/>
                <w:szCs w:val="18"/>
              </w:rPr>
              <w:t>　</w:t>
            </w:r>
          </w:p>
        </w:tc>
        <w:tc>
          <w:tcPr>
            <w:tcW w:w="567"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25"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690</w:t>
            </w: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690</w:t>
            </w: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50"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76"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5168" w:type="dxa"/>
          <w:tblInd w:w="-1026" w:type="dxa"/>
          <w:tblLayout w:type="fixed"/>
          <w:tblCellMar>
            <w:top w:w="0" w:type="dxa"/>
            <w:left w:w="108" w:type="dxa"/>
            <w:bottom w:w="0" w:type="dxa"/>
            <w:right w:w="108" w:type="dxa"/>
          </w:tblCellMar>
        </w:tblPrEx>
        <w:trPr>
          <w:trHeight w:val="429"/>
        </w:trPr>
        <w:tc>
          <w:tcPr>
            <w:tcW w:w="2295"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966"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99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99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425"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76"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5168" w:type="dxa"/>
          <w:tblInd w:w="-1026" w:type="dxa"/>
          <w:tblLayout w:type="fixed"/>
          <w:tblCellMar>
            <w:top w:w="0" w:type="dxa"/>
            <w:left w:w="108" w:type="dxa"/>
            <w:bottom w:w="0" w:type="dxa"/>
            <w:right w:w="108" w:type="dxa"/>
          </w:tblCellMar>
        </w:tblPrEx>
        <w:trPr>
          <w:trHeight w:val="429"/>
        </w:trPr>
        <w:tc>
          <w:tcPr>
            <w:tcW w:w="2295"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966"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99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99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425"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76"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5168" w:type="dxa"/>
          <w:tblInd w:w="-1026" w:type="dxa"/>
          <w:tblLayout w:type="fixed"/>
          <w:tblCellMar>
            <w:top w:w="0" w:type="dxa"/>
            <w:left w:w="108" w:type="dxa"/>
            <w:bottom w:w="0" w:type="dxa"/>
            <w:right w:w="108" w:type="dxa"/>
          </w:tblCellMar>
        </w:tblPrEx>
        <w:trPr>
          <w:trHeight w:val="429"/>
        </w:trPr>
        <w:tc>
          <w:tcPr>
            <w:tcW w:w="2295"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966"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99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99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25"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76"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5168" w:type="dxa"/>
          <w:tblInd w:w="-1026" w:type="dxa"/>
          <w:tblLayout w:type="fixed"/>
          <w:tblCellMar>
            <w:top w:w="0" w:type="dxa"/>
            <w:left w:w="108" w:type="dxa"/>
            <w:bottom w:w="0" w:type="dxa"/>
            <w:right w:w="108" w:type="dxa"/>
          </w:tblCellMar>
        </w:tblPrEx>
        <w:trPr>
          <w:trHeight w:val="429"/>
        </w:trPr>
        <w:tc>
          <w:tcPr>
            <w:tcW w:w="2295"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966"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99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99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25"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76"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bl>
    <w:p>
      <w:pPr>
        <w:spacing w:line="560" w:lineRule="exact"/>
        <w:jc w:val="right"/>
        <w:rPr>
          <w:rFonts w:ascii="TimesNewRoman" w:hAnsi="TimesNewRoman" w:cs="TimesNewRoman"/>
          <w:kern w:val="0"/>
          <w:sz w:val="20"/>
        </w:rPr>
      </w:pPr>
    </w:p>
    <w:p>
      <w:pPr>
        <w:spacing w:line="560" w:lineRule="exact"/>
        <w:jc w:val="right"/>
        <w:rPr>
          <w:rFonts w:ascii="TimesNewRoman" w:hAnsi="TimesNewRoman" w:cs="TimesNewRoman"/>
          <w:kern w:val="0"/>
          <w:sz w:val="20"/>
        </w:rPr>
        <w:sectPr>
          <w:pgSz w:w="16840" w:h="11907" w:orient="landscape"/>
          <w:pgMar w:top="1588" w:right="2098" w:bottom="1474" w:left="1985" w:header="851" w:footer="1021" w:gutter="0"/>
          <w:cols w:num="1" w:space="425"/>
          <w:docGrid w:type="lines" w:linePitch="312" w:charSpace="0"/>
        </w:sectPr>
      </w:pPr>
    </w:p>
    <w:p>
      <w:pPr>
        <w:spacing w:line="560" w:lineRule="exact"/>
        <w:jc w:val="right"/>
        <w:rPr>
          <w:rFonts w:ascii="TimesNewRoman" w:hAnsi="TimesNewRoman" w:cs="TimesNewRoman"/>
          <w:kern w:val="0"/>
          <w:sz w:val="20"/>
        </w:rPr>
      </w:pPr>
      <w:r>
        <w:rPr>
          <w:rFonts w:ascii="TimesNewRoman" w:hAnsi="TimesNewRoman" w:cs="TimesNewRoman"/>
          <w:kern w:val="0"/>
          <w:sz w:val="20"/>
          <w:u w:val="single"/>
        </w:rPr>
        <w:t>（单位）</w:t>
      </w:r>
      <w:r>
        <w:rPr>
          <w:rFonts w:ascii="TimesNewRoman" w:hAnsi="TimesNewRoman" w:cs="TimesNewRoman"/>
          <w:kern w:val="0"/>
          <w:sz w:val="20"/>
        </w:rPr>
        <w:t>公开表3</w:t>
      </w:r>
    </w:p>
    <w:p>
      <w:pPr>
        <w:spacing w:line="560" w:lineRule="exact"/>
        <w:jc w:val="center"/>
        <w:rPr>
          <w:rFonts w:ascii="TimesNewRoman" w:hAnsi="TimesNewRoman" w:cs="TimesNewRoman"/>
          <w:kern w:val="0"/>
          <w:sz w:val="20"/>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瓦埠</w:t>
      </w:r>
      <w:r>
        <w:rPr>
          <w:rFonts w:ascii="宋体" w:hAnsi="宋体" w:cs="TimesNewRoman"/>
          <w:b/>
          <w:bCs/>
          <w:kern w:val="0"/>
          <w:sz w:val="28"/>
          <w:szCs w:val="32"/>
        </w:rPr>
        <w:t>镇中心卫生院</w:t>
      </w:r>
      <w:r>
        <w:rPr>
          <w:rFonts w:ascii="宋体" w:hAnsi="宋体" w:cs="TimesNewRoman" w:hint="eastAsia"/>
          <w:b/>
          <w:bCs/>
          <w:kern w:val="0"/>
          <w:sz w:val="28"/>
          <w:szCs w:val="32"/>
        </w:rPr>
        <w:t>2024</w:t>
      </w:r>
      <w:r>
        <w:rPr>
          <w:rFonts w:ascii="宋体" w:hAnsi="宋体" w:cs="TimesNewRoman"/>
          <w:b/>
          <w:bCs/>
          <w:kern w:val="0"/>
          <w:sz w:val="28"/>
          <w:szCs w:val="32"/>
        </w:rPr>
        <w:t xml:space="preserve">年支出总表                 </w:t>
      </w:r>
    </w:p>
    <w:p>
      <w:pPr>
        <w:spacing w:line="560" w:lineRule="exact"/>
        <w:jc w:val="right"/>
        <w:rPr>
          <w:rFonts w:ascii="TimesNewRoman" w:hAnsi="TimesNewRoman" w:cs="TimesNewRoman"/>
          <w:kern w:val="0"/>
          <w:sz w:val="20"/>
        </w:rPr>
      </w:pPr>
      <w:r>
        <w:rPr>
          <w:rFonts w:ascii="TimesNewRoman" w:hAnsi="TimesNewRoman" w:cs="TimesNewRoman"/>
          <w:kern w:val="0"/>
          <w:sz w:val="20"/>
        </w:rPr>
        <w:t>单位：万元</w:t>
      </w:r>
    </w:p>
    <w:tbl>
      <w:tblPr>
        <w:tblStyle w:val="TableNormal"/>
        <w:tblW w:w="14192" w:type="dxa"/>
        <w:tblInd w:w="0" w:type="dxa"/>
        <w:tblLayout w:type="fixed"/>
        <w:tblCellMar>
          <w:top w:w="0" w:type="dxa"/>
          <w:left w:w="108" w:type="dxa"/>
          <w:bottom w:w="0" w:type="dxa"/>
          <w:right w:w="108" w:type="dxa"/>
        </w:tblCellMar>
      </w:tblPr>
      <w:tblGrid>
        <w:gridCol w:w="1639"/>
        <w:gridCol w:w="4495"/>
        <w:gridCol w:w="1213"/>
        <w:gridCol w:w="1181"/>
        <w:gridCol w:w="1150"/>
        <w:gridCol w:w="1430"/>
        <w:gridCol w:w="1353"/>
        <w:gridCol w:w="1731"/>
      </w:tblGrid>
      <w:tr>
        <w:tblPrEx>
          <w:tblW w:w="14192" w:type="dxa"/>
          <w:tblInd w:w="0" w:type="dxa"/>
          <w:tblLayout w:type="fixed"/>
          <w:tblCellMar>
            <w:top w:w="0" w:type="dxa"/>
            <w:left w:w="108" w:type="dxa"/>
            <w:bottom w:w="0" w:type="dxa"/>
            <w:right w:w="108" w:type="dxa"/>
          </w:tblCellMar>
        </w:tblPrEx>
        <w:trPr>
          <w:trHeight w:val="744"/>
        </w:trPr>
        <w:tc>
          <w:tcPr>
            <w:tcW w:w="1639" w:type="dxa"/>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w:t>
            </w:r>
          </w:p>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编码</w:t>
            </w:r>
          </w:p>
        </w:tc>
        <w:tc>
          <w:tcPr>
            <w:tcW w:w="4495" w:type="dxa"/>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213" w:type="dxa"/>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1181" w:type="dxa"/>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1150" w:type="dxa"/>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c>
          <w:tcPr>
            <w:tcW w:w="1430" w:type="dxa"/>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事业单位经营支出</w:t>
            </w:r>
          </w:p>
        </w:tc>
        <w:tc>
          <w:tcPr>
            <w:tcW w:w="1353" w:type="dxa"/>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上缴上级支出</w:t>
            </w:r>
          </w:p>
        </w:tc>
        <w:tc>
          <w:tcPr>
            <w:tcW w:w="1731" w:type="dxa"/>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对附属单位补助支出</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20</w:t>
            </w:r>
            <w:r>
              <w:rPr>
                <w:rFonts w:ascii="TimesNewRoman" w:hAnsi="TimesNewRoman" w:cs="TimesNewRoman" w:hint="eastAsia"/>
                <w:kern w:val="0"/>
                <w:sz w:val="18"/>
                <w:szCs w:val="18"/>
              </w:rPr>
              <w:t>8</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社会</w:t>
            </w:r>
            <w:r>
              <w:rPr>
                <w:rFonts w:ascii="TimesNewRoman" w:hAnsi="TimesNewRoman" w:cs="TimesNewRoman"/>
                <w:kern w:val="0"/>
                <w:sz w:val="18"/>
                <w:szCs w:val="18"/>
              </w:rPr>
              <w:t>保障和就业支出</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113.55</w:t>
            </w:r>
            <w:r>
              <w:rPr>
                <w:rFonts w:ascii="TimesNewRoman" w:hAnsi="TimesNewRoman" w:cs="TimesNewRoman"/>
                <w:color w:val="auto"/>
                <w:kern w:val="0"/>
                <w:sz w:val="18"/>
                <w:szCs w:val="18"/>
              </w:rPr>
              <w:t>　</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113.55</w:t>
            </w:r>
            <w:r>
              <w:rPr>
                <w:rFonts w:ascii="TimesNewRoman" w:hAnsi="TimesNewRoman" w:cs="TimesNewRoman"/>
                <w:color w:val="auto"/>
                <w:kern w:val="0"/>
                <w:sz w:val="18"/>
                <w:szCs w:val="18"/>
              </w:rPr>
              <w:t>　</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r>
              <w:rPr>
                <w:rFonts w:ascii="TimesNewRoman" w:hAnsi="TimesNewRoman" w:cs="TimesNewRoman"/>
                <w:color w:val="0000FF"/>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kern w:val="0"/>
                <w:sz w:val="18"/>
                <w:szCs w:val="18"/>
              </w:rPr>
              <w:t>20</w:t>
            </w:r>
            <w:r>
              <w:rPr>
                <w:rFonts w:ascii="TimesNewRoman" w:hAnsi="TimesNewRoman" w:cs="TimesNewRoman" w:hint="eastAsia"/>
                <w:kern w:val="0"/>
                <w:sz w:val="18"/>
                <w:szCs w:val="18"/>
              </w:rPr>
              <w:t>805</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hint="eastAsia"/>
                <w:kern w:val="0"/>
                <w:sz w:val="18"/>
                <w:szCs w:val="18"/>
              </w:rPr>
              <w:t>行政</w:t>
            </w:r>
            <w:r>
              <w:rPr>
                <w:rFonts w:ascii="TimesNewRoman" w:hAnsi="TimesNewRoman" w:cs="TimesNewRoman"/>
                <w:kern w:val="0"/>
                <w:sz w:val="18"/>
                <w:szCs w:val="18"/>
              </w:rPr>
              <w:t>事业单位养老支出</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112.09</w:t>
            </w:r>
            <w:r>
              <w:rPr>
                <w:rFonts w:ascii="TimesNewRoman" w:hAnsi="TimesNewRoman" w:cs="TimesNewRoman"/>
                <w:color w:val="auto"/>
                <w:kern w:val="0"/>
                <w:sz w:val="18"/>
                <w:szCs w:val="18"/>
              </w:rPr>
              <w:t>　</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rPr>
              <w:t>11</w:t>
            </w:r>
            <w:r>
              <w:rPr>
                <w:rFonts w:ascii="TimesNewRoman" w:hAnsi="TimesNewRoman" w:cs="TimesNewRoman" w:hint="eastAsia"/>
                <w:color w:val="auto"/>
                <w:kern w:val="0"/>
                <w:sz w:val="18"/>
                <w:szCs w:val="18"/>
                <w:lang w:val="en-US" w:eastAsia="zh-CN"/>
              </w:rPr>
              <w:t>2.09</w:t>
            </w:r>
            <w:r>
              <w:rPr>
                <w:rFonts w:ascii="TimesNewRoman" w:hAnsi="TimesNewRoman" w:cs="TimesNewRoman"/>
                <w:color w:val="auto"/>
                <w:kern w:val="0"/>
                <w:sz w:val="18"/>
                <w:szCs w:val="18"/>
              </w:rPr>
              <w:t>　</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r>
              <w:rPr>
                <w:rFonts w:ascii="TimesNewRoman" w:hAnsi="TimesNewRoman" w:cs="TimesNewRoman"/>
                <w:color w:val="0000FF"/>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kern w:val="0"/>
                <w:sz w:val="18"/>
                <w:szCs w:val="18"/>
              </w:rPr>
              <w:t>2</w:t>
            </w:r>
            <w:r>
              <w:rPr>
                <w:rFonts w:ascii="TimesNewRoman" w:hAnsi="TimesNewRoman" w:cs="TimesNewRoman" w:hint="eastAsia"/>
                <w:kern w:val="0"/>
                <w:sz w:val="18"/>
                <w:szCs w:val="18"/>
              </w:rPr>
              <w:t>080502</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hint="eastAsia"/>
                <w:kern w:val="0"/>
                <w:sz w:val="18"/>
                <w:szCs w:val="18"/>
              </w:rPr>
              <w:t>事业</w:t>
            </w:r>
            <w:r>
              <w:rPr>
                <w:rFonts w:ascii="TimesNewRoman" w:hAnsi="TimesNewRoman" w:cs="TimesNewRoman"/>
                <w:kern w:val="0"/>
                <w:sz w:val="18"/>
                <w:szCs w:val="18"/>
              </w:rPr>
              <w:t>单位离退休</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62.18</w:t>
            </w:r>
            <w:r>
              <w:rPr>
                <w:rFonts w:ascii="TimesNewRoman" w:hAnsi="TimesNewRoman" w:cs="TimesNewRoman"/>
                <w:color w:val="auto"/>
                <w:kern w:val="0"/>
                <w:sz w:val="18"/>
                <w:szCs w:val="18"/>
              </w:rPr>
              <w:t>　</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62.18</w:t>
            </w:r>
            <w:r>
              <w:rPr>
                <w:rFonts w:ascii="TimesNewRoman" w:hAnsi="TimesNewRoman" w:cs="TimesNewRoman"/>
                <w:color w:val="auto"/>
                <w:kern w:val="0"/>
                <w:sz w:val="18"/>
                <w:szCs w:val="18"/>
              </w:rPr>
              <w:t>　</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r>
              <w:rPr>
                <w:rFonts w:ascii="TimesNewRoman" w:hAnsi="TimesNewRoman" w:cs="TimesNewRoman"/>
                <w:color w:val="0000FF"/>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hint="eastAsia"/>
                <w:kern w:val="0"/>
                <w:sz w:val="18"/>
                <w:szCs w:val="18"/>
              </w:rPr>
              <w:t>2080505</w:t>
            </w:r>
          </w:p>
        </w:tc>
        <w:tc>
          <w:tcPr>
            <w:tcW w:w="4495" w:type="dxa"/>
            <w:tcBorders>
              <w:top w:val="nil"/>
              <w:left w:val="nil"/>
              <w:bottom w:val="single" w:sz="4" w:space="0" w:color="auto"/>
              <w:right w:val="single" w:sz="4" w:space="0" w:color="auto"/>
            </w:tcBorders>
            <w:noWrap/>
            <w:vAlign w:val="center"/>
          </w:tcPr>
          <w:p>
            <w:pPr>
              <w:widowControl/>
              <w:spacing w:line="260" w:lineRule="exact"/>
              <w:ind w:firstLine="360" w:firstLineChars="200"/>
              <w:rPr>
                <w:rFonts w:ascii="TimesNewRoman" w:eastAsia="仿宋_GB2312" w:hAnsi="TimesNewRoman" w:cs="TimesNewRoman"/>
                <w:kern w:val="0"/>
                <w:sz w:val="18"/>
                <w:szCs w:val="18"/>
              </w:rPr>
            </w:pPr>
            <w:r>
              <w:rPr>
                <w:rFonts w:ascii="TimesNewRoman" w:hAnsi="TimesNewRoman" w:cs="TimesNewRoman" w:hint="eastAsia"/>
                <w:kern w:val="0"/>
                <w:sz w:val="18"/>
                <w:szCs w:val="18"/>
              </w:rPr>
              <w:t>机关事业单位基本养老保险缴费支出</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color w:val="auto"/>
                <w:kern w:val="0"/>
                <w:sz w:val="18"/>
                <w:szCs w:val="18"/>
                <w:lang w:val="en-US" w:eastAsia="zh-CN"/>
              </w:rPr>
            </w:pPr>
            <w:r>
              <w:rPr>
                <w:rFonts w:ascii="TimesNewRoman" w:hAnsi="TimesNewRoman" w:cs="TimesNewRoman" w:hint="eastAsia"/>
                <w:color w:val="auto"/>
                <w:kern w:val="0"/>
                <w:sz w:val="18"/>
                <w:szCs w:val="18"/>
                <w:lang w:val="en-US" w:eastAsia="zh-CN"/>
              </w:rPr>
              <w:t>33.27</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color w:val="auto"/>
                <w:kern w:val="0"/>
                <w:sz w:val="18"/>
                <w:szCs w:val="18"/>
                <w:lang w:val="en-US" w:eastAsia="zh-CN"/>
              </w:rPr>
            </w:pPr>
            <w:r>
              <w:rPr>
                <w:rFonts w:ascii="TimesNewRoman" w:hAnsi="TimesNewRoman" w:cs="TimesNewRoman" w:hint="eastAsia"/>
                <w:color w:val="auto"/>
                <w:kern w:val="0"/>
                <w:sz w:val="18"/>
                <w:szCs w:val="18"/>
                <w:lang w:val="en-US" w:eastAsia="zh-CN"/>
              </w:rPr>
              <w:t>33.27</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hint="eastAsia"/>
                <w:kern w:val="0"/>
                <w:sz w:val="18"/>
                <w:szCs w:val="18"/>
              </w:rPr>
              <w:t>2080506</w:t>
            </w:r>
          </w:p>
        </w:tc>
        <w:tc>
          <w:tcPr>
            <w:tcW w:w="4495" w:type="dxa"/>
            <w:tcBorders>
              <w:top w:val="nil"/>
              <w:left w:val="nil"/>
              <w:bottom w:val="single" w:sz="4" w:space="0" w:color="auto"/>
              <w:right w:val="single" w:sz="4" w:space="0" w:color="auto"/>
            </w:tcBorders>
            <w:noWrap/>
            <w:vAlign w:val="center"/>
          </w:tcPr>
          <w:p>
            <w:pPr>
              <w:widowControl/>
              <w:spacing w:line="260" w:lineRule="exact"/>
              <w:rPr>
                <w:rFonts w:asciiTheme="majorEastAsia" w:eastAsiaTheme="majorEastAsia" w:hAnsiTheme="majorEastAsia" w:cs="TimesNewRoman"/>
                <w:kern w:val="0"/>
                <w:sz w:val="18"/>
                <w:szCs w:val="18"/>
              </w:rPr>
            </w:pPr>
            <w:r>
              <w:rPr>
                <w:rFonts w:ascii="汉仪中秀体简" w:eastAsia="汉仪中秀体简" w:hAnsi="汉仪中秀体简" w:cs="汉仪中秀体简" w:hint="eastAsia"/>
                <w:sz w:val="18"/>
                <w:szCs w:val="18"/>
              </w:rPr>
              <w:t xml:space="preserve">    </w:t>
            </w:r>
            <w:r>
              <w:rPr>
                <w:rFonts w:asciiTheme="majorEastAsia" w:eastAsiaTheme="majorEastAsia" w:hAnsiTheme="majorEastAsia" w:cs="汉仪中秀体简" w:hint="eastAsia"/>
                <w:sz w:val="18"/>
                <w:szCs w:val="18"/>
              </w:rPr>
              <w:t>机关事业单位职业年金缴费支出</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16.64</w:t>
            </w:r>
            <w:r>
              <w:rPr>
                <w:rFonts w:ascii="TimesNewRoman" w:hAnsi="TimesNewRoman" w:cs="TimesNewRoman"/>
                <w:color w:val="auto"/>
                <w:kern w:val="0"/>
                <w:sz w:val="18"/>
                <w:szCs w:val="18"/>
              </w:rPr>
              <w:t>　</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color w:val="auto"/>
                <w:kern w:val="0"/>
                <w:sz w:val="18"/>
                <w:szCs w:val="18"/>
                <w:lang w:val="en-US" w:eastAsia="zh-CN"/>
              </w:rPr>
            </w:pPr>
            <w:r>
              <w:rPr>
                <w:rFonts w:ascii="TimesNewRoman" w:hAnsi="TimesNewRoman" w:cs="TimesNewRoman" w:hint="eastAsia"/>
                <w:color w:val="auto"/>
                <w:kern w:val="0"/>
                <w:sz w:val="18"/>
                <w:szCs w:val="18"/>
                <w:lang w:val="en-US" w:eastAsia="zh-CN"/>
              </w:rPr>
              <w:t>16.64</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r>
              <w:rPr>
                <w:rFonts w:ascii="TimesNewRoman" w:hAnsi="TimesNewRoman" w:cs="TimesNewRoman"/>
                <w:color w:val="0000FF"/>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20899</w:t>
            </w:r>
            <w:r>
              <w:rPr>
                <w:rFonts w:ascii="TimesNewRoman" w:hAnsi="TimesNewRoman" w:cs="TimesNewRoman"/>
                <w:kern w:val="0"/>
                <w:sz w:val="18"/>
                <w:szCs w:val="18"/>
              </w:rPr>
              <w:t>　</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其他社会保障和就业支出</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1.46</w:t>
            </w:r>
            <w:r>
              <w:rPr>
                <w:rFonts w:ascii="TimesNewRoman" w:hAnsi="TimesNewRoman" w:cs="TimesNewRoman"/>
                <w:color w:val="auto"/>
                <w:kern w:val="0"/>
                <w:sz w:val="18"/>
                <w:szCs w:val="18"/>
              </w:rPr>
              <w:t>　</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1.46</w:t>
            </w:r>
            <w:r>
              <w:rPr>
                <w:rFonts w:ascii="TimesNewRoman" w:hAnsi="TimesNewRoman" w:cs="TimesNewRoman"/>
                <w:color w:val="auto"/>
                <w:kern w:val="0"/>
                <w:sz w:val="18"/>
                <w:szCs w:val="18"/>
              </w:rPr>
              <w:t>　</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r>
              <w:rPr>
                <w:rFonts w:ascii="TimesNewRoman" w:hAnsi="TimesNewRoman" w:cs="TimesNewRoman"/>
                <w:color w:val="0000FF"/>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2089999</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其他社会保障和就业支出</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1.46</w:t>
            </w:r>
            <w:r>
              <w:rPr>
                <w:rFonts w:ascii="TimesNewRoman" w:hAnsi="TimesNewRoman" w:cs="TimesNewRoman"/>
                <w:color w:val="auto"/>
                <w:kern w:val="0"/>
                <w:sz w:val="18"/>
                <w:szCs w:val="18"/>
              </w:rPr>
              <w:t>　</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1.46</w:t>
            </w:r>
            <w:r>
              <w:rPr>
                <w:rFonts w:ascii="TimesNewRoman" w:hAnsi="TimesNewRoman" w:cs="TimesNewRoman"/>
                <w:color w:val="auto"/>
                <w:kern w:val="0"/>
                <w:sz w:val="18"/>
                <w:szCs w:val="18"/>
              </w:rPr>
              <w:t>　</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r>
              <w:rPr>
                <w:rFonts w:ascii="TimesNewRoman" w:hAnsi="TimesNewRoman" w:cs="TimesNewRoman"/>
                <w:color w:val="0000FF"/>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210</w:t>
            </w:r>
            <w:r>
              <w:rPr>
                <w:rFonts w:ascii="TimesNewRoman" w:hAnsi="TimesNewRoman" w:cs="TimesNewRoman"/>
                <w:kern w:val="0"/>
                <w:sz w:val="18"/>
                <w:szCs w:val="18"/>
              </w:rPr>
              <w:t>　</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卫生健康支出</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919.31</w:t>
            </w:r>
            <w:r>
              <w:rPr>
                <w:rFonts w:ascii="TimesNewRoman" w:hAnsi="TimesNewRoman" w:cs="TimesNewRoman"/>
                <w:color w:val="auto"/>
                <w:kern w:val="0"/>
                <w:sz w:val="18"/>
                <w:szCs w:val="18"/>
              </w:rPr>
              <w:t>　</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227.01</w:t>
            </w:r>
            <w:r>
              <w:rPr>
                <w:rFonts w:ascii="TimesNewRoman" w:hAnsi="TimesNewRoman" w:cs="TimesNewRoman"/>
                <w:color w:val="auto"/>
                <w:kern w:val="0"/>
                <w:sz w:val="18"/>
                <w:szCs w:val="18"/>
              </w:rPr>
              <w:t>　</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692.3</w:t>
            </w:r>
            <w:r>
              <w:rPr>
                <w:rFonts w:ascii="TimesNewRoman" w:hAnsi="TimesNewRoman" w:cs="TimesNewRoman"/>
                <w:color w:val="auto"/>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r>
              <w:rPr>
                <w:rFonts w:ascii="TimesNewRoman" w:hAnsi="TimesNewRoman" w:cs="TimesNewRoman"/>
                <w:color w:val="0000FF"/>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21003</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基层医疗卫生机构</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919.31</w:t>
            </w:r>
            <w:r>
              <w:rPr>
                <w:rFonts w:ascii="TimesNewRoman" w:hAnsi="TimesNewRoman" w:cs="TimesNewRoman"/>
                <w:color w:val="auto"/>
                <w:kern w:val="0"/>
                <w:sz w:val="18"/>
                <w:szCs w:val="18"/>
              </w:rPr>
              <w:t>　</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227.01</w:t>
            </w:r>
            <w:r>
              <w:rPr>
                <w:rFonts w:ascii="TimesNewRoman" w:hAnsi="TimesNewRoman" w:cs="TimesNewRoman"/>
                <w:color w:val="auto"/>
                <w:kern w:val="0"/>
                <w:sz w:val="18"/>
                <w:szCs w:val="18"/>
              </w:rPr>
              <w:t>　</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691.87</w:t>
            </w:r>
            <w:r>
              <w:rPr>
                <w:rFonts w:ascii="TimesNewRoman" w:hAnsi="TimesNewRoman" w:cs="TimesNewRoman"/>
                <w:color w:val="auto"/>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r>
              <w:rPr>
                <w:rFonts w:ascii="TimesNewRoman" w:hAnsi="TimesNewRoman" w:cs="TimesNewRoman"/>
                <w:color w:val="0000FF"/>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2100302</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乡镇卫生院</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919.31</w:t>
            </w:r>
            <w:r>
              <w:rPr>
                <w:rFonts w:ascii="TimesNewRoman" w:hAnsi="TimesNewRoman" w:cs="TimesNewRoman"/>
                <w:color w:val="auto"/>
                <w:kern w:val="0"/>
                <w:sz w:val="18"/>
                <w:szCs w:val="18"/>
              </w:rPr>
              <w:t>　</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227.01</w:t>
            </w:r>
            <w:r>
              <w:rPr>
                <w:rFonts w:ascii="TimesNewRoman" w:hAnsi="TimesNewRoman" w:cs="TimesNewRoman"/>
                <w:color w:val="auto"/>
                <w:kern w:val="0"/>
                <w:sz w:val="18"/>
                <w:szCs w:val="18"/>
              </w:rPr>
              <w:t>　</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691.87</w:t>
            </w:r>
            <w:r>
              <w:rPr>
                <w:rFonts w:ascii="TimesNewRoman" w:hAnsi="TimesNewRoman" w:cs="TimesNewRoman"/>
                <w:color w:val="auto"/>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r>
              <w:rPr>
                <w:rFonts w:ascii="TimesNewRoman" w:hAnsi="TimesNewRoman" w:cs="TimesNewRoman"/>
                <w:color w:val="0000FF"/>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21004</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公共卫生</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0.43</w:t>
            </w:r>
            <w:r>
              <w:rPr>
                <w:rFonts w:ascii="TimesNewRoman" w:hAnsi="TimesNewRoman" w:cs="TimesNewRoman"/>
                <w:color w:val="auto"/>
                <w:kern w:val="0"/>
                <w:sz w:val="18"/>
                <w:szCs w:val="18"/>
              </w:rPr>
              <w:t>　</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0.43</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r>
              <w:rPr>
                <w:rFonts w:ascii="TimesNewRoman" w:hAnsi="TimesNewRoman" w:cs="TimesNewRoman"/>
                <w:color w:val="0000FF"/>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2100408</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基本公共卫生服务</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0.43</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0.43</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21011</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行政事业单位医疗</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color w:val="auto"/>
                <w:kern w:val="0"/>
                <w:sz w:val="18"/>
                <w:szCs w:val="18"/>
                <w:lang w:val="en-US" w:eastAsia="zh-CN"/>
              </w:rPr>
            </w:pPr>
            <w:r>
              <w:rPr>
                <w:rFonts w:ascii="TimesNewRoman" w:hAnsi="TimesNewRoman" w:cs="TimesNewRoman" w:hint="eastAsia"/>
                <w:color w:val="auto"/>
                <w:kern w:val="0"/>
                <w:sz w:val="18"/>
                <w:szCs w:val="18"/>
                <w:lang w:val="en-US" w:eastAsia="zh-CN"/>
              </w:rPr>
              <w:t>14.35</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14.35</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2101102</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事业单位医疗</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14.35</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14.35</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221</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住房保障支出</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color w:val="auto"/>
                <w:kern w:val="0"/>
                <w:sz w:val="18"/>
                <w:szCs w:val="18"/>
                <w:lang w:val="en-US" w:eastAsia="zh-CN"/>
              </w:rPr>
            </w:pPr>
            <w:r>
              <w:rPr>
                <w:rFonts w:ascii="TimesNewRoman" w:hAnsi="TimesNewRoman" w:cs="TimesNewRoman" w:hint="eastAsia"/>
                <w:color w:val="auto"/>
                <w:kern w:val="0"/>
                <w:sz w:val="18"/>
                <w:szCs w:val="18"/>
                <w:lang w:val="en-US" w:eastAsia="zh-CN"/>
              </w:rPr>
              <w:t>24.95</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24.95</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22102</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住房改革支出</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24.95</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24.95</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hint="eastAsia"/>
                <w:kern w:val="0"/>
                <w:sz w:val="18"/>
                <w:szCs w:val="18"/>
              </w:rPr>
              <w:t>2210201</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住房公积金</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24.95</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24.95</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12"/>
        </w:trPr>
        <w:tc>
          <w:tcPr>
            <w:tcW w:w="6134" w:type="dxa"/>
            <w:gridSpan w:val="2"/>
            <w:tcBorders>
              <w:top w:val="nil"/>
              <w:left w:val="single" w:sz="4" w:space="0" w:color="auto"/>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b/>
                <w:bCs/>
                <w:color w:val="auto"/>
                <w:kern w:val="0"/>
                <w:sz w:val="18"/>
                <w:szCs w:val="18"/>
              </w:rPr>
            </w:pPr>
            <w:r>
              <w:rPr>
                <w:rFonts w:ascii="TimesNewRoman" w:hAnsi="TimesNewRoman" w:cs="TimesNewRoman" w:hint="eastAsia"/>
                <w:b/>
                <w:bCs/>
                <w:color w:val="auto"/>
                <w:kern w:val="0"/>
                <w:sz w:val="18"/>
                <w:szCs w:val="18"/>
              </w:rPr>
              <w:t>10</w:t>
            </w:r>
            <w:r>
              <w:rPr>
                <w:rFonts w:ascii="TimesNewRoman" w:hAnsi="TimesNewRoman" w:cs="TimesNewRoman" w:hint="eastAsia"/>
                <w:b/>
                <w:bCs/>
                <w:color w:val="auto"/>
                <w:kern w:val="0"/>
                <w:sz w:val="18"/>
                <w:szCs w:val="18"/>
                <w:lang w:val="en-US" w:eastAsia="zh-CN"/>
              </w:rPr>
              <w:t>57.81</w:t>
            </w:r>
            <w:r>
              <w:rPr>
                <w:rFonts w:ascii="TimesNewRoman" w:hAnsi="TimesNewRoman" w:cs="TimesNewRoman"/>
                <w:b/>
                <w:bCs/>
                <w:color w:val="auto"/>
                <w:kern w:val="0"/>
                <w:sz w:val="18"/>
                <w:szCs w:val="18"/>
              </w:rPr>
              <w:t>　</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b/>
                <w:bCs/>
                <w:color w:val="auto"/>
                <w:kern w:val="0"/>
                <w:sz w:val="18"/>
                <w:szCs w:val="18"/>
              </w:rPr>
            </w:pPr>
            <w:r>
              <w:rPr>
                <w:rFonts w:ascii="TimesNewRoman" w:hAnsi="TimesNewRoman" w:cs="TimesNewRoman" w:hint="eastAsia"/>
                <w:b/>
                <w:bCs/>
                <w:color w:val="auto"/>
                <w:kern w:val="0"/>
                <w:sz w:val="18"/>
                <w:szCs w:val="18"/>
                <w:lang w:val="en-US" w:eastAsia="zh-CN"/>
              </w:rPr>
              <w:t>365.51</w:t>
            </w:r>
            <w:r>
              <w:rPr>
                <w:rFonts w:ascii="TimesNewRoman" w:hAnsi="TimesNewRoman" w:cs="TimesNewRoman"/>
                <w:b/>
                <w:bCs/>
                <w:color w:val="auto"/>
                <w:kern w:val="0"/>
                <w:sz w:val="18"/>
                <w:szCs w:val="18"/>
              </w:rPr>
              <w:t>　</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b/>
                <w:bCs/>
                <w:color w:val="auto"/>
                <w:kern w:val="0"/>
                <w:sz w:val="18"/>
                <w:szCs w:val="18"/>
              </w:rPr>
            </w:pPr>
            <w:r>
              <w:rPr>
                <w:rFonts w:ascii="TimesNewRoman" w:hAnsi="TimesNewRoman" w:cs="TimesNewRoman" w:hint="eastAsia"/>
                <w:b/>
                <w:bCs/>
                <w:color w:val="auto"/>
                <w:kern w:val="0"/>
                <w:sz w:val="18"/>
                <w:szCs w:val="18"/>
                <w:lang w:val="en-US" w:eastAsia="zh-CN"/>
              </w:rPr>
              <w:t>692.3</w:t>
            </w:r>
            <w:r>
              <w:rPr>
                <w:rFonts w:ascii="TimesNewRoman" w:hAnsi="TimesNewRoman" w:cs="TimesNewRoman"/>
                <w:b/>
                <w:bCs/>
                <w:color w:val="auto"/>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b/>
                <w:bCs/>
                <w:color w:val="0000FF"/>
                <w:kern w:val="0"/>
                <w:sz w:val="18"/>
                <w:szCs w:val="18"/>
              </w:rPr>
            </w:pPr>
            <w:r>
              <w:rPr>
                <w:rFonts w:ascii="TimesNewRoman" w:hAnsi="TimesNewRoman" w:cs="TimesNewRoman"/>
                <w:b/>
                <w:bCs/>
                <w:color w:val="0000FF"/>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spacing w:line="560" w:lineRule="exact"/>
        <w:rPr>
          <w:rFonts w:ascii="TimesNewRoman" w:hAnsi="TimesNewRoman" w:cs="TimesNewRoman"/>
          <w:kern w:val="0"/>
          <w:sz w:val="20"/>
        </w:rPr>
        <w:sectPr>
          <w:pgSz w:w="16840" w:h="11907" w:orient="landscape"/>
          <w:pgMar w:top="1588" w:right="1389" w:bottom="1474" w:left="1418" w:header="851" w:footer="1021" w:gutter="0"/>
          <w:cols w:num="1" w:space="425"/>
          <w:docGrid w:type="linesAndChars" w:linePitch="312" w:charSpace="0"/>
        </w:sectPr>
      </w:pPr>
    </w:p>
    <w:p>
      <w:pPr>
        <w:spacing w:line="560" w:lineRule="exact"/>
        <w:rPr>
          <w:rFonts w:ascii="TimesNewRoman" w:hAnsi="TimesNewRoman" w:cs="TimesNewRoman"/>
          <w:kern w:val="0"/>
          <w:sz w:val="20"/>
        </w:rPr>
      </w:pPr>
      <w:r>
        <w:rPr>
          <w:rFonts w:ascii="TimesNewRoman" w:hAnsi="TimesNewRoman" w:cs="TimesNewRoman"/>
          <w:kern w:val="0"/>
          <w:sz w:val="20"/>
          <w:u w:val="single"/>
        </w:rPr>
        <w:t>（单位）</w:t>
      </w:r>
      <w:r>
        <w:rPr>
          <w:rFonts w:ascii="TimesNewRoman" w:hAnsi="TimesNewRoman" w:cs="TimesNewRoman"/>
          <w:kern w:val="0"/>
          <w:sz w:val="20"/>
        </w:rPr>
        <w:t>公开表4</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瓦埠</w:t>
      </w:r>
      <w:r>
        <w:rPr>
          <w:rFonts w:ascii="宋体" w:hAnsi="宋体" w:cs="TimesNewRoman"/>
          <w:b/>
          <w:bCs/>
          <w:kern w:val="0"/>
          <w:sz w:val="28"/>
          <w:szCs w:val="32"/>
        </w:rPr>
        <w:t>镇中心卫生院</w:t>
      </w:r>
      <w:r>
        <w:rPr>
          <w:rFonts w:ascii="宋体" w:hAnsi="宋体" w:cs="TimesNewRoman" w:hint="eastAsia"/>
          <w:b/>
          <w:bCs/>
          <w:kern w:val="0"/>
          <w:sz w:val="28"/>
          <w:szCs w:val="32"/>
        </w:rPr>
        <w:t>2024</w:t>
      </w:r>
      <w:r>
        <w:rPr>
          <w:rFonts w:ascii="宋体" w:hAnsi="宋体" w:cs="TimesNewRoman"/>
          <w:b/>
          <w:bCs/>
          <w:kern w:val="0"/>
          <w:sz w:val="28"/>
          <w:szCs w:val="32"/>
        </w:rPr>
        <w:t>年财政拨款收支总表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9274" w:type="dxa"/>
        <w:tblInd w:w="0" w:type="dxa"/>
        <w:tblLayout w:type="fixed"/>
        <w:tblCellMar>
          <w:top w:w="0" w:type="dxa"/>
          <w:left w:w="108" w:type="dxa"/>
          <w:bottom w:w="0" w:type="dxa"/>
          <w:right w:w="108" w:type="dxa"/>
        </w:tblCellMar>
      </w:tblPr>
      <w:tblGrid>
        <w:gridCol w:w="2995"/>
        <w:gridCol w:w="1167"/>
        <w:gridCol w:w="3821"/>
        <w:gridCol w:w="1291"/>
      </w:tblGrid>
      <w:tr>
        <w:tblPrEx>
          <w:tblW w:w="9274" w:type="dxa"/>
          <w:tblInd w:w="0" w:type="dxa"/>
          <w:tblLayout w:type="fixed"/>
          <w:tblCellMar>
            <w:top w:w="0" w:type="dxa"/>
            <w:left w:w="108" w:type="dxa"/>
            <w:bottom w:w="0" w:type="dxa"/>
            <w:right w:w="108" w:type="dxa"/>
          </w:tblCellMar>
        </w:tblPrEx>
        <w:trPr>
          <w:trHeight w:val="167"/>
        </w:trPr>
        <w:tc>
          <w:tcPr>
            <w:tcW w:w="4162" w:type="dxa"/>
            <w:gridSpan w:val="2"/>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w:t>
            </w:r>
          </w:p>
        </w:tc>
        <w:tc>
          <w:tcPr>
            <w:tcW w:w="5112" w:type="dxa"/>
            <w:gridSpan w:val="2"/>
            <w:tcBorders>
              <w:top w:val="single" w:sz="4" w:space="0" w:color="auto"/>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167"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c>
          <w:tcPr>
            <w:tcW w:w="3821"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290"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一、本年收入</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367.81</w:t>
            </w: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367.81</w:t>
            </w: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367.81</w:t>
            </w: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二、上年结转</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nil"/>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1290" w:type="dxa"/>
            <w:tcBorders>
              <w:top w:val="nil"/>
              <w:left w:val="single" w:sz="4" w:space="0" w:color="auto"/>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p>
        </w:tc>
        <w:tc>
          <w:tcPr>
            <w:tcW w:w="3821" w:type="dxa"/>
            <w:tcBorders>
              <w:top w:val="nil"/>
              <w:left w:val="nil"/>
              <w:bottom w:val="single" w:sz="4" w:space="0" w:color="auto"/>
              <w:right w:val="nil"/>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1290" w:type="dxa"/>
            <w:tcBorders>
              <w:top w:val="nil"/>
              <w:left w:val="single" w:sz="4" w:space="0" w:color="auto"/>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113.55</w:t>
            </w: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nil"/>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1290" w:type="dxa"/>
            <w:tcBorders>
              <w:top w:val="nil"/>
              <w:left w:val="single" w:sz="4" w:space="0" w:color="auto"/>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229.31</w:t>
            </w: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nil"/>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1290" w:type="dxa"/>
            <w:tcBorders>
              <w:top w:val="nil"/>
              <w:left w:val="single" w:sz="4" w:space="0" w:color="auto"/>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nil"/>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1290" w:type="dxa"/>
            <w:tcBorders>
              <w:top w:val="nil"/>
              <w:left w:val="single" w:sz="4" w:space="0" w:color="auto"/>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nil"/>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1290" w:type="dxa"/>
            <w:tcBorders>
              <w:top w:val="nil"/>
              <w:left w:val="single" w:sz="4" w:space="0" w:color="auto"/>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nil"/>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1290" w:type="dxa"/>
            <w:tcBorders>
              <w:top w:val="nil"/>
              <w:left w:val="single" w:sz="4" w:space="0" w:color="auto"/>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24.95</w:t>
            </w: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二、年终结转结余</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（一）一般公共预算结转结余</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（二）政府性基金预算结转结余</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（三）国有资本经营预算结转结余</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    总    计</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color w:val="auto"/>
                <w:kern w:val="0"/>
                <w:sz w:val="18"/>
                <w:szCs w:val="18"/>
              </w:rPr>
            </w:pPr>
            <w:r>
              <w:rPr>
                <w:rFonts w:ascii="TimesNewRoman" w:hAnsi="TimesNewRoman" w:cs="TimesNewRoman" w:hint="eastAsia"/>
                <w:b/>
                <w:bCs/>
                <w:color w:val="auto"/>
                <w:kern w:val="0"/>
                <w:sz w:val="18"/>
                <w:szCs w:val="18"/>
                <w:lang w:val="en-US" w:eastAsia="zh-CN"/>
              </w:rPr>
              <w:t>367.81</w:t>
            </w:r>
            <w:r>
              <w:rPr>
                <w:rFonts w:ascii="TimesNewRoman" w:hAnsi="TimesNewRoman" w:cs="TimesNewRoman"/>
                <w:b/>
                <w:bCs/>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    总    计</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367.81</w:t>
            </w:r>
            <w:r>
              <w:rPr>
                <w:rFonts w:ascii="TimesNewRoman" w:hAnsi="TimesNewRoman" w:cs="TimesNewRoman"/>
                <w:kern w:val="0"/>
                <w:sz w:val="18"/>
                <w:szCs w:val="18"/>
              </w:rPr>
              <w:t>　</w:t>
            </w:r>
          </w:p>
        </w:tc>
      </w:tr>
    </w:tbl>
    <w:p>
      <w:pPr>
        <w:spacing w:line="560" w:lineRule="exact"/>
        <w:jc w:val="right"/>
        <w:rPr>
          <w:rFonts w:ascii="TimesNewRoman" w:hAnsi="TimesNewRoman" w:cs="TimesNewRoman"/>
          <w:kern w:val="0"/>
          <w:sz w:val="20"/>
        </w:rPr>
        <w:sectPr>
          <w:pgSz w:w="11907" w:h="16840"/>
          <w:pgMar w:top="2098" w:right="1474" w:bottom="1985" w:left="1588" w:header="851" w:footer="1021" w:gutter="0"/>
          <w:cols w:num="1" w:space="425"/>
          <w:docGrid w:type="lines" w:linePitch="312" w:charSpace="0"/>
        </w:sectPr>
      </w:pPr>
    </w:p>
    <w:p>
      <w:pPr>
        <w:spacing w:line="560" w:lineRule="exact"/>
        <w:jc w:val="right"/>
        <w:rPr>
          <w:rFonts w:ascii="TimesNewRoman" w:hAnsi="TimesNewRoman" w:cs="TimesNewRoman"/>
          <w:kern w:val="0"/>
          <w:sz w:val="20"/>
        </w:rPr>
      </w:pPr>
      <w:r>
        <w:rPr>
          <w:rFonts w:ascii="TimesNewRoman" w:hAnsi="TimesNewRoman" w:cs="TimesNewRoman"/>
          <w:kern w:val="0"/>
          <w:sz w:val="20"/>
          <w:u w:val="single"/>
        </w:rPr>
        <w:t>（单位）</w:t>
      </w:r>
      <w:r>
        <w:rPr>
          <w:rFonts w:ascii="TimesNewRoman" w:hAnsi="TimesNewRoman" w:cs="TimesNewRoman"/>
          <w:kern w:val="0"/>
          <w:sz w:val="20"/>
        </w:rPr>
        <w:t>公开表5</w:t>
      </w:r>
    </w:p>
    <w:p>
      <w:pPr>
        <w:widowControl/>
        <w:spacing w:before="156" w:beforeLines="50" w:after="156" w:afterLines="50" w:line="560" w:lineRule="exact"/>
        <w:jc w:val="center"/>
        <w:rPr>
          <w:rFonts w:ascii="TimesNewRoman" w:eastAsia="华文中宋" w:hAnsi="TimesNewRoman" w:cs="TimesNewRoman"/>
          <w:b/>
          <w:bCs/>
          <w:kern w:val="0"/>
          <w:sz w:val="30"/>
          <w:szCs w:val="30"/>
        </w:rPr>
      </w:pPr>
      <w:r>
        <w:rPr>
          <w:rFonts w:ascii="TimesNewRoman" w:eastAsia="华文中宋" w:hAnsi="TimesNewRoman" w:cs="TimesNewRoman" w:hint="eastAsia"/>
          <w:b/>
          <w:bCs/>
          <w:kern w:val="0"/>
          <w:sz w:val="30"/>
          <w:szCs w:val="30"/>
        </w:rPr>
        <w:t xml:space="preserve">  寿县</w:t>
      </w:r>
      <w:r>
        <w:rPr>
          <w:rFonts w:ascii="TimesNewRoman" w:eastAsia="华文中宋" w:hAnsi="TimesNewRoman" w:cs="TimesNewRoman" w:hint="eastAsia"/>
          <w:b/>
          <w:bCs/>
          <w:kern w:val="0"/>
          <w:sz w:val="30"/>
          <w:szCs w:val="30"/>
          <w:lang w:eastAsia="zh-CN"/>
        </w:rPr>
        <w:t>瓦埠</w:t>
      </w:r>
      <w:r>
        <w:rPr>
          <w:rFonts w:ascii="TimesNewRoman" w:eastAsia="华文中宋" w:hAnsi="TimesNewRoman" w:cs="TimesNewRoman"/>
          <w:b/>
          <w:bCs/>
          <w:kern w:val="0"/>
          <w:sz w:val="30"/>
          <w:szCs w:val="30"/>
        </w:rPr>
        <w:t>镇中心卫生院</w:t>
      </w:r>
      <w:r>
        <w:rPr>
          <w:rFonts w:ascii="TimesNewRoman" w:eastAsia="华文中宋" w:hAnsi="TimesNewRoman" w:cs="TimesNewRoman" w:hint="eastAsia"/>
          <w:b/>
          <w:bCs/>
          <w:kern w:val="0"/>
          <w:sz w:val="30"/>
          <w:szCs w:val="30"/>
        </w:rPr>
        <w:t>2024</w:t>
      </w:r>
      <w:r>
        <w:rPr>
          <w:rFonts w:ascii="TimesNewRoman" w:eastAsia="华文中宋" w:hAnsi="TimesNewRoman" w:cs="TimesNewRoman"/>
          <w:b/>
          <w:bCs/>
          <w:kern w:val="0"/>
          <w:sz w:val="30"/>
          <w:szCs w:val="30"/>
        </w:rPr>
        <w:t>年一般公共预算支出表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3840" w:type="dxa"/>
        <w:tblInd w:w="0" w:type="dxa"/>
        <w:tblLayout w:type="fixed"/>
        <w:tblCellMar>
          <w:top w:w="0" w:type="dxa"/>
          <w:left w:w="108" w:type="dxa"/>
          <w:bottom w:w="0" w:type="dxa"/>
          <w:right w:w="108" w:type="dxa"/>
        </w:tblCellMar>
      </w:tblPr>
      <w:tblGrid>
        <w:gridCol w:w="1603"/>
        <w:gridCol w:w="4482"/>
        <w:gridCol w:w="1303"/>
        <w:gridCol w:w="1287"/>
        <w:gridCol w:w="1752"/>
        <w:gridCol w:w="1706"/>
        <w:gridCol w:w="1707"/>
      </w:tblGrid>
      <w:tr>
        <w:tblPrEx>
          <w:tblW w:w="13840" w:type="dxa"/>
          <w:tblInd w:w="0" w:type="dxa"/>
          <w:tblLayout w:type="fixed"/>
          <w:tblCellMar>
            <w:top w:w="0" w:type="dxa"/>
            <w:left w:w="108" w:type="dxa"/>
            <w:bottom w:w="0" w:type="dxa"/>
            <w:right w:w="108" w:type="dxa"/>
          </w:tblCellMar>
        </w:tblPrEx>
        <w:trPr>
          <w:trHeight w:val="383"/>
        </w:trPr>
        <w:tc>
          <w:tcPr>
            <w:tcW w:w="1603" w:type="dxa"/>
            <w:vMerge w:val="restart"/>
            <w:tcBorders>
              <w:top w:val="single" w:sz="4" w:space="0" w:color="auto"/>
              <w:left w:val="single" w:sz="4" w:space="0" w:color="auto"/>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编码</w:t>
            </w:r>
          </w:p>
        </w:tc>
        <w:tc>
          <w:tcPr>
            <w:tcW w:w="4482" w:type="dxa"/>
            <w:vMerge w:val="restart"/>
            <w:tcBorders>
              <w:top w:val="single" w:sz="4" w:space="0" w:color="auto"/>
              <w:left w:val="single" w:sz="4" w:space="0" w:color="auto"/>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303" w:type="dxa"/>
            <w:vMerge w:val="restart"/>
            <w:tcBorders>
              <w:top w:val="single" w:sz="4" w:space="0" w:color="auto"/>
              <w:left w:val="single" w:sz="4" w:space="0" w:color="auto"/>
              <w:bottom w:val="single" w:sz="4" w:space="0" w:color="000000"/>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4745" w:type="dxa"/>
            <w:gridSpan w:val="3"/>
            <w:tcBorders>
              <w:top w:val="single" w:sz="4" w:space="0" w:color="auto"/>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1707" w:type="dxa"/>
            <w:vMerge w:val="restart"/>
            <w:tcBorders>
              <w:top w:val="single" w:sz="4" w:space="0" w:color="auto"/>
              <w:left w:val="single" w:sz="4" w:space="0" w:color="auto"/>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840" w:type="dxa"/>
          <w:tblInd w:w="0" w:type="dxa"/>
          <w:tblLayout w:type="fixed"/>
          <w:tblCellMar>
            <w:top w:w="0" w:type="dxa"/>
            <w:left w:w="108" w:type="dxa"/>
            <w:bottom w:w="0" w:type="dxa"/>
            <w:right w:w="108" w:type="dxa"/>
          </w:tblCellMar>
        </w:tblPrEx>
        <w:trPr>
          <w:trHeight w:val="383"/>
        </w:trPr>
        <w:tc>
          <w:tcPr>
            <w:tcW w:w="1603" w:type="dxa"/>
            <w:vMerge/>
            <w:tcBorders>
              <w:top w:val="single" w:sz="4" w:space="0" w:color="auto"/>
              <w:left w:val="single" w:sz="4" w:space="0" w:color="auto"/>
              <w:bottom w:val="nil"/>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4482" w:type="dxa"/>
            <w:vMerge/>
            <w:tcBorders>
              <w:top w:val="single" w:sz="4" w:space="0" w:color="auto"/>
              <w:left w:val="single" w:sz="4" w:space="0" w:color="auto"/>
              <w:bottom w:val="nil"/>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1303" w:type="dxa"/>
            <w:vMerge/>
            <w:tcBorders>
              <w:top w:val="single" w:sz="4" w:space="0" w:color="auto"/>
              <w:left w:val="single" w:sz="4" w:space="0" w:color="auto"/>
              <w:bottom w:val="single" w:sz="4" w:space="0" w:color="000000"/>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1287"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小计</w:t>
            </w:r>
          </w:p>
        </w:tc>
        <w:tc>
          <w:tcPr>
            <w:tcW w:w="1752"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人员经费</w:t>
            </w:r>
          </w:p>
        </w:tc>
        <w:tc>
          <w:tcPr>
            <w:tcW w:w="1706"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公用经费</w:t>
            </w:r>
          </w:p>
        </w:tc>
        <w:tc>
          <w:tcPr>
            <w:tcW w:w="1707" w:type="dxa"/>
            <w:vMerge/>
            <w:tcBorders>
              <w:top w:val="single" w:sz="4" w:space="0" w:color="auto"/>
              <w:left w:val="single" w:sz="4" w:space="0" w:color="auto"/>
              <w:bottom w:val="nil"/>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20</w:t>
            </w:r>
            <w:r>
              <w:rPr>
                <w:rFonts w:ascii="TimesNewRoman" w:hAnsi="TimesNewRoman" w:cs="TimesNewRoman" w:hint="eastAsia"/>
                <w:kern w:val="0"/>
                <w:sz w:val="18"/>
                <w:szCs w:val="18"/>
              </w:rPr>
              <w:t>8</w:t>
            </w:r>
          </w:p>
        </w:tc>
        <w:tc>
          <w:tcPr>
            <w:tcW w:w="4482" w:type="dxa"/>
            <w:tcBorders>
              <w:top w:val="single" w:sz="4" w:space="0" w:color="auto"/>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社会</w:t>
            </w:r>
            <w:r>
              <w:rPr>
                <w:rFonts w:ascii="TimesNewRoman" w:hAnsi="TimesNewRoman" w:cs="TimesNewRoman"/>
                <w:kern w:val="0"/>
                <w:sz w:val="18"/>
                <w:szCs w:val="18"/>
              </w:rPr>
              <w:t>保障和就业支出</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113.55</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113.55</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113.55</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single" w:sz="4" w:space="0" w:color="auto"/>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kern w:val="0"/>
                <w:sz w:val="18"/>
                <w:szCs w:val="18"/>
              </w:rPr>
              <w:t>20</w:t>
            </w:r>
            <w:r>
              <w:rPr>
                <w:rFonts w:ascii="TimesNewRoman" w:hAnsi="TimesNewRoman" w:cs="TimesNewRoman" w:hint="eastAsia"/>
                <w:kern w:val="0"/>
                <w:sz w:val="18"/>
                <w:szCs w:val="18"/>
              </w:rPr>
              <w:t>805</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hint="eastAsia"/>
                <w:kern w:val="0"/>
                <w:sz w:val="18"/>
                <w:szCs w:val="18"/>
              </w:rPr>
              <w:t>行政</w:t>
            </w:r>
            <w:r>
              <w:rPr>
                <w:rFonts w:ascii="TimesNewRoman" w:hAnsi="TimesNewRoman" w:cs="TimesNewRoman"/>
                <w:kern w:val="0"/>
                <w:sz w:val="18"/>
                <w:szCs w:val="18"/>
              </w:rPr>
              <w:t>事业单位养老支出</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112.09</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112.09</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112.09</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kern w:val="0"/>
                <w:sz w:val="18"/>
                <w:szCs w:val="18"/>
              </w:rPr>
              <w:t>2</w:t>
            </w:r>
            <w:r>
              <w:rPr>
                <w:rFonts w:ascii="TimesNewRoman" w:hAnsi="TimesNewRoman" w:cs="TimesNewRoman" w:hint="eastAsia"/>
                <w:kern w:val="0"/>
                <w:sz w:val="18"/>
                <w:szCs w:val="18"/>
              </w:rPr>
              <w:t>080502</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hint="eastAsia"/>
                <w:kern w:val="0"/>
                <w:sz w:val="18"/>
                <w:szCs w:val="18"/>
              </w:rPr>
              <w:t>事业</w:t>
            </w:r>
            <w:r>
              <w:rPr>
                <w:rFonts w:ascii="TimesNewRoman" w:hAnsi="TimesNewRoman" w:cs="TimesNewRoman"/>
                <w:kern w:val="0"/>
                <w:sz w:val="18"/>
                <w:szCs w:val="18"/>
              </w:rPr>
              <w:t>单位离退休</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62.18</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62.18</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62.18</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hint="eastAsia"/>
                <w:kern w:val="0"/>
                <w:sz w:val="18"/>
                <w:szCs w:val="18"/>
              </w:rPr>
              <w:t>2080505</w:t>
            </w:r>
          </w:p>
        </w:tc>
        <w:tc>
          <w:tcPr>
            <w:tcW w:w="4482" w:type="dxa"/>
            <w:tcBorders>
              <w:top w:val="nil"/>
              <w:left w:val="nil"/>
              <w:bottom w:val="single" w:sz="4" w:space="0" w:color="auto"/>
              <w:right w:val="single" w:sz="4" w:space="0" w:color="auto"/>
            </w:tcBorders>
            <w:noWrap/>
            <w:vAlign w:val="center"/>
          </w:tcPr>
          <w:p>
            <w:pPr>
              <w:widowControl/>
              <w:spacing w:line="260" w:lineRule="exact"/>
              <w:ind w:firstLine="360" w:firstLineChars="200"/>
              <w:rPr>
                <w:rFonts w:ascii="TimesNewRoman" w:eastAsia="仿宋_GB2312" w:hAnsi="TimesNewRoman" w:cs="TimesNewRoman"/>
                <w:kern w:val="0"/>
                <w:sz w:val="18"/>
                <w:szCs w:val="18"/>
              </w:rPr>
            </w:pPr>
            <w:r>
              <w:rPr>
                <w:rFonts w:ascii="TimesNewRoman" w:hAnsi="TimesNewRoman" w:cs="TimesNewRoman" w:hint="eastAsia"/>
                <w:kern w:val="0"/>
                <w:sz w:val="18"/>
                <w:szCs w:val="18"/>
              </w:rPr>
              <w:t>机关事业单位基本养老保险缴费支出</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33.27</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33.27</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33.27</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hint="eastAsia"/>
                <w:kern w:val="0"/>
                <w:sz w:val="18"/>
                <w:szCs w:val="18"/>
              </w:rPr>
              <w:t>2080506</w:t>
            </w:r>
          </w:p>
        </w:tc>
        <w:tc>
          <w:tcPr>
            <w:tcW w:w="4482" w:type="dxa"/>
            <w:tcBorders>
              <w:top w:val="nil"/>
              <w:left w:val="nil"/>
              <w:bottom w:val="single" w:sz="4" w:space="0" w:color="auto"/>
              <w:right w:val="single" w:sz="4" w:space="0" w:color="auto"/>
            </w:tcBorders>
            <w:noWrap/>
            <w:vAlign w:val="center"/>
          </w:tcPr>
          <w:p>
            <w:pPr>
              <w:widowControl/>
              <w:spacing w:line="260" w:lineRule="exact"/>
              <w:rPr>
                <w:rFonts w:asciiTheme="majorEastAsia" w:eastAsiaTheme="majorEastAsia" w:hAnsiTheme="majorEastAsia" w:cs="TimesNewRoman"/>
                <w:kern w:val="0"/>
                <w:sz w:val="18"/>
                <w:szCs w:val="18"/>
              </w:rPr>
            </w:pPr>
            <w:r>
              <w:rPr>
                <w:rFonts w:ascii="汉仪中秀体简" w:eastAsia="汉仪中秀体简" w:hAnsi="汉仪中秀体简" w:cs="汉仪中秀体简" w:hint="eastAsia"/>
                <w:sz w:val="18"/>
                <w:szCs w:val="18"/>
              </w:rPr>
              <w:t xml:space="preserve">    </w:t>
            </w:r>
            <w:r>
              <w:rPr>
                <w:rFonts w:asciiTheme="majorEastAsia" w:eastAsiaTheme="majorEastAsia" w:hAnsiTheme="majorEastAsia" w:cs="汉仪中秀体简" w:hint="eastAsia"/>
                <w:sz w:val="18"/>
                <w:szCs w:val="18"/>
              </w:rPr>
              <w:t>机关事业单位职业年金缴费支出</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16.64</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16.64</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16.64</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20899</w:t>
            </w:r>
            <w:r>
              <w:rPr>
                <w:rFonts w:ascii="TimesNewRoman" w:hAnsi="TimesNewRoman" w:cs="TimesNewRoman"/>
                <w:kern w:val="0"/>
                <w:sz w:val="18"/>
                <w:szCs w:val="18"/>
              </w:rPr>
              <w:t>　</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其他社会保障和就业支出</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1.46</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1.46</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1.46</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2089999</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其他社会保障和就业支出</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1.46</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1.46</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1.46</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210</w:t>
            </w:r>
            <w:r>
              <w:rPr>
                <w:rFonts w:ascii="TimesNewRoman" w:hAnsi="TimesNewRoman" w:cs="TimesNewRoman"/>
                <w:kern w:val="0"/>
                <w:sz w:val="18"/>
                <w:szCs w:val="18"/>
              </w:rPr>
              <w:t>　</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卫生健康支出</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229.31</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227.01</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227.01</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1.87</w:t>
            </w: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21003</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基层医疗卫生机构</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214.53</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212.66</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212.66</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1.87</w:t>
            </w: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2100302</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乡镇卫生院</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214.53</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212.66</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212.66</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1.87</w:t>
            </w: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ind w:firstLine="180" w:firstLineChars="100"/>
              <w:jc w:val="left"/>
              <w:rPr>
                <w:rFonts w:ascii="TimesNewRoman" w:eastAsia="宋体" w:hAnsi="TimesNewRoman" w:cs="TimesNewRoman" w:hint="eastAsia"/>
                <w:kern w:val="0"/>
                <w:sz w:val="18"/>
                <w:szCs w:val="18"/>
                <w:lang w:val="en-US" w:eastAsia="zh-CN" w:bidi="ar-SA"/>
              </w:rPr>
            </w:pPr>
            <w:r>
              <w:rPr>
                <w:rFonts w:ascii="TimesNewRoman" w:hAnsi="TimesNewRoman" w:cs="TimesNewRoman" w:hint="eastAsia"/>
                <w:kern w:val="0"/>
                <w:sz w:val="18"/>
                <w:szCs w:val="18"/>
              </w:rPr>
              <w:t>21004</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eastAsia="宋体" w:hAnsi="TimesNewRoman" w:cs="TimesNewRoman" w:hint="eastAsia"/>
                <w:kern w:val="0"/>
                <w:sz w:val="18"/>
                <w:szCs w:val="18"/>
                <w:lang w:val="en-US" w:eastAsia="zh-CN" w:bidi="ar-SA"/>
              </w:rPr>
            </w:pPr>
            <w:r>
              <w:rPr>
                <w:rFonts w:ascii="TimesNewRoman" w:hAnsi="TimesNewRoman" w:cs="TimesNewRoman"/>
                <w:kern w:val="0"/>
                <w:sz w:val="18"/>
                <w:szCs w:val="18"/>
              </w:rPr>
              <w:t>　公共卫生</w:t>
            </w:r>
          </w:p>
        </w:tc>
        <w:tc>
          <w:tcPr>
            <w:tcW w:w="130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eastAsia"/>
                <w:color w:val="auto"/>
                <w:kern w:val="0"/>
                <w:sz w:val="18"/>
                <w:szCs w:val="18"/>
                <w:lang w:val="en-US" w:eastAsia="zh-CN" w:bidi="ar-SA"/>
              </w:rPr>
            </w:pPr>
            <w:r>
              <w:rPr>
                <w:rFonts w:ascii="TimesNewRoman" w:hAnsi="TimesNewRoman" w:cs="TimesNewRoman" w:hint="eastAsia"/>
                <w:color w:val="auto"/>
                <w:kern w:val="0"/>
                <w:sz w:val="18"/>
                <w:szCs w:val="18"/>
                <w:lang w:val="en-US" w:eastAsia="zh-CN"/>
              </w:rPr>
              <w:t>0.43</w:t>
            </w:r>
            <w:r>
              <w:rPr>
                <w:rFonts w:ascii="TimesNewRoman" w:hAnsi="TimesNewRoman" w:cs="TimesNewRoman"/>
                <w:color w:val="auto"/>
                <w:kern w:val="0"/>
                <w:sz w:val="18"/>
                <w:szCs w:val="18"/>
              </w:rPr>
              <w:t>　</w:t>
            </w:r>
          </w:p>
        </w:tc>
        <w:tc>
          <w:tcPr>
            <w:tcW w:w="128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eastAsia"/>
                <w:color w:val="auto"/>
                <w:kern w:val="0"/>
                <w:sz w:val="18"/>
                <w:szCs w:val="18"/>
                <w:lang w:val="en-US" w:eastAsia="zh-CN" w:bidi="ar-SA"/>
              </w:rPr>
            </w:pPr>
            <w:r>
              <w:rPr>
                <w:rFonts w:ascii="TimesNewRoman" w:hAnsi="TimesNewRoman" w:cs="TimesNewRoman"/>
                <w:color w:val="auto"/>
                <w:kern w:val="0"/>
                <w:sz w:val="18"/>
                <w:szCs w:val="18"/>
              </w:rPr>
              <w:t>　</w:t>
            </w:r>
          </w:p>
        </w:tc>
        <w:tc>
          <w:tcPr>
            <w:tcW w:w="175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eastAsia"/>
                <w:color w:val="auto"/>
                <w:kern w:val="0"/>
                <w:sz w:val="18"/>
                <w:szCs w:val="18"/>
                <w:lang w:val="en-US" w:eastAsia="zh-CN" w:bidi="ar-SA"/>
              </w:rPr>
            </w:pP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0.43</w:t>
            </w: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eastAsia="宋体" w:hAnsi="TimesNewRoman" w:cs="TimesNewRoman" w:hint="eastAsia"/>
                <w:kern w:val="0"/>
                <w:sz w:val="18"/>
                <w:szCs w:val="18"/>
                <w:lang w:val="en-US" w:eastAsia="zh-CN" w:bidi="ar-SA"/>
              </w:rPr>
            </w:pPr>
            <w:r>
              <w:rPr>
                <w:rFonts w:ascii="TimesNewRoman" w:hAnsi="TimesNewRoman" w:cs="TimesNewRoman" w:hint="eastAsia"/>
                <w:kern w:val="0"/>
                <w:sz w:val="18"/>
                <w:szCs w:val="18"/>
              </w:rPr>
              <w:t xml:space="preserve">    2100408</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eastAsia="宋体" w:hAnsi="TimesNewRoman" w:cs="TimesNewRoman" w:hint="eastAsia"/>
                <w:kern w:val="0"/>
                <w:sz w:val="18"/>
                <w:szCs w:val="18"/>
                <w:lang w:val="en-US" w:eastAsia="zh-CN" w:bidi="ar-SA"/>
              </w:rPr>
            </w:pPr>
            <w:r>
              <w:rPr>
                <w:rFonts w:ascii="TimesNewRoman" w:hAnsi="TimesNewRoman" w:cs="TimesNewRoman" w:hint="eastAsia"/>
                <w:kern w:val="0"/>
                <w:sz w:val="18"/>
                <w:szCs w:val="18"/>
              </w:rPr>
              <w:t xml:space="preserve">    基本公共卫生服务</w:t>
            </w:r>
          </w:p>
        </w:tc>
        <w:tc>
          <w:tcPr>
            <w:tcW w:w="130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eastAsia"/>
                <w:color w:val="auto"/>
                <w:kern w:val="0"/>
                <w:sz w:val="18"/>
                <w:szCs w:val="18"/>
                <w:lang w:val="en-US" w:eastAsia="zh-CN" w:bidi="ar-SA"/>
              </w:rPr>
            </w:pPr>
            <w:r>
              <w:rPr>
                <w:rFonts w:ascii="TimesNewRoman" w:hAnsi="TimesNewRoman" w:cs="TimesNewRoman" w:hint="eastAsia"/>
                <w:color w:val="auto"/>
                <w:kern w:val="0"/>
                <w:sz w:val="18"/>
                <w:szCs w:val="18"/>
                <w:lang w:val="en-US" w:eastAsia="zh-CN"/>
              </w:rPr>
              <w:t>0.43</w:t>
            </w:r>
          </w:p>
        </w:tc>
        <w:tc>
          <w:tcPr>
            <w:tcW w:w="128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eastAsia"/>
                <w:color w:val="auto"/>
                <w:kern w:val="0"/>
                <w:sz w:val="18"/>
                <w:szCs w:val="18"/>
                <w:lang w:val="en-US" w:eastAsia="zh-CN" w:bidi="ar-SA"/>
              </w:rPr>
            </w:pPr>
          </w:p>
        </w:tc>
        <w:tc>
          <w:tcPr>
            <w:tcW w:w="175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eastAsia"/>
                <w:color w:val="auto"/>
                <w:kern w:val="0"/>
                <w:sz w:val="18"/>
                <w:szCs w:val="18"/>
                <w:lang w:val="en-US" w:eastAsia="zh-CN" w:bidi="ar-SA"/>
              </w:rPr>
            </w:pP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0.43</w:t>
            </w: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21011</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行政事业单位医疗</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14.35</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14.35</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14.35</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2101102</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事业单位医疗</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14.35</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14.35</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14.35</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221</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住房保障支出</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24.95</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24.95</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24.95</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22102</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住房改革支出</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24.95</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24.95</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24.95</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hint="eastAsia"/>
                <w:kern w:val="0"/>
                <w:sz w:val="18"/>
                <w:szCs w:val="18"/>
              </w:rPr>
              <w:t>2210201</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住房公积金</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24.95</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24.95</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24.95</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83"/>
        </w:trPr>
        <w:tc>
          <w:tcPr>
            <w:tcW w:w="6085" w:type="dxa"/>
            <w:gridSpan w:val="2"/>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b/>
                <w:bCs/>
                <w:kern w:val="0"/>
                <w:sz w:val="18"/>
                <w:szCs w:val="18"/>
                <w:lang w:val="en-US" w:eastAsia="zh-CN"/>
              </w:rPr>
            </w:pPr>
            <w:r>
              <w:rPr>
                <w:rFonts w:ascii="TimesNewRoman" w:hAnsi="TimesNewRoman" w:cs="TimesNewRoman" w:hint="eastAsia"/>
                <w:b/>
                <w:bCs/>
                <w:kern w:val="0"/>
                <w:sz w:val="18"/>
                <w:szCs w:val="18"/>
                <w:lang w:val="en-US" w:eastAsia="zh-CN"/>
              </w:rPr>
              <w:t>367.81</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b/>
                <w:bCs/>
                <w:kern w:val="0"/>
                <w:sz w:val="18"/>
                <w:szCs w:val="18"/>
                <w:lang w:val="en-US" w:eastAsia="zh-CN"/>
              </w:rPr>
            </w:pPr>
            <w:r>
              <w:rPr>
                <w:rFonts w:ascii="TimesNewRoman" w:hAnsi="TimesNewRoman" w:cs="TimesNewRoman" w:hint="eastAsia"/>
                <w:b/>
                <w:bCs/>
                <w:kern w:val="0"/>
                <w:sz w:val="18"/>
                <w:szCs w:val="18"/>
                <w:lang w:val="en-US" w:eastAsia="zh-CN"/>
              </w:rPr>
              <w:t>365.51</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b/>
                <w:bCs/>
                <w:kern w:val="0"/>
                <w:sz w:val="18"/>
                <w:szCs w:val="18"/>
                <w:lang w:val="en-US" w:eastAsia="zh-CN"/>
              </w:rPr>
            </w:pPr>
            <w:r>
              <w:rPr>
                <w:rFonts w:ascii="TimesNewRoman" w:hAnsi="TimesNewRoman" w:cs="TimesNewRoman" w:hint="eastAsia"/>
                <w:b/>
                <w:bCs/>
                <w:kern w:val="0"/>
                <w:sz w:val="18"/>
                <w:szCs w:val="18"/>
                <w:lang w:val="en-US" w:eastAsia="zh-CN"/>
              </w:rPr>
              <w:t>365.51</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b/>
                <w:bCs/>
                <w:kern w:val="0"/>
                <w:sz w:val="18"/>
                <w:szCs w:val="18"/>
                <w:lang w:val="en-US" w:eastAsia="zh-CN"/>
              </w:rPr>
            </w:pPr>
            <w:r>
              <w:rPr>
                <w:rFonts w:ascii="TimesNewRoman" w:hAnsi="TimesNewRoman" w:cs="TimesNewRoman" w:hint="eastAsia"/>
                <w:b/>
                <w:bCs/>
                <w:kern w:val="0"/>
                <w:sz w:val="18"/>
                <w:szCs w:val="18"/>
                <w:lang w:val="en-US" w:eastAsia="zh-CN"/>
              </w:rPr>
              <w:t>2.3</w:t>
            </w:r>
          </w:p>
        </w:tc>
      </w:tr>
    </w:tbl>
    <w:p>
      <w:pPr>
        <w:spacing w:line="560" w:lineRule="exact"/>
        <w:ind w:left="903" w:leftChars="430"/>
        <w:jc w:val="right"/>
        <w:rPr>
          <w:rFonts w:ascii="TimesNewRoman" w:hAnsi="TimesNewRoman" w:cs="TimesNewRoman"/>
          <w:kern w:val="0"/>
          <w:sz w:val="20"/>
        </w:rPr>
      </w:pPr>
      <w:r>
        <w:rPr>
          <w:rFonts w:ascii="TimesNewRoman" w:hAnsi="TimesNewRoman" w:cs="TimesNewRoman"/>
          <w:kern w:val="0"/>
          <w:sz w:val="20"/>
          <w:u w:val="single"/>
        </w:rPr>
        <w:t>（单位）</w:t>
      </w:r>
      <w:r>
        <w:rPr>
          <w:rFonts w:ascii="TimesNewRoman" w:hAnsi="TimesNewRoman" w:cs="TimesNewRoman"/>
          <w:kern w:val="0"/>
          <w:sz w:val="20"/>
        </w:rPr>
        <w:t>公开表6</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瓦埠</w:t>
      </w:r>
      <w:r>
        <w:rPr>
          <w:rFonts w:ascii="宋体" w:hAnsi="宋体" w:cs="TimesNewRoman"/>
          <w:b/>
          <w:bCs/>
          <w:kern w:val="0"/>
          <w:sz w:val="28"/>
          <w:szCs w:val="32"/>
        </w:rPr>
        <w:t>镇中心卫生院</w:t>
      </w:r>
      <w:r>
        <w:rPr>
          <w:rFonts w:ascii="宋体" w:hAnsi="宋体" w:cs="TimesNewRoman" w:hint="eastAsia"/>
          <w:b/>
          <w:bCs/>
          <w:kern w:val="0"/>
          <w:sz w:val="28"/>
          <w:szCs w:val="32"/>
        </w:rPr>
        <w:t>2024</w:t>
      </w:r>
      <w:r>
        <w:rPr>
          <w:rFonts w:ascii="宋体" w:hAnsi="宋体" w:cs="TimesNewRoman"/>
          <w:b/>
          <w:bCs/>
          <w:kern w:val="0"/>
          <w:sz w:val="28"/>
          <w:szCs w:val="32"/>
        </w:rPr>
        <w:t>年一般公共预算基本支出表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4005" w:type="dxa"/>
        <w:tblInd w:w="0" w:type="dxa"/>
        <w:tblLayout w:type="fixed"/>
        <w:tblCellMar>
          <w:top w:w="0" w:type="dxa"/>
          <w:left w:w="108" w:type="dxa"/>
          <w:bottom w:w="0" w:type="dxa"/>
          <w:right w:w="108" w:type="dxa"/>
        </w:tblCellMar>
      </w:tblPr>
      <w:tblGrid>
        <w:gridCol w:w="2930"/>
        <w:gridCol w:w="4350"/>
        <w:gridCol w:w="1530"/>
        <w:gridCol w:w="2631"/>
        <w:gridCol w:w="2564"/>
      </w:tblGrid>
      <w:tr>
        <w:tblPrEx>
          <w:tblW w:w="14005" w:type="dxa"/>
          <w:tblInd w:w="0" w:type="dxa"/>
          <w:tblLayout w:type="fixed"/>
          <w:tblCellMar>
            <w:top w:w="0" w:type="dxa"/>
            <w:left w:w="108" w:type="dxa"/>
            <w:bottom w:w="0" w:type="dxa"/>
            <w:right w:w="108" w:type="dxa"/>
          </w:tblCellMar>
        </w:tblPrEx>
        <w:trPr>
          <w:trHeight w:val="365"/>
        </w:trPr>
        <w:tc>
          <w:tcPr>
            <w:tcW w:w="7280" w:type="dxa"/>
            <w:gridSpan w:val="2"/>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部门预算支出经济分类科目</w:t>
            </w:r>
          </w:p>
        </w:tc>
        <w:tc>
          <w:tcPr>
            <w:tcW w:w="6725" w:type="dxa"/>
            <w:gridSpan w:val="3"/>
            <w:tcBorders>
              <w:top w:val="single" w:sz="4" w:space="0" w:color="auto"/>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本年一般公共预算基本支出</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50"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530"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631"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人员经费</w:t>
            </w:r>
          </w:p>
        </w:tc>
        <w:tc>
          <w:tcPr>
            <w:tcW w:w="2564"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公用经费</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301</w:t>
            </w:r>
          </w:p>
        </w:tc>
        <w:tc>
          <w:tcPr>
            <w:tcW w:w="435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工资福利支出</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298.62</w:t>
            </w:r>
          </w:p>
        </w:tc>
        <w:tc>
          <w:tcPr>
            <w:tcW w:w="263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rPr>
              <w:t>298.62</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ind w:firstLine="180" w:firstLineChars="100"/>
              <w:jc w:val="left"/>
              <w:rPr>
                <w:rFonts w:ascii="TimesNewRoman" w:hAnsi="TimesNewRoman" w:cs="TimesNewRoman"/>
                <w:kern w:val="0"/>
                <w:sz w:val="18"/>
                <w:szCs w:val="18"/>
              </w:rPr>
            </w:pPr>
            <w:r>
              <w:rPr>
                <w:rFonts w:ascii="TimesNewRoman" w:hAnsi="TimesNewRoman" w:cs="TimesNewRoman"/>
                <w:kern w:val="0"/>
                <w:sz w:val="18"/>
                <w:szCs w:val="18"/>
              </w:rPr>
              <w:t>30101</w:t>
            </w:r>
          </w:p>
        </w:tc>
        <w:tc>
          <w:tcPr>
            <w:tcW w:w="435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基本工资</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129.69</w:t>
            </w:r>
          </w:p>
        </w:tc>
        <w:tc>
          <w:tcPr>
            <w:tcW w:w="263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rPr>
              <w:t>129.69</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ind w:firstLine="180" w:firstLineChars="100"/>
              <w:jc w:val="left"/>
              <w:rPr>
                <w:rFonts w:ascii="TimesNewRoman" w:hAnsi="TimesNewRoman" w:cs="TimesNewRoman"/>
                <w:kern w:val="0"/>
                <w:sz w:val="18"/>
                <w:szCs w:val="18"/>
              </w:rPr>
            </w:pPr>
            <w:r>
              <w:rPr>
                <w:rFonts w:ascii="TimesNewRoman" w:hAnsi="TimesNewRoman" w:cs="TimesNewRoman"/>
                <w:kern w:val="0"/>
                <w:sz w:val="18"/>
                <w:szCs w:val="18"/>
              </w:rPr>
              <w:t>3010</w:t>
            </w:r>
            <w:r>
              <w:rPr>
                <w:rFonts w:ascii="TimesNewRoman" w:hAnsi="TimesNewRoman" w:cs="TimesNewRoman" w:hint="eastAsia"/>
                <w:kern w:val="0"/>
                <w:sz w:val="18"/>
                <w:szCs w:val="18"/>
              </w:rPr>
              <w:t>7</w:t>
            </w:r>
          </w:p>
        </w:tc>
        <w:tc>
          <w:tcPr>
            <w:tcW w:w="435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hint="eastAsia"/>
                <w:kern w:val="0"/>
                <w:sz w:val="18"/>
                <w:szCs w:val="18"/>
              </w:rPr>
              <w:t>绩效</w:t>
            </w:r>
            <w:r>
              <w:rPr>
                <w:rFonts w:ascii="TimesNewRoman" w:hAnsi="TimesNewRoman" w:cs="TimesNewRoman"/>
                <w:kern w:val="0"/>
                <w:sz w:val="18"/>
                <w:szCs w:val="18"/>
              </w:rPr>
              <w:t>工资</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78.18</w:t>
            </w:r>
          </w:p>
        </w:tc>
        <w:tc>
          <w:tcPr>
            <w:tcW w:w="263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rPr>
              <w:t>78.18</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3010</w:t>
            </w:r>
            <w:r>
              <w:rPr>
                <w:rFonts w:ascii="TimesNewRoman" w:hAnsi="TimesNewRoman" w:cs="TimesNewRoman" w:hint="eastAsia"/>
                <w:kern w:val="0"/>
                <w:sz w:val="18"/>
                <w:szCs w:val="18"/>
              </w:rPr>
              <w:t>8</w:t>
            </w:r>
          </w:p>
        </w:tc>
        <w:tc>
          <w:tcPr>
            <w:tcW w:w="4350" w:type="dxa"/>
            <w:tcBorders>
              <w:top w:val="nil"/>
              <w:left w:val="nil"/>
              <w:bottom w:val="single" w:sz="4" w:space="0" w:color="auto"/>
              <w:right w:val="single" w:sz="4" w:space="0" w:color="auto"/>
            </w:tcBorders>
            <w:noWrap/>
            <w:vAlign w:val="center"/>
          </w:tcPr>
          <w:p>
            <w:pPr>
              <w:widowControl/>
              <w:spacing w:line="280" w:lineRule="exact"/>
              <w:rPr>
                <w:rFonts w:asciiTheme="majorEastAsia" w:eastAsiaTheme="majorEastAsia" w:hAnsiTheme="majorEastAsia" w:cs="TimesNewRoman"/>
                <w:kern w:val="0"/>
                <w:sz w:val="18"/>
                <w:szCs w:val="18"/>
              </w:rPr>
            </w:pPr>
            <w:r>
              <w:rPr>
                <w:rFonts w:ascii="汉仪中秀体简" w:eastAsia="汉仪中秀体简" w:hAnsi="汉仪中秀体简" w:cs="汉仪中秀体简" w:hint="eastAsia"/>
                <w:sz w:val="18"/>
                <w:szCs w:val="18"/>
              </w:rPr>
              <w:t xml:space="preserve">    </w:t>
            </w:r>
            <w:r>
              <w:rPr>
                <w:rFonts w:asciiTheme="majorEastAsia" w:eastAsiaTheme="majorEastAsia" w:hAnsiTheme="majorEastAsia" w:cs="汉仪中秀体简" w:hint="eastAsia"/>
                <w:sz w:val="18"/>
                <w:szCs w:val="18"/>
              </w:rPr>
              <w:t>机关事业单位基本养老保险缴费</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33.27</w:t>
            </w:r>
          </w:p>
        </w:tc>
        <w:tc>
          <w:tcPr>
            <w:tcW w:w="263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rPr>
              <w:t>33.27</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3010</w:t>
            </w:r>
            <w:r>
              <w:rPr>
                <w:rFonts w:ascii="TimesNewRoman" w:hAnsi="TimesNewRoman" w:cs="TimesNewRoman" w:hint="eastAsia"/>
                <w:kern w:val="0"/>
                <w:sz w:val="18"/>
                <w:szCs w:val="18"/>
              </w:rPr>
              <w:t>9</w:t>
            </w:r>
          </w:p>
        </w:tc>
        <w:tc>
          <w:tcPr>
            <w:tcW w:w="4350" w:type="dxa"/>
            <w:tcBorders>
              <w:top w:val="nil"/>
              <w:left w:val="nil"/>
              <w:bottom w:val="single" w:sz="4" w:space="0" w:color="auto"/>
              <w:right w:val="single" w:sz="4" w:space="0" w:color="auto"/>
            </w:tcBorders>
            <w:noWrap/>
            <w:vAlign w:val="center"/>
          </w:tcPr>
          <w:p>
            <w:pPr>
              <w:widowControl/>
              <w:spacing w:line="280" w:lineRule="exact"/>
              <w:ind w:firstLine="360" w:firstLineChars="200"/>
              <w:rPr>
                <w:rFonts w:ascii="TimesNewRoman" w:hAnsi="TimesNewRoman" w:cs="TimesNewRoman"/>
                <w:kern w:val="0"/>
                <w:sz w:val="18"/>
                <w:szCs w:val="18"/>
              </w:rPr>
            </w:pPr>
            <w:r>
              <w:rPr>
                <w:rFonts w:ascii="TimesNewRoman" w:hAnsi="TimesNewRoman" w:cs="TimesNewRoman"/>
                <w:kern w:val="0"/>
                <w:sz w:val="18"/>
                <w:szCs w:val="18"/>
              </w:rPr>
              <w:t>职业年级缴费　</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16.64</w:t>
            </w:r>
          </w:p>
        </w:tc>
        <w:tc>
          <w:tcPr>
            <w:tcW w:w="263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rPr>
              <w:t>16.64</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301</w:t>
            </w:r>
            <w:r>
              <w:rPr>
                <w:rFonts w:ascii="TimesNewRoman" w:hAnsi="TimesNewRoman" w:cs="TimesNewRoman" w:hint="eastAsia"/>
                <w:kern w:val="0"/>
                <w:sz w:val="18"/>
                <w:szCs w:val="18"/>
              </w:rPr>
              <w:t>10</w:t>
            </w:r>
          </w:p>
        </w:tc>
        <w:tc>
          <w:tcPr>
            <w:tcW w:w="4350" w:type="dxa"/>
            <w:tcBorders>
              <w:top w:val="nil"/>
              <w:left w:val="nil"/>
              <w:bottom w:val="single" w:sz="4" w:space="0" w:color="auto"/>
              <w:right w:val="single" w:sz="4" w:space="0" w:color="auto"/>
            </w:tcBorders>
            <w:noWrap/>
            <w:vAlign w:val="center"/>
          </w:tcPr>
          <w:p>
            <w:pPr>
              <w:widowControl/>
              <w:spacing w:line="280" w:lineRule="exact"/>
              <w:ind w:firstLine="360" w:firstLineChars="200"/>
              <w:rPr>
                <w:rFonts w:ascii="TimesNewRoman" w:hAnsi="TimesNewRoman" w:cs="TimesNewRoman"/>
                <w:kern w:val="0"/>
                <w:sz w:val="18"/>
                <w:szCs w:val="18"/>
              </w:rPr>
            </w:pPr>
            <w:r>
              <w:rPr>
                <w:rFonts w:ascii="TimesNewRoman" w:hAnsi="TimesNewRoman" w:cs="TimesNewRoman"/>
                <w:kern w:val="0"/>
                <w:sz w:val="18"/>
                <w:szCs w:val="18"/>
              </w:rPr>
              <w:t>职工基本医疗保险缴费　</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14.35</w:t>
            </w:r>
          </w:p>
        </w:tc>
        <w:tc>
          <w:tcPr>
            <w:tcW w:w="263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rPr>
              <w:t>14.35</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301</w:t>
            </w:r>
            <w:r>
              <w:rPr>
                <w:rFonts w:ascii="TimesNewRoman" w:hAnsi="TimesNewRoman" w:cs="TimesNewRoman" w:hint="eastAsia"/>
                <w:kern w:val="0"/>
                <w:sz w:val="18"/>
                <w:szCs w:val="18"/>
              </w:rPr>
              <w:t>12</w:t>
            </w:r>
          </w:p>
        </w:tc>
        <w:tc>
          <w:tcPr>
            <w:tcW w:w="4350" w:type="dxa"/>
            <w:tcBorders>
              <w:top w:val="nil"/>
              <w:left w:val="nil"/>
              <w:bottom w:val="single" w:sz="4" w:space="0" w:color="auto"/>
              <w:right w:val="single" w:sz="4" w:space="0" w:color="auto"/>
            </w:tcBorders>
            <w:noWrap/>
            <w:vAlign w:val="center"/>
          </w:tcPr>
          <w:p>
            <w:pPr>
              <w:widowControl/>
              <w:spacing w:line="280" w:lineRule="exact"/>
              <w:ind w:firstLine="360" w:firstLineChars="200"/>
              <w:rPr>
                <w:rFonts w:ascii="TimesNewRoman" w:hAnsi="TimesNewRoman" w:cs="TimesNewRoman"/>
                <w:kern w:val="0"/>
                <w:sz w:val="18"/>
                <w:szCs w:val="18"/>
              </w:rPr>
            </w:pPr>
            <w:r>
              <w:rPr>
                <w:rFonts w:ascii="TimesNewRoman" w:hAnsi="TimesNewRoman" w:cs="TimesNewRoman"/>
                <w:kern w:val="0"/>
                <w:sz w:val="18"/>
                <w:szCs w:val="18"/>
              </w:rPr>
              <w:t>其他社会保障缴费　</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1.46</w:t>
            </w:r>
          </w:p>
        </w:tc>
        <w:tc>
          <w:tcPr>
            <w:tcW w:w="263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rPr>
              <w:t>1.46</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301</w:t>
            </w:r>
            <w:r>
              <w:rPr>
                <w:rFonts w:ascii="TimesNewRoman" w:hAnsi="TimesNewRoman" w:cs="TimesNewRoman" w:hint="eastAsia"/>
                <w:kern w:val="0"/>
                <w:sz w:val="18"/>
                <w:szCs w:val="18"/>
              </w:rPr>
              <w:t>13</w:t>
            </w:r>
          </w:p>
        </w:tc>
        <w:tc>
          <w:tcPr>
            <w:tcW w:w="4350" w:type="dxa"/>
            <w:tcBorders>
              <w:top w:val="nil"/>
              <w:left w:val="nil"/>
              <w:bottom w:val="single" w:sz="4" w:space="0" w:color="auto"/>
              <w:right w:val="single" w:sz="4" w:space="0" w:color="auto"/>
            </w:tcBorders>
            <w:noWrap/>
            <w:vAlign w:val="center"/>
          </w:tcPr>
          <w:p>
            <w:pPr>
              <w:widowControl/>
              <w:spacing w:line="280" w:lineRule="exact"/>
              <w:ind w:firstLine="360" w:firstLineChars="200"/>
              <w:rPr>
                <w:rFonts w:ascii="TimesNewRoman" w:hAnsi="TimesNewRoman" w:cs="TimesNewRoman"/>
                <w:kern w:val="0"/>
                <w:sz w:val="18"/>
                <w:szCs w:val="18"/>
              </w:rPr>
            </w:pPr>
            <w:r>
              <w:rPr>
                <w:rFonts w:ascii="TimesNewRoman" w:hAnsi="TimesNewRoman" w:cs="TimesNewRoman"/>
                <w:kern w:val="0"/>
                <w:sz w:val="18"/>
                <w:szCs w:val="18"/>
              </w:rPr>
              <w:t>住房公积金</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24.95</w:t>
            </w:r>
          </w:p>
        </w:tc>
        <w:tc>
          <w:tcPr>
            <w:tcW w:w="263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rPr>
              <w:t>24.95</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301</w:t>
            </w:r>
            <w:r>
              <w:rPr>
                <w:rFonts w:ascii="TimesNewRoman" w:hAnsi="TimesNewRoman" w:cs="TimesNewRoman" w:hint="eastAsia"/>
                <w:kern w:val="0"/>
                <w:sz w:val="18"/>
                <w:szCs w:val="18"/>
              </w:rPr>
              <w:t>99</w:t>
            </w:r>
          </w:p>
        </w:tc>
        <w:tc>
          <w:tcPr>
            <w:tcW w:w="4350" w:type="dxa"/>
            <w:tcBorders>
              <w:top w:val="nil"/>
              <w:left w:val="nil"/>
              <w:bottom w:val="single" w:sz="4" w:space="0" w:color="auto"/>
              <w:right w:val="single" w:sz="4" w:space="0" w:color="auto"/>
            </w:tcBorders>
            <w:noWrap/>
            <w:vAlign w:val="center"/>
          </w:tcPr>
          <w:p>
            <w:pPr>
              <w:widowControl/>
              <w:spacing w:line="280" w:lineRule="exac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w:t>
            </w:r>
            <w:r>
              <w:rPr>
                <w:rFonts w:ascii="TimesNewRoman" w:hAnsi="TimesNewRoman" w:cs="TimesNewRoman"/>
                <w:kern w:val="0"/>
                <w:sz w:val="18"/>
                <w:szCs w:val="18"/>
              </w:rPr>
              <w:t>其他工资福利支出</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0.08</w:t>
            </w:r>
          </w:p>
        </w:tc>
        <w:tc>
          <w:tcPr>
            <w:tcW w:w="263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rPr>
              <w:t>0.08</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303</w:t>
            </w:r>
          </w:p>
        </w:tc>
        <w:tc>
          <w:tcPr>
            <w:tcW w:w="4350" w:type="dxa"/>
            <w:tcBorders>
              <w:top w:val="nil"/>
              <w:left w:val="nil"/>
              <w:bottom w:val="single" w:sz="4" w:space="0" w:color="auto"/>
              <w:right w:val="single" w:sz="4" w:space="0" w:color="auto"/>
            </w:tcBorders>
            <w:noWrap/>
            <w:vAlign w:val="center"/>
          </w:tcPr>
          <w:p>
            <w:pPr>
              <w:widowControl/>
              <w:spacing w:line="280" w:lineRule="exact"/>
              <w:rPr>
                <w:rFonts w:ascii="TimesNewRoman" w:hAnsi="TimesNewRoman" w:cs="TimesNewRoman"/>
                <w:kern w:val="0"/>
                <w:sz w:val="18"/>
                <w:szCs w:val="18"/>
              </w:rPr>
            </w:pPr>
            <w:r>
              <w:rPr>
                <w:rFonts w:ascii="TimesNewRoman" w:hAnsi="TimesNewRoman" w:cs="TimesNewRoman"/>
                <w:kern w:val="0"/>
                <w:sz w:val="18"/>
                <w:szCs w:val="18"/>
              </w:rPr>
              <w:t>对个人和家庭的补助</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66.88</w:t>
            </w:r>
          </w:p>
        </w:tc>
        <w:tc>
          <w:tcPr>
            <w:tcW w:w="263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rPr>
              <w:t>66.88</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30</w:t>
            </w:r>
            <w:r>
              <w:rPr>
                <w:rFonts w:ascii="TimesNewRoman" w:hAnsi="TimesNewRoman" w:cs="TimesNewRoman" w:hint="eastAsia"/>
                <w:kern w:val="0"/>
                <w:sz w:val="18"/>
                <w:szCs w:val="18"/>
              </w:rPr>
              <w:t>302</w:t>
            </w:r>
          </w:p>
        </w:tc>
        <w:tc>
          <w:tcPr>
            <w:tcW w:w="4350" w:type="dxa"/>
            <w:tcBorders>
              <w:top w:val="nil"/>
              <w:left w:val="nil"/>
              <w:bottom w:val="single" w:sz="4" w:space="0" w:color="auto"/>
              <w:right w:val="single" w:sz="4" w:space="0" w:color="auto"/>
            </w:tcBorders>
            <w:noWrap/>
            <w:vAlign w:val="center"/>
          </w:tcPr>
          <w:p>
            <w:pPr>
              <w:widowControl/>
              <w:spacing w:line="280" w:lineRule="exac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w:t>
            </w:r>
            <w:r>
              <w:rPr>
                <w:rFonts w:ascii="TimesNewRoman" w:hAnsi="TimesNewRoman" w:cs="TimesNewRoman"/>
                <w:kern w:val="0"/>
                <w:sz w:val="18"/>
                <w:szCs w:val="18"/>
              </w:rPr>
              <w:t>退休费</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62.18</w:t>
            </w:r>
          </w:p>
        </w:tc>
        <w:tc>
          <w:tcPr>
            <w:tcW w:w="263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rPr>
              <w:t>62.18</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30</w:t>
            </w:r>
            <w:r>
              <w:rPr>
                <w:rFonts w:ascii="TimesNewRoman" w:hAnsi="TimesNewRoman" w:cs="TimesNewRoman" w:hint="eastAsia"/>
                <w:kern w:val="0"/>
                <w:sz w:val="18"/>
                <w:szCs w:val="18"/>
              </w:rPr>
              <w:t>305</w:t>
            </w:r>
          </w:p>
        </w:tc>
        <w:tc>
          <w:tcPr>
            <w:tcW w:w="4350" w:type="dxa"/>
            <w:tcBorders>
              <w:top w:val="nil"/>
              <w:left w:val="nil"/>
              <w:bottom w:val="single" w:sz="4" w:space="0" w:color="auto"/>
              <w:right w:val="single" w:sz="4" w:space="0" w:color="auto"/>
            </w:tcBorders>
            <w:noWrap/>
            <w:vAlign w:val="center"/>
          </w:tcPr>
          <w:p>
            <w:pPr>
              <w:widowControl/>
              <w:spacing w:line="280" w:lineRule="exact"/>
              <w:ind w:firstLine="360" w:firstLineChars="200"/>
              <w:rPr>
                <w:rFonts w:ascii="TimesNewRoman" w:hAnsi="TimesNewRoman" w:cs="TimesNewRoman"/>
                <w:kern w:val="0"/>
                <w:sz w:val="18"/>
                <w:szCs w:val="18"/>
              </w:rPr>
            </w:pPr>
            <w:r>
              <w:rPr>
                <w:rFonts w:ascii="TimesNewRoman" w:hAnsi="TimesNewRoman" w:cs="TimesNewRoman"/>
                <w:kern w:val="0"/>
                <w:sz w:val="18"/>
                <w:szCs w:val="18"/>
              </w:rPr>
              <w:t>生活补助</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4.7</w:t>
            </w:r>
          </w:p>
        </w:tc>
        <w:tc>
          <w:tcPr>
            <w:tcW w:w="263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rPr>
              <w:t>4.7</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rPr>
                <w:rFonts w:ascii="TimesNewRoman" w:hAnsi="TimesNewRoman" w:cs="TimesNewRoman"/>
                <w:kern w:val="0"/>
                <w:sz w:val="18"/>
                <w:szCs w:val="18"/>
              </w:rPr>
            </w:pPr>
            <w:r>
              <w:rPr>
                <w:rFonts w:ascii="TimesNewRoman" w:hAnsi="TimesNewRoman" w:cs="TimesNewRoman"/>
                <w:kern w:val="0"/>
                <w:sz w:val="18"/>
                <w:szCs w:val="18"/>
              </w:rPr>
              <w:t>　</w:t>
            </w:r>
          </w:p>
        </w:tc>
        <w:tc>
          <w:tcPr>
            <w:tcW w:w="4350"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rPr>
                <w:rFonts w:ascii="TimesNewRoman" w:hAnsi="TimesNewRoman" w:cs="TimesNewRoman"/>
                <w:kern w:val="0"/>
                <w:sz w:val="18"/>
                <w:szCs w:val="18"/>
              </w:rPr>
            </w:pPr>
            <w:r>
              <w:rPr>
                <w:rFonts w:ascii="TimesNewRoman" w:hAnsi="TimesNewRoman" w:cs="TimesNewRoman"/>
                <w:kern w:val="0"/>
                <w:sz w:val="18"/>
                <w:szCs w:val="18"/>
              </w:rPr>
              <w:t>　</w:t>
            </w:r>
          </w:p>
        </w:tc>
        <w:tc>
          <w:tcPr>
            <w:tcW w:w="4350"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7280" w:type="dxa"/>
            <w:gridSpan w:val="2"/>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b/>
                <w:bCs/>
                <w:kern w:val="0"/>
                <w:sz w:val="18"/>
                <w:szCs w:val="18"/>
                <w:lang w:val="en-US" w:eastAsia="zh-CN"/>
              </w:rPr>
            </w:pPr>
            <w:r>
              <w:rPr>
                <w:rFonts w:ascii="TimesNewRoman" w:hAnsi="TimesNewRoman" w:cs="TimesNewRoman" w:hint="eastAsia"/>
                <w:b/>
                <w:bCs/>
                <w:kern w:val="0"/>
                <w:sz w:val="18"/>
                <w:szCs w:val="18"/>
                <w:lang w:val="en-US" w:eastAsia="zh-CN"/>
              </w:rPr>
              <w:t>365.51</w:t>
            </w:r>
          </w:p>
        </w:tc>
        <w:tc>
          <w:tcPr>
            <w:tcW w:w="263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b/>
                <w:bCs/>
                <w:kern w:val="0"/>
                <w:sz w:val="18"/>
                <w:szCs w:val="18"/>
                <w:lang w:val="en-US" w:eastAsia="zh-CN"/>
              </w:rPr>
            </w:pPr>
            <w:r>
              <w:rPr>
                <w:rFonts w:ascii="TimesNewRoman" w:hAnsi="TimesNewRoman" w:cs="TimesNewRoman" w:hint="eastAsia"/>
                <w:b/>
                <w:bCs/>
                <w:kern w:val="0"/>
                <w:sz w:val="18"/>
                <w:szCs w:val="18"/>
                <w:lang w:val="en-US" w:eastAsia="zh-CN"/>
              </w:rPr>
              <w:t>365.51</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spacing w:line="560" w:lineRule="exact"/>
        <w:rPr>
          <w:rFonts w:ascii="TimesNewRoman" w:hAnsi="TimesNewRoman" w:cs="TimesNewRoman"/>
        </w:rPr>
      </w:pPr>
    </w:p>
    <w:p>
      <w:pPr>
        <w:spacing w:line="560" w:lineRule="exact"/>
        <w:jc w:val="right"/>
        <w:rPr>
          <w:rFonts w:ascii="TimesNewRoman" w:hAnsi="TimesNewRoman" w:cs="TimesNewRoman"/>
          <w:kern w:val="0"/>
          <w:sz w:val="20"/>
        </w:rPr>
      </w:pPr>
      <w:r>
        <w:rPr>
          <w:rFonts w:ascii="TimesNewRoman" w:hAnsi="TimesNewRoman" w:cs="TimesNewRoman"/>
          <w:kern w:val="0"/>
          <w:sz w:val="20"/>
          <w:u w:val="single"/>
        </w:rPr>
        <w:t>（单位）</w:t>
      </w:r>
      <w:r>
        <w:rPr>
          <w:rFonts w:ascii="TimesNewRoman" w:hAnsi="TimesNewRoman" w:cs="TimesNewRoman"/>
          <w:kern w:val="0"/>
          <w:sz w:val="20"/>
        </w:rPr>
        <w:t>公开表7</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瓦埠</w:t>
      </w:r>
      <w:r>
        <w:rPr>
          <w:rFonts w:ascii="宋体" w:hAnsi="宋体" w:cs="TimesNewRoman"/>
          <w:b/>
          <w:bCs/>
          <w:kern w:val="0"/>
          <w:sz w:val="28"/>
          <w:szCs w:val="32"/>
        </w:rPr>
        <w:t>镇中心卫生院</w:t>
      </w:r>
      <w:r>
        <w:rPr>
          <w:rFonts w:ascii="宋体" w:hAnsi="宋体" w:cs="TimesNewRoman" w:hint="eastAsia"/>
          <w:b/>
          <w:bCs/>
          <w:kern w:val="0"/>
          <w:sz w:val="28"/>
          <w:szCs w:val="32"/>
        </w:rPr>
        <w:t>2024</w:t>
      </w:r>
      <w:r>
        <w:rPr>
          <w:rFonts w:ascii="宋体" w:hAnsi="宋体" w:cs="TimesNewRoman"/>
          <w:b/>
          <w:bCs/>
          <w:kern w:val="0"/>
          <w:sz w:val="28"/>
          <w:szCs w:val="32"/>
        </w:rPr>
        <w:t>年政府性基金预算支出表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3951" w:type="dxa"/>
        <w:tblInd w:w="0" w:type="dxa"/>
        <w:tblLayout w:type="fixed"/>
        <w:tblCellMar>
          <w:top w:w="0" w:type="dxa"/>
          <w:left w:w="108" w:type="dxa"/>
          <w:bottom w:w="0" w:type="dxa"/>
          <w:right w:w="108" w:type="dxa"/>
        </w:tblCellMar>
      </w:tblPr>
      <w:tblGrid>
        <w:gridCol w:w="1911"/>
        <w:gridCol w:w="6266"/>
        <w:gridCol w:w="1640"/>
        <w:gridCol w:w="2018"/>
        <w:gridCol w:w="2116"/>
      </w:tblGrid>
      <w:tr>
        <w:tblPrEx>
          <w:tblW w:w="13951" w:type="dxa"/>
          <w:tblInd w:w="0" w:type="dxa"/>
          <w:tblLayout w:type="fixed"/>
          <w:tblCellMar>
            <w:top w:w="0" w:type="dxa"/>
            <w:left w:w="108" w:type="dxa"/>
            <w:bottom w:w="0" w:type="dxa"/>
            <w:right w:w="108" w:type="dxa"/>
          </w:tblCellMar>
        </w:tblPrEx>
        <w:trPr>
          <w:trHeight w:val="570"/>
        </w:trPr>
        <w:tc>
          <w:tcPr>
            <w:tcW w:w="1911" w:type="dxa"/>
            <w:vMerge w:val="restart"/>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6266" w:type="dxa"/>
            <w:vMerge w:val="restart"/>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5774" w:type="dxa"/>
            <w:gridSpan w:val="3"/>
            <w:tcBorders>
              <w:top w:val="single" w:sz="4" w:space="0" w:color="auto"/>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本年政府性基金预算支出</w:t>
            </w:r>
          </w:p>
        </w:tc>
      </w:tr>
      <w:tr>
        <w:tblPrEx>
          <w:tblW w:w="13951" w:type="dxa"/>
          <w:tblInd w:w="0" w:type="dxa"/>
          <w:tblLayout w:type="fixed"/>
          <w:tblCellMar>
            <w:top w:w="0" w:type="dxa"/>
            <w:left w:w="108" w:type="dxa"/>
            <w:bottom w:w="0" w:type="dxa"/>
            <w:right w:w="108" w:type="dxa"/>
          </w:tblCellMar>
        </w:tblPrEx>
        <w:trPr>
          <w:trHeight w:val="570"/>
        </w:trPr>
        <w:tc>
          <w:tcPr>
            <w:tcW w:w="1911" w:type="dxa"/>
            <w:vMerge/>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6266" w:type="dxa"/>
            <w:vMerge/>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1640"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8"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116"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noWrap/>
            <w:vAlign w:val="center"/>
          </w:tcPr>
          <w:p>
            <w:pPr>
              <w:widowControl/>
              <w:spacing w:line="280" w:lineRule="exact"/>
              <w:ind w:firstLine="360" w:firstLineChars="200"/>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576"/>
        </w:trPr>
        <w:tc>
          <w:tcPr>
            <w:tcW w:w="1911" w:type="dxa"/>
            <w:tcBorders>
              <w:top w:val="nil"/>
              <w:left w:val="single" w:sz="4" w:space="0" w:color="auto"/>
              <w:bottom w:val="single" w:sz="4" w:space="0" w:color="auto"/>
              <w:right w:val="single" w:sz="4" w:space="0" w:color="auto"/>
            </w:tcBorders>
            <w:noWrap/>
            <w:vAlign w:val="center"/>
          </w:tcPr>
          <w:p>
            <w:pPr>
              <w:widowControl/>
              <w:spacing w:line="280" w:lineRule="exact"/>
              <w:ind w:firstLine="90" w:firstLineChars="50"/>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汉仪中秀体简" w:eastAsia="汉仪中秀体简" w:hAnsi="汉仪中秀体简" w:cs="汉仪中秀体简" w:hint="eastAsia"/>
                <w:sz w:val="18"/>
                <w:szCs w:val="18"/>
              </w:rPr>
              <w:t>……</w:t>
            </w:r>
          </w:p>
        </w:tc>
        <w:tc>
          <w:tcPr>
            <w:tcW w:w="6266"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8177" w:type="dxa"/>
            <w:gridSpan w:val="2"/>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64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01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1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widowControl/>
        <w:spacing w:line="560" w:lineRule="exact"/>
        <w:jc w:val="left"/>
        <w:rPr>
          <w:rFonts w:ascii="TimesNewRoman" w:hAnsi="TimesNewRoman" w:cs="TimesNewRoman"/>
          <w:kern w:val="0"/>
          <w:sz w:val="24"/>
        </w:rPr>
      </w:pPr>
      <w:r>
        <w:rPr>
          <w:rFonts w:ascii="TimesNewRoman" w:hAnsi="TimesNewRoman" w:cs="TimesNewRoman"/>
          <w:kern w:val="0"/>
          <w:sz w:val="24"/>
        </w:rPr>
        <w:t>注：没有政府性基金收支预算的部门（单位）也要公开空白表，并备注说明：“</w:t>
      </w:r>
      <w:r>
        <w:rPr>
          <w:rFonts w:ascii="TimesNewRoman" w:hAnsi="TimesNewRoman" w:cs="TimesNewRoman" w:hint="eastAsia"/>
          <w:kern w:val="0"/>
          <w:sz w:val="24"/>
        </w:rPr>
        <w:t>寿县</w:t>
      </w:r>
      <w:r>
        <w:rPr>
          <w:rFonts w:ascii="TimesNewRoman" w:hAnsi="TimesNewRoman" w:cs="TimesNewRoman" w:hint="eastAsia"/>
          <w:kern w:val="0"/>
          <w:sz w:val="24"/>
          <w:lang w:eastAsia="zh-CN"/>
        </w:rPr>
        <w:t>瓦埠</w:t>
      </w:r>
      <w:r>
        <w:rPr>
          <w:rFonts w:ascii="TimesNewRoman" w:hAnsi="TimesNewRoman" w:cs="TimesNewRoman"/>
          <w:kern w:val="0"/>
          <w:sz w:val="24"/>
        </w:rPr>
        <w:t>镇中心卫生院没有政府性基金预算拨款收入，也没有政府性基金预算拨款安排的支出，故本表无数据”。</w:t>
      </w:r>
    </w:p>
    <w:p>
      <w:pPr>
        <w:pStyle w:val="NormalWeb"/>
        <w:adjustRightInd w:val="0"/>
        <w:snapToGrid w:val="0"/>
        <w:spacing w:after="156" w:afterLines="50" w:line="560" w:lineRule="exact"/>
        <w:ind w:right="102"/>
        <w:jc w:val="right"/>
        <w:rPr>
          <w:rFonts w:ascii="TimesNewRoman" w:eastAsia="黑体" w:hAnsi="TimesNewRoman" w:cs="TimesNewRoman"/>
          <w:bCs/>
          <w:sz w:val="36"/>
          <w:szCs w:val="36"/>
        </w:rPr>
      </w:pPr>
      <w:r>
        <w:rPr>
          <w:rFonts w:ascii="TimesNewRoman" w:eastAsia="仿宋_GB2312" w:hAnsi="TimesNewRoman" w:cs="TimesNewRoman"/>
          <w:sz w:val="20"/>
          <w:szCs w:val="20"/>
        </w:rPr>
        <w:t xml:space="preserve"> </w:t>
      </w:r>
      <w:r>
        <w:rPr>
          <w:rFonts w:ascii="TimesNewRoman" w:eastAsia="仿宋_GB2312" w:hAnsi="TimesNewRoman" w:cs="TimesNewRoman"/>
          <w:sz w:val="20"/>
          <w:szCs w:val="20"/>
          <w:u w:val="single"/>
        </w:rPr>
        <w:t>（单位）</w:t>
      </w:r>
      <w:r>
        <w:rPr>
          <w:rFonts w:ascii="TimesNewRoman" w:eastAsia="仿宋_GB2312" w:hAnsi="TimesNewRoman" w:cs="TimesNewRoman"/>
          <w:sz w:val="20"/>
          <w:szCs w:val="20"/>
        </w:rPr>
        <w:t>公开表8</w:t>
      </w:r>
    </w:p>
    <w:tbl>
      <w:tblPr>
        <w:tblStyle w:val="TableNormal"/>
        <w:tblW w:w="13876" w:type="dxa"/>
        <w:tblInd w:w="0" w:type="dxa"/>
        <w:tblLayout w:type="fixed"/>
        <w:tblCellMar>
          <w:top w:w="0" w:type="dxa"/>
          <w:left w:w="108" w:type="dxa"/>
          <w:bottom w:w="0" w:type="dxa"/>
          <w:right w:w="108" w:type="dxa"/>
        </w:tblCellMar>
      </w:tblPr>
      <w:tblGrid>
        <w:gridCol w:w="710"/>
        <w:gridCol w:w="902"/>
        <w:gridCol w:w="1870"/>
        <w:gridCol w:w="4312"/>
        <w:gridCol w:w="342"/>
        <w:gridCol w:w="1153"/>
        <w:gridCol w:w="2013"/>
        <w:gridCol w:w="666"/>
        <w:gridCol w:w="1224"/>
        <w:gridCol w:w="559"/>
        <w:gridCol w:w="125"/>
      </w:tblGrid>
      <w:tr>
        <w:tblPrEx>
          <w:tblW w:w="13876" w:type="dxa"/>
          <w:tblInd w:w="0" w:type="dxa"/>
          <w:tblLayout w:type="fixed"/>
          <w:tblCellMar>
            <w:top w:w="0" w:type="dxa"/>
            <w:left w:w="108" w:type="dxa"/>
            <w:bottom w:w="0" w:type="dxa"/>
            <w:right w:w="108" w:type="dxa"/>
          </w:tblCellMar>
        </w:tblPrEx>
        <w:trPr>
          <w:gridAfter w:val="2"/>
          <w:wAfter w:w="683" w:type="dxa"/>
          <w:trHeight w:val="441"/>
        </w:trPr>
        <w:tc>
          <w:tcPr>
            <w:tcW w:w="13193" w:type="dxa"/>
            <w:gridSpan w:val="9"/>
            <w:tcBorders>
              <w:top w:val="nil"/>
              <w:left w:val="nil"/>
              <w:bottom w:val="nil"/>
              <w:right w:val="nil"/>
            </w:tcBorders>
            <w:noWrap/>
            <w:vAlign w:val="center"/>
          </w:tcPr>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瓦埠</w:t>
            </w:r>
            <w:r>
              <w:rPr>
                <w:rFonts w:ascii="宋体" w:hAnsi="宋体" w:cs="TimesNewRoman"/>
                <w:b/>
                <w:bCs/>
                <w:kern w:val="0"/>
                <w:sz w:val="28"/>
                <w:szCs w:val="32"/>
              </w:rPr>
              <w:t>镇中心卫生院</w:t>
            </w:r>
            <w:r>
              <w:rPr>
                <w:rFonts w:ascii="宋体" w:hAnsi="宋体" w:cs="TimesNewRoman" w:hint="eastAsia"/>
                <w:b/>
                <w:bCs/>
                <w:kern w:val="0"/>
                <w:sz w:val="28"/>
                <w:szCs w:val="32"/>
              </w:rPr>
              <w:t>2024</w:t>
            </w:r>
            <w:r>
              <w:rPr>
                <w:rFonts w:ascii="宋体" w:hAnsi="宋体" w:cs="TimesNewRoman"/>
                <w:b/>
                <w:bCs/>
                <w:kern w:val="0"/>
                <w:sz w:val="28"/>
                <w:szCs w:val="32"/>
              </w:rPr>
              <w:t>年国有资本经营预算支出表</w:t>
            </w:r>
          </w:p>
        </w:tc>
      </w:tr>
      <w:tr>
        <w:tblPrEx>
          <w:tblW w:w="13876" w:type="dxa"/>
          <w:tblInd w:w="0" w:type="dxa"/>
          <w:tblLayout w:type="fixed"/>
          <w:tblCellMar>
            <w:top w:w="0" w:type="dxa"/>
            <w:left w:w="108" w:type="dxa"/>
            <w:bottom w:w="0" w:type="dxa"/>
            <w:right w:w="108" w:type="dxa"/>
          </w:tblCellMar>
        </w:tblPrEx>
        <w:trPr>
          <w:trHeight w:val="299"/>
        </w:trPr>
        <w:tc>
          <w:tcPr>
            <w:tcW w:w="711" w:type="dxa"/>
            <w:tcBorders>
              <w:top w:val="nil"/>
              <w:left w:val="nil"/>
              <w:bottom w:val="single" w:sz="4" w:space="0" w:color="auto"/>
              <w:right w:val="nil"/>
            </w:tcBorders>
            <w:noWrap/>
            <w:vAlign w:val="center"/>
          </w:tcPr>
          <w:p>
            <w:pPr>
              <w:widowControl/>
              <w:spacing w:line="560" w:lineRule="exact"/>
              <w:jc w:val="left"/>
              <w:rPr>
                <w:rFonts w:ascii="TimesNewRoman" w:hAnsi="TimesNewRoman" w:cs="TimesNewRoman"/>
                <w:kern w:val="0"/>
                <w:sz w:val="18"/>
                <w:szCs w:val="18"/>
              </w:rPr>
            </w:pPr>
          </w:p>
        </w:tc>
        <w:tc>
          <w:tcPr>
            <w:tcW w:w="902" w:type="dxa"/>
            <w:tcBorders>
              <w:top w:val="nil"/>
              <w:left w:val="nil"/>
              <w:bottom w:val="single" w:sz="4" w:space="0" w:color="auto"/>
              <w:right w:val="nil"/>
            </w:tcBorders>
            <w:noWrap/>
            <w:vAlign w:val="center"/>
          </w:tcPr>
          <w:p>
            <w:pPr>
              <w:widowControl/>
              <w:spacing w:line="560" w:lineRule="exact"/>
              <w:jc w:val="left"/>
              <w:rPr>
                <w:rFonts w:ascii="TimesNewRoman" w:hAnsi="TimesNewRoman" w:cs="TimesNewRoman"/>
                <w:kern w:val="0"/>
                <w:sz w:val="20"/>
              </w:rPr>
            </w:pPr>
          </w:p>
        </w:tc>
        <w:tc>
          <w:tcPr>
            <w:tcW w:w="6182" w:type="dxa"/>
            <w:gridSpan w:val="2"/>
            <w:tcBorders>
              <w:top w:val="nil"/>
              <w:left w:val="nil"/>
              <w:bottom w:val="single" w:sz="4" w:space="0" w:color="auto"/>
              <w:right w:val="nil"/>
            </w:tcBorders>
            <w:noWrap/>
            <w:vAlign w:val="center"/>
          </w:tcPr>
          <w:p>
            <w:pPr>
              <w:widowControl/>
              <w:spacing w:line="560" w:lineRule="exact"/>
              <w:jc w:val="left"/>
              <w:rPr>
                <w:rFonts w:ascii="TimesNewRoman" w:hAnsi="TimesNewRoman" w:cs="TimesNewRoman"/>
                <w:kern w:val="0"/>
                <w:sz w:val="20"/>
              </w:rPr>
            </w:pPr>
          </w:p>
        </w:tc>
        <w:tc>
          <w:tcPr>
            <w:tcW w:w="342" w:type="dxa"/>
            <w:tcBorders>
              <w:top w:val="nil"/>
              <w:left w:val="nil"/>
              <w:bottom w:val="nil"/>
              <w:right w:val="nil"/>
            </w:tcBorders>
            <w:noWrap/>
            <w:vAlign w:val="center"/>
          </w:tcPr>
          <w:p>
            <w:pPr>
              <w:widowControl/>
              <w:spacing w:line="560" w:lineRule="exact"/>
              <w:jc w:val="left"/>
              <w:rPr>
                <w:rFonts w:ascii="TimesNewRoman" w:hAnsi="TimesNewRoman" w:cs="TimesNewRoman"/>
                <w:kern w:val="0"/>
                <w:sz w:val="20"/>
              </w:rPr>
            </w:pPr>
          </w:p>
        </w:tc>
        <w:tc>
          <w:tcPr>
            <w:tcW w:w="3832" w:type="dxa"/>
            <w:gridSpan w:val="3"/>
            <w:tcBorders>
              <w:top w:val="nil"/>
              <w:left w:val="nil"/>
              <w:bottom w:val="nil"/>
              <w:right w:val="nil"/>
            </w:tcBorders>
            <w:noWrap/>
            <w:vAlign w:val="center"/>
          </w:tcPr>
          <w:p>
            <w:pPr>
              <w:widowControl/>
              <w:spacing w:line="560" w:lineRule="exact"/>
              <w:jc w:val="left"/>
              <w:rPr>
                <w:rFonts w:ascii="TimesNewRoman" w:hAnsi="TimesNewRoman" w:cs="TimesNewRoman"/>
                <w:kern w:val="0"/>
                <w:sz w:val="20"/>
              </w:rPr>
            </w:pPr>
          </w:p>
        </w:tc>
        <w:tc>
          <w:tcPr>
            <w:tcW w:w="1907" w:type="dxa"/>
            <w:gridSpan w:val="3"/>
            <w:tcBorders>
              <w:top w:val="nil"/>
              <w:left w:val="nil"/>
              <w:bottom w:val="nil"/>
              <w:right w:val="nil"/>
            </w:tcBorders>
            <w:noWrap/>
            <w:vAlign w:val="center"/>
          </w:tcPr>
          <w:p>
            <w:pPr>
              <w:widowControl/>
              <w:spacing w:line="560" w:lineRule="exact"/>
              <w:ind w:right="100"/>
              <w:jc w:val="right"/>
              <w:rPr>
                <w:rFonts w:ascii="TimesNewRoman" w:hAnsi="TimesNewRoman" w:cs="TimesNewRoman"/>
                <w:kern w:val="0"/>
                <w:sz w:val="20"/>
              </w:rPr>
            </w:pPr>
            <w:r>
              <w:rPr>
                <w:rFonts w:ascii="TimesNewRoman" w:hAnsi="TimesNewRoman" w:cs="TimesNewRoman"/>
                <w:kern w:val="0"/>
                <w:sz w:val="20"/>
              </w:rPr>
              <w:t>单位：万元</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7795" w:type="dxa"/>
            <w:gridSpan w:val="4"/>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kern w:val="0"/>
                <w:sz w:val="18"/>
                <w:szCs w:val="18"/>
              </w:rPr>
            </w:pPr>
            <w:r>
              <w:rPr>
                <w:rFonts w:ascii="TimesNewRoman" w:hAnsi="TimesNewRoman" w:cs="TimesNewRoman"/>
                <w:b/>
                <w:kern w:val="0"/>
                <w:sz w:val="18"/>
                <w:szCs w:val="18"/>
              </w:rPr>
              <w:t>功能分类科目</w:t>
            </w:r>
          </w:p>
        </w:tc>
        <w:tc>
          <w:tcPr>
            <w:tcW w:w="5956" w:type="dxa"/>
            <w:gridSpan w:val="6"/>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b/>
                <w:bCs/>
                <w:kern w:val="0"/>
                <w:sz w:val="18"/>
                <w:szCs w:val="18"/>
              </w:rPr>
              <w:t>国有资本经营预算拨款支出</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12" w:type="dxa"/>
            <w:tcBorders>
              <w:top w:val="single" w:sz="4" w:space="0" w:color="auto"/>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495" w:type="dxa"/>
            <w:gridSpan w:val="2"/>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3" w:type="dxa"/>
            <w:tcBorders>
              <w:top w:val="single" w:sz="4" w:space="0" w:color="auto"/>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bCs/>
                <w:kern w:val="0"/>
                <w:sz w:val="18"/>
                <w:szCs w:val="18"/>
              </w:rPr>
            </w:pPr>
          </w:p>
        </w:tc>
        <w:tc>
          <w:tcPr>
            <w:tcW w:w="4312" w:type="dxa"/>
            <w:tcBorders>
              <w:top w:val="single" w:sz="4" w:space="0" w:color="auto"/>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bCs/>
                <w:kern w:val="0"/>
                <w:sz w:val="18"/>
                <w:szCs w:val="18"/>
              </w:rPr>
            </w:pPr>
          </w:p>
        </w:tc>
        <w:tc>
          <w:tcPr>
            <w:tcW w:w="1495" w:type="dxa"/>
            <w:gridSpan w:val="2"/>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single" w:sz="4" w:space="0" w:color="auto"/>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ign w:val="center"/>
          </w:tcPr>
          <w:p>
            <w:pPr>
              <w:widowControl/>
              <w:spacing w:line="280" w:lineRule="exact"/>
              <w:ind w:firstLine="360" w:firstLineChars="200"/>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ign w:val="center"/>
          </w:tcPr>
          <w:p>
            <w:pPr>
              <w:widowControl/>
              <w:spacing w:line="280" w:lineRule="exact"/>
              <w:ind w:firstLine="720" w:firstLineChars="400"/>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汉仪中秀体简" w:eastAsia="汉仪中秀体简" w:hAnsi="汉仪中秀体简" w:cs="汉仪中秀体简" w:hint="eastAsia"/>
                <w:sz w:val="18"/>
                <w:szCs w:val="18"/>
              </w:rPr>
              <w:t>……</w:t>
            </w:r>
          </w:p>
        </w:tc>
        <w:tc>
          <w:tcPr>
            <w:tcW w:w="4312" w:type="dxa"/>
            <w:tcBorders>
              <w:top w:val="single" w:sz="4" w:space="0" w:color="auto"/>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汉仪中秀体简" w:eastAsia="汉仪中秀体简" w:hAnsi="汉仪中秀体简" w:cs="汉仪中秀体简" w:hint="eastAsia"/>
                <w:sz w:val="18"/>
                <w:szCs w:val="18"/>
              </w:rPr>
              <w:t>……</w:t>
            </w: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ign w:val="bottom"/>
          </w:tcPr>
          <w:p>
            <w:pPr>
              <w:widowControl/>
              <w:spacing w:line="280" w:lineRule="exact"/>
              <w:jc w:val="center"/>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noWrap/>
            <w:vAlign w:val="bottom"/>
          </w:tcPr>
          <w:p>
            <w:pPr>
              <w:widowControl/>
              <w:spacing w:line="280" w:lineRule="exact"/>
              <w:jc w:val="center"/>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7795" w:type="dxa"/>
            <w:gridSpan w:val="4"/>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hint="eastAsia"/>
                <w:sz w:val="18"/>
                <w:szCs w:val="18"/>
              </w:rPr>
              <w:t>总</w:t>
            </w:r>
            <w:r>
              <w:rPr>
                <w:rFonts w:ascii="汉仪中秀体简" w:eastAsia="汉仪中秀体简" w:hAnsi="汉仪中秀体简" w:cs="汉仪中秀体简"/>
                <w:sz w:val="18"/>
                <w:szCs w:val="18"/>
              </w:rPr>
              <w:t xml:space="preserve"> 计</w:t>
            </w: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4" w:type="dxa"/>
          <w:trHeight w:val="633"/>
        </w:trPr>
        <w:tc>
          <w:tcPr>
            <w:tcW w:w="13752" w:type="dxa"/>
            <w:gridSpan w:val="10"/>
            <w:tcBorders>
              <w:top w:val="single" w:sz="4" w:space="0" w:color="auto"/>
              <w:left w:val="nil"/>
              <w:bottom w:val="nil"/>
              <w:right w:val="nil"/>
            </w:tcBorders>
            <w:noWrap/>
            <w:vAlign w:val="center"/>
          </w:tcPr>
          <w:p>
            <w:pPr>
              <w:widowControl/>
              <w:spacing w:line="560" w:lineRule="exact"/>
              <w:jc w:val="left"/>
              <w:rPr>
                <w:rFonts w:ascii="TimesNewRoman" w:hAnsi="TimesNewRoman" w:cs="TimesNewRoman"/>
                <w:kern w:val="0"/>
                <w:sz w:val="24"/>
              </w:rPr>
            </w:pPr>
            <w:r>
              <w:rPr>
                <w:rFonts w:ascii="TimesNewRoman" w:hAnsi="TimesNewRoman" w:cs="TimesNewRoman"/>
                <w:kern w:val="0"/>
                <w:sz w:val="24"/>
              </w:rPr>
              <w:t>注：没有国有资本经营收支预算的部门（单位）也要公开空白表，并备注说明：“</w:t>
            </w:r>
            <w:r>
              <w:rPr>
                <w:rFonts w:ascii="TimesNewRoman" w:hAnsi="TimesNewRoman" w:cs="TimesNewRoman" w:hint="eastAsia"/>
                <w:kern w:val="0"/>
                <w:sz w:val="24"/>
              </w:rPr>
              <w:t>寿县</w:t>
            </w:r>
            <w:r>
              <w:rPr>
                <w:rFonts w:ascii="TimesNewRoman" w:hAnsi="TimesNewRoman" w:cs="TimesNewRoman" w:hint="eastAsia"/>
                <w:kern w:val="0"/>
                <w:sz w:val="24"/>
                <w:lang w:eastAsia="zh-CN"/>
              </w:rPr>
              <w:t>瓦埠</w:t>
            </w:r>
            <w:r>
              <w:rPr>
                <w:rFonts w:ascii="TimesNewRoman" w:hAnsi="TimesNewRoman" w:cs="TimesNewRoman"/>
                <w:kern w:val="0"/>
                <w:sz w:val="24"/>
              </w:rPr>
              <w:t>镇中心卫生院没有国有资本经营预算拨款收入，也没有国有资本经营预算拨款安排的支出，故本表无数据”。</w:t>
            </w:r>
          </w:p>
        </w:tc>
      </w:tr>
    </w:tbl>
    <w:p>
      <w:pPr>
        <w:spacing w:line="560" w:lineRule="exact"/>
        <w:jc w:val="center"/>
        <w:rPr>
          <w:rFonts w:ascii="TimesNewRoman" w:hAnsi="TimesNewRoman" w:cs="TimesNewRoman"/>
          <w:kern w:val="0"/>
          <w:sz w:val="20"/>
        </w:rPr>
      </w:pPr>
    </w:p>
    <w:p>
      <w:pPr>
        <w:spacing w:line="560" w:lineRule="exact"/>
        <w:jc w:val="right"/>
        <w:rPr>
          <w:rFonts w:ascii="TimesNewRoman" w:hAnsi="TimesNewRoman" w:cs="TimesNewRoman"/>
          <w:kern w:val="0"/>
          <w:sz w:val="20"/>
        </w:rPr>
      </w:pPr>
      <w:r>
        <w:rPr>
          <w:rFonts w:ascii="TimesNewRoman" w:hAnsi="TimesNewRoman" w:cs="TimesNewRoman"/>
          <w:kern w:val="0"/>
          <w:sz w:val="20"/>
          <w:u w:val="single"/>
        </w:rPr>
        <w:t>（单位）</w:t>
      </w:r>
      <w:r>
        <w:rPr>
          <w:rFonts w:ascii="TimesNewRoman" w:hAnsi="TimesNewRoman" w:cs="TimesNewRoman"/>
          <w:kern w:val="0"/>
          <w:sz w:val="20"/>
        </w:rPr>
        <w:t>公开表9</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瓦埠</w:t>
      </w:r>
      <w:r>
        <w:rPr>
          <w:rFonts w:ascii="宋体" w:hAnsi="宋体" w:cs="TimesNewRoman"/>
          <w:b/>
          <w:bCs/>
          <w:kern w:val="0"/>
          <w:sz w:val="28"/>
          <w:szCs w:val="32"/>
        </w:rPr>
        <w:t>镇中心卫生院</w:t>
      </w:r>
      <w:r>
        <w:rPr>
          <w:rFonts w:ascii="宋体" w:hAnsi="宋体" w:cs="TimesNewRoman" w:hint="eastAsia"/>
          <w:b/>
          <w:bCs/>
          <w:kern w:val="0"/>
          <w:sz w:val="28"/>
          <w:szCs w:val="32"/>
        </w:rPr>
        <w:t>2024</w:t>
      </w:r>
      <w:r>
        <w:rPr>
          <w:rFonts w:ascii="宋体" w:hAnsi="宋体" w:cs="TimesNewRoman"/>
          <w:b/>
          <w:bCs/>
          <w:kern w:val="0"/>
          <w:sz w:val="28"/>
          <w:szCs w:val="32"/>
        </w:rPr>
        <w:t>年项目支出表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4071" w:type="dxa"/>
        <w:tblInd w:w="0" w:type="dxa"/>
        <w:tblLayout w:type="fixed"/>
        <w:tblCellMar>
          <w:top w:w="0" w:type="dxa"/>
          <w:left w:w="108" w:type="dxa"/>
          <w:bottom w:w="0" w:type="dxa"/>
          <w:right w:w="108" w:type="dxa"/>
        </w:tblCellMar>
      </w:tblPr>
      <w:tblGrid>
        <w:gridCol w:w="1194"/>
        <w:gridCol w:w="1433"/>
        <w:gridCol w:w="1353"/>
        <w:gridCol w:w="916"/>
        <w:gridCol w:w="1214"/>
        <w:gridCol w:w="1214"/>
        <w:gridCol w:w="1214"/>
        <w:gridCol w:w="1214"/>
        <w:gridCol w:w="1214"/>
        <w:gridCol w:w="1214"/>
        <w:gridCol w:w="1015"/>
        <w:gridCol w:w="876"/>
      </w:tblGrid>
      <w:tr>
        <w:tblPrEx>
          <w:tblW w:w="14071" w:type="dxa"/>
          <w:tblInd w:w="0" w:type="dxa"/>
          <w:tblLayout w:type="fixed"/>
          <w:tblCellMar>
            <w:top w:w="0" w:type="dxa"/>
            <w:left w:w="108" w:type="dxa"/>
            <w:bottom w:w="0" w:type="dxa"/>
            <w:right w:w="108" w:type="dxa"/>
          </w:tblCellMar>
        </w:tblPrEx>
        <w:trPr>
          <w:trHeight w:val="1124"/>
        </w:trPr>
        <w:tc>
          <w:tcPr>
            <w:tcW w:w="1194" w:type="dxa"/>
            <w:vMerge w:val="restart"/>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类型</w:t>
            </w:r>
          </w:p>
        </w:tc>
        <w:tc>
          <w:tcPr>
            <w:tcW w:w="1433" w:type="dxa"/>
            <w:vMerge w:val="restart"/>
            <w:tcBorders>
              <w:top w:val="single" w:sz="4" w:space="0" w:color="auto"/>
              <w:left w:val="single" w:sz="4" w:space="0" w:color="auto"/>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项目名称</w:t>
            </w:r>
          </w:p>
        </w:tc>
        <w:tc>
          <w:tcPr>
            <w:tcW w:w="1353" w:type="dxa"/>
            <w:vMerge w:val="restart"/>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项目单位</w:t>
            </w:r>
          </w:p>
        </w:tc>
        <w:tc>
          <w:tcPr>
            <w:tcW w:w="916" w:type="dxa"/>
            <w:vMerge w:val="restart"/>
            <w:tcBorders>
              <w:top w:val="single" w:sz="4" w:space="0" w:color="auto"/>
              <w:left w:val="single" w:sz="4" w:space="0" w:color="auto"/>
              <w:bottom w:val="single" w:sz="4" w:space="0" w:color="000000"/>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3642" w:type="dxa"/>
            <w:gridSpan w:val="3"/>
            <w:tcBorders>
              <w:top w:val="single" w:sz="4" w:space="0" w:color="auto"/>
              <w:left w:val="nil"/>
              <w:bottom w:val="single" w:sz="4" w:space="0" w:color="auto"/>
              <w:right w:val="single" w:sz="4" w:space="0" w:color="000000"/>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本年财政拨款</w:t>
            </w:r>
          </w:p>
        </w:tc>
        <w:tc>
          <w:tcPr>
            <w:tcW w:w="3642" w:type="dxa"/>
            <w:gridSpan w:val="3"/>
            <w:tcBorders>
              <w:top w:val="single" w:sz="4" w:space="0" w:color="auto"/>
              <w:left w:val="nil"/>
              <w:bottom w:val="single" w:sz="4" w:space="0" w:color="auto"/>
              <w:right w:val="single" w:sz="4" w:space="0" w:color="000000"/>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财政拨款结转结余</w:t>
            </w:r>
          </w:p>
        </w:tc>
        <w:tc>
          <w:tcPr>
            <w:tcW w:w="1015" w:type="dxa"/>
            <w:vMerge w:val="restart"/>
            <w:tcBorders>
              <w:top w:val="single" w:sz="4" w:space="0" w:color="auto"/>
              <w:left w:val="single" w:sz="4" w:space="0" w:color="auto"/>
              <w:bottom w:val="single" w:sz="4" w:space="0" w:color="000000"/>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财政专户管理资金</w:t>
            </w:r>
          </w:p>
        </w:tc>
        <w:tc>
          <w:tcPr>
            <w:tcW w:w="876" w:type="dxa"/>
            <w:vMerge w:val="restart"/>
            <w:tcBorders>
              <w:top w:val="single" w:sz="4" w:space="0" w:color="auto"/>
              <w:left w:val="single" w:sz="4" w:space="0" w:color="auto"/>
              <w:bottom w:val="single" w:sz="4" w:space="0" w:color="000000"/>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单位</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资金</w:t>
            </w:r>
          </w:p>
        </w:tc>
      </w:tr>
      <w:tr>
        <w:tblPrEx>
          <w:tblW w:w="14071" w:type="dxa"/>
          <w:tblInd w:w="0" w:type="dxa"/>
          <w:tblLayout w:type="fixed"/>
          <w:tblCellMar>
            <w:top w:w="0" w:type="dxa"/>
            <w:left w:w="108" w:type="dxa"/>
            <w:bottom w:w="0" w:type="dxa"/>
            <w:right w:w="108" w:type="dxa"/>
          </w:tblCellMar>
        </w:tblPrEx>
        <w:trPr>
          <w:trHeight w:val="1124"/>
        </w:trPr>
        <w:tc>
          <w:tcPr>
            <w:tcW w:w="1194" w:type="dxa"/>
            <w:vMerge/>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1433" w:type="dxa"/>
            <w:vMerge/>
            <w:tcBorders>
              <w:top w:val="single" w:sz="4" w:space="0" w:color="auto"/>
              <w:left w:val="single" w:sz="4" w:space="0" w:color="auto"/>
              <w:bottom w:val="nil"/>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1353" w:type="dxa"/>
            <w:vMerge/>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916" w:type="dxa"/>
            <w:vMerge/>
            <w:tcBorders>
              <w:top w:val="single" w:sz="4" w:space="0" w:color="auto"/>
              <w:left w:val="single" w:sz="4" w:space="0" w:color="auto"/>
              <w:bottom w:val="single" w:sz="4" w:space="0" w:color="000000"/>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1214" w:type="dxa"/>
            <w:tcBorders>
              <w:top w:val="nil"/>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214" w:type="dxa"/>
            <w:tcBorders>
              <w:top w:val="nil"/>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214" w:type="dxa"/>
            <w:tcBorders>
              <w:top w:val="nil"/>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1214" w:type="dxa"/>
            <w:tcBorders>
              <w:top w:val="nil"/>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214" w:type="dxa"/>
            <w:tcBorders>
              <w:top w:val="nil"/>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214" w:type="dxa"/>
            <w:tcBorders>
              <w:top w:val="nil"/>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1015" w:type="dxa"/>
            <w:vMerge/>
            <w:tcBorders>
              <w:top w:val="single" w:sz="4" w:space="0" w:color="auto"/>
              <w:left w:val="single" w:sz="4" w:space="0" w:color="auto"/>
              <w:bottom w:val="single" w:sz="4" w:space="0" w:color="000000"/>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876" w:type="dxa"/>
            <w:vMerge/>
            <w:tcBorders>
              <w:top w:val="single" w:sz="4" w:space="0" w:color="auto"/>
              <w:left w:val="single" w:sz="4" w:space="0" w:color="auto"/>
              <w:bottom w:val="single" w:sz="4" w:space="0" w:color="000000"/>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r>
      <w:tr>
        <w:tblPrEx>
          <w:tblW w:w="14071" w:type="dxa"/>
          <w:tblInd w:w="0" w:type="dxa"/>
          <w:tblLayout w:type="fixed"/>
          <w:tblCellMar>
            <w:top w:w="0" w:type="dxa"/>
            <w:left w:w="108" w:type="dxa"/>
            <w:bottom w:w="0" w:type="dxa"/>
            <w:right w:w="108" w:type="dxa"/>
          </w:tblCellMar>
        </w:tblPrEx>
        <w:trPr>
          <w:trHeight w:val="531"/>
        </w:trPr>
        <w:tc>
          <w:tcPr>
            <w:tcW w:w="1194"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特定目标类</w:t>
            </w:r>
          </w:p>
        </w:tc>
        <w:tc>
          <w:tcPr>
            <w:tcW w:w="143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三年</w:t>
            </w:r>
            <w:r>
              <w:rPr>
                <w:rFonts w:ascii="TimesNewRoman" w:hAnsi="TimesNewRoman" w:cs="TimesNewRoman"/>
                <w:kern w:val="0"/>
                <w:sz w:val="18"/>
                <w:szCs w:val="18"/>
              </w:rPr>
              <w:t>过度安置人员补助</w:t>
            </w:r>
          </w:p>
        </w:tc>
        <w:tc>
          <w:tcPr>
            <w:tcW w:w="1353"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lang w:eastAsia="zh-CN"/>
              </w:rPr>
              <w:t>寿县瓦埠镇中心卫生院</w:t>
            </w:r>
            <w:r>
              <w:rPr>
                <w:rFonts w:ascii="TimesNewRoman" w:hAnsi="TimesNewRoman" w:cs="TimesNewRoman"/>
                <w:b/>
                <w:bCs/>
                <w:kern w:val="0"/>
                <w:sz w:val="18"/>
                <w:szCs w:val="18"/>
              </w:rPr>
              <w:t>　</w:t>
            </w:r>
          </w:p>
        </w:tc>
        <w:tc>
          <w:tcPr>
            <w:tcW w:w="9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1.87</w:t>
            </w: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Cs/>
                <w:kern w:val="0"/>
                <w:sz w:val="18"/>
                <w:szCs w:val="18"/>
              </w:rPr>
            </w:pPr>
            <w:r>
              <w:rPr>
                <w:rFonts w:ascii="TimesNewRoman" w:hAnsi="TimesNewRoman" w:cs="TimesNewRoman" w:hint="eastAsia"/>
                <w:bCs/>
                <w:kern w:val="0"/>
                <w:sz w:val="18"/>
                <w:szCs w:val="18"/>
                <w:lang w:val="en-US" w:eastAsia="zh-CN"/>
              </w:rPr>
              <w:t>1.87</w:t>
            </w:r>
            <w:r>
              <w:rPr>
                <w:rFonts w:ascii="TimesNewRoman" w:hAnsi="TimesNewRoman" w:cs="TimesNewRoman"/>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r>
        <w:tblPrEx>
          <w:tblW w:w="14071" w:type="dxa"/>
          <w:tblInd w:w="0" w:type="dxa"/>
          <w:tblLayout w:type="fixed"/>
          <w:tblCellMar>
            <w:top w:w="0" w:type="dxa"/>
            <w:left w:w="108" w:type="dxa"/>
            <w:bottom w:w="0" w:type="dxa"/>
            <w:right w:w="108" w:type="dxa"/>
          </w:tblCellMar>
        </w:tblPrEx>
        <w:trPr>
          <w:trHeight w:val="531"/>
        </w:trPr>
        <w:tc>
          <w:tcPr>
            <w:tcW w:w="1194"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hint="eastAsia"/>
                <w:b/>
                <w:bCs/>
                <w:kern w:val="0"/>
                <w:sz w:val="18"/>
                <w:szCs w:val="18"/>
                <w:lang w:eastAsia="zh-CN"/>
              </w:rPr>
              <w:t>其他运转类</w:t>
            </w:r>
            <w:r>
              <w:rPr>
                <w:rFonts w:ascii="TimesNewRoman" w:hAnsi="TimesNewRoman" w:cs="TimesNewRoman"/>
                <w:kern w:val="0"/>
                <w:sz w:val="18"/>
                <w:szCs w:val="18"/>
              </w:rPr>
              <w:t>　</w:t>
            </w:r>
          </w:p>
        </w:tc>
        <w:tc>
          <w:tcPr>
            <w:tcW w:w="143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乡镇</w:t>
            </w:r>
            <w:r>
              <w:rPr>
                <w:rFonts w:ascii="TimesNewRoman" w:hAnsi="TimesNewRoman" w:cs="TimesNewRoman"/>
                <w:kern w:val="0"/>
                <w:sz w:val="18"/>
                <w:szCs w:val="18"/>
              </w:rPr>
              <w:t>卫生院医疗卫生支出</w:t>
            </w:r>
          </w:p>
        </w:tc>
        <w:tc>
          <w:tcPr>
            <w:tcW w:w="135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b/>
                <w:bCs/>
                <w:kern w:val="0"/>
                <w:sz w:val="18"/>
                <w:szCs w:val="18"/>
                <w:lang w:eastAsia="zh-CN"/>
              </w:rPr>
              <w:t>寿县瓦埠镇中心卫生院</w:t>
            </w:r>
          </w:p>
        </w:tc>
        <w:tc>
          <w:tcPr>
            <w:tcW w:w="9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690</w:t>
            </w: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w:t>
            </w:r>
          </w:p>
        </w:tc>
        <w:tc>
          <w:tcPr>
            <w:tcW w:w="121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690</w:t>
            </w:r>
            <w:r>
              <w:rPr>
                <w:rFonts w:ascii="TimesNewRoman" w:hAnsi="TimesNewRoman" w:cs="TimesNewRoman"/>
                <w:kern w:val="0"/>
                <w:sz w:val="18"/>
                <w:szCs w:val="18"/>
              </w:rPr>
              <w:t>　</w:t>
            </w:r>
          </w:p>
        </w:tc>
      </w:tr>
      <w:tr>
        <w:tblPrEx>
          <w:tblW w:w="14071" w:type="dxa"/>
          <w:tblInd w:w="0" w:type="dxa"/>
          <w:tblLayout w:type="fixed"/>
          <w:tblCellMar>
            <w:top w:w="0" w:type="dxa"/>
            <w:left w:w="108" w:type="dxa"/>
            <w:bottom w:w="0" w:type="dxa"/>
            <w:right w:w="108" w:type="dxa"/>
          </w:tblCellMar>
        </w:tblPrEx>
        <w:trPr>
          <w:trHeight w:val="531"/>
        </w:trPr>
        <w:tc>
          <w:tcPr>
            <w:tcW w:w="3980" w:type="dxa"/>
            <w:gridSpan w:val="3"/>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hint="eastAsia"/>
                <w:b/>
                <w:bCs/>
                <w:kern w:val="0"/>
                <w:sz w:val="18"/>
                <w:szCs w:val="18"/>
              </w:rPr>
            </w:pPr>
          </w:p>
        </w:tc>
        <w:tc>
          <w:tcPr>
            <w:tcW w:w="9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hint="eastAsia"/>
                <w:b/>
                <w:bCs/>
                <w:kern w:val="0"/>
                <w:sz w:val="18"/>
                <w:szCs w:val="18"/>
                <w:lang w:val="en-US" w:eastAsia="zh-CN"/>
              </w:rPr>
            </w:pP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hint="eastAsia"/>
                <w:b/>
                <w:bCs/>
                <w:kern w:val="0"/>
                <w:sz w:val="18"/>
                <w:szCs w:val="18"/>
                <w:lang w:val="en-US" w:eastAsia="zh-CN"/>
              </w:rPr>
            </w:pP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p>
        </w:tc>
        <w:tc>
          <w:tcPr>
            <w:tcW w:w="1015"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p>
        </w:tc>
        <w:tc>
          <w:tcPr>
            <w:tcW w:w="87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hint="eastAsia"/>
                <w:b/>
                <w:bCs/>
                <w:kern w:val="0"/>
                <w:sz w:val="18"/>
                <w:szCs w:val="18"/>
                <w:lang w:val="en-US" w:eastAsia="zh-CN"/>
              </w:rPr>
            </w:pPr>
          </w:p>
        </w:tc>
      </w:tr>
      <w:tr>
        <w:tblPrEx>
          <w:tblW w:w="14071" w:type="dxa"/>
          <w:tblInd w:w="0" w:type="dxa"/>
          <w:tblLayout w:type="fixed"/>
          <w:tblCellMar>
            <w:top w:w="0" w:type="dxa"/>
            <w:left w:w="108" w:type="dxa"/>
            <w:bottom w:w="0" w:type="dxa"/>
            <w:right w:w="108" w:type="dxa"/>
          </w:tblCellMar>
        </w:tblPrEx>
        <w:trPr>
          <w:trHeight w:val="531"/>
        </w:trPr>
        <w:tc>
          <w:tcPr>
            <w:tcW w:w="3980" w:type="dxa"/>
            <w:gridSpan w:val="3"/>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 xml:space="preserve">总 </w:t>
            </w:r>
            <w:r>
              <w:rPr>
                <w:rFonts w:ascii="TimesNewRoman" w:hAnsi="TimesNewRoman" w:cs="TimesNewRoman"/>
                <w:b/>
                <w:bCs/>
                <w:kern w:val="0"/>
                <w:sz w:val="18"/>
                <w:szCs w:val="18"/>
              </w:rPr>
              <w:t>计　</w:t>
            </w:r>
          </w:p>
        </w:tc>
        <w:tc>
          <w:tcPr>
            <w:tcW w:w="9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691.87</w:t>
            </w: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1.87</w:t>
            </w: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690</w:t>
            </w:r>
            <w:r>
              <w:rPr>
                <w:rFonts w:ascii="TimesNewRoman" w:hAnsi="TimesNewRoman" w:cs="TimesNewRoman"/>
                <w:b/>
                <w:bCs/>
                <w:kern w:val="0"/>
                <w:sz w:val="18"/>
                <w:szCs w:val="18"/>
              </w:rPr>
              <w:t>　</w:t>
            </w:r>
          </w:p>
        </w:tc>
      </w:tr>
    </w:tbl>
    <w:p>
      <w:pPr>
        <w:spacing w:line="560" w:lineRule="exact"/>
        <w:rPr>
          <w:rFonts w:ascii="TimesNewRoman" w:hAnsi="TimesNewRoman" w:cs="TimesNewRoman"/>
          <w:kern w:val="0"/>
          <w:sz w:val="22"/>
        </w:rPr>
      </w:pPr>
      <w:r>
        <w:rPr>
          <w:rFonts w:ascii="TimesNewRoman" w:hAnsi="TimesNewRoman" w:cs="TimesNewRoman"/>
          <w:kern w:val="0"/>
          <w:sz w:val="22"/>
        </w:rPr>
        <w:t xml:space="preserve">注： </w:t>
      </w:r>
    </w:p>
    <w:p>
      <w:pPr>
        <w:pStyle w:val="NormalWeb"/>
        <w:wordWrap w:val="0"/>
        <w:adjustRightInd w:val="0"/>
        <w:snapToGrid w:val="0"/>
        <w:spacing w:after="156" w:afterLines="50" w:line="560" w:lineRule="exact"/>
        <w:jc w:val="center"/>
        <w:rPr>
          <w:rFonts w:ascii="TimesNewRoman" w:hAnsi="TimesNewRoman" w:cs="TimesNewRoman"/>
          <w:sz w:val="20"/>
          <w:szCs w:val="20"/>
        </w:rPr>
      </w:pPr>
    </w:p>
    <w:p>
      <w:pPr>
        <w:pStyle w:val="NormalWeb"/>
        <w:wordWrap w:val="0"/>
        <w:adjustRightInd w:val="0"/>
        <w:snapToGrid w:val="0"/>
        <w:spacing w:after="156" w:afterLines="50" w:line="560" w:lineRule="exact"/>
        <w:jc w:val="center"/>
        <w:rPr>
          <w:rFonts w:ascii="TimesNewRoman" w:hAnsi="TimesNewRoman" w:cs="TimesNewRoman"/>
          <w:sz w:val="20"/>
          <w:szCs w:val="20"/>
        </w:rPr>
      </w:pPr>
    </w:p>
    <w:p>
      <w:pPr>
        <w:pStyle w:val="NormalWeb"/>
        <w:wordWrap w:val="0"/>
        <w:adjustRightInd w:val="0"/>
        <w:snapToGrid w:val="0"/>
        <w:spacing w:after="156" w:afterLines="50" w:line="560" w:lineRule="exact"/>
        <w:jc w:val="center"/>
        <w:rPr>
          <w:rFonts w:ascii="TimesNewRoman" w:hAnsi="TimesNewRoman" w:cs="TimesNewRoman"/>
          <w:sz w:val="20"/>
          <w:szCs w:val="20"/>
        </w:rPr>
      </w:pPr>
      <w:r>
        <w:rPr>
          <w:rFonts w:ascii="TimesNewRoman" w:hAnsi="TimesNewRoman" w:cs="TimesNewRoman"/>
          <w:sz w:val="20"/>
          <w:szCs w:val="20"/>
          <w:u w:val="single"/>
        </w:rPr>
        <w:t>（单位）</w:t>
      </w:r>
      <w:r>
        <w:rPr>
          <w:rFonts w:ascii="TimesNewRoman" w:hAnsi="TimesNewRoman" w:cs="TimesNewRoman"/>
          <w:sz w:val="20"/>
          <w:szCs w:val="20"/>
        </w:rPr>
        <w:t>公开表10</w:t>
      </w:r>
    </w:p>
    <w:tbl>
      <w:tblPr>
        <w:tblStyle w:val="TableNormal"/>
        <w:tblW w:w="14109" w:type="dxa"/>
        <w:tblInd w:w="0" w:type="dxa"/>
        <w:tblLayout w:type="fixed"/>
        <w:tblCellMar>
          <w:top w:w="0" w:type="dxa"/>
          <w:left w:w="108" w:type="dxa"/>
          <w:bottom w:w="0" w:type="dxa"/>
          <w:right w:w="108" w:type="dxa"/>
        </w:tblCellMar>
      </w:tblPr>
      <w:tblGrid>
        <w:gridCol w:w="1907"/>
        <w:gridCol w:w="1827"/>
        <w:gridCol w:w="1430"/>
        <w:gridCol w:w="1643"/>
        <w:gridCol w:w="1823"/>
        <w:gridCol w:w="1811"/>
        <w:gridCol w:w="1780"/>
        <w:gridCol w:w="1888"/>
      </w:tblGrid>
      <w:tr>
        <w:tblPrEx>
          <w:tblW w:w="14109" w:type="dxa"/>
          <w:tblInd w:w="0" w:type="dxa"/>
          <w:tblLayout w:type="fixed"/>
          <w:tblCellMar>
            <w:top w:w="0" w:type="dxa"/>
            <w:left w:w="108" w:type="dxa"/>
            <w:bottom w:w="0" w:type="dxa"/>
            <w:right w:w="108" w:type="dxa"/>
          </w:tblCellMar>
        </w:tblPrEx>
        <w:trPr>
          <w:trHeight w:val="482"/>
        </w:trPr>
        <w:tc>
          <w:tcPr>
            <w:tcW w:w="14109" w:type="dxa"/>
            <w:gridSpan w:val="8"/>
            <w:tcBorders>
              <w:top w:val="nil"/>
              <w:left w:val="nil"/>
              <w:bottom w:val="nil"/>
              <w:right w:val="nil"/>
            </w:tcBorders>
            <w:noWrap/>
            <w:vAlign w:val="center"/>
          </w:tcPr>
          <w:p>
            <w:pPr>
              <w:widowControl/>
              <w:spacing w:line="280" w:lineRule="exact"/>
              <w:jc w:val="center"/>
              <w:rPr>
                <w:rFonts w:ascii="TimesNewRoman" w:eastAsia="华文中宋" w:hAnsi="TimesNewRoman" w:cs="TimesNewRoman"/>
                <w:b/>
                <w:bCs/>
                <w:kern w:val="0"/>
                <w:szCs w:val="32"/>
              </w:rPr>
            </w:pPr>
            <w:r>
              <w:rPr>
                <w:rFonts w:ascii="TimesNewRoman" w:eastAsia="华文中宋" w:hAnsi="TimesNewRoman" w:cs="TimesNewRoman" w:hint="eastAsia"/>
                <w:b/>
                <w:bCs/>
                <w:kern w:val="0"/>
                <w:szCs w:val="32"/>
              </w:rPr>
              <w:t>寿县</w:t>
            </w:r>
            <w:r>
              <w:rPr>
                <w:rFonts w:ascii="TimesNewRoman" w:eastAsia="华文中宋" w:hAnsi="TimesNewRoman" w:cs="TimesNewRoman" w:hint="eastAsia"/>
                <w:b/>
                <w:bCs/>
                <w:kern w:val="0"/>
                <w:szCs w:val="32"/>
                <w:lang w:eastAsia="zh-CN"/>
              </w:rPr>
              <w:t>瓦埠</w:t>
            </w:r>
            <w:r>
              <w:rPr>
                <w:rFonts w:ascii="TimesNewRoman" w:eastAsia="华文中宋" w:hAnsi="TimesNewRoman" w:cs="TimesNewRoman"/>
                <w:b/>
                <w:bCs/>
                <w:kern w:val="0"/>
                <w:szCs w:val="32"/>
              </w:rPr>
              <w:t>镇中心卫生院</w:t>
            </w:r>
            <w:r>
              <w:rPr>
                <w:rFonts w:ascii="TimesNewRoman" w:eastAsia="华文中宋" w:hAnsi="TimesNewRoman" w:cs="TimesNewRoman" w:hint="eastAsia"/>
                <w:b/>
                <w:bCs/>
                <w:kern w:val="0"/>
                <w:szCs w:val="32"/>
              </w:rPr>
              <w:t>2024</w:t>
            </w:r>
            <w:r>
              <w:rPr>
                <w:rFonts w:ascii="TimesNewRoman" w:eastAsia="华文中宋" w:hAnsi="TimesNewRoman" w:cs="TimesNewRoman"/>
                <w:b/>
                <w:bCs/>
                <w:kern w:val="0"/>
                <w:szCs w:val="32"/>
              </w:rPr>
              <w:t>年政府采购支出表</w:t>
            </w:r>
          </w:p>
          <w:p>
            <w:pPr>
              <w:widowControl/>
              <w:spacing w:line="280" w:lineRule="exact"/>
              <w:jc w:val="center"/>
              <w:rPr>
                <w:rFonts w:ascii="TimesNewRoman" w:hAnsi="TimesNewRoman" w:cs="TimesNewRoman"/>
                <w:b/>
                <w:bCs/>
                <w:kern w:val="0"/>
                <w:szCs w:val="32"/>
              </w:rPr>
            </w:pPr>
            <w:r>
              <w:rPr>
                <w:rFonts w:ascii="TimesNewRoman" w:hAnsi="TimesNewRoman" w:cs="TimesNewRoman"/>
                <w:kern w:val="0"/>
                <w:sz w:val="20"/>
              </w:rPr>
              <w:t xml:space="preserve">                                                                      单位：万元</w:t>
            </w:r>
          </w:p>
        </w:tc>
      </w:tr>
      <w:tr>
        <w:tblPrEx>
          <w:tblW w:w="14109" w:type="dxa"/>
          <w:tblInd w:w="0" w:type="dxa"/>
          <w:tblLayout w:type="fixed"/>
          <w:tblCellMar>
            <w:top w:w="0" w:type="dxa"/>
            <w:left w:w="108" w:type="dxa"/>
            <w:bottom w:w="0" w:type="dxa"/>
            <w:right w:w="108" w:type="dxa"/>
          </w:tblCellMar>
        </w:tblPrEx>
        <w:trPr>
          <w:trHeight w:val="800"/>
        </w:trPr>
        <w:tc>
          <w:tcPr>
            <w:tcW w:w="1907" w:type="dxa"/>
            <w:tcBorders>
              <w:top w:val="single" w:sz="4" w:space="0" w:color="auto"/>
              <w:left w:val="single" w:sz="4" w:space="0" w:color="auto"/>
              <w:bottom w:val="nil"/>
              <w:right w:val="single" w:sz="4" w:space="0" w:color="auto"/>
            </w:tcBorders>
            <w:noWrap/>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项目名称</w:t>
            </w:r>
          </w:p>
        </w:tc>
        <w:tc>
          <w:tcPr>
            <w:tcW w:w="1827" w:type="dxa"/>
            <w:tcBorders>
              <w:top w:val="single" w:sz="4" w:space="0" w:color="auto"/>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政府采购品目</w:t>
            </w:r>
          </w:p>
        </w:tc>
        <w:tc>
          <w:tcPr>
            <w:tcW w:w="1430" w:type="dxa"/>
            <w:tcBorders>
              <w:top w:val="single" w:sz="4" w:space="0" w:color="auto"/>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合计</w:t>
            </w:r>
          </w:p>
        </w:tc>
        <w:tc>
          <w:tcPr>
            <w:tcW w:w="1643" w:type="dxa"/>
            <w:tcBorders>
              <w:top w:val="single" w:sz="4" w:space="0" w:color="auto"/>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一般公共预算</w:t>
            </w:r>
          </w:p>
        </w:tc>
        <w:tc>
          <w:tcPr>
            <w:tcW w:w="1823" w:type="dxa"/>
            <w:tcBorders>
              <w:top w:val="single" w:sz="4" w:space="0" w:color="auto"/>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政府性</w:t>
            </w:r>
          </w:p>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基金预算</w:t>
            </w:r>
          </w:p>
        </w:tc>
        <w:tc>
          <w:tcPr>
            <w:tcW w:w="1811" w:type="dxa"/>
            <w:tcBorders>
              <w:top w:val="single" w:sz="4" w:space="0" w:color="auto"/>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国有资本经营预算</w:t>
            </w:r>
          </w:p>
        </w:tc>
        <w:tc>
          <w:tcPr>
            <w:tcW w:w="1780" w:type="dxa"/>
            <w:tcBorders>
              <w:top w:val="single" w:sz="4" w:space="0" w:color="auto"/>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财政专户管理资金</w:t>
            </w:r>
          </w:p>
        </w:tc>
        <w:tc>
          <w:tcPr>
            <w:tcW w:w="1888" w:type="dxa"/>
            <w:tcBorders>
              <w:top w:val="single" w:sz="4" w:space="0" w:color="auto"/>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单位资金</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乡镇卫生院医疗卫生支出</w:t>
            </w:r>
          </w:p>
        </w:tc>
        <w:tc>
          <w:tcPr>
            <w:tcW w:w="1827" w:type="dxa"/>
            <w:tcBorders>
              <w:top w:val="single" w:sz="4" w:space="0" w:color="auto"/>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kern w:val="0"/>
                <w:sz w:val="20"/>
                <w:szCs w:val="24"/>
                <w:lang w:val="en-US" w:eastAsia="zh-CN" w:bidi="ar-SA"/>
              </w:rPr>
            </w:pPr>
            <w:r>
              <w:rPr>
                <w:rFonts w:ascii="TimesNewRoman" w:hAnsi="TimesNewRoman" w:cs="TimesNewRoman"/>
                <w:kern w:val="0"/>
                <w:sz w:val="20"/>
              </w:rPr>
              <w:t>　台式计算机</w:t>
            </w:r>
          </w:p>
        </w:tc>
        <w:tc>
          <w:tcPr>
            <w:tcW w:w="1430" w:type="dxa"/>
            <w:tcBorders>
              <w:top w:val="single" w:sz="4" w:space="0" w:color="auto"/>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r>
              <w:rPr>
                <w:rFonts w:ascii="TimesNewRoman" w:hAnsi="TimesNewRoman" w:cs="TimesNewRoman" w:hint="eastAsia"/>
                <w:kern w:val="0"/>
                <w:sz w:val="20"/>
                <w:lang w:val="en-US" w:eastAsia="zh-CN"/>
              </w:rPr>
              <w:t>12</w:t>
            </w:r>
            <w:r>
              <w:rPr>
                <w:rFonts w:ascii="TimesNewRoman" w:hAnsi="TimesNewRoman" w:cs="TimesNewRoman"/>
                <w:kern w:val="0"/>
                <w:sz w:val="20"/>
              </w:rPr>
              <w:t>　</w:t>
            </w:r>
          </w:p>
        </w:tc>
        <w:tc>
          <w:tcPr>
            <w:tcW w:w="1643" w:type="dxa"/>
            <w:tcBorders>
              <w:top w:val="single" w:sz="4" w:space="0" w:color="auto"/>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r>
              <w:rPr>
                <w:rFonts w:ascii="TimesNewRoman" w:hAnsi="TimesNewRoman" w:cs="TimesNewRoman"/>
                <w:kern w:val="0"/>
                <w:sz w:val="20"/>
              </w:rPr>
              <w:t>　</w:t>
            </w:r>
          </w:p>
        </w:tc>
        <w:tc>
          <w:tcPr>
            <w:tcW w:w="1823" w:type="dxa"/>
            <w:tcBorders>
              <w:top w:val="single" w:sz="4" w:space="0" w:color="auto"/>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r>
              <w:rPr>
                <w:rFonts w:ascii="TimesNewRoman" w:hAnsi="TimesNewRoman" w:cs="TimesNewRoman"/>
                <w:kern w:val="0"/>
                <w:sz w:val="20"/>
              </w:rPr>
              <w:t>　</w:t>
            </w:r>
          </w:p>
        </w:tc>
        <w:tc>
          <w:tcPr>
            <w:tcW w:w="1811" w:type="dxa"/>
            <w:tcBorders>
              <w:top w:val="single" w:sz="4" w:space="0" w:color="auto"/>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r>
              <w:rPr>
                <w:rFonts w:ascii="TimesNewRoman" w:hAnsi="TimesNewRoman" w:cs="TimesNewRoman"/>
                <w:kern w:val="0"/>
                <w:sz w:val="20"/>
              </w:rPr>
              <w:t>　</w:t>
            </w:r>
          </w:p>
        </w:tc>
        <w:tc>
          <w:tcPr>
            <w:tcW w:w="1780" w:type="dxa"/>
            <w:tcBorders>
              <w:top w:val="single" w:sz="4" w:space="0" w:color="auto"/>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r>
              <w:rPr>
                <w:rFonts w:ascii="TimesNewRoman" w:hAnsi="TimesNewRoman" w:cs="TimesNewRoman"/>
                <w:kern w:val="0"/>
                <w:sz w:val="20"/>
              </w:rPr>
              <w:t>　</w:t>
            </w:r>
          </w:p>
        </w:tc>
        <w:tc>
          <w:tcPr>
            <w:tcW w:w="1888" w:type="dxa"/>
            <w:tcBorders>
              <w:top w:val="single" w:sz="4" w:space="0" w:color="auto"/>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r>
              <w:rPr>
                <w:rFonts w:ascii="TimesNewRoman" w:hAnsi="TimesNewRoman" w:cs="TimesNewRoman" w:hint="eastAsia"/>
                <w:kern w:val="0"/>
                <w:sz w:val="20"/>
                <w:lang w:val="en-US" w:eastAsia="zh-CN"/>
              </w:rPr>
              <w:t>12</w:t>
            </w:r>
            <w:r>
              <w:rPr>
                <w:rFonts w:ascii="TimesNewRoman" w:hAnsi="TimesNewRoman" w:cs="TimesNewRoman"/>
                <w:kern w:val="0"/>
                <w:sz w:val="20"/>
              </w:rPr>
              <w:t>　</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乡镇卫生院医疗卫生支出　</w:t>
            </w:r>
          </w:p>
        </w:tc>
        <w:tc>
          <w:tcPr>
            <w:tcW w:w="1827"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便携式计算机</w:t>
            </w:r>
          </w:p>
        </w:tc>
        <w:tc>
          <w:tcPr>
            <w:tcW w:w="14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lang w:val="en-US" w:eastAsia="zh-CN"/>
              </w:rPr>
              <w:t>2</w:t>
            </w: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lang w:val="en-US" w:eastAsia="zh-CN"/>
              </w:rPr>
              <w:t>2</w:t>
            </w:r>
            <w:r>
              <w:rPr>
                <w:rFonts w:ascii="TimesNewRoman" w:hAnsi="TimesNewRoman" w:cs="TimesNewRoman"/>
                <w:kern w:val="0"/>
                <w:sz w:val="20"/>
              </w:rPr>
              <w:t>　</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乡镇卫生院医疗卫生支出</w:t>
            </w:r>
          </w:p>
        </w:tc>
        <w:tc>
          <w:tcPr>
            <w:tcW w:w="1827"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eastAsia="宋体" w:hAnsi="TimesNewRoman" w:cs="TimesNewRoman" w:hint="eastAsia"/>
                <w:kern w:val="0"/>
                <w:sz w:val="20"/>
                <w:lang w:eastAsia="zh-CN"/>
              </w:rPr>
            </w:pPr>
            <w:r>
              <w:rPr>
                <w:rFonts w:ascii="TimesNewRoman" w:hAnsi="TimesNewRoman" w:cs="TimesNewRoman" w:hint="eastAsia"/>
                <w:kern w:val="0"/>
                <w:sz w:val="20"/>
                <w:lang w:eastAsia="zh-CN"/>
              </w:rPr>
              <w:t>复印件</w:t>
            </w:r>
          </w:p>
        </w:tc>
        <w:tc>
          <w:tcPr>
            <w:tcW w:w="14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eastAsia"/>
                <w:kern w:val="0"/>
                <w:sz w:val="20"/>
                <w:lang w:val="en-US" w:eastAsia="zh-CN"/>
              </w:rPr>
            </w:pPr>
            <w:r>
              <w:rPr>
                <w:rFonts w:ascii="TimesNewRoman" w:hAnsi="TimesNewRoman" w:cs="TimesNewRoman" w:hint="eastAsia"/>
                <w:kern w:val="0"/>
                <w:sz w:val="20"/>
                <w:lang w:val="en-US" w:eastAsia="zh-CN"/>
              </w:rPr>
              <w:t>3</w:t>
            </w:r>
          </w:p>
        </w:tc>
        <w:tc>
          <w:tcPr>
            <w:tcW w:w="164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eastAsia"/>
                <w:kern w:val="0"/>
                <w:sz w:val="20"/>
                <w:lang w:val="en-US" w:eastAsia="zh-CN"/>
              </w:rPr>
            </w:pPr>
            <w:r>
              <w:rPr>
                <w:rFonts w:ascii="TimesNewRoman" w:hAnsi="TimesNewRoman" w:cs="TimesNewRoman" w:hint="eastAsia"/>
                <w:kern w:val="0"/>
                <w:sz w:val="20"/>
                <w:lang w:val="en-US" w:eastAsia="zh-CN"/>
              </w:rPr>
              <w:t>3</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乡镇卫生院医疗卫生支出</w:t>
            </w:r>
          </w:p>
        </w:tc>
        <w:tc>
          <w:tcPr>
            <w:tcW w:w="1827"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eastAsia="宋体" w:hAnsi="TimesNewRoman" w:cs="TimesNewRoman" w:hint="eastAsia"/>
                <w:kern w:val="0"/>
                <w:sz w:val="20"/>
                <w:lang w:eastAsia="zh-CN"/>
              </w:rPr>
            </w:pPr>
            <w:r>
              <w:rPr>
                <w:rFonts w:ascii="TimesNewRoman" w:hAnsi="TimesNewRoman" w:cs="TimesNewRoman" w:hint="eastAsia"/>
                <w:kern w:val="0"/>
                <w:sz w:val="20"/>
                <w:lang w:eastAsia="zh-CN"/>
              </w:rPr>
              <w:t>投影仪</w:t>
            </w:r>
          </w:p>
        </w:tc>
        <w:tc>
          <w:tcPr>
            <w:tcW w:w="14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eastAsia"/>
                <w:kern w:val="0"/>
                <w:sz w:val="20"/>
                <w:lang w:val="en-US" w:eastAsia="zh-CN"/>
              </w:rPr>
            </w:pPr>
            <w:r>
              <w:rPr>
                <w:rFonts w:ascii="TimesNewRoman" w:hAnsi="TimesNewRoman" w:cs="TimesNewRoman" w:hint="eastAsia"/>
                <w:kern w:val="0"/>
                <w:sz w:val="20"/>
                <w:lang w:val="en-US" w:eastAsia="zh-CN"/>
              </w:rPr>
              <w:t>4</w:t>
            </w:r>
          </w:p>
        </w:tc>
        <w:tc>
          <w:tcPr>
            <w:tcW w:w="164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eastAsia"/>
                <w:kern w:val="0"/>
                <w:sz w:val="20"/>
                <w:lang w:val="en-US" w:eastAsia="zh-CN"/>
              </w:rPr>
            </w:pPr>
            <w:r>
              <w:rPr>
                <w:rFonts w:ascii="TimesNewRoman" w:hAnsi="TimesNewRoman" w:cs="TimesNewRoman" w:hint="eastAsia"/>
                <w:kern w:val="0"/>
                <w:sz w:val="20"/>
                <w:lang w:val="en-US" w:eastAsia="zh-CN"/>
              </w:rPr>
              <w:t>4</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乡镇卫生院医疗卫生支出</w:t>
            </w:r>
          </w:p>
        </w:tc>
        <w:tc>
          <w:tcPr>
            <w:tcW w:w="1827"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eastAsia"/>
                <w:kern w:val="0"/>
                <w:sz w:val="20"/>
                <w:lang w:eastAsia="zh-CN"/>
              </w:rPr>
            </w:pPr>
            <w:r>
              <w:rPr>
                <w:rFonts w:ascii="TimesNewRoman" w:hAnsi="TimesNewRoman" w:cs="TimesNewRoman" w:hint="eastAsia"/>
                <w:kern w:val="0"/>
                <w:sz w:val="20"/>
                <w:lang w:eastAsia="zh-CN"/>
              </w:rPr>
              <w:t>多功能一体机</w:t>
            </w:r>
          </w:p>
        </w:tc>
        <w:tc>
          <w:tcPr>
            <w:tcW w:w="14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20"/>
                <w:lang w:val="en-US" w:eastAsia="zh-CN"/>
              </w:rPr>
            </w:pPr>
            <w:r>
              <w:rPr>
                <w:rFonts w:ascii="TimesNewRoman" w:hAnsi="TimesNewRoman" w:cs="TimesNewRoman" w:hint="eastAsia"/>
                <w:kern w:val="0"/>
                <w:sz w:val="20"/>
                <w:lang w:val="en-US" w:eastAsia="zh-CN"/>
              </w:rPr>
              <w:t>1.5</w:t>
            </w:r>
          </w:p>
        </w:tc>
        <w:tc>
          <w:tcPr>
            <w:tcW w:w="164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2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1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78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8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20"/>
                <w:lang w:val="en-US" w:eastAsia="zh-CN"/>
              </w:rPr>
            </w:pPr>
            <w:r>
              <w:rPr>
                <w:rFonts w:ascii="TimesNewRoman" w:hAnsi="TimesNewRoman" w:cs="TimesNewRoman" w:hint="eastAsia"/>
                <w:kern w:val="0"/>
                <w:sz w:val="20"/>
                <w:lang w:val="en-US" w:eastAsia="zh-CN"/>
              </w:rPr>
              <w:t>1.5</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乡镇卫生院医疗卫生支出</w:t>
            </w:r>
          </w:p>
        </w:tc>
        <w:tc>
          <w:tcPr>
            <w:tcW w:w="1827"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hint="eastAsia"/>
                <w:kern w:val="0"/>
                <w:sz w:val="20"/>
              </w:rPr>
            </w:pPr>
            <w:r>
              <w:rPr>
                <w:rFonts w:ascii="TimesNewRoman" w:hAnsi="TimesNewRoman" w:cs="TimesNewRoman" w:hint="eastAsia"/>
                <w:kern w:val="0"/>
                <w:sz w:val="20"/>
              </w:rPr>
              <w:t>A4黑白打印机</w:t>
            </w:r>
          </w:p>
        </w:tc>
        <w:tc>
          <w:tcPr>
            <w:tcW w:w="14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20"/>
                <w:lang w:val="en-US" w:eastAsia="zh-CN"/>
              </w:rPr>
            </w:pPr>
            <w:r>
              <w:rPr>
                <w:rFonts w:ascii="TimesNewRoman" w:hAnsi="TimesNewRoman" w:cs="TimesNewRoman" w:hint="eastAsia"/>
                <w:kern w:val="0"/>
                <w:sz w:val="20"/>
                <w:lang w:val="en-US" w:eastAsia="zh-CN"/>
              </w:rPr>
              <w:t>1.5</w:t>
            </w:r>
          </w:p>
        </w:tc>
        <w:tc>
          <w:tcPr>
            <w:tcW w:w="164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2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1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78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8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20"/>
                <w:lang w:val="en-US" w:eastAsia="zh-CN"/>
              </w:rPr>
            </w:pPr>
            <w:r>
              <w:rPr>
                <w:rFonts w:ascii="TimesNewRoman" w:hAnsi="TimesNewRoman" w:cs="TimesNewRoman" w:hint="eastAsia"/>
                <w:kern w:val="0"/>
                <w:sz w:val="20"/>
                <w:lang w:val="en-US" w:eastAsia="zh-CN"/>
              </w:rPr>
              <w:t>1.5</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乡镇卫生院医疗卫生支出　</w:t>
            </w:r>
          </w:p>
        </w:tc>
        <w:tc>
          <w:tcPr>
            <w:tcW w:w="1827"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kern w:val="0"/>
                <w:sz w:val="20"/>
                <w:szCs w:val="24"/>
                <w:lang w:val="en-US" w:eastAsia="zh-CN" w:bidi="ar-SA"/>
              </w:rPr>
            </w:pPr>
            <w:r>
              <w:rPr>
                <w:rFonts w:ascii="TimesNewRoman" w:hAnsi="TimesNewRoman" w:cs="TimesNewRoman" w:hint="eastAsia"/>
                <w:kern w:val="0"/>
                <w:sz w:val="20"/>
              </w:rPr>
              <w:t xml:space="preserve">  票据打印机</w:t>
            </w:r>
          </w:p>
        </w:tc>
        <w:tc>
          <w:tcPr>
            <w:tcW w:w="14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20"/>
                <w:szCs w:val="24"/>
                <w:lang w:val="en-US" w:eastAsia="zh-CN" w:bidi="ar-SA"/>
              </w:rPr>
            </w:pPr>
            <w:r>
              <w:rPr>
                <w:rFonts w:ascii="TimesNewRoman" w:hAnsi="TimesNewRoman" w:cs="TimesNewRoman" w:hint="eastAsia"/>
                <w:kern w:val="0"/>
                <w:sz w:val="20"/>
                <w:lang w:val="en-US" w:eastAsia="zh-CN"/>
              </w:rPr>
              <w:t>2.5</w:t>
            </w:r>
          </w:p>
        </w:tc>
        <w:tc>
          <w:tcPr>
            <w:tcW w:w="164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2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1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78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8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20"/>
                <w:szCs w:val="24"/>
                <w:lang w:val="en-US" w:eastAsia="zh-CN" w:bidi="ar-SA"/>
              </w:rPr>
            </w:pPr>
            <w:r>
              <w:rPr>
                <w:rFonts w:ascii="TimesNewRoman" w:hAnsi="TimesNewRoman" w:cs="TimesNewRoman" w:hint="eastAsia"/>
                <w:kern w:val="0"/>
                <w:sz w:val="20"/>
                <w:lang w:val="en-US" w:eastAsia="zh-CN"/>
              </w:rPr>
              <w:t>2.5</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乡镇卫生院医疗卫生支出</w:t>
            </w:r>
          </w:p>
        </w:tc>
        <w:tc>
          <w:tcPr>
            <w:tcW w:w="1827"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eastAsia"/>
                <w:kern w:val="0"/>
                <w:sz w:val="20"/>
                <w:szCs w:val="24"/>
                <w:lang w:val="en-US" w:eastAsia="zh-CN" w:bidi="ar-SA"/>
              </w:rPr>
            </w:pPr>
            <w:r>
              <w:rPr>
                <w:rFonts w:ascii="TimesNewRoman" w:hAnsi="TimesNewRoman" w:cs="TimesNewRoman"/>
                <w:kern w:val="0"/>
                <w:sz w:val="20"/>
              </w:rPr>
              <w:t>　</w:t>
            </w:r>
            <w:r>
              <w:rPr>
                <w:rFonts w:ascii="TimesNewRoman" w:hAnsi="TimesNewRoman" w:cs="TimesNewRoman" w:hint="eastAsia"/>
                <w:kern w:val="0"/>
                <w:sz w:val="20"/>
                <w:lang w:eastAsia="zh-CN"/>
              </w:rPr>
              <w:t>碎纸机</w:t>
            </w:r>
          </w:p>
        </w:tc>
        <w:tc>
          <w:tcPr>
            <w:tcW w:w="14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r>
              <w:rPr>
                <w:rFonts w:ascii="TimesNewRoman" w:hAnsi="TimesNewRoman" w:cs="TimesNewRoman" w:hint="eastAsia"/>
                <w:kern w:val="0"/>
                <w:sz w:val="20"/>
                <w:lang w:val="en-US" w:eastAsia="zh-CN"/>
              </w:rPr>
              <w:t>0.4</w:t>
            </w: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r>
              <w:rPr>
                <w:rFonts w:ascii="TimesNewRoman" w:hAnsi="TimesNewRoman" w:cs="TimesNewRoman" w:hint="eastAsia"/>
                <w:kern w:val="0"/>
                <w:sz w:val="20"/>
                <w:lang w:val="en-US" w:eastAsia="zh-CN"/>
              </w:rPr>
              <w:t>0.4</w:t>
            </w:r>
            <w:r>
              <w:rPr>
                <w:rFonts w:ascii="TimesNewRoman" w:hAnsi="TimesNewRoman" w:cs="TimesNewRoman"/>
                <w:kern w:val="0"/>
                <w:sz w:val="20"/>
              </w:rPr>
              <w:t>　</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乡镇卫生院医疗卫生支出</w:t>
            </w:r>
          </w:p>
        </w:tc>
        <w:tc>
          <w:tcPr>
            <w:tcW w:w="1827"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kern w:val="0"/>
                <w:sz w:val="20"/>
                <w:szCs w:val="24"/>
                <w:lang w:val="en-US" w:eastAsia="zh-CN" w:bidi="ar-SA"/>
              </w:rPr>
            </w:pPr>
            <w:r>
              <w:rPr>
                <w:rFonts w:ascii="TimesNewRoman" w:hAnsi="TimesNewRoman" w:cs="TimesNewRoman" w:hint="eastAsia"/>
                <w:kern w:val="0"/>
                <w:sz w:val="20"/>
              </w:rPr>
              <w:t xml:space="preserve">  空调机</w:t>
            </w:r>
          </w:p>
        </w:tc>
        <w:tc>
          <w:tcPr>
            <w:tcW w:w="14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20"/>
                <w:szCs w:val="24"/>
                <w:lang w:val="en-US" w:eastAsia="zh-CN" w:bidi="ar-SA"/>
              </w:rPr>
            </w:pPr>
            <w:r>
              <w:rPr>
                <w:rFonts w:ascii="TimesNewRoman" w:hAnsi="TimesNewRoman" w:cs="TimesNewRoman" w:hint="eastAsia"/>
                <w:kern w:val="0"/>
                <w:sz w:val="20"/>
                <w:lang w:val="en-US" w:eastAsia="zh-CN"/>
              </w:rPr>
              <w:t>15.9</w:t>
            </w:r>
          </w:p>
        </w:tc>
        <w:tc>
          <w:tcPr>
            <w:tcW w:w="164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2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1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78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8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r>
              <w:rPr>
                <w:rFonts w:ascii="TimesNewRoman" w:hAnsi="TimesNewRoman" w:cs="TimesNewRoman" w:hint="eastAsia"/>
                <w:kern w:val="0"/>
                <w:sz w:val="20"/>
                <w:lang w:val="en-US" w:eastAsia="zh-CN"/>
              </w:rPr>
              <w:t>15.9</w:t>
            </w:r>
          </w:p>
        </w:tc>
      </w:tr>
      <w:tr>
        <w:tblPrEx>
          <w:tblW w:w="14109" w:type="dxa"/>
          <w:tblInd w:w="0" w:type="dxa"/>
          <w:tblLayout w:type="fixed"/>
          <w:tblCellMar>
            <w:top w:w="0" w:type="dxa"/>
            <w:left w:w="108" w:type="dxa"/>
            <w:bottom w:w="0" w:type="dxa"/>
            <w:right w:w="108" w:type="dxa"/>
          </w:tblCellMar>
        </w:tblPrEx>
        <w:trPr>
          <w:trHeight w:val="496"/>
        </w:trPr>
        <w:tc>
          <w:tcPr>
            <w:tcW w:w="3734" w:type="dxa"/>
            <w:gridSpan w:val="2"/>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20"/>
              </w:rPr>
            </w:pPr>
            <w:r>
              <w:rPr>
                <w:rFonts w:ascii="TimesNewRoman" w:hAnsi="TimesNewRoman" w:cs="TimesNewRoman" w:hint="eastAsia"/>
                <w:b/>
                <w:sz w:val="20"/>
              </w:rPr>
              <w:t>总</w:t>
            </w:r>
            <w:r>
              <w:rPr>
                <w:rFonts w:ascii="TimesNewRoman" w:hAnsi="TimesNewRoman" w:cs="TimesNewRoman"/>
                <w:b/>
                <w:sz w:val="20"/>
              </w:rPr>
              <w:t xml:space="preserve"> 计</w:t>
            </w:r>
          </w:p>
        </w:tc>
        <w:tc>
          <w:tcPr>
            <w:tcW w:w="14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lang w:val="en-US" w:eastAsia="zh-CN"/>
              </w:rPr>
              <w:t>42.8</w:t>
            </w: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lang w:val="en-US" w:eastAsia="zh-CN"/>
              </w:rPr>
              <w:t>42.8</w:t>
            </w:r>
            <w:r>
              <w:rPr>
                <w:rFonts w:ascii="TimesNewRoman" w:hAnsi="TimesNewRoman" w:cs="TimesNewRoman"/>
                <w:kern w:val="0"/>
                <w:sz w:val="20"/>
              </w:rPr>
              <w:t>　</w:t>
            </w:r>
          </w:p>
        </w:tc>
      </w:tr>
    </w:tbl>
    <w:p>
      <w:pPr>
        <w:spacing w:line="560" w:lineRule="exact"/>
        <w:rPr>
          <w:rFonts w:ascii="TimesNewRoman" w:hAnsi="TimesNewRoman" w:cs="TimesNewRoman"/>
          <w:kern w:val="0"/>
          <w:sz w:val="22"/>
        </w:rPr>
      </w:pPr>
      <w:r>
        <w:rPr>
          <w:rFonts w:ascii="TimesNewRoman" w:hAnsi="TimesNewRoman" w:cs="TimesNewRoman"/>
          <w:kern w:val="0"/>
          <w:sz w:val="22"/>
        </w:rPr>
        <w:t xml:space="preserve">注： </w:t>
      </w:r>
    </w:p>
    <w:p>
      <w:pPr>
        <w:spacing w:line="560" w:lineRule="exact"/>
        <w:rPr>
          <w:rFonts w:ascii="TimesNewRoman" w:hAnsi="TimesNewRoman" w:cs="TimesNewRoman"/>
        </w:rPr>
      </w:pPr>
    </w:p>
    <w:p>
      <w:pPr>
        <w:spacing w:line="560" w:lineRule="exact"/>
        <w:rPr>
          <w:rFonts w:ascii="TimesNewRoman" w:hAnsi="TimesNewRoman" w:cs="TimesNewRoman"/>
        </w:rPr>
      </w:pPr>
    </w:p>
    <w:p>
      <w:pPr>
        <w:pStyle w:val="NormalWeb"/>
        <w:wordWrap w:val="0"/>
        <w:adjustRightInd w:val="0"/>
        <w:snapToGrid w:val="0"/>
        <w:spacing w:line="560" w:lineRule="exact"/>
        <w:jc w:val="right"/>
        <w:rPr>
          <w:rFonts w:ascii="TimesNewRoman" w:hAnsi="TimesNewRoman" w:cs="TimesNewRoman"/>
          <w:sz w:val="20"/>
          <w:szCs w:val="20"/>
        </w:rPr>
      </w:pPr>
      <w:bookmarkStart w:id="0" w:name="_GoBack"/>
      <w:bookmarkEnd w:id="0"/>
      <w:r>
        <w:rPr>
          <w:rFonts w:ascii="TimesNewRoman" w:hAnsi="TimesNewRoman" w:cs="TimesNewRoman"/>
          <w:sz w:val="20"/>
          <w:szCs w:val="20"/>
          <w:u w:val="single"/>
        </w:rPr>
        <w:t>（单位）</w:t>
      </w:r>
      <w:r>
        <w:rPr>
          <w:rFonts w:ascii="TimesNewRoman" w:hAnsi="TimesNewRoman" w:cs="TimesNewRoman"/>
          <w:sz w:val="20"/>
          <w:szCs w:val="20"/>
        </w:rPr>
        <w:t>公开表11</w:t>
      </w:r>
    </w:p>
    <w:tbl>
      <w:tblPr>
        <w:tblStyle w:val="TableNormal"/>
        <w:tblW w:w="13709" w:type="dxa"/>
        <w:jc w:val="center"/>
        <w:tblLayout w:type="fixed"/>
        <w:tblCellMar>
          <w:top w:w="0" w:type="dxa"/>
          <w:left w:w="108" w:type="dxa"/>
          <w:bottom w:w="0" w:type="dxa"/>
          <w:right w:w="108" w:type="dxa"/>
        </w:tblCellMar>
      </w:tblPr>
      <w:tblGrid>
        <w:gridCol w:w="2068"/>
        <w:gridCol w:w="1948"/>
        <w:gridCol w:w="1780"/>
        <w:gridCol w:w="1928"/>
        <w:gridCol w:w="2477"/>
        <w:gridCol w:w="1680"/>
        <w:gridCol w:w="1811"/>
        <w:gridCol w:w="17"/>
      </w:tblGrid>
      <w:tr>
        <w:tblPrEx>
          <w:tblW w:w="13709" w:type="dxa"/>
          <w:jc w:val="center"/>
          <w:tblLayout w:type="fixed"/>
          <w:tblCellMar>
            <w:top w:w="0" w:type="dxa"/>
            <w:left w:w="108" w:type="dxa"/>
            <w:bottom w:w="0" w:type="dxa"/>
            <w:right w:w="108" w:type="dxa"/>
          </w:tblCellMar>
        </w:tblPrEx>
        <w:trPr>
          <w:gridAfter w:val="1"/>
          <w:wAfter w:w="17" w:type="dxa"/>
          <w:trHeight w:val="673"/>
          <w:jc w:val="center"/>
        </w:trPr>
        <w:tc>
          <w:tcPr>
            <w:tcW w:w="13692" w:type="dxa"/>
            <w:gridSpan w:val="7"/>
            <w:tcBorders>
              <w:top w:val="nil"/>
              <w:left w:val="nil"/>
              <w:bottom w:val="nil"/>
              <w:right w:val="nil"/>
            </w:tcBorders>
            <w:noWrap/>
            <w:vAlign w:val="center"/>
          </w:tcPr>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瓦埠</w:t>
            </w:r>
            <w:r>
              <w:rPr>
                <w:rFonts w:ascii="宋体" w:hAnsi="宋体" w:cs="TimesNewRoman"/>
                <w:b/>
                <w:bCs/>
                <w:kern w:val="0"/>
                <w:sz w:val="28"/>
                <w:szCs w:val="32"/>
              </w:rPr>
              <w:t>镇中心卫生院</w:t>
            </w:r>
            <w:r>
              <w:rPr>
                <w:rFonts w:ascii="宋体" w:hAnsi="宋体" w:cs="TimesNewRoman" w:hint="eastAsia"/>
                <w:b/>
                <w:bCs/>
                <w:kern w:val="0"/>
                <w:sz w:val="28"/>
                <w:szCs w:val="32"/>
              </w:rPr>
              <w:t>2024</w:t>
            </w:r>
            <w:r>
              <w:rPr>
                <w:rFonts w:ascii="宋体" w:hAnsi="宋体" w:cs="TimesNewRoman"/>
                <w:b/>
                <w:bCs/>
                <w:kern w:val="0"/>
                <w:sz w:val="28"/>
                <w:szCs w:val="32"/>
              </w:rPr>
              <w:t>年政府购买服务支出表</w:t>
            </w:r>
          </w:p>
          <w:p>
            <w:pPr>
              <w:widowControl/>
              <w:spacing w:line="560" w:lineRule="exact"/>
              <w:jc w:val="center"/>
              <w:rPr>
                <w:rFonts w:ascii="TimesNewRoman" w:hAnsi="TimesNewRoman" w:cs="TimesNewRoman"/>
                <w:kern w:val="0"/>
                <w:sz w:val="20"/>
              </w:rPr>
            </w:pPr>
            <w:r>
              <w:rPr>
                <w:rFonts w:ascii="TimesNewRoman" w:hAnsi="TimesNewRoman" w:cs="TimesNewRoman"/>
                <w:kern w:val="0"/>
                <w:sz w:val="20"/>
              </w:rPr>
              <w:t xml:space="preserve">                                                                                                                    单位：万元</w:t>
            </w:r>
          </w:p>
        </w:tc>
      </w:tr>
      <w:tr>
        <w:tblPrEx>
          <w:tblW w:w="13709" w:type="dxa"/>
          <w:jc w:val="center"/>
          <w:tblLayout w:type="fixed"/>
          <w:tblCellMar>
            <w:top w:w="15" w:type="dxa"/>
            <w:left w:w="15" w:type="dxa"/>
            <w:bottom w:w="15" w:type="dxa"/>
            <w:right w:w="15" w:type="dxa"/>
          </w:tblCellMar>
        </w:tblPrEx>
        <w:trPr>
          <w:trHeight w:val="922"/>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项目名称</w:t>
            </w:r>
          </w:p>
        </w:tc>
        <w:tc>
          <w:tcPr>
            <w:tcW w:w="1948" w:type="dxa"/>
            <w:tcBorders>
              <w:top w:val="single" w:sz="4" w:space="0" w:color="000000"/>
              <w:left w:val="single" w:sz="4" w:space="0" w:color="000000"/>
              <w:bottom w:val="single" w:sz="4" w:space="0" w:color="000000"/>
              <w:right w:val="single" w:sz="4" w:space="0" w:color="000000"/>
            </w:tcBorders>
            <w:noWrap/>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一级目录名称</w:t>
            </w:r>
          </w:p>
        </w:tc>
        <w:tc>
          <w:tcPr>
            <w:tcW w:w="1780" w:type="dxa"/>
            <w:tcBorders>
              <w:top w:val="single" w:sz="4" w:space="0" w:color="000000"/>
              <w:left w:val="single" w:sz="4" w:space="0" w:color="000000"/>
              <w:bottom w:val="single" w:sz="4" w:space="0" w:color="000000"/>
              <w:right w:val="single" w:sz="4" w:space="0" w:color="000000"/>
            </w:tcBorders>
            <w:noWrap/>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二级目录名称</w:t>
            </w:r>
          </w:p>
        </w:tc>
        <w:tc>
          <w:tcPr>
            <w:tcW w:w="1928" w:type="dxa"/>
            <w:tcBorders>
              <w:top w:val="single" w:sz="4" w:space="0" w:color="000000"/>
              <w:left w:val="single" w:sz="4" w:space="0" w:color="000000"/>
              <w:bottom w:val="single" w:sz="4" w:space="0" w:color="000000"/>
              <w:right w:val="single" w:sz="4" w:space="0" w:color="000000"/>
            </w:tcBorders>
            <w:noWrap/>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三级目录名称</w:t>
            </w:r>
          </w:p>
        </w:tc>
        <w:tc>
          <w:tcPr>
            <w:tcW w:w="2477" w:type="dxa"/>
            <w:tcBorders>
              <w:top w:val="single" w:sz="4" w:space="0" w:color="000000"/>
              <w:left w:val="single" w:sz="4" w:space="0" w:color="000000"/>
              <w:bottom w:val="single" w:sz="4" w:space="0" w:color="000000"/>
              <w:right w:val="single" w:sz="4" w:space="0" w:color="000000"/>
            </w:tcBorders>
            <w:noWrap/>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政府购买服务内容</w:t>
            </w:r>
          </w:p>
        </w:tc>
        <w:tc>
          <w:tcPr>
            <w:tcW w:w="1680" w:type="dxa"/>
            <w:tcBorders>
              <w:top w:val="single" w:sz="4" w:space="0" w:color="000000"/>
              <w:left w:val="single" w:sz="4" w:space="0" w:color="000000"/>
              <w:bottom w:val="single" w:sz="4" w:space="0" w:color="000000"/>
              <w:right w:val="single" w:sz="4" w:space="0" w:color="000000"/>
            </w:tcBorders>
            <w:noWrap/>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购买数量</w:t>
            </w:r>
          </w:p>
        </w:tc>
        <w:tc>
          <w:tcPr>
            <w:tcW w:w="1828" w:type="dxa"/>
            <w:gridSpan w:val="2"/>
            <w:tcBorders>
              <w:top w:val="single" w:sz="4" w:space="0" w:color="000000"/>
              <w:left w:val="single" w:sz="4" w:space="0" w:color="000000"/>
              <w:bottom w:val="single" w:sz="4" w:space="0" w:color="000000"/>
              <w:right w:val="single" w:sz="4" w:space="0" w:color="000000"/>
            </w:tcBorders>
            <w:noWrap/>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购买金额</w:t>
            </w: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lef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lef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lef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lef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righ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center"/>
          </w:tcPr>
          <w:p>
            <w:pPr>
              <w:spacing w:line="280" w:lineRule="exact"/>
              <w:jc w:val="righ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center"/>
              <w:rPr>
                <w:rFonts w:ascii="TimesNewRoman" w:hAnsi="TimesNewRoman" w:cs="TimesNewRoman"/>
                <w:b/>
                <w:sz w:val="18"/>
                <w:szCs w:val="18"/>
              </w:rPr>
            </w:pPr>
            <w:r>
              <w:rPr>
                <w:rFonts w:ascii="TimesNewRoman" w:hAnsi="TimesNewRoman" w:cs="TimesNewRoman"/>
                <w:b/>
                <w:sz w:val="18"/>
                <w:szCs w:val="18"/>
              </w:rPr>
              <w:t>合计</w:t>
            </w:r>
          </w:p>
        </w:tc>
        <w:tc>
          <w:tcPr>
            <w:tcW w:w="1948"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r>
    </w:tbl>
    <w:p>
      <w:pPr>
        <w:spacing w:line="560" w:lineRule="exact"/>
        <w:rPr>
          <w:rFonts w:ascii="TimesNewRoman" w:hAnsi="TimesNewRoman" w:cs="TimesNewRoman"/>
          <w:kern w:val="0"/>
          <w:sz w:val="22"/>
        </w:rPr>
      </w:pPr>
      <w:r>
        <w:rPr>
          <w:rFonts w:ascii="TimesNewRoman" w:hAnsi="TimesNewRoman" w:cs="TimesNewRoman"/>
          <w:kern w:val="0"/>
          <w:sz w:val="22"/>
        </w:rPr>
        <w:t>注：未安排政府购买服务预算的（单位），也要公开空白表，并备注说明“</w:t>
      </w:r>
      <w:r>
        <w:rPr>
          <w:rFonts w:ascii="TimesNewRoman" w:hAnsi="TimesNewRoman" w:cs="TimesNewRoman" w:hint="eastAsia"/>
          <w:kern w:val="0"/>
          <w:sz w:val="22"/>
        </w:rPr>
        <w:t>寿县正阳</w:t>
      </w:r>
      <w:r>
        <w:rPr>
          <w:rFonts w:ascii="TimesNewRoman" w:hAnsi="TimesNewRoman" w:cs="TimesNewRoman"/>
          <w:kern w:val="0"/>
          <w:sz w:val="22"/>
        </w:rPr>
        <w:t>关镇中心卫生院没有安排政府购买服务支出，故本表无数据”。</w:t>
      </w:r>
    </w:p>
    <w:p>
      <w:pPr>
        <w:pStyle w:val="NormalWeb"/>
        <w:adjustRightInd w:val="0"/>
        <w:snapToGrid w:val="0"/>
        <w:spacing w:before="100" w:after="100" w:line="560" w:lineRule="exact"/>
        <w:ind w:firstLine="640" w:firstLineChars="200"/>
        <w:rPr>
          <w:rFonts w:ascii="TimesNewRoman" w:eastAsia="楷体_GB2312" w:hAnsi="TimesNewRoman" w:cs="TimesNewRoman"/>
          <w:bCs/>
          <w:sz w:val="32"/>
          <w:szCs w:val="32"/>
        </w:rPr>
        <w:sectPr>
          <w:pgSz w:w="16840" w:h="11907" w:orient="landscape"/>
          <w:pgMar w:top="1588" w:right="1531" w:bottom="1474" w:left="1560" w:header="851" w:footer="1021" w:gutter="0"/>
          <w:cols w:num="1" w:space="425"/>
          <w:docGrid w:type="linesAndChars" w:linePitch="312" w:charSpace="0"/>
        </w:sectPr>
      </w:pPr>
    </w:p>
    <w:p>
      <w:pPr>
        <w:pStyle w:val="NormalWeb"/>
        <w:topLinePunct/>
        <w:adjustRightInd w:val="0"/>
        <w:snapToGrid w:val="0"/>
        <w:spacing w:beforeAutospacing="0" w:afterAutospacing="0" w:line="560" w:lineRule="exact"/>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第三部分 </w:t>
      </w:r>
      <w:r>
        <w:rPr>
          <w:rFonts w:ascii="TimesNewRoman" w:eastAsia="黑体" w:hAnsi="TimesNewRoman" w:cs="TimesNewRoman" w:hint="eastAsia"/>
          <w:bCs/>
          <w:sz w:val="36"/>
          <w:szCs w:val="36"/>
        </w:rPr>
        <w:t>2024</w:t>
      </w:r>
      <w:r>
        <w:rPr>
          <w:rFonts w:ascii="TimesNewRoman" w:eastAsia="黑体" w:hAnsi="TimesNewRoman" w:cs="TimesNewRoman"/>
          <w:bCs/>
          <w:sz w:val="36"/>
          <w:szCs w:val="36"/>
        </w:rPr>
        <w:t>年</w:t>
      </w:r>
      <w:r>
        <w:rPr>
          <w:rFonts w:ascii="TimesNewRoman" w:eastAsia="黑体" w:hAnsi="TimesNewRoman" w:cs="TimesNewRoman" w:hint="eastAsia"/>
          <w:bCs/>
          <w:sz w:val="36"/>
          <w:szCs w:val="36"/>
          <w:lang w:eastAsia="zh-CN"/>
        </w:rPr>
        <w:t>寿县瓦埠镇中心卫生院</w:t>
      </w:r>
      <w:r>
        <w:rPr>
          <w:rFonts w:ascii="TimesNewRoman" w:eastAsia="黑体" w:hAnsi="TimesNewRoman" w:cs="TimesNewRoman"/>
          <w:bCs/>
          <w:sz w:val="36"/>
          <w:szCs w:val="36"/>
        </w:rPr>
        <w:t>预算情况说明</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一、关于2024年收支总表的说明</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按照综合预算的原则，寿县</w:t>
      </w:r>
      <w:r>
        <w:rPr>
          <w:rFonts w:ascii="仿宋_GB2312" w:eastAsia="仿宋_GB2312" w:hAnsi="TimesNewRoman" w:cs="TimesNewRoman" w:hint="eastAsia"/>
          <w:sz w:val="32"/>
          <w:szCs w:val="32"/>
          <w:lang w:eastAsia="zh-CN"/>
        </w:rPr>
        <w:t>瓦埠</w:t>
      </w:r>
      <w:r>
        <w:rPr>
          <w:rFonts w:ascii="仿宋_GB2312" w:eastAsia="仿宋_GB2312" w:hAnsi="TimesNewRoman" w:cs="TimesNewRoman" w:hint="eastAsia"/>
          <w:sz w:val="32"/>
          <w:szCs w:val="32"/>
        </w:rPr>
        <w:t>镇中心卫生院所有收入和支出均纳入部门预算管理。寿县</w:t>
      </w:r>
      <w:r>
        <w:rPr>
          <w:rFonts w:ascii="仿宋_GB2312" w:eastAsia="仿宋_GB2312" w:hAnsi="TimesNewRoman" w:cs="TimesNewRoman" w:hint="eastAsia"/>
          <w:sz w:val="32"/>
          <w:szCs w:val="32"/>
          <w:lang w:eastAsia="zh-CN"/>
        </w:rPr>
        <w:t>瓦埠</w:t>
      </w:r>
      <w:r>
        <w:rPr>
          <w:rFonts w:ascii="仿宋_GB2312" w:eastAsia="仿宋_GB2312" w:hAnsi="TimesNewRoman" w:cs="TimesNewRoman" w:hint="eastAsia"/>
          <w:sz w:val="32"/>
          <w:szCs w:val="32"/>
        </w:rPr>
        <w:t>镇中心卫生院2024年收支总预算</w:t>
      </w:r>
      <w:r>
        <w:rPr>
          <w:rFonts w:ascii="仿宋_GB2312" w:eastAsia="仿宋_GB2312" w:hAnsi="TimesNewRoman" w:cs="TimesNewRoman" w:hint="eastAsia"/>
          <w:sz w:val="32"/>
          <w:szCs w:val="32"/>
          <w:lang w:val="en-US" w:eastAsia="zh-CN"/>
        </w:rPr>
        <w:t>1057.81</w:t>
      </w:r>
      <w:r>
        <w:rPr>
          <w:rFonts w:ascii="仿宋_GB2312" w:eastAsia="仿宋_GB2312" w:hAnsi="TimesNewRoman" w:cs="TimesNewRoman" w:hint="eastAsia"/>
          <w:sz w:val="32"/>
          <w:szCs w:val="32"/>
        </w:rPr>
        <w:t>万元，收入包括一般公共预算拨款收入</w:t>
      </w:r>
      <w:r>
        <w:rPr>
          <w:rFonts w:ascii="仿宋_GB2312" w:eastAsia="仿宋_GB2312" w:hAnsi="TimesNewRoman" w:cs="TimesNewRoman" w:hint="eastAsia"/>
          <w:sz w:val="32"/>
          <w:szCs w:val="32"/>
          <w:lang w:val="en-US" w:eastAsia="zh-CN"/>
        </w:rPr>
        <w:t>367.81</w:t>
      </w:r>
      <w:r>
        <w:rPr>
          <w:rFonts w:ascii="仿宋_GB2312" w:eastAsia="仿宋_GB2312" w:hAnsi="TimesNewRoman" w:cs="TimesNewRoman" w:hint="eastAsia"/>
          <w:sz w:val="32"/>
          <w:szCs w:val="32"/>
        </w:rPr>
        <w:t>万元，单位资金收入</w:t>
      </w:r>
      <w:r>
        <w:rPr>
          <w:rFonts w:ascii="仿宋_GB2312" w:eastAsia="仿宋_GB2312" w:hAnsi="TimesNewRoman" w:cs="TimesNewRoman" w:hint="eastAsia"/>
          <w:sz w:val="32"/>
          <w:szCs w:val="32"/>
          <w:lang w:val="en-US" w:eastAsia="zh-CN"/>
        </w:rPr>
        <w:t>69</w:t>
      </w:r>
      <w:r>
        <w:rPr>
          <w:rFonts w:ascii="仿宋_GB2312" w:eastAsia="仿宋_GB2312" w:hAnsi="TimesNewRoman" w:cs="TimesNewRoman" w:hint="eastAsia"/>
          <w:sz w:val="32"/>
          <w:szCs w:val="32"/>
        </w:rPr>
        <w:t>0万元，支出包括：社会保障和就业支出</w:t>
      </w:r>
      <w:r>
        <w:rPr>
          <w:rFonts w:ascii="仿宋_GB2312" w:eastAsia="仿宋_GB2312" w:hAnsi="TimesNewRoman" w:cs="TimesNewRoman" w:hint="eastAsia"/>
          <w:sz w:val="32"/>
          <w:szCs w:val="32"/>
          <w:lang w:val="en-US" w:eastAsia="zh-CN"/>
        </w:rPr>
        <w:t>113.55</w:t>
      </w:r>
      <w:r>
        <w:rPr>
          <w:rFonts w:ascii="仿宋_GB2312" w:eastAsia="仿宋_GB2312" w:hAnsi="TimesNewRoman" w:cs="TimesNewRoman" w:hint="eastAsia"/>
          <w:sz w:val="32"/>
          <w:szCs w:val="32"/>
        </w:rPr>
        <w:t>万元、卫生健康支出</w:t>
      </w:r>
      <w:r>
        <w:rPr>
          <w:rFonts w:ascii="仿宋_GB2312" w:eastAsia="仿宋_GB2312" w:hAnsi="TimesNewRoman" w:cs="TimesNewRoman" w:hint="eastAsia"/>
          <w:sz w:val="32"/>
          <w:szCs w:val="32"/>
          <w:lang w:val="en-US" w:eastAsia="zh-CN"/>
        </w:rPr>
        <w:t>919.31</w:t>
      </w:r>
      <w:r>
        <w:rPr>
          <w:rFonts w:ascii="仿宋_GB2312" w:eastAsia="仿宋_GB2312" w:hAnsi="TimesNewRoman" w:cs="TimesNewRoman" w:hint="eastAsia"/>
          <w:sz w:val="32"/>
          <w:szCs w:val="32"/>
        </w:rPr>
        <w:t>万元、住房保障支出</w:t>
      </w:r>
      <w:r>
        <w:rPr>
          <w:rFonts w:ascii="仿宋_GB2312" w:eastAsia="仿宋_GB2312" w:hAnsi="TimesNewRoman" w:cs="TimesNewRoman" w:hint="eastAsia"/>
          <w:sz w:val="32"/>
          <w:szCs w:val="32"/>
          <w:lang w:val="en-US" w:eastAsia="zh-CN"/>
        </w:rPr>
        <w:t>24.95</w:t>
      </w:r>
      <w:r>
        <w:rPr>
          <w:rFonts w:ascii="仿宋_GB2312" w:eastAsia="仿宋_GB2312" w:hAnsi="TimesNewRoman" w:cs="TimesNewRoman" w:hint="eastAsia"/>
          <w:sz w:val="32"/>
          <w:szCs w:val="32"/>
        </w:rPr>
        <w:t>万元。</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二、关于2024年收入总表的说明</w:t>
      </w:r>
    </w:p>
    <w:p>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lang w:eastAsia="zh-CN"/>
        </w:rPr>
        <w:t>瓦埠</w:t>
      </w:r>
      <w:r>
        <w:rPr>
          <w:rFonts w:ascii="仿宋_GB2312" w:eastAsia="仿宋_GB2312" w:hAnsi="TimesNewRoman" w:cs="TimesNewRoman" w:hint="eastAsia"/>
          <w:kern w:val="0"/>
          <w:sz w:val="32"/>
          <w:szCs w:val="32"/>
        </w:rPr>
        <w:t>镇中心卫生院</w:t>
      </w:r>
      <w:r>
        <w:rPr>
          <w:rFonts w:ascii="仿宋_GB2312" w:eastAsia="仿宋_GB2312" w:hAnsi="TimesNewRoman" w:cs="TimesNewRoman" w:hint="eastAsia"/>
          <w:sz w:val="32"/>
          <w:szCs w:val="32"/>
        </w:rPr>
        <w:t>2024年收入预算</w:t>
      </w:r>
      <w:r>
        <w:rPr>
          <w:rFonts w:ascii="仿宋_GB2312" w:eastAsia="仿宋_GB2312" w:hAnsi="TimesNewRoman" w:cs="TimesNewRoman" w:hint="eastAsia"/>
          <w:sz w:val="32"/>
          <w:szCs w:val="32"/>
          <w:lang w:val="en-US" w:eastAsia="zh-CN"/>
        </w:rPr>
        <w:t>1057.81</w:t>
      </w:r>
      <w:r>
        <w:rPr>
          <w:rFonts w:ascii="仿宋_GB2312" w:eastAsia="仿宋_GB2312" w:hAnsi="TimesNewRoman" w:cs="TimesNewRoman" w:hint="eastAsia"/>
          <w:sz w:val="32"/>
          <w:szCs w:val="32"/>
        </w:rPr>
        <w:t>万元，其中，本年收入</w:t>
      </w:r>
      <w:r>
        <w:rPr>
          <w:rFonts w:ascii="仿宋_GB2312" w:eastAsia="仿宋_GB2312" w:hAnsi="TimesNewRoman" w:cs="TimesNewRoman" w:hint="eastAsia"/>
          <w:sz w:val="32"/>
          <w:szCs w:val="32"/>
          <w:lang w:val="en-US" w:eastAsia="zh-CN"/>
        </w:rPr>
        <w:t>1057.81</w:t>
      </w:r>
      <w:r>
        <w:rPr>
          <w:rFonts w:ascii="仿宋_GB2312" w:eastAsia="仿宋_GB2312" w:hAnsi="TimesNewRoman" w:cs="TimesNewRoman" w:hint="eastAsia"/>
          <w:sz w:val="32"/>
          <w:szCs w:val="32"/>
        </w:rPr>
        <w:t>万元，上年结转收入0万元。</w:t>
      </w:r>
    </w:p>
    <w:p>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（一）本年收入</w:t>
      </w:r>
      <w:r>
        <w:rPr>
          <w:rFonts w:ascii="仿宋_GB2312" w:eastAsia="仿宋_GB2312" w:hAnsi="TimesNewRoman" w:cs="TimesNewRoman" w:hint="eastAsia"/>
          <w:sz w:val="32"/>
          <w:szCs w:val="32"/>
          <w:lang w:val="en-US" w:eastAsia="zh-CN"/>
        </w:rPr>
        <w:t>1057.81</w:t>
      </w:r>
      <w:r>
        <w:rPr>
          <w:rFonts w:ascii="仿宋_GB2312" w:eastAsia="仿宋_GB2312" w:hAnsi="TimesNewRoman" w:cs="TimesNewRoman" w:hint="eastAsia"/>
          <w:sz w:val="32"/>
          <w:szCs w:val="32"/>
        </w:rPr>
        <w:t>万元，主要包括：一般公共预算拨款收入</w:t>
      </w:r>
      <w:r>
        <w:rPr>
          <w:rFonts w:ascii="仿宋_GB2312" w:eastAsia="仿宋_GB2312" w:hAnsi="TimesNewRoman" w:cs="TimesNewRoman" w:hint="eastAsia"/>
          <w:sz w:val="32"/>
          <w:szCs w:val="32"/>
          <w:lang w:val="en-US" w:eastAsia="zh-CN"/>
        </w:rPr>
        <w:t>367.81</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34.77</w:t>
      </w:r>
      <w:r>
        <w:rPr>
          <w:rFonts w:ascii="仿宋_GB2312" w:eastAsia="仿宋_GB2312" w:hAnsi="TimesNewRoman" w:cs="TimesNewRoman" w:hint="eastAsia"/>
          <w:sz w:val="32"/>
          <w:szCs w:val="32"/>
        </w:rPr>
        <w:t>%，比2023年预算增加</w:t>
      </w:r>
      <w:r>
        <w:rPr>
          <w:rFonts w:ascii="仿宋_GB2312" w:eastAsia="仿宋_GB2312" w:hAnsi="TimesNewRoman" w:cs="TimesNewRoman" w:hint="eastAsia"/>
          <w:sz w:val="32"/>
          <w:szCs w:val="32"/>
          <w:lang w:val="en-US" w:eastAsia="zh-CN"/>
        </w:rPr>
        <w:t>100.57</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37.63</w:t>
      </w:r>
      <w:r>
        <w:rPr>
          <w:rFonts w:ascii="仿宋_GB2312" w:eastAsia="仿宋_GB2312" w:hAnsi="TimesNewRoman" w:cs="TimesNewRoman" w:hint="eastAsia"/>
          <w:sz w:val="32"/>
          <w:szCs w:val="32"/>
        </w:rPr>
        <w:t>%，增长原因主要是1、人员预算增加，基本支出增加，2、调整退休人员补贴，纳入年初预算；单位资金收入</w:t>
      </w:r>
      <w:r>
        <w:rPr>
          <w:rFonts w:ascii="仿宋_GB2312" w:eastAsia="仿宋_GB2312" w:hAnsi="TimesNewRoman" w:cs="TimesNewRoman" w:hint="eastAsia"/>
          <w:sz w:val="32"/>
          <w:szCs w:val="32"/>
          <w:lang w:val="en-US" w:eastAsia="zh-CN"/>
        </w:rPr>
        <w:t>690</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65.22</w:t>
      </w:r>
      <w:r>
        <w:rPr>
          <w:rFonts w:ascii="仿宋_GB2312" w:eastAsia="仿宋_GB2312" w:hAnsi="TimesNewRoman" w:cs="TimesNewRoman" w:hint="eastAsia"/>
          <w:sz w:val="32"/>
          <w:szCs w:val="32"/>
        </w:rPr>
        <w:t>%，比2023年预算增加</w:t>
      </w:r>
      <w:r>
        <w:rPr>
          <w:rFonts w:ascii="仿宋_GB2312" w:eastAsia="仿宋_GB2312" w:hAnsi="TimesNewRoman" w:cs="TimesNewRoman" w:hint="eastAsia"/>
          <w:sz w:val="32"/>
          <w:szCs w:val="32"/>
          <w:lang w:val="en-US" w:eastAsia="zh-CN"/>
        </w:rPr>
        <w:t>40</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6</w:t>
      </w:r>
      <w:r>
        <w:rPr>
          <w:rFonts w:ascii="仿宋_GB2312" w:eastAsia="仿宋_GB2312" w:hAnsi="TimesNewRoman" w:cs="TimesNewRoman" w:hint="eastAsia"/>
          <w:sz w:val="32"/>
          <w:szCs w:val="32"/>
        </w:rPr>
        <w:t>%，增长原因主要是新冠疫情结束，医疗业务收入增加。</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三、关于2024年支出总表的说明</w:t>
      </w:r>
    </w:p>
    <w:p>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瓦埠</w:t>
      </w:r>
      <w:r>
        <w:rPr>
          <w:rFonts w:ascii="仿宋_GB2312" w:eastAsia="仿宋_GB2312" w:hAnsi="TimesNewRoman" w:cs="TimesNewRoman" w:hint="eastAsia"/>
          <w:sz w:val="32"/>
          <w:szCs w:val="32"/>
        </w:rPr>
        <w:t>镇中心卫生院2024年支出预算</w:t>
      </w:r>
      <w:r>
        <w:rPr>
          <w:rFonts w:ascii="仿宋_GB2312" w:eastAsia="仿宋_GB2312" w:hAnsi="TimesNewRoman" w:cs="TimesNewRoman" w:hint="eastAsia"/>
          <w:sz w:val="32"/>
          <w:szCs w:val="32"/>
          <w:lang w:val="en-US" w:eastAsia="zh-CN"/>
        </w:rPr>
        <w:t>1057.81</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140.57</w:t>
      </w:r>
      <w:r>
        <w:rPr>
          <w:rFonts w:ascii="仿宋_GB2312" w:eastAsia="仿宋_GB2312" w:hAnsi="TimesNewRoman" w:cs="TimesNewRoman" w:hint="eastAsia"/>
          <w:sz w:val="32"/>
          <w:szCs w:val="32"/>
        </w:rPr>
        <w:t>.1万元，增长</w:t>
      </w:r>
      <w:r>
        <w:rPr>
          <w:rFonts w:ascii="仿宋_GB2312" w:eastAsia="仿宋_GB2312" w:hAnsi="TimesNewRoman" w:cs="TimesNewRoman" w:hint="eastAsia"/>
          <w:sz w:val="32"/>
          <w:szCs w:val="32"/>
          <w:lang w:val="en-US" w:eastAsia="zh-CN"/>
        </w:rPr>
        <w:t>15.33</w:t>
      </w:r>
      <w:r>
        <w:rPr>
          <w:rFonts w:ascii="仿宋_GB2312" w:eastAsia="仿宋_GB2312" w:hAnsi="TimesNewRoman" w:cs="TimesNewRoman" w:hint="eastAsia"/>
          <w:sz w:val="32"/>
          <w:szCs w:val="32"/>
        </w:rPr>
        <w:t>%，增长原因主要是1、调整退休人员补贴，纳入年初预算2、疫情结束业务增加，药品支出增加3、人员福利增加。其中，基本支出</w:t>
      </w:r>
      <w:r>
        <w:rPr>
          <w:rFonts w:ascii="仿宋_GB2312" w:eastAsia="仿宋_GB2312" w:hAnsi="TimesNewRoman" w:cs="TimesNewRoman" w:hint="eastAsia"/>
          <w:sz w:val="32"/>
          <w:szCs w:val="32"/>
          <w:lang w:val="en-US" w:eastAsia="zh-CN"/>
        </w:rPr>
        <w:t>365.51</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34.55</w:t>
      </w:r>
      <w:r>
        <w:rPr>
          <w:rFonts w:ascii="仿宋_GB2312" w:eastAsia="仿宋_GB2312" w:hAnsi="TimesNewRoman" w:cs="TimesNewRoman" w:hint="eastAsia"/>
          <w:sz w:val="32"/>
          <w:szCs w:val="32"/>
        </w:rPr>
        <w:t>%，主要用于保障机构日常运转、完成日常工作任务正常开展、人员工资，社保及住房公积金的支出；项目支出</w:t>
      </w:r>
      <w:r>
        <w:rPr>
          <w:rFonts w:ascii="仿宋_GB2312" w:eastAsia="仿宋_GB2312" w:hAnsi="TimesNewRoman" w:cs="TimesNewRoman" w:hint="eastAsia"/>
          <w:sz w:val="32"/>
          <w:szCs w:val="32"/>
          <w:lang w:val="en-US" w:eastAsia="zh-CN"/>
        </w:rPr>
        <w:t>2.3</w:t>
      </w:r>
      <w:r>
        <w:rPr>
          <w:rFonts w:ascii="仿宋_GB2312" w:eastAsia="仿宋_GB2312" w:hAnsi="TimesNewRoman" w:cs="TimesNewRoman" w:hint="eastAsia"/>
          <w:sz w:val="32"/>
          <w:szCs w:val="32"/>
        </w:rPr>
        <w:t>万元，占0.</w:t>
      </w:r>
      <w:r>
        <w:rPr>
          <w:rFonts w:ascii="仿宋_GB2312" w:eastAsia="仿宋_GB2312" w:hAnsi="TimesNewRoman" w:cs="TimesNewRoman" w:hint="eastAsia"/>
          <w:sz w:val="32"/>
          <w:szCs w:val="32"/>
          <w:lang w:val="en-US" w:eastAsia="zh-CN"/>
        </w:rPr>
        <w:t>23</w:t>
      </w:r>
      <w:r>
        <w:rPr>
          <w:rFonts w:ascii="仿宋_GB2312" w:eastAsia="仿宋_GB2312" w:hAnsi="TimesNewRoman" w:cs="TimesNewRoman" w:hint="eastAsia"/>
          <w:sz w:val="32"/>
          <w:szCs w:val="32"/>
        </w:rPr>
        <w:t>%，主要用于三年过度安置人员工资支出及公共卫生项目支出；事业单位经营支出</w:t>
      </w:r>
      <w:r>
        <w:rPr>
          <w:rFonts w:ascii="仿宋_GB2312" w:eastAsia="仿宋_GB2312" w:hAnsi="TimesNewRoman" w:cs="TimesNewRoman" w:hint="eastAsia"/>
          <w:sz w:val="32"/>
          <w:szCs w:val="32"/>
          <w:lang w:val="en-US" w:eastAsia="zh-CN"/>
        </w:rPr>
        <w:t>69</w:t>
      </w:r>
      <w:r>
        <w:rPr>
          <w:rFonts w:ascii="仿宋_GB2312" w:eastAsia="仿宋_GB2312" w:hAnsi="TimesNewRoman" w:cs="TimesNewRoman" w:hint="eastAsia"/>
          <w:sz w:val="32"/>
          <w:szCs w:val="32"/>
        </w:rPr>
        <w:t>0万元，占</w:t>
      </w:r>
      <w:r>
        <w:rPr>
          <w:rFonts w:ascii="仿宋_GB2312" w:eastAsia="仿宋_GB2312" w:hAnsi="TimesNewRoman" w:cs="TimesNewRoman" w:hint="eastAsia"/>
          <w:sz w:val="32"/>
          <w:szCs w:val="32"/>
          <w:lang w:val="en-US" w:eastAsia="zh-CN"/>
        </w:rPr>
        <w:t>65.22</w:t>
      </w:r>
      <w:r>
        <w:rPr>
          <w:rFonts w:ascii="仿宋_GB2312" w:eastAsia="仿宋_GB2312" w:hAnsi="TimesNewRoman" w:cs="TimesNewRoman" w:hint="eastAsia"/>
          <w:sz w:val="32"/>
          <w:szCs w:val="32"/>
        </w:rPr>
        <w:t>%，主要用于单位的正常开支运转，网采药品及人员福利支出。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四、关于2024年财政拨款收支总表的说明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瓦埠</w:t>
      </w:r>
      <w:r>
        <w:rPr>
          <w:rFonts w:ascii="仿宋_GB2312" w:eastAsia="仿宋_GB2312" w:hAnsi="TimesNewRoman" w:cs="TimesNewRoman" w:hint="eastAsia"/>
          <w:sz w:val="32"/>
          <w:szCs w:val="32"/>
        </w:rPr>
        <w:t>镇中心卫生院2024年财政拨款收支预算</w:t>
      </w:r>
      <w:r>
        <w:rPr>
          <w:rFonts w:ascii="仿宋_GB2312" w:eastAsia="仿宋_GB2312" w:hAnsi="TimesNewRoman" w:cs="TimesNewRoman" w:hint="eastAsia"/>
          <w:sz w:val="32"/>
          <w:szCs w:val="32"/>
          <w:lang w:val="en-US" w:eastAsia="zh-CN"/>
        </w:rPr>
        <w:t>367.81</w:t>
      </w:r>
      <w:r>
        <w:rPr>
          <w:rFonts w:ascii="仿宋_GB2312" w:eastAsia="仿宋_GB2312" w:hAnsi="TimesNewRoman" w:cs="TimesNewRoman" w:hint="eastAsia"/>
          <w:sz w:val="32"/>
          <w:szCs w:val="32"/>
        </w:rPr>
        <w:t>万元。收入按资金来源分为：一般公共预算拨款</w:t>
      </w:r>
      <w:r>
        <w:rPr>
          <w:rFonts w:ascii="仿宋_GB2312" w:eastAsia="仿宋_GB2312" w:hAnsi="TimesNewRoman" w:cs="TimesNewRoman" w:hint="eastAsia"/>
          <w:sz w:val="32"/>
          <w:szCs w:val="32"/>
          <w:lang w:val="en-US" w:eastAsia="zh-CN"/>
        </w:rPr>
        <w:t>367.81</w:t>
      </w:r>
      <w:r>
        <w:rPr>
          <w:rFonts w:ascii="仿宋_GB2312" w:eastAsia="仿宋_GB2312" w:hAnsi="TimesNewRoman" w:cs="TimesNewRoman" w:hint="eastAsia"/>
          <w:sz w:val="32"/>
          <w:szCs w:val="32"/>
        </w:rPr>
        <w:t>万元；按资金年度分为：本年财政拨款收入</w:t>
      </w:r>
      <w:r>
        <w:rPr>
          <w:rFonts w:ascii="仿宋_GB2312" w:eastAsia="仿宋_GB2312" w:hAnsi="TimesNewRoman" w:cs="TimesNewRoman" w:hint="eastAsia"/>
          <w:sz w:val="32"/>
          <w:szCs w:val="32"/>
          <w:lang w:val="en-US" w:eastAsia="zh-CN"/>
        </w:rPr>
        <w:t>367.81</w:t>
      </w:r>
      <w:r>
        <w:rPr>
          <w:rFonts w:ascii="仿宋_GB2312" w:eastAsia="仿宋_GB2312" w:hAnsi="TimesNewRoman" w:cs="TimesNewRoman" w:hint="eastAsia"/>
          <w:sz w:val="32"/>
          <w:szCs w:val="32"/>
        </w:rPr>
        <w:t>万元，上年结转收入0万元。支出按功能分类分为：社会保障和就业支出</w:t>
      </w:r>
      <w:r>
        <w:rPr>
          <w:rFonts w:ascii="仿宋_GB2312" w:eastAsia="仿宋_GB2312" w:hAnsi="TimesNewRoman" w:cs="TimesNewRoman" w:hint="eastAsia"/>
          <w:sz w:val="32"/>
          <w:szCs w:val="32"/>
          <w:lang w:val="en-US" w:eastAsia="zh-CN"/>
        </w:rPr>
        <w:t>113.55</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30.87</w:t>
      </w:r>
      <w:r>
        <w:rPr>
          <w:rFonts w:ascii="仿宋_GB2312" w:eastAsia="仿宋_GB2312" w:hAnsi="TimesNewRoman" w:cs="TimesNewRoman" w:hint="eastAsia"/>
          <w:sz w:val="32"/>
          <w:szCs w:val="32"/>
        </w:rPr>
        <w:t>%；卫生健康支出</w:t>
      </w:r>
      <w:r>
        <w:rPr>
          <w:rFonts w:ascii="仿宋_GB2312" w:eastAsia="仿宋_GB2312" w:hAnsi="TimesNewRoman" w:cs="TimesNewRoman" w:hint="eastAsia"/>
          <w:sz w:val="32"/>
          <w:szCs w:val="32"/>
          <w:lang w:val="en-US" w:eastAsia="zh-CN"/>
        </w:rPr>
        <w:t>229.31</w:t>
      </w:r>
      <w:r>
        <w:rPr>
          <w:rFonts w:ascii="仿宋_GB2312" w:eastAsia="仿宋_GB2312" w:hAnsi="TimesNewRoman" w:cs="TimesNewRoman" w:hint="eastAsia"/>
          <w:sz w:val="32"/>
          <w:szCs w:val="32"/>
        </w:rPr>
        <w:t>万元，占6</w:t>
      </w:r>
      <w:r>
        <w:rPr>
          <w:rFonts w:ascii="仿宋_GB2312" w:eastAsia="仿宋_GB2312" w:hAnsi="TimesNewRoman" w:cs="TimesNewRoman" w:hint="eastAsia"/>
          <w:sz w:val="32"/>
          <w:szCs w:val="32"/>
          <w:lang w:val="en-US" w:eastAsia="zh-CN"/>
        </w:rPr>
        <w:t>2.35</w:t>
      </w:r>
      <w:r>
        <w:rPr>
          <w:rFonts w:ascii="仿宋_GB2312" w:eastAsia="仿宋_GB2312" w:hAnsi="TimesNewRoman" w:cs="TimesNewRoman" w:hint="eastAsia"/>
          <w:sz w:val="32"/>
          <w:szCs w:val="32"/>
        </w:rPr>
        <w:t>%；住房保障支出</w:t>
      </w:r>
      <w:r>
        <w:rPr>
          <w:rFonts w:ascii="仿宋_GB2312" w:eastAsia="仿宋_GB2312" w:hAnsi="TimesNewRoman" w:cs="TimesNewRoman" w:hint="eastAsia"/>
          <w:sz w:val="32"/>
          <w:szCs w:val="32"/>
          <w:lang w:val="en-US" w:eastAsia="zh-CN"/>
        </w:rPr>
        <w:t>24.95</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6.78</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五、关于2024年一般公共预算支出表的说明</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b/>
          <w:sz w:val="32"/>
          <w:szCs w:val="32"/>
        </w:rPr>
      </w:pPr>
      <w:r>
        <w:rPr>
          <w:rFonts w:ascii="仿宋_GB2312" w:eastAsia="仿宋_GB2312" w:hAnsi="TimesNewRoman" w:cs="TimesNewRoman" w:hint="eastAsia"/>
          <w:b/>
          <w:sz w:val="32"/>
          <w:szCs w:val="32"/>
        </w:rPr>
        <w:t>（一）一般公共预算支出规模变化情况。</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瓦埠</w:t>
      </w:r>
      <w:r>
        <w:rPr>
          <w:rFonts w:ascii="仿宋_GB2312" w:eastAsia="仿宋_GB2312" w:hAnsi="TimesNewRoman" w:cs="TimesNewRoman" w:hint="eastAsia"/>
          <w:sz w:val="32"/>
          <w:szCs w:val="32"/>
        </w:rPr>
        <w:t>镇中心卫生院2024年一般公共预算支出</w:t>
      </w:r>
      <w:r>
        <w:rPr>
          <w:rFonts w:ascii="仿宋_GB2312" w:eastAsia="仿宋_GB2312" w:hAnsi="TimesNewRoman" w:cs="TimesNewRoman" w:hint="eastAsia"/>
          <w:sz w:val="32"/>
          <w:szCs w:val="32"/>
          <w:lang w:val="en-US" w:eastAsia="zh-CN"/>
        </w:rPr>
        <w:t>367.81</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100.57</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37.63</w:t>
      </w:r>
      <w:r>
        <w:rPr>
          <w:rFonts w:ascii="仿宋_GB2312" w:eastAsia="仿宋_GB2312" w:hAnsi="TimesNewRoman" w:cs="TimesNewRoman" w:hint="eastAsia"/>
          <w:sz w:val="32"/>
          <w:szCs w:val="32"/>
        </w:rPr>
        <w:t>%，主要原因：一是调整退休人员补贴，纳入年初预算；二是人员预算增加，基本支出增加。</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b/>
          <w:sz w:val="32"/>
          <w:szCs w:val="32"/>
        </w:rPr>
      </w:pPr>
      <w:r>
        <w:rPr>
          <w:rFonts w:ascii="仿宋_GB2312" w:eastAsia="仿宋_GB2312" w:hAnsi="TimesNewRoman" w:cs="TimesNewRoman" w:hint="eastAsia"/>
          <w:b/>
          <w:sz w:val="32"/>
          <w:szCs w:val="32"/>
        </w:rPr>
        <w:t>（二）一般公共预算支出结构情况。</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社会保障和就业支出</w:t>
      </w:r>
      <w:r>
        <w:rPr>
          <w:rFonts w:ascii="仿宋_GB2312" w:eastAsia="仿宋_GB2312" w:hAnsi="TimesNewRoman" w:cs="TimesNewRoman" w:hint="eastAsia"/>
          <w:sz w:val="32"/>
          <w:szCs w:val="32"/>
          <w:lang w:val="en-US" w:eastAsia="zh-CN"/>
        </w:rPr>
        <w:t>113.55</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30.87</w:t>
      </w:r>
      <w:r>
        <w:rPr>
          <w:rFonts w:ascii="仿宋_GB2312" w:eastAsia="仿宋_GB2312" w:hAnsi="TimesNewRoman" w:cs="TimesNewRoman" w:hint="eastAsia"/>
          <w:sz w:val="32"/>
          <w:szCs w:val="32"/>
        </w:rPr>
        <w:t>%；卫生健康支出</w:t>
      </w:r>
      <w:r>
        <w:rPr>
          <w:rFonts w:ascii="仿宋_GB2312" w:eastAsia="仿宋_GB2312" w:hAnsi="TimesNewRoman" w:cs="TimesNewRoman" w:hint="eastAsia"/>
          <w:sz w:val="32"/>
          <w:szCs w:val="32"/>
          <w:lang w:val="en-US" w:eastAsia="zh-CN"/>
        </w:rPr>
        <w:t>229.31</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62.35</w:t>
      </w:r>
      <w:r>
        <w:rPr>
          <w:rFonts w:ascii="仿宋_GB2312" w:eastAsia="仿宋_GB2312" w:hAnsi="TimesNewRoman" w:cs="TimesNewRoman" w:hint="eastAsia"/>
          <w:sz w:val="32"/>
          <w:szCs w:val="32"/>
        </w:rPr>
        <w:t>%；住房保障支出</w:t>
      </w:r>
      <w:r>
        <w:rPr>
          <w:rFonts w:ascii="仿宋_GB2312" w:eastAsia="仿宋_GB2312" w:hAnsi="TimesNewRoman" w:cs="TimesNewRoman" w:hint="eastAsia"/>
          <w:sz w:val="32"/>
          <w:szCs w:val="32"/>
          <w:lang w:val="en-US" w:eastAsia="zh-CN"/>
        </w:rPr>
        <w:t>24.9</w:t>
      </w:r>
      <w:r>
        <w:rPr>
          <w:rFonts w:ascii="仿宋_GB2312" w:eastAsia="仿宋_GB2312" w:hAnsi="TimesNewRoman" w:cs="TimesNewRoman" w:hint="eastAsia"/>
          <w:sz w:val="32"/>
          <w:szCs w:val="32"/>
        </w:rPr>
        <w:t>5万元，占</w:t>
      </w:r>
      <w:r>
        <w:rPr>
          <w:rFonts w:ascii="仿宋_GB2312" w:eastAsia="仿宋_GB2312" w:hAnsi="TimesNewRoman" w:cs="TimesNewRoman" w:hint="eastAsia"/>
          <w:sz w:val="32"/>
          <w:szCs w:val="32"/>
          <w:lang w:val="en-US" w:eastAsia="zh-CN"/>
        </w:rPr>
        <w:t>6.78</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（三）一般公共预算支出具体使用情况。</w:t>
      </w:r>
    </w:p>
    <w:p>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1. 社会保障和就业支出（类）行政事业单位养老支出（款）事业单位离退休（项）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62.18</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62.18</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100</w:t>
      </w:r>
      <w:r>
        <w:rPr>
          <w:rFonts w:ascii="仿宋_GB2312" w:eastAsia="仿宋_GB2312" w:hAnsi="TimesNewRoman" w:cs="TimesNewRoman" w:hint="eastAsia"/>
          <w:sz w:val="32"/>
          <w:szCs w:val="32"/>
        </w:rPr>
        <w:t>%，增长原因主要是退休人员</w:t>
      </w:r>
      <w:r>
        <w:rPr>
          <w:rFonts w:ascii="仿宋_GB2312" w:eastAsia="仿宋_GB2312" w:hAnsi="TimesNewRoman" w:cs="TimesNewRoman" w:hint="eastAsia"/>
          <w:sz w:val="32"/>
          <w:szCs w:val="32"/>
          <w:lang w:eastAsia="zh-CN"/>
        </w:rPr>
        <w:t>补贴纳入</w:t>
      </w:r>
      <w:r>
        <w:rPr>
          <w:rFonts w:ascii="仿宋_GB2312" w:eastAsia="仿宋_GB2312" w:hAnsi="TimesNewRoman" w:cs="TimesNewRoman" w:hint="eastAsia"/>
          <w:sz w:val="32"/>
          <w:szCs w:val="32"/>
          <w:lang w:val="en-US" w:eastAsia="zh-CN"/>
        </w:rPr>
        <w:t>2024年</w:t>
      </w:r>
      <w:r>
        <w:rPr>
          <w:rFonts w:ascii="仿宋_GB2312" w:eastAsia="仿宋_GB2312" w:hAnsi="TimesNewRoman" w:cs="TimesNewRoman" w:hint="eastAsia"/>
          <w:sz w:val="32"/>
          <w:szCs w:val="32"/>
          <w:lang w:eastAsia="zh-CN"/>
        </w:rPr>
        <w:t>预算</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2. 社会保障和就业支出（类）行政事业单位养老支出（款）机关事业单位基本养老保险缴费支出（项）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33.27</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4.27</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14.72</w:t>
      </w:r>
      <w:r>
        <w:rPr>
          <w:rFonts w:ascii="仿宋_GB2312" w:eastAsia="仿宋_GB2312" w:hAnsi="TimesNewRoman" w:cs="TimesNewRoman" w:hint="eastAsia"/>
          <w:sz w:val="32"/>
          <w:szCs w:val="32"/>
        </w:rPr>
        <w:t>%，增长原因主要是人员工资增加，</w:t>
      </w:r>
      <w:r>
        <w:rPr>
          <w:rFonts w:ascii="仿宋_GB2312" w:eastAsia="仿宋_GB2312" w:hAnsi="TimesNewRoman" w:cs="TimesNewRoman" w:hint="eastAsia"/>
          <w:sz w:val="32"/>
          <w:szCs w:val="32"/>
          <w:lang w:eastAsia="zh-CN"/>
        </w:rPr>
        <w:t>调入和新聘人员增加，</w:t>
      </w:r>
      <w:r>
        <w:rPr>
          <w:rFonts w:ascii="仿宋_GB2312" w:eastAsia="仿宋_GB2312" w:hAnsi="TimesNewRoman" w:cs="TimesNewRoman" w:hint="eastAsia"/>
          <w:sz w:val="32"/>
          <w:szCs w:val="32"/>
        </w:rPr>
        <w:t>职工调资调级。</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b/>
          <w:sz w:val="32"/>
          <w:szCs w:val="32"/>
        </w:rPr>
        <w:t>3.社会保障和就业支出（类）行政事业单位养老支出（款）机关事业单位职业年金缴费支出（项）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16.64</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2.14</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14.75</w:t>
      </w:r>
      <w:r>
        <w:rPr>
          <w:rFonts w:ascii="仿宋_GB2312" w:eastAsia="仿宋_GB2312" w:hAnsi="TimesNewRoman" w:cs="TimesNewRoman" w:hint="eastAsia"/>
          <w:sz w:val="32"/>
          <w:szCs w:val="32"/>
        </w:rPr>
        <w:t>%，增长原因主要是人员工资增加，</w:t>
      </w:r>
      <w:r>
        <w:rPr>
          <w:rFonts w:ascii="仿宋_GB2312" w:eastAsia="仿宋_GB2312" w:hAnsi="TimesNewRoman" w:cs="TimesNewRoman" w:hint="eastAsia"/>
          <w:sz w:val="32"/>
          <w:szCs w:val="32"/>
          <w:lang w:eastAsia="zh-CN"/>
        </w:rPr>
        <w:t>调入和新聘人员增加，</w:t>
      </w:r>
      <w:r>
        <w:rPr>
          <w:rFonts w:ascii="仿宋_GB2312" w:eastAsia="仿宋_GB2312" w:hAnsi="TimesNewRoman" w:cs="TimesNewRoman" w:hint="eastAsia"/>
          <w:sz w:val="32"/>
          <w:szCs w:val="32"/>
        </w:rPr>
        <w:t>职工调资调级</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b/>
          <w:sz w:val="32"/>
          <w:szCs w:val="32"/>
        </w:rPr>
        <w:t>4. 社会保障和就业支出（类）其他社会保障和就业支出（款）其他社会保障和就业支出（项）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1.46</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0.19</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14.96</w:t>
      </w:r>
      <w:r>
        <w:rPr>
          <w:rFonts w:ascii="仿宋_GB2312" w:eastAsia="仿宋_GB2312" w:hAnsi="TimesNewRoman" w:cs="TimesNewRoman" w:hint="eastAsia"/>
          <w:sz w:val="32"/>
          <w:szCs w:val="32"/>
        </w:rPr>
        <w:t>%，增长原因主要是人员工资增加，</w:t>
      </w:r>
      <w:r>
        <w:rPr>
          <w:rFonts w:ascii="仿宋_GB2312" w:eastAsia="仿宋_GB2312" w:hAnsi="TimesNewRoman" w:cs="TimesNewRoman" w:hint="eastAsia"/>
          <w:sz w:val="32"/>
          <w:szCs w:val="32"/>
          <w:lang w:eastAsia="zh-CN"/>
        </w:rPr>
        <w:t>调入和新聘人员增加，</w:t>
      </w:r>
      <w:r>
        <w:rPr>
          <w:rFonts w:ascii="仿宋_GB2312" w:eastAsia="仿宋_GB2312" w:hAnsi="TimesNewRoman" w:cs="TimesNewRoman" w:hint="eastAsia"/>
          <w:sz w:val="32"/>
          <w:szCs w:val="32"/>
        </w:rPr>
        <w:t>职工调资调级</w:t>
      </w:r>
    </w:p>
    <w:p>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5. 卫生健康支出（类）基层医疗卫生机构支出（款）乡镇卫生院（项）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228.89</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28.17</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14.03</w:t>
      </w:r>
      <w:r>
        <w:rPr>
          <w:rFonts w:ascii="仿宋_GB2312" w:eastAsia="仿宋_GB2312" w:hAnsi="TimesNewRoman" w:cs="TimesNewRoman" w:hint="eastAsia"/>
          <w:sz w:val="32"/>
          <w:szCs w:val="32"/>
        </w:rPr>
        <w:t>%，增长原因主要是职工人员工资调整和新招在编人员。</w:t>
      </w:r>
    </w:p>
    <w:p>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6. 卫生健康支出（类）公共卫生（款）基本公共卫生服务（项）</w:t>
      </w:r>
      <w:r>
        <w:rPr>
          <w:rFonts w:ascii="仿宋_GB2312" w:eastAsia="仿宋_GB2312" w:hAnsi="TimesNewRoman" w:cs="TimesNewRoman" w:hint="eastAsia"/>
          <w:sz w:val="32"/>
          <w:szCs w:val="32"/>
        </w:rPr>
        <w:t>2024年预算0.</w:t>
      </w:r>
      <w:r>
        <w:rPr>
          <w:rFonts w:ascii="仿宋_GB2312" w:eastAsia="仿宋_GB2312" w:hAnsi="TimesNewRoman" w:cs="TimesNewRoman" w:hint="eastAsia"/>
          <w:sz w:val="32"/>
          <w:szCs w:val="32"/>
          <w:lang w:val="en-US" w:eastAsia="zh-CN"/>
        </w:rPr>
        <w:t>43</w:t>
      </w:r>
      <w:r>
        <w:rPr>
          <w:rFonts w:ascii="仿宋_GB2312" w:eastAsia="仿宋_GB2312" w:hAnsi="TimesNewRoman" w:cs="TimesNewRoman" w:hint="eastAsia"/>
          <w:sz w:val="32"/>
          <w:szCs w:val="32"/>
        </w:rPr>
        <w:t>万元，比2023年预算增加0.</w:t>
      </w:r>
      <w:r>
        <w:rPr>
          <w:rFonts w:ascii="仿宋_GB2312" w:eastAsia="仿宋_GB2312" w:hAnsi="TimesNewRoman" w:cs="TimesNewRoman" w:hint="eastAsia"/>
          <w:sz w:val="32"/>
          <w:szCs w:val="32"/>
          <w:lang w:val="en-US" w:eastAsia="zh-CN"/>
        </w:rPr>
        <w:t>43</w:t>
      </w:r>
      <w:r>
        <w:rPr>
          <w:rFonts w:ascii="仿宋_GB2312" w:eastAsia="仿宋_GB2312" w:hAnsi="TimesNewRoman" w:cs="TimesNewRoman" w:hint="eastAsia"/>
          <w:sz w:val="32"/>
          <w:szCs w:val="32"/>
        </w:rPr>
        <w:t>万元，增长100%，增长原因主要是2023年无此项目经费。</w:t>
      </w:r>
    </w:p>
    <w:p>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7. 卫生健康支出（类）行政事业单位医疗（款）事业单位医疗（项）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14.35</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1.84</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14.71</w:t>
      </w:r>
      <w:r>
        <w:rPr>
          <w:rFonts w:ascii="仿宋_GB2312" w:eastAsia="仿宋_GB2312" w:hAnsi="TimesNewRoman" w:cs="TimesNewRoman" w:hint="eastAsia"/>
          <w:sz w:val="32"/>
          <w:szCs w:val="32"/>
        </w:rPr>
        <w:t>%，增长原因主要是职工人员工资调整，</w:t>
      </w:r>
      <w:r>
        <w:rPr>
          <w:rFonts w:ascii="仿宋_GB2312" w:eastAsia="仿宋_GB2312" w:hAnsi="TimesNewRoman" w:cs="TimesNewRoman" w:hint="eastAsia"/>
          <w:sz w:val="32"/>
          <w:szCs w:val="32"/>
          <w:lang w:eastAsia="zh-CN"/>
        </w:rPr>
        <w:t>增加新入编人员，</w:t>
      </w:r>
      <w:r>
        <w:rPr>
          <w:rFonts w:ascii="仿宋_GB2312" w:eastAsia="仿宋_GB2312" w:hAnsi="TimesNewRoman" w:cs="TimesNewRoman" w:hint="eastAsia"/>
          <w:sz w:val="32"/>
          <w:szCs w:val="32"/>
        </w:rPr>
        <w:t>事业单位医疗支出增加。</w:t>
      </w:r>
    </w:p>
    <w:p>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8.住房保障支出（类）住房改革支出（款）住房公积金（项）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24.95</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3.2</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14.71</w:t>
      </w:r>
      <w:r>
        <w:rPr>
          <w:rFonts w:ascii="仿宋_GB2312" w:eastAsia="仿宋_GB2312" w:hAnsi="TimesNewRoman" w:cs="TimesNewRoman" w:hint="eastAsia"/>
          <w:sz w:val="32"/>
          <w:szCs w:val="32"/>
        </w:rPr>
        <w:t>%，增长（下降）原因主要是职工调资调级，</w:t>
      </w:r>
      <w:r>
        <w:rPr>
          <w:rFonts w:ascii="仿宋_GB2312" w:eastAsia="仿宋_GB2312" w:hAnsi="TimesNewRoman" w:cs="TimesNewRoman" w:hint="eastAsia"/>
          <w:sz w:val="32"/>
          <w:szCs w:val="32"/>
          <w:lang w:eastAsia="zh-CN"/>
        </w:rPr>
        <w:t>增加新入编人员，</w:t>
      </w:r>
      <w:r>
        <w:rPr>
          <w:rFonts w:ascii="仿宋_GB2312" w:eastAsia="仿宋_GB2312" w:hAnsi="TimesNewRoman" w:cs="TimesNewRoman" w:hint="eastAsia"/>
          <w:sz w:val="32"/>
          <w:szCs w:val="32"/>
        </w:rPr>
        <w:t>人员经费增加。</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六、关于2024年一般公共预算基本支出表的说明</w:t>
      </w:r>
    </w:p>
    <w:p>
      <w:pPr>
        <w:topLinePunct/>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瓦埠</w:t>
      </w:r>
      <w:r>
        <w:rPr>
          <w:rFonts w:ascii="仿宋_GB2312" w:eastAsia="仿宋_GB2312" w:hAnsi="TimesNewRoman" w:cs="TimesNewRoman" w:hint="eastAsia"/>
          <w:sz w:val="32"/>
          <w:szCs w:val="32"/>
        </w:rPr>
        <w:t>镇中心卫生院2024年一般公共预算基本支出</w:t>
      </w:r>
      <w:r>
        <w:rPr>
          <w:rFonts w:ascii="仿宋_GB2312" w:eastAsia="仿宋_GB2312" w:hAnsi="TimesNewRoman" w:cs="TimesNewRoman" w:hint="eastAsia"/>
          <w:sz w:val="32"/>
          <w:szCs w:val="32"/>
          <w:lang w:val="en-US" w:eastAsia="zh-CN"/>
        </w:rPr>
        <w:t>365.51</w:t>
      </w:r>
      <w:r>
        <w:rPr>
          <w:rFonts w:ascii="仿宋_GB2312" w:eastAsia="仿宋_GB2312" w:hAnsi="TimesNewRoman" w:cs="TimesNewRoman" w:hint="eastAsia"/>
          <w:sz w:val="32"/>
          <w:szCs w:val="32"/>
        </w:rPr>
        <w:t>万元，其中，人员经费</w:t>
      </w:r>
      <w:r>
        <w:rPr>
          <w:rFonts w:ascii="仿宋_GB2312" w:eastAsia="仿宋_GB2312" w:hAnsi="TimesNewRoman" w:cs="TimesNewRoman" w:hint="eastAsia"/>
          <w:sz w:val="32"/>
          <w:szCs w:val="32"/>
          <w:lang w:val="en-US" w:eastAsia="zh-CN"/>
        </w:rPr>
        <w:t>365.51</w:t>
      </w:r>
      <w:r>
        <w:rPr>
          <w:rFonts w:ascii="仿宋_GB2312" w:eastAsia="仿宋_GB2312" w:hAnsi="TimesNewRoman" w:cs="TimesNewRoman" w:hint="eastAsia"/>
          <w:sz w:val="32"/>
          <w:szCs w:val="32"/>
        </w:rPr>
        <w:t>万元。</w:t>
      </w:r>
    </w:p>
    <w:p>
      <w:pPr>
        <w:topLinePunct/>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（一）人员经费</w:t>
      </w:r>
      <w:r>
        <w:rPr>
          <w:rFonts w:ascii="仿宋_GB2312" w:eastAsia="仿宋_GB2312" w:hAnsi="TimesNewRoman" w:cs="TimesNewRoman" w:hint="eastAsia"/>
          <w:sz w:val="32"/>
          <w:szCs w:val="32"/>
          <w:lang w:val="en-US" w:eastAsia="zh-CN"/>
        </w:rPr>
        <w:t>365.51</w:t>
      </w:r>
      <w:r>
        <w:rPr>
          <w:rFonts w:ascii="仿宋_GB2312" w:eastAsia="仿宋_GB2312" w:hAnsi="TimesNewRoman" w:cs="TimesNewRoman" w:hint="eastAsia"/>
          <w:sz w:val="32"/>
          <w:szCs w:val="32"/>
        </w:rPr>
        <w:t>万元，主要包括:</w:t>
      </w:r>
      <w:r>
        <w:rPr>
          <w:rFonts w:ascii="仿宋_GB2312" w:eastAsia="仿宋_GB2312" w:hAnsi="TimesNewRoman" w:cs="TimesNewRoman" w:hint="eastAsia"/>
          <w:sz w:val="32"/>
          <w:szCs w:val="32"/>
          <w:u w:val="single"/>
        </w:rPr>
        <w:t>基本工资、绩效工资、机关事业单位基本养老保险费、职业年金缴费、职工基本医疗保险缴费、其他社会保障缴费、住房公积金、其他工资福利支出、、退休费、生活补助支出。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七、关于2024年政府性基金预算支出表的说明</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瓦埠</w:t>
      </w:r>
      <w:r>
        <w:rPr>
          <w:rFonts w:ascii="仿宋_GB2312" w:eastAsia="仿宋_GB2312" w:hAnsi="TimesNewRoman" w:cs="TimesNewRoman" w:hint="eastAsia"/>
          <w:sz w:val="32"/>
          <w:szCs w:val="32"/>
        </w:rPr>
        <w:t>镇中心卫生院2024年没有政府性基金预算拨款收入，也没有使用政府性基金预算拨款安排的支出。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八、关于2024年国有资本经营预算支出表的说明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瓦埠</w:t>
      </w:r>
      <w:r>
        <w:rPr>
          <w:rFonts w:ascii="仿宋_GB2312" w:eastAsia="仿宋_GB2312" w:hAnsi="TimesNewRoman" w:cs="TimesNewRoman" w:hint="eastAsia"/>
          <w:sz w:val="32"/>
          <w:szCs w:val="32"/>
        </w:rPr>
        <w:t>镇中心卫生院2024年没有国有资本经营预算拨款收入，也没有使用国有资本经营预算拨款安排的支出。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九、关于2024年项目支出表的说明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瓦埠</w:t>
      </w:r>
      <w:r>
        <w:rPr>
          <w:rFonts w:ascii="仿宋_GB2312" w:eastAsia="仿宋_GB2312" w:hAnsi="TimesNewRoman" w:cs="TimesNewRoman" w:hint="eastAsia"/>
          <w:sz w:val="32"/>
          <w:szCs w:val="32"/>
        </w:rPr>
        <w:t>镇中心卫生院2024年预算共安排项目支出</w:t>
      </w:r>
      <w:r>
        <w:rPr>
          <w:rFonts w:ascii="仿宋_GB2312" w:eastAsia="仿宋_GB2312" w:hAnsi="TimesNewRoman" w:cs="TimesNewRoman" w:hint="eastAsia"/>
          <w:sz w:val="32"/>
          <w:szCs w:val="32"/>
          <w:lang w:val="en-US" w:eastAsia="zh-CN"/>
        </w:rPr>
        <w:t>691.87</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39.26</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6</w:t>
      </w:r>
      <w:r>
        <w:rPr>
          <w:rFonts w:ascii="仿宋_GB2312" w:eastAsia="仿宋_GB2312" w:hAnsi="TimesNewRoman" w:cs="TimesNewRoman" w:hint="eastAsia"/>
          <w:sz w:val="32"/>
          <w:szCs w:val="32"/>
        </w:rPr>
        <w:t>%，增长原因主要是疫情结束，业务收入增加。主要包括：本年财政拨款安排1.</w:t>
      </w:r>
      <w:r>
        <w:rPr>
          <w:rFonts w:ascii="仿宋_GB2312" w:eastAsia="仿宋_GB2312" w:hAnsi="TimesNewRoman" w:cs="TimesNewRoman" w:hint="eastAsia"/>
          <w:sz w:val="32"/>
          <w:szCs w:val="32"/>
          <w:lang w:val="en-US" w:eastAsia="zh-CN"/>
        </w:rPr>
        <w:t>87</w:t>
      </w:r>
      <w:r>
        <w:rPr>
          <w:rFonts w:ascii="仿宋_GB2312" w:eastAsia="仿宋_GB2312" w:hAnsi="TimesNewRoman" w:cs="TimesNewRoman" w:hint="eastAsia"/>
          <w:sz w:val="32"/>
          <w:szCs w:val="32"/>
        </w:rPr>
        <w:t>万元（其中，一般公共预算拨款安排1.</w:t>
      </w:r>
      <w:r>
        <w:rPr>
          <w:rFonts w:ascii="仿宋_GB2312" w:eastAsia="仿宋_GB2312" w:hAnsi="TimesNewRoman" w:cs="TimesNewRoman" w:hint="eastAsia"/>
          <w:sz w:val="32"/>
          <w:szCs w:val="32"/>
          <w:lang w:val="en-US" w:eastAsia="zh-CN"/>
        </w:rPr>
        <w:t>87</w:t>
      </w:r>
      <w:r>
        <w:rPr>
          <w:rFonts w:ascii="仿宋_GB2312" w:eastAsia="仿宋_GB2312" w:hAnsi="TimesNewRoman" w:cs="TimesNewRoman" w:hint="eastAsia"/>
          <w:sz w:val="32"/>
          <w:szCs w:val="32"/>
        </w:rPr>
        <w:t>万元），单位资金安排</w:t>
      </w:r>
      <w:r>
        <w:rPr>
          <w:rFonts w:ascii="仿宋_GB2312" w:eastAsia="仿宋_GB2312" w:hAnsi="TimesNewRoman" w:cs="TimesNewRoman" w:hint="eastAsia"/>
          <w:sz w:val="32"/>
          <w:szCs w:val="32"/>
          <w:lang w:val="en-US" w:eastAsia="zh-CN"/>
        </w:rPr>
        <w:t>69</w:t>
      </w:r>
      <w:r>
        <w:rPr>
          <w:rFonts w:ascii="仿宋_GB2312" w:eastAsia="仿宋_GB2312" w:hAnsi="TimesNewRoman" w:cs="TimesNewRoman" w:hint="eastAsia"/>
          <w:sz w:val="32"/>
          <w:szCs w:val="32"/>
        </w:rPr>
        <w:t>0万元。</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十、关于2024年政府采购支出表的说明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瓦埠</w:t>
      </w:r>
      <w:r>
        <w:rPr>
          <w:rFonts w:ascii="仿宋_GB2312" w:eastAsia="仿宋_GB2312" w:hAnsi="TimesNewRoman" w:cs="TimesNewRoman" w:hint="eastAsia"/>
          <w:sz w:val="32"/>
          <w:szCs w:val="32"/>
        </w:rPr>
        <w:t>镇中心卫生院2024年预算安排政府采购支出</w:t>
      </w:r>
      <w:r>
        <w:rPr>
          <w:rFonts w:ascii="仿宋_GB2312" w:eastAsia="仿宋_GB2312" w:hAnsi="TimesNewRoman" w:cs="TimesNewRoman" w:hint="eastAsia"/>
          <w:sz w:val="32"/>
          <w:szCs w:val="32"/>
          <w:lang w:val="en-US" w:eastAsia="zh-CN"/>
        </w:rPr>
        <w:t>42.8</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3.44</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8.7</w:t>
      </w:r>
      <w:r>
        <w:rPr>
          <w:rFonts w:ascii="仿宋_GB2312" w:eastAsia="仿宋_GB2312" w:hAnsi="TimesNewRoman" w:cs="TimesNewRoman" w:hint="eastAsia"/>
          <w:sz w:val="32"/>
          <w:szCs w:val="32"/>
        </w:rPr>
        <w:t>%，增长原因主要是因业务需要，需购买部分办公设备。其中单位资金安排</w:t>
      </w:r>
      <w:r>
        <w:rPr>
          <w:rFonts w:ascii="仿宋_GB2312" w:eastAsia="仿宋_GB2312" w:hAnsi="TimesNewRoman" w:cs="TimesNewRoman" w:hint="eastAsia"/>
          <w:sz w:val="32"/>
          <w:szCs w:val="32"/>
          <w:lang w:val="en-US" w:eastAsia="zh-CN"/>
        </w:rPr>
        <w:t>42.8</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100</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十一、关于2024年政府购买服务支出表的说明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瓦埠</w:t>
      </w:r>
      <w:r>
        <w:rPr>
          <w:rFonts w:ascii="仿宋_GB2312" w:eastAsia="仿宋_GB2312" w:hAnsi="TimesNewRoman" w:cs="TimesNewRoman" w:hint="eastAsia"/>
          <w:sz w:val="32"/>
          <w:szCs w:val="32"/>
        </w:rPr>
        <w:t>镇中心卫生院2024年没有安排政府购买服务支出。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十二、其他重要事项情况说明</w:t>
      </w:r>
    </w:p>
    <w:p>
      <w:pPr>
        <w:topLinePunct/>
        <w:adjustRightInd w:val="0"/>
        <w:snapToGrid w:val="0"/>
        <w:spacing w:line="58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（一）项目及绩效目标情况。</w:t>
      </w:r>
    </w:p>
    <w:p>
      <w:pPr>
        <w:topLinePunct/>
        <w:adjustRightInd w:val="0"/>
        <w:snapToGrid w:val="0"/>
        <w:spacing w:line="58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1.“乡镇卫生院医疗卫生支出”项目。</w:t>
      </w:r>
    </w:p>
    <w:p>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（1）项目概述。1、加快我院的发展，提高我院的医疗安全质量，为患者提供一个安全放心的就医场所；2、保障我院日常开支，确保日常后勤工作顺利开展。</w:t>
      </w:r>
    </w:p>
    <w:p>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（2）立项依据。为人民身体健康提供医疗保健服务，常见病多发病诊治与护理、卫生防疫、妇幼保健、计划免疫、乡村医生业务培训、卫生员业务培训、初级卫生保健规划实施。</w:t>
      </w:r>
    </w:p>
    <w:p>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（3）实施主体。寿县</w:t>
      </w:r>
      <w:r>
        <w:rPr>
          <w:rFonts w:ascii="仿宋_GB2312" w:eastAsia="仿宋_GB2312" w:hAnsi="TimesNewRoman" w:cs="TimesNewRoman" w:hint="eastAsia"/>
          <w:sz w:val="32"/>
          <w:szCs w:val="32"/>
          <w:lang w:eastAsia="zh-CN"/>
        </w:rPr>
        <w:t>瓦埠</w:t>
      </w:r>
      <w:r>
        <w:rPr>
          <w:rFonts w:ascii="仿宋_GB2312" w:eastAsia="仿宋_GB2312" w:hAnsi="TimesNewRoman" w:cs="TimesNewRoman" w:hint="eastAsia"/>
          <w:sz w:val="32"/>
          <w:szCs w:val="32"/>
        </w:rPr>
        <w:t>镇中心卫生院</w:t>
      </w:r>
    </w:p>
    <w:p>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（4）起止时间。2024年1月1日至2024年12月31日</w:t>
      </w:r>
    </w:p>
    <w:p>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（5）项目内容。为人民身体健康提供医疗保健服务，常见病多发病诊治与护理、卫生防疫、妇幼保健、计划免疫、乡村医生业务培训、卫生员业务培训、初级卫生保健规划实施。</w:t>
      </w:r>
    </w:p>
    <w:p>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（6）年度预算安排。</w:t>
      </w:r>
      <w:r>
        <w:rPr>
          <w:rFonts w:ascii="仿宋_GB2312" w:eastAsia="仿宋_GB2312" w:hAnsi="TimesNewRoman" w:cs="TimesNewRoman" w:hint="eastAsia"/>
          <w:color w:val="auto"/>
          <w:sz w:val="32"/>
          <w:szCs w:val="32"/>
          <w:lang w:val="en-US" w:eastAsia="zh-CN"/>
        </w:rPr>
        <w:t>69</w:t>
      </w:r>
      <w:r>
        <w:rPr>
          <w:rFonts w:ascii="仿宋_GB2312" w:eastAsia="仿宋_GB2312" w:hAnsi="TimesNewRoman" w:cs="TimesNewRoman" w:hint="eastAsia"/>
          <w:color w:val="auto"/>
          <w:sz w:val="32"/>
          <w:szCs w:val="32"/>
        </w:rPr>
        <w:t>0</w:t>
      </w:r>
      <w:r>
        <w:rPr>
          <w:rFonts w:ascii="仿宋_GB2312" w:eastAsia="仿宋_GB2312" w:hAnsi="TimesNewRoman" w:cs="TimesNewRoman" w:hint="eastAsia"/>
          <w:sz w:val="32"/>
          <w:szCs w:val="32"/>
        </w:rPr>
        <w:t>万</w:t>
      </w:r>
    </w:p>
    <w:p>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（7）绩效目标。为人民身体健康提供医疗保健服务，常见病多发病诊治与护理、卫生防疫、妇幼保健、计划免疫、乡村医生业务培训、卫生员业务培训、初级卫生保健规划实施。</w:t>
      </w:r>
    </w:p>
    <w:p>
      <w:pPr>
        <w:topLinePunct/>
        <w:adjustRightInd w:val="0"/>
        <w:snapToGrid w:val="0"/>
        <w:spacing w:line="580" w:lineRule="exact"/>
        <w:ind w:firstLine="640" w:firstLineChars="200"/>
        <w:rPr>
          <w:rFonts w:ascii="仿宋_GB2312" w:eastAsia="仿宋_GB2312" w:hAnsi="楷体"/>
          <w:sz w:val="32"/>
          <w:szCs w:val="32"/>
        </w:rPr>
      </w:pPr>
    </w:p>
    <w:p>
      <w:pPr>
        <w:topLinePunct/>
        <w:adjustRightInd w:val="0"/>
        <w:snapToGrid w:val="0"/>
        <w:spacing w:line="580" w:lineRule="exact"/>
        <w:ind w:firstLine="640" w:firstLineChars="200"/>
        <w:rPr>
          <w:rFonts w:ascii="仿宋_GB2312" w:eastAsia="仿宋_GB2312" w:hAnsi="楷体"/>
          <w:sz w:val="32"/>
          <w:szCs w:val="32"/>
        </w:rPr>
      </w:pPr>
    </w:p>
    <w:p>
      <w:pPr>
        <w:topLinePunct/>
        <w:adjustRightInd w:val="0"/>
        <w:snapToGrid w:val="0"/>
        <w:spacing w:line="580" w:lineRule="exact"/>
        <w:ind w:firstLine="640" w:firstLineChars="200"/>
        <w:rPr>
          <w:rFonts w:ascii="仿宋_GB2312" w:eastAsia="仿宋_GB2312" w:hAnsi="楷体"/>
          <w:sz w:val="32"/>
          <w:szCs w:val="32"/>
        </w:rPr>
      </w:pPr>
    </w:p>
    <w:p>
      <w:pPr>
        <w:topLinePunct/>
        <w:adjustRightInd w:val="0"/>
        <w:snapToGrid w:val="0"/>
        <w:spacing w:line="580" w:lineRule="exact"/>
        <w:ind w:firstLine="640" w:firstLineChars="200"/>
        <w:rPr>
          <w:rFonts w:ascii="仿宋_GB2312" w:eastAsia="仿宋_GB2312" w:hAnsi="楷体"/>
          <w:sz w:val="32"/>
          <w:szCs w:val="32"/>
        </w:rPr>
      </w:pPr>
    </w:p>
    <w:p>
      <w:pPr>
        <w:topLinePunct/>
        <w:adjustRightInd w:val="0"/>
        <w:snapToGrid w:val="0"/>
        <w:spacing w:line="580" w:lineRule="exact"/>
        <w:ind w:firstLine="640" w:firstLineChars="200"/>
        <w:rPr>
          <w:rFonts w:ascii="仿宋_GB2312" w:eastAsia="仿宋_GB2312" w:hAnsi="楷体"/>
          <w:sz w:val="32"/>
          <w:szCs w:val="32"/>
        </w:rPr>
      </w:pPr>
    </w:p>
    <w:p>
      <w:pPr>
        <w:topLinePunct/>
        <w:adjustRightInd w:val="0"/>
        <w:snapToGrid w:val="0"/>
        <w:spacing w:line="580" w:lineRule="exact"/>
        <w:ind w:firstLine="640" w:firstLineChars="200"/>
        <w:rPr>
          <w:rFonts w:ascii="仿宋_GB2312" w:eastAsia="仿宋_GB2312" w:hAnsi="楷体"/>
          <w:sz w:val="32"/>
          <w:szCs w:val="32"/>
        </w:rPr>
      </w:pPr>
    </w:p>
    <w:p>
      <w:pPr>
        <w:topLinePunct/>
        <w:adjustRightInd w:val="0"/>
        <w:snapToGrid w:val="0"/>
        <w:spacing w:line="580" w:lineRule="exact"/>
        <w:ind w:firstLine="640" w:firstLineChars="200"/>
        <w:rPr>
          <w:rFonts w:ascii="仿宋_GB2312" w:eastAsia="仿宋_GB2312" w:hAnsi="楷体"/>
          <w:sz w:val="32"/>
          <w:szCs w:val="32"/>
        </w:rPr>
      </w:pP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38"/>
        <w:gridCol w:w="663"/>
        <w:gridCol w:w="342"/>
        <w:gridCol w:w="366"/>
        <w:gridCol w:w="2983"/>
        <w:gridCol w:w="278"/>
        <w:gridCol w:w="1570"/>
        <w:gridCol w:w="238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70"/>
        </w:trPr>
        <w:tc>
          <w:tcPr>
            <w:tcW w:w="9020" w:type="dxa"/>
            <w:gridSpan w:val="8"/>
            <w:tcBorders>
              <w:top w:val="nil"/>
              <w:left w:val="nil"/>
              <w:right w:val="nil"/>
            </w:tcBorders>
            <w:noWrap/>
            <w:vAlign w:val="center"/>
          </w:tcPr>
          <w:p>
            <w:pPr>
              <w:widowControl/>
              <w:jc w:val="center"/>
              <w:textAlignment w:val="center"/>
              <w:rPr>
                <w:rFonts w:ascii="宋体" w:cs="宋体"/>
                <w:sz w:val="20"/>
              </w:rPr>
            </w:pPr>
            <w:r>
              <w:rPr>
                <w:rFonts w:ascii="宋体" w:hAnsi="宋体" w:cs="宋体" w:hint="eastAsia"/>
                <w:color w:val="000000"/>
                <w:kern w:val="0"/>
                <w:sz w:val="20"/>
                <w:szCs w:val="20"/>
              </w:rPr>
              <w:t xml:space="preserve"> （2024年度）                                </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项目名称</w:t>
            </w:r>
          </w:p>
        </w:tc>
        <w:tc>
          <w:tcPr>
            <w:tcW w:w="7577" w:type="dxa"/>
            <w:gridSpan w:val="5"/>
            <w:noWrap/>
            <w:vAlign w:val="center"/>
          </w:tcPr>
          <w:p>
            <w:pPr>
              <w:spacing w:line="260" w:lineRule="exact"/>
              <w:jc w:val="center"/>
              <w:rPr>
                <w:rFonts w:ascii="宋体" w:cs="宋体"/>
                <w:sz w:val="18"/>
                <w:szCs w:val="18"/>
              </w:rPr>
            </w:pPr>
            <w:r>
              <w:rPr>
                <w:rFonts w:ascii="宋体" w:cs="宋体"/>
                <w:sz w:val="18"/>
                <w:szCs w:val="18"/>
              </w:rPr>
              <w:t>乡镇卫生院医疗卫生支出</w:t>
            </w:r>
          </w:p>
        </w:tc>
      </w:tr>
      <w:tr>
        <w:tblPrEx>
          <w:tblW w:w="0" w:type="auto"/>
          <w:tblInd w:w="0" w:type="dxa"/>
          <w:tblLayout w:type="fixed"/>
          <w:tblCellMar>
            <w:top w:w="0" w:type="dxa"/>
            <w:left w:w="108" w:type="dxa"/>
            <w:bottom w:w="0" w:type="dxa"/>
            <w:right w:w="108" w:type="dxa"/>
          </w:tblCellMar>
        </w:tblPrEx>
        <w:trPr>
          <w:trHeight w:val="491"/>
        </w:trPr>
        <w:tc>
          <w:tcPr>
            <w:tcW w:w="1443" w:type="dxa"/>
            <w:gridSpan w:val="3"/>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主管部门   及代码</w:t>
            </w:r>
          </w:p>
        </w:tc>
        <w:tc>
          <w:tcPr>
            <w:tcW w:w="3349" w:type="dxa"/>
            <w:gridSpan w:val="2"/>
            <w:noWrap/>
            <w:vAlign w:val="center"/>
          </w:tcPr>
          <w:p>
            <w:pPr>
              <w:spacing w:line="260" w:lineRule="exact"/>
              <w:jc w:val="center"/>
              <w:rPr>
                <w:rFonts w:ascii="宋体" w:cs="宋体"/>
                <w:sz w:val="18"/>
                <w:szCs w:val="18"/>
              </w:rPr>
            </w:pPr>
            <w:r>
              <w:rPr>
                <w:rFonts w:ascii="宋体" w:cs="宋体"/>
                <w:sz w:val="18"/>
                <w:szCs w:val="18"/>
              </w:rPr>
              <w:t>寿县卫生健康委员会</w:t>
            </w:r>
          </w:p>
        </w:tc>
        <w:tc>
          <w:tcPr>
            <w:tcW w:w="1848" w:type="dxa"/>
            <w:gridSpan w:val="2"/>
            <w:noWrap/>
            <w:vAlign w:val="center"/>
          </w:tcPr>
          <w:p>
            <w:pPr>
              <w:spacing w:line="260" w:lineRule="exact"/>
              <w:jc w:val="center"/>
              <w:textAlignment w:val="center"/>
              <w:rPr>
                <w:sz w:val="18"/>
                <w:szCs w:val="18"/>
              </w:rPr>
            </w:pPr>
            <w:r>
              <w:rPr>
                <w:rFonts w:ascii="宋体" w:hAnsi="宋体" w:cs="宋体" w:hint="eastAsia"/>
                <w:color w:val="000000"/>
                <w:kern w:val="0"/>
                <w:sz w:val="18"/>
                <w:szCs w:val="18"/>
              </w:rPr>
              <w:t>实施单位</w:t>
            </w:r>
          </w:p>
        </w:tc>
        <w:tc>
          <w:tcPr>
            <w:tcW w:w="2380" w:type="dxa"/>
            <w:noWrap/>
            <w:vAlign w:val="center"/>
          </w:tcPr>
          <w:p>
            <w:pPr>
              <w:spacing w:line="260" w:lineRule="exact"/>
              <w:jc w:val="center"/>
              <w:rPr>
                <w:sz w:val="18"/>
                <w:szCs w:val="18"/>
              </w:rPr>
            </w:pPr>
            <w:r>
              <w:rPr>
                <w:sz w:val="18"/>
                <w:szCs w:val="18"/>
              </w:rPr>
              <w:t>寿县</w:t>
            </w:r>
            <w:r>
              <w:rPr>
                <w:rFonts w:hint="eastAsia"/>
                <w:sz w:val="18"/>
                <w:szCs w:val="18"/>
                <w:lang w:eastAsia="zh-CN"/>
              </w:rPr>
              <w:t>瓦埠</w:t>
            </w:r>
            <w:r>
              <w:rPr>
                <w:sz w:val="18"/>
                <w:szCs w:val="18"/>
              </w:rPr>
              <w:t>镇中心卫生院</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项目来源</w:t>
            </w:r>
          </w:p>
        </w:tc>
        <w:tc>
          <w:tcPr>
            <w:tcW w:w="3349" w:type="dxa"/>
            <w:gridSpan w:val="2"/>
            <w:noWrap/>
            <w:vAlign w:val="center"/>
          </w:tcPr>
          <w:p>
            <w:pPr>
              <w:spacing w:line="260" w:lineRule="exact"/>
              <w:jc w:val="center"/>
              <w:rPr>
                <w:rFonts w:ascii="宋体" w:cs="宋体"/>
                <w:sz w:val="18"/>
                <w:szCs w:val="18"/>
              </w:rPr>
            </w:pPr>
          </w:p>
        </w:tc>
        <w:tc>
          <w:tcPr>
            <w:tcW w:w="1848" w:type="dxa"/>
            <w:gridSpan w:val="2"/>
            <w:noWrap/>
            <w:vAlign w:val="center"/>
          </w:tcPr>
          <w:p>
            <w:pPr>
              <w:spacing w:line="260" w:lineRule="exact"/>
              <w:jc w:val="center"/>
              <w:textAlignment w:val="center"/>
              <w:rPr>
                <w:sz w:val="18"/>
                <w:szCs w:val="18"/>
              </w:rPr>
            </w:pPr>
            <w:r>
              <w:rPr>
                <w:rFonts w:ascii="宋体" w:hAnsi="宋体" w:cs="宋体" w:hint="eastAsia"/>
                <w:color w:val="000000"/>
                <w:kern w:val="0"/>
                <w:sz w:val="18"/>
                <w:szCs w:val="18"/>
              </w:rPr>
              <w:t>项目期</w:t>
            </w:r>
          </w:p>
        </w:tc>
        <w:tc>
          <w:tcPr>
            <w:tcW w:w="2380" w:type="dxa"/>
            <w:noWrap/>
            <w:vAlign w:val="center"/>
          </w:tcPr>
          <w:p>
            <w:pPr>
              <w:spacing w:line="260" w:lineRule="exact"/>
              <w:jc w:val="center"/>
              <w:rPr>
                <w:sz w:val="18"/>
                <w:szCs w:val="18"/>
              </w:rPr>
            </w:pPr>
            <w:r>
              <w:rPr>
                <w:rFonts w:hint="eastAsia"/>
                <w:sz w:val="18"/>
                <w:szCs w:val="18"/>
              </w:rPr>
              <w:t>1年</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val="restart"/>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项目资金</w:t>
            </w:r>
            <w:r>
              <w:rPr>
                <w:rFonts w:ascii="宋体" w:hAnsi="宋体" w:cs="宋体" w:hint="eastAsia"/>
                <w:color w:val="000000"/>
                <w:kern w:val="0"/>
                <w:sz w:val="18"/>
                <w:szCs w:val="18"/>
              </w:rPr>
              <w:br/>
            </w:r>
            <w:r>
              <w:rPr>
                <w:rFonts w:ascii="宋体" w:hAnsi="宋体" w:cs="宋体" w:hint="eastAsia"/>
                <w:color w:val="000000"/>
                <w:kern w:val="0"/>
                <w:sz w:val="18"/>
                <w:szCs w:val="18"/>
              </w:rPr>
              <w:t>（万元）</w:t>
            </w:r>
          </w:p>
        </w:tc>
        <w:tc>
          <w:tcPr>
            <w:tcW w:w="3349" w:type="dxa"/>
            <w:gridSpan w:val="2"/>
            <w:noWrap/>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rPr>
              <w:t xml:space="preserve"> 年度资金总额：</w:t>
            </w:r>
          </w:p>
        </w:tc>
        <w:tc>
          <w:tcPr>
            <w:tcW w:w="4228" w:type="dxa"/>
            <w:gridSpan w:val="3"/>
            <w:noWrap/>
            <w:vAlign w:val="center"/>
          </w:tcPr>
          <w:p>
            <w:pPr>
              <w:spacing w:line="260" w:lineRule="exact"/>
              <w:jc w:val="center"/>
              <w:rPr>
                <w:rFonts w:ascii="宋体" w:eastAsia="宋体" w:cs="宋体" w:hint="default"/>
                <w:sz w:val="18"/>
                <w:szCs w:val="18"/>
                <w:lang w:val="en-US" w:eastAsia="zh-CN"/>
              </w:rPr>
            </w:pPr>
            <w:r>
              <w:rPr>
                <w:rFonts w:ascii="宋体" w:cs="宋体" w:hint="eastAsia"/>
                <w:sz w:val="18"/>
                <w:szCs w:val="18"/>
                <w:lang w:val="en-US" w:eastAsia="zh-CN"/>
              </w:rPr>
              <w:t>690</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noWrap/>
            <w:vAlign w:val="center"/>
          </w:tcPr>
          <w:p>
            <w:pPr>
              <w:spacing w:line="260" w:lineRule="exact"/>
              <w:jc w:val="center"/>
              <w:rPr>
                <w:rFonts w:ascii="宋体" w:cs="宋体"/>
                <w:sz w:val="18"/>
                <w:szCs w:val="18"/>
              </w:rPr>
            </w:pPr>
          </w:p>
        </w:tc>
        <w:tc>
          <w:tcPr>
            <w:tcW w:w="3349" w:type="dxa"/>
            <w:gridSpan w:val="2"/>
            <w:noWrap/>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rPr>
              <w:t xml:space="preserve">   其中：财政拨款</w:t>
            </w:r>
          </w:p>
        </w:tc>
        <w:tc>
          <w:tcPr>
            <w:tcW w:w="4228" w:type="dxa"/>
            <w:gridSpan w:val="3"/>
            <w:noWrap/>
            <w:vAlign w:val="center"/>
          </w:tcPr>
          <w:p>
            <w:pPr>
              <w:spacing w:line="260" w:lineRule="exact"/>
              <w:jc w:val="center"/>
              <w:rPr>
                <w:rFonts w:ascii="宋体" w:eastAsia="宋体" w:cs="宋体" w:hint="default"/>
                <w:sz w:val="18"/>
                <w:szCs w:val="18"/>
                <w:lang w:val="en-US" w:eastAsia="zh-CN"/>
              </w:rPr>
            </w:pP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noWrap/>
            <w:vAlign w:val="center"/>
          </w:tcPr>
          <w:p>
            <w:pPr>
              <w:spacing w:line="260" w:lineRule="exact"/>
              <w:jc w:val="center"/>
              <w:rPr>
                <w:rFonts w:ascii="宋体" w:cs="宋体"/>
                <w:sz w:val="18"/>
                <w:szCs w:val="18"/>
              </w:rPr>
            </w:pPr>
          </w:p>
        </w:tc>
        <w:tc>
          <w:tcPr>
            <w:tcW w:w="3349" w:type="dxa"/>
            <w:gridSpan w:val="2"/>
            <w:noWrap/>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rPr>
              <w:t xml:space="preserve">         上年结转</w:t>
            </w:r>
          </w:p>
        </w:tc>
        <w:tc>
          <w:tcPr>
            <w:tcW w:w="4228" w:type="dxa"/>
            <w:gridSpan w:val="3"/>
            <w:noWrap/>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noWrap/>
            <w:vAlign w:val="center"/>
          </w:tcPr>
          <w:p>
            <w:pPr>
              <w:spacing w:line="260" w:lineRule="exact"/>
              <w:jc w:val="center"/>
              <w:rPr>
                <w:rFonts w:ascii="宋体" w:cs="宋体"/>
                <w:sz w:val="18"/>
                <w:szCs w:val="18"/>
              </w:rPr>
            </w:pPr>
          </w:p>
        </w:tc>
        <w:tc>
          <w:tcPr>
            <w:tcW w:w="3349" w:type="dxa"/>
            <w:gridSpan w:val="2"/>
            <w:noWrap/>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rPr>
              <w:t xml:space="preserve">         其他资金</w:t>
            </w:r>
          </w:p>
        </w:tc>
        <w:tc>
          <w:tcPr>
            <w:tcW w:w="4228" w:type="dxa"/>
            <w:gridSpan w:val="3"/>
            <w:noWrap/>
            <w:vAlign w:val="center"/>
          </w:tcPr>
          <w:p>
            <w:pPr>
              <w:spacing w:line="260" w:lineRule="exact"/>
              <w:jc w:val="center"/>
              <w:rPr>
                <w:rFonts w:ascii="宋体" w:eastAsia="宋体" w:cs="宋体" w:hint="default"/>
                <w:sz w:val="18"/>
                <w:szCs w:val="18"/>
                <w:lang w:val="en-US" w:eastAsia="zh-CN"/>
              </w:rPr>
            </w:pPr>
            <w:r>
              <w:rPr>
                <w:rFonts w:ascii="宋体" w:cs="宋体" w:hint="eastAsia"/>
                <w:sz w:val="18"/>
                <w:szCs w:val="18"/>
                <w:lang w:val="en-US" w:eastAsia="zh-CN"/>
              </w:rPr>
              <w:t>690</w:t>
            </w:r>
          </w:p>
        </w:tc>
      </w:tr>
      <w:tr>
        <w:tblPrEx>
          <w:tblW w:w="0" w:type="auto"/>
          <w:tblInd w:w="0" w:type="dxa"/>
          <w:tblLayout w:type="fixed"/>
          <w:tblCellMar>
            <w:top w:w="0" w:type="dxa"/>
            <w:left w:w="108" w:type="dxa"/>
            <w:bottom w:w="0" w:type="dxa"/>
            <w:right w:w="108" w:type="dxa"/>
          </w:tblCellMar>
        </w:tblPrEx>
        <w:trPr>
          <w:trHeight w:val="875"/>
        </w:trPr>
        <w:tc>
          <w:tcPr>
            <w:tcW w:w="438" w:type="dxa"/>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年度</w:t>
            </w:r>
            <w:r>
              <w:rPr>
                <w:rFonts w:ascii="宋体" w:hAnsi="宋体" w:cs="宋体" w:hint="eastAsia"/>
                <w:color w:val="000000"/>
                <w:kern w:val="0"/>
                <w:sz w:val="18"/>
                <w:szCs w:val="18"/>
              </w:rPr>
              <w:br/>
            </w:r>
            <w:r>
              <w:rPr>
                <w:rFonts w:ascii="宋体" w:hAnsi="宋体" w:cs="宋体" w:hint="eastAsia"/>
                <w:color w:val="000000"/>
                <w:kern w:val="0"/>
                <w:sz w:val="18"/>
                <w:szCs w:val="18"/>
              </w:rPr>
              <w:t>目标</w:t>
            </w:r>
          </w:p>
        </w:tc>
        <w:tc>
          <w:tcPr>
            <w:tcW w:w="8582" w:type="dxa"/>
            <w:gridSpan w:val="7"/>
            <w:noWrap/>
            <w:vAlign w:val="center"/>
          </w:tcPr>
          <w:p>
            <w:pPr>
              <w:spacing w:line="260" w:lineRule="exact"/>
              <w:jc w:val="left"/>
              <w:rPr>
                <w:rFonts w:ascii="宋体" w:cs="宋体"/>
                <w:sz w:val="18"/>
                <w:szCs w:val="18"/>
              </w:rPr>
            </w:pPr>
            <w:r>
              <w:rPr>
                <w:rFonts w:ascii="宋体" w:cs="宋体" w:hint="eastAsia"/>
                <w:sz w:val="18"/>
                <w:szCs w:val="18"/>
              </w:rPr>
              <w:t>1.为人民身体健康提供基本医疗保健服务，开展常见病多发病的诊治与护理；2.保障卫生院的正常运转、运行，进一步完善医疗卫生基础设施，满足人民群众需求。</w:t>
            </w:r>
          </w:p>
        </w:tc>
      </w:tr>
      <w:tr>
        <w:tblPrEx>
          <w:tblW w:w="0" w:type="auto"/>
          <w:tblInd w:w="0" w:type="dxa"/>
          <w:tblLayout w:type="fixed"/>
          <w:tblCellMar>
            <w:top w:w="0" w:type="dxa"/>
            <w:left w:w="108" w:type="dxa"/>
            <w:bottom w:w="0" w:type="dxa"/>
            <w:right w:w="108" w:type="dxa"/>
          </w:tblCellMar>
        </w:tblPrEx>
        <w:trPr>
          <w:trHeight w:val="508"/>
        </w:trPr>
        <w:tc>
          <w:tcPr>
            <w:tcW w:w="438" w:type="dxa"/>
            <w:vMerge w:val="restart"/>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绩</w:t>
            </w:r>
            <w:r>
              <w:rPr>
                <w:rFonts w:ascii="宋体" w:hAnsi="宋体" w:cs="宋体" w:hint="eastAsia"/>
                <w:color w:val="000000"/>
                <w:kern w:val="0"/>
                <w:sz w:val="18"/>
                <w:szCs w:val="18"/>
              </w:rPr>
              <w:br/>
            </w:r>
            <w:r>
              <w:rPr>
                <w:rFonts w:ascii="宋体" w:hAnsi="宋体" w:cs="宋体" w:hint="eastAsia"/>
                <w:color w:val="000000"/>
                <w:kern w:val="0"/>
                <w:sz w:val="18"/>
                <w:szCs w:val="18"/>
              </w:rPr>
              <w:t>效</w:t>
            </w:r>
            <w:r>
              <w:rPr>
                <w:rFonts w:ascii="宋体" w:hAnsi="宋体" w:cs="宋体" w:hint="eastAsia"/>
                <w:color w:val="000000"/>
                <w:kern w:val="0"/>
                <w:sz w:val="18"/>
                <w:szCs w:val="18"/>
              </w:rPr>
              <w:br/>
            </w:r>
            <w:r>
              <w:rPr>
                <w:rFonts w:ascii="宋体" w:hAnsi="宋体" w:cs="宋体" w:hint="eastAsia"/>
                <w:color w:val="000000"/>
                <w:kern w:val="0"/>
                <w:sz w:val="18"/>
                <w:szCs w:val="18"/>
              </w:rPr>
              <w:t>指</w:t>
            </w:r>
            <w:r>
              <w:rPr>
                <w:rFonts w:ascii="宋体" w:hAnsi="宋体" w:cs="宋体" w:hint="eastAsia"/>
                <w:color w:val="000000"/>
                <w:kern w:val="0"/>
                <w:sz w:val="18"/>
                <w:szCs w:val="18"/>
              </w:rPr>
              <w:br/>
            </w:r>
            <w:r>
              <w:rPr>
                <w:rFonts w:ascii="宋体" w:hAnsi="宋体" w:cs="宋体" w:hint="eastAsia"/>
                <w:color w:val="000000"/>
                <w:kern w:val="0"/>
                <w:sz w:val="18"/>
                <w:szCs w:val="18"/>
              </w:rPr>
              <w:t>标</w:t>
            </w:r>
          </w:p>
        </w:tc>
        <w:tc>
          <w:tcPr>
            <w:tcW w:w="663" w:type="dxa"/>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一级</w:t>
            </w:r>
            <w:r>
              <w:rPr>
                <w:rFonts w:ascii="宋体" w:hAnsi="宋体" w:cs="宋体" w:hint="eastAsia"/>
                <w:color w:val="000000"/>
                <w:kern w:val="0"/>
                <w:sz w:val="18"/>
                <w:szCs w:val="18"/>
              </w:rPr>
              <w:br/>
            </w:r>
            <w:r>
              <w:rPr>
                <w:rFonts w:ascii="宋体" w:hAnsi="宋体" w:cs="宋体" w:hint="eastAsia"/>
                <w:color w:val="000000"/>
                <w:kern w:val="0"/>
                <w:sz w:val="18"/>
                <w:szCs w:val="18"/>
              </w:rPr>
              <w:t>指标</w:t>
            </w:r>
          </w:p>
        </w:tc>
        <w:tc>
          <w:tcPr>
            <w:tcW w:w="708" w:type="dxa"/>
            <w:gridSpan w:val="2"/>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二级指标</w:t>
            </w:r>
          </w:p>
        </w:tc>
        <w:tc>
          <w:tcPr>
            <w:tcW w:w="3261" w:type="dxa"/>
            <w:gridSpan w:val="2"/>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三级指标</w:t>
            </w:r>
          </w:p>
        </w:tc>
        <w:tc>
          <w:tcPr>
            <w:tcW w:w="3950" w:type="dxa"/>
            <w:gridSpan w:val="2"/>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指标值</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663" w:type="dxa"/>
            <w:vMerge w:val="restart"/>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产出指标</w:t>
            </w:r>
          </w:p>
        </w:tc>
        <w:tc>
          <w:tcPr>
            <w:tcW w:w="708" w:type="dxa"/>
            <w:gridSpan w:val="2"/>
            <w:vMerge w:val="restart"/>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数量指标</w:t>
            </w:r>
          </w:p>
        </w:tc>
        <w:tc>
          <w:tcPr>
            <w:tcW w:w="3261" w:type="dxa"/>
            <w:gridSpan w:val="2"/>
            <w:noWrap/>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rPr>
              <w:t>指标1：接待就诊病人</w:t>
            </w:r>
          </w:p>
        </w:tc>
        <w:tc>
          <w:tcPr>
            <w:tcW w:w="3950" w:type="dxa"/>
            <w:gridSpan w:val="2"/>
            <w:noWrap/>
            <w:vAlign w:val="center"/>
          </w:tcPr>
          <w:p>
            <w:pPr>
              <w:spacing w:line="260" w:lineRule="exact"/>
              <w:jc w:val="center"/>
              <w:rPr>
                <w:rFonts w:ascii="宋体" w:cs="宋体"/>
                <w:sz w:val="18"/>
                <w:szCs w:val="18"/>
              </w:rPr>
            </w:pPr>
            <w:r>
              <w:rPr>
                <w:rFonts w:ascii="宋体" w:cs="宋体" w:hint="eastAsia"/>
                <w:sz w:val="18"/>
                <w:szCs w:val="18"/>
              </w:rPr>
              <w:t>≥</w:t>
            </w:r>
            <w:r>
              <w:rPr>
                <w:rFonts w:ascii="宋体" w:cs="宋体" w:hint="eastAsia"/>
                <w:sz w:val="18"/>
                <w:szCs w:val="18"/>
                <w:lang w:val="en-US" w:eastAsia="zh-CN"/>
              </w:rPr>
              <w:t>4</w:t>
            </w:r>
            <w:r>
              <w:rPr>
                <w:rFonts w:ascii="宋体" w:cs="宋体" w:hint="eastAsia"/>
                <w:sz w:val="18"/>
                <w:szCs w:val="18"/>
              </w:rPr>
              <w:t>0000</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663" w:type="dxa"/>
            <w:vMerge/>
            <w:noWrap/>
            <w:vAlign w:val="center"/>
          </w:tcPr>
          <w:p>
            <w:pPr>
              <w:spacing w:line="260" w:lineRule="exact"/>
              <w:jc w:val="center"/>
              <w:rPr>
                <w:rFonts w:ascii="宋体" w:cs="宋体"/>
                <w:sz w:val="18"/>
                <w:szCs w:val="18"/>
              </w:rPr>
            </w:pPr>
          </w:p>
        </w:tc>
        <w:tc>
          <w:tcPr>
            <w:tcW w:w="708" w:type="dxa"/>
            <w:gridSpan w:val="2"/>
            <w:vMerge/>
            <w:noWrap/>
            <w:vAlign w:val="center"/>
          </w:tcPr>
          <w:p>
            <w:pPr>
              <w:spacing w:line="260" w:lineRule="exact"/>
              <w:jc w:val="center"/>
              <w:rPr>
                <w:rFonts w:ascii="宋体" w:cs="宋体"/>
                <w:sz w:val="18"/>
                <w:szCs w:val="18"/>
              </w:rPr>
            </w:pPr>
          </w:p>
        </w:tc>
        <w:tc>
          <w:tcPr>
            <w:tcW w:w="3261" w:type="dxa"/>
            <w:gridSpan w:val="2"/>
            <w:noWrap/>
            <w:vAlign w:val="center"/>
          </w:tcPr>
          <w:p>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rPr>
              <w:t>…</w:t>
            </w:r>
          </w:p>
        </w:tc>
        <w:tc>
          <w:tcPr>
            <w:tcW w:w="3950" w:type="dxa"/>
            <w:gridSpan w:val="2"/>
            <w:noWrap/>
            <w:vAlign w:val="center"/>
          </w:tcPr>
          <w:p>
            <w:pPr>
              <w:spacing w:line="260" w:lineRule="exact"/>
              <w:ind w:firstLine="1710" w:firstLineChars="950"/>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663" w:type="dxa"/>
            <w:vMerge/>
            <w:noWrap/>
            <w:vAlign w:val="center"/>
          </w:tcPr>
          <w:p>
            <w:pPr>
              <w:spacing w:line="260" w:lineRule="exact"/>
              <w:jc w:val="center"/>
              <w:rPr>
                <w:rFonts w:ascii="宋体" w:cs="宋体"/>
                <w:sz w:val="18"/>
                <w:szCs w:val="18"/>
              </w:rPr>
            </w:pPr>
          </w:p>
        </w:tc>
        <w:tc>
          <w:tcPr>
            <w:tcW w:w="708" w:type="dxa"/>
            <w:gridSpan w:val="2"/>
            <w:vMerge w:val="restart"/>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质量指标</w:t>
            </w:r>
          </w:p>
        </w:tc>
        <w:tc>
          <w:tcPr>
            <w:tcW w:w="3261" w:type="dxa"/>
            <w:gridSpan w:val="2"/>
            <w:noWrap/>
            <w:vAlign w:val="center"/>
          </w:tcPr>
          <w:p>
            <w:pPr>
              <w:spacing w:line="260" w:lineRule="exact"/>
              <w:jc w:val="left"/>
              <w:textAlignment w:val="center"/>
              <w:rPr>
                <w:rFonts w:ascii="宋体" w:eastAsia="宋体" w:cs="宋体" w:hint="eastAsia"/>
                <w:sz w:val="18"/>
                <w:szCs w:val="18"/>
                <w:lang w:eastAsia="zh-CN"/>
              </w:rPr>
            </w:pPr>
            <w:r>
              <w:rPr>
                <w:rFonts w:ascii="宋体" w:hAnsi="宋体" w:cs="宋体" w:hint="eastAsia"/>
                <w:color w:val="000000"/>
                <w:kern w:val="0"/>
                <w:sz w:val="18"/>
                <w:szCs w:val="18"/>
              </w:rPr>
              <w:t>指标1：病人疾病治愈</w:t>
            </w:r>
            <w:r>
              <w:rPr>
                <w:rFonts w:ascii="宋体" w:hAnsi="宋体" w:cs="宋体" w:hint="eastAsia"/>
                <w:color w:val="000000"/>
                <w:kern w:val="0"/>
                <w:sz w:val="18"/>
                <w:szCs w:val="18"/>
                <w:lang w:eastAsia="zh-CN"/>
              </w:rPr>
              <w:t>率</w:t>
            </w:r>
          </w:p>
        </w:tc>
        <w:tc>
          <w:tcPr>
            <w:tcW w:w="3950" w:type="dxa"/>
            <w:gridSpan w:val="2"/>
            <w:noWrap/>
            <w:vAlign w:val="center"/>
          </w:tcPr>
          <w:p>
            <w:pPr>
              <w:spacing w:line="260" w:lineRule="exact"/>
              <w:jc w:val="center"/>
              <w:rPr>
                <w:rFonts w:ascii="宋体" w:cs="宋体"/>
                <w:sz w:val="18"/>
                <w:szCs w:val="18"/>
              </w:rPr>
            </w:pPr>
            <w:r>
              <w:rPr>
                <w:rFonts w:ascii="宋体" w:hAnsi="宋体" w:cs="宋体" w:hint="eastAsia"/>
                <w:color w:val="000000"/>
                <w:kern w:val="0"/>
                <w:sz w:val="18"/>
                <w:szCs w:val="18"/>
              </w:rPr>
              <w:t>基本完成病人疾病治愈</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663" w:type="dxa"/>
            <w:vMerge/>
            <w:noWrap/>
            <w:vAlign w:val="center"/>
          </w:tcPr>
          <w:p>
            <w:pPr>
              <w:spacing w:line="260" w:lineRule="exact"/>
              <w:jc w:val="center"/>
              <w:rPr>
                <w:rFonts w:ascii="宋体" w:cs="宋体"/>
                <w:sz w:val="18"/>
                <w:szCs w:val="18"/>
              </w:rPr>
            </w:pPr>
          </w:p>
        </w:tc>
        <w:tc>
          <w:tcPr>
            <w:tcW w:w="708" w:type="dxa"/>
            <w:gridSpan w:val="2"/>
            <w:vMerge/>
            <w:noWrap/>
            <w:vAlign w:val="center"/>
          </w:tcPr>
          <w:p>
            <w:pPr>
              <w:spacing w:line="260" w:lineRule="exact"/>
              <w:jc w:val="center"/>
              <w:rPr>
                <w:rFonts w:ascii="宋体" w:cs="宋体"/>
                <w:sz w:val="18"/>
                <w:szCs w:val="18"/>
              </w:rPr>
            </w:pPr>
          </w:p>
        </w:tc>
        <w:tc>
          <w:tcPr>
            <w:tcW w:w="3261" w:type="dxa"/>
            <w:gridSpan w:val="2"/>
            <w:noWrap/>
            <w:vAlign w:val="center"/>
          </w:tcPr>
          <w:p>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rPr>
              <w:t>…</w:t>
            </w:r>
          </w:p>
        </w:tc>
        <w:tc>
          <w:tcPr>
            <w:tcW w:w="3950" w:type="dxa"/>
            <w:gridSpan w:val="2"/>
            <w:noWrap/>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663" w:type="dxa"/>
            <w:vMerge/>
            <w:noWrap/>
            <w:vAlign w:val="center"/>
          </w:tcPr>
          <w:p>
            <w:pPr>
              <w:spacing w:line="260" w:lineRule="exact"/>
              <w:jc w:val="center"/>
              <w:rPr>
                <w:rFonts w:ascii="宋体" w:cs="宋体"/>
                <w:sz w:val="18"/>
                <w:szCs w:val="18"/>
              </w:rPr>
            </w:pPr>
          </w:p>
        </w:tc>
        <w:tc>
          <w:tcPr>
            <w:tcW w:w="708" w:type="dxa"/>
            <w:gridSpan w:val="2"/>
            <w:vMerge w:val="restart"/>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时效指标</w:t>
            </w:r>
          </w:p>
        </w:tc>
        <w:tc>
          <w:tcPr>
            <w:tcW w:w="3261" w:type="dxa"/>
            <w:gridSpan w:val="2"/>
            <w:noWrap/>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rPr>
              <w:t>指标1：满足区域病人快速就诊：</w:t>
            </w:r>
          </w:p>
        </w:tc>
        <w:tc>
          <w:tcPr>
            <w:tcW w:w="3950" w:type="dxa"/>
            <w:gridSpan w:val="2"/>
            <w:noWrap/>
            <w:vAlign w:val="center"/>
          </w:tcPr>
          <w:p>
            <w:pPr>
              <w:spacing w:line="260" w:lineRule="exact"/>
              <w:jc w:val="center"/>
              <w:rPr>
                <w:rFonts w:ascii="宋体" w:cs="宋体"/>
                <w:sz w:val="18"/>
                <w:szCs w:val="18"/>
              </w:rPr>
            </w:pPr>
            <w:r>
              <w:rPr>
                <w:rFonts w:ascii="宋体" w:cs="宋体" w:hint="eastAsia"/>
                <w:sz w:val="18"/>
                <w:szCs w:val="18"/>
              </w:rPr>
              <w:t>≤1小时</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663" w:type="dxa"/>
            <w:vMerge/>
            <w:noWrap/>
            <w:vAlign w:val="center"/>
          </w:tcPr>
          <w:p>
            <w:pPr>
              <w:spacing w:line="260" w:lineRule="exact"/>
              <w:jc w:val="center"/>
              <w:rPr>
                <w:rFonts w:ascii="宋体" w:cs="宋体"/>
                <w:sz w:val="18"/>
                <w:szCs w:val="18"/>
              </w:rPr>
            </w:pPr>
          </w:p>
        </w:tc>
        <w:tc>
          <w:tcPr>
            <w:tcW w:w="708" w:type="dxa"/>
            <w:gridSpan w:val="2"/>
            <w:vMerge/>
            <w:noWrap/>
            <w:vAlign w:val="center"/>
          </w:tcPr>
          <w:p>
            <w:pPr>
              <w:spacing w:line="260" w:lineRule="exact"/>
              <w:jc w:val="center"/>
              <w:rPr>
                <w:rFonts w:ascii="宋体" w:cs="宋体"/>
                <w:sz w:val="18"/>
                <w:szCs w:val="18"/>
              </w:rPr>
            </w:pPr>
          </w:p>
        </w:tc>
        <w:tc>
          <w:tcPr>
            <w:tcW w:w="3261" w:type="dxa"/>
            <w:gridSpan w:val="2"/>
            <w:noWrap/>
            <w:vAlign w:val="center"/>
          </w:tcPr>
          <w:p>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rPr>
              <w:t>…</w:t>
            </w:r>
          </w:p>
        </w:tc>
        <w:tc>
          <w:tcPr>
            <w:tcW w:w="3950" w:type="dxa"/>
            <w:gridSpan w:val="2"/>
            <w:noWrap/>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663" w:type="dxa"/>
            <w:vMerge/>
            <w:noWrap/>
            <w:vAlign w:val="center"/>
          </w:tcPr>
          <w:p>
            <w:pPr>
              <w:spacing w:line="260" w:lineRule="exact"/>
              <w:jc w:val="center"/>
              <w:rPr>
                <w:rFonts w:ascii="宋体" w:cs="宋体"/>
                <w:sz w:val="18"/>
                <w:szCs w:val="18"/>
              </w:rPr>
            </w:pPr>
          </w:p>
        </w:tc>
        <w:tc>
          <w:tcPr>
            <w:tcW w:w="708" w:type="dxa"/>
            <w:gridSpan w:val="2"/>
            <w:vMerge w:val="restart"/>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成本指标</w:t>
            </w:r>
          </w:p>
        </w:tc>
        <w:tc>
          <w:tcPr>
            <w:tcW w:w="3261" w:type="dxa"/>
            <w:gridSpan w:val="2"/>
            <w:noWrap/>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rPr>
              <w:t>指标1：减少就诊患者看病费用</w:t>
            </w:r>
          </w:p>
        </w:tc>
        <w:tc>
          <w:tcPr>
            <w:tcW w:w="3950" w:type="dxa"/>
            <w:gridSpan w:val="2"/>
            <w:noWrap/>
            <w:vAlign w:val="center"/>
          </w:tcPr>
          <w:p>
            <w:pPr>
              <w:spacing w:line="260" w:lineRule="exact"/>
              <w:jc w:val="center"/>
              <w:rPr>
                <w:rFonts w:ascii="宋体" w:cs="宋体"/>
                <w:sz w:val="18"/>
                <w:szCs w:val="18"/>
              </w:rPr>
            </w:pPr>
            <w:r>
              <w:rPr>
                <w:rFonts w:ascii="宋体" w:cs="宋体" w:hint="eastAsia"/>
                <w:sz w:val="18"/>
                <w:szCs w:val="18"/>
                <w:lang w:eastAsia="zh-CN"/>
              </w:rPr>
              <w:t>最大程度减少</w:t>
            </w:r>
            <w:r>
              <w:rPr>
                <w:rFonts w:ascii="宋体" w:cs="宋体"/>
                <w:sz w:val="18"/>
                <w:szCs w:val="18"/>
              </w:rPr>
              <w:t>病人费用</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663" w:type="dxa"/>
            <w:vMerge/>
            <w:noWrap/>
            <w:vAlign w:val="center"/>
          </w:tcPr>
          <w:p>
            <w:pPr>
              <w:spacing w:line="260" w:lineRule="exact"/>
              <w:jc w:val="center"/>
              <w:rPr>
                <w:rFonts w:ascii="宋体" w:cs="宋体"/>
                <w:sz w:val="18"/>
                <w:szCs w:val="18"/>
              </w:rPr>
            </w:pPr>
          </w:p>
        </w:tc>
        <w:tc>
          <w:tcPr>
            <w:tcW w:w="708" w:type="dxa"/>
            <w:gridSpan w:val="2"/>
            <w:vMerge/>
            <w:noWrap/>
            <w:vAlign w:val="center"/>
          </w:tcPr>
          <w:p>
            <w:pPr>
              <w:spacing w:line="260" w:lineRule="exact"/>
              <w:jc w:val="center"/>
              <w:rPr>
                <w:rFonts w:ascii="宋体" w:cs="宋体"/>
                <w:sz w:val="18"/>
                <w:szCs w:val="18"/>
              </w:rPr>
            </w:pPr>
          </w:p>
        </w:tc>
        <w:tc>
          <w:tcPr>
            <w:tcW w:w="3261" w:type="dxa"/>
            <w:gridSpan w:val="2"/>
            <w:noWrap/>
            <w:vAlign w:val="center"/>
          </w:tcPr>
          <w:p>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rPr>
              <w:t>…</w:t>
            </w:r>
          </w:p>
        </w:tc>
        <w:tc>
          <w:tcPr>
            <w:tcW w:w="3950" w:type="dxa"/>
            <w:gridSpan w:val="2"/>
            <w:noWrap/>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663" w:type="dxa"/>
            <w:vMerge w:val="restart"/>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效益指标</w:t>
            </w:r>
          </w:p>
        </w:tc>
        <w:tc>
          <w:tcPr>
            <w:tcW w:w="708" w:type="dxa"/>
            <w:gridSpan w:val="2"/>
            <w:vMerge w:val="restart"/>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经济效益指标</w:t>
            </w:r>
          </w:p>
        </w:tc>
        <w:tc>
          <w:tcPr>
            <w:tcW w:w="3261" w:type="dxa"/>
            <w:gridSpan w:val="2"/>
            <w:noWrap/>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rPr>
              <w:t>指标1：收入费用率（费用/收入）</w:t>
            </w:r>
          </w:p>
        </w:tc>
        <w:tc>
          <w:tcPr>
            <w:tcW w:w="3950" w:type="dxa"/>
            <w:gridSpan w:val="2"/>
            <w:noWrap/>
            <w:vAlign w:val="center"/>
          </w:tcPr>
          <w:p>
            <w:pPr>
              <w:spacing w:line="260" w:lineRule="exact"/>
              <w:jc w:val="center"/>
              <w:rPr>
                <w:rFonts w:ascii="宋体" w:cs="宋体"/>
                <w:sz w:val="18"/>
                <w:szCs w:val="18"/>
              </w:rPr>
            </w:pPr>
            <w:r>
              <w:rPr>
                <w:rFonts w:ascii="宋体" w:cs="宋体"/>
                <w:sz w:val="18"/>
                <w:szCs w:val="18"/>
              </w:rPr>
              <w:t>降低收入费用率</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663" w:type="dxa"/>
            <w:vMerge/>
            <w:noWrap/>
            <w:vAlign w:val="center"/>
          </w:tcPr>
          <w:p>
            <w:pPr>
              <w:spacing w:line="260" w:lineRule="exact"/>
              <w:jc w:val="center"/>
              <w:rPr>
                <w:rFonts w:ascii="宋体" w:cs="宋体"/>
                <w:sz w:val="18"/>
                <w:szCs w:val="18"/>
              </w:rPr>
            </w:pPr>
          </w:p>
        </w:tc>
        <w:tc>
          <w:tcPr>
            <w:tcW w:w="708" w:type="dxa"/>
            <w:gridSpan w:val="2"/>
            <w:vMerge/>
            <w:noWrap/>
            <w:vAlign w:val="center"/>
          </w:tcPr>
          <w:p>
            <w:pPr>
              <w:spacing w:line="260" w:lineRule="exact"/>
              <w:jc w:val="center"/>
              <w:rPr>
                <w:rFonts w:ascii="宋体" w:cs="宋体"/>
                <w:sz w:val="18"/>
                <w:szCs w:val="18"/>
              </w:rPr>
            </w:pPr>
          </w:p>
        </w:tc>
        <w:tc>
          <w:tcPr>
            <w:tcW w:w="3261" w:type="dxa"/>
            <w:gridSpan w:val="2"/>
            <w:noWrap/>
            <w:vAlign w:val="center"/>
          </w:tcPr>
          <w:p>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rPr>
              <w:t>…</w:t>
            </w:r>
          </w:p>
        </w:tc>
        <w:tc>
          <w:tcPr>
            <w:tcW w:w="3950" w:type="dxa"/>
            <w:gridSpan w:val="2"/>
            <w:noWrap/>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663" w:type="dxa"/>
            <w:vMerge/>
            <w:noWrap/>
            <w:vAlign w:val="center"/>
          </w:tcPr>
          <w:p>
            <w:pPr>
              <w:spacing w:line="260" w:lineRule="exact"/>
              <w:jc w:val="center"/>
              <w:rPr>
                <w:rFonts w:ascii="宋体" w:cs="宋体"/>
                <w:sz w:val="18"/>
                <w:szCs w:val="18"/>
              </w:rPr>
            </w:pPr>
          </w:p>
        </w:tc>
        <w:tc>
          <w:tcPr>
            <w:tcW w:w="708" w:type="dxa"/>
            <w:gridSpan w:val="2"/>
            <w:vMerge w:val="restart"/>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社会效益指标</w:t>
            </w:r>
          </w:p>
        </w:tc>
        <w:tc>
          <w:tcPr>
            <w:tcW w:w="3261" w:type="dxa"/>
            <w:gridSpan w:val="2"/>
            <w:noWrap/>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rPr>
              <w:t>指标1：满足区域病人就诊需求</w:t>
            </w:r>
          </w:p>
        </w:tc>
        <w:tc>
          <w:tcPr>
            <w:tcW w:w="3950" w:type="dxa"/>
            <w:gridSpan w:val="2"/>
            <w:noWrap/>
            <w:vAlign w:val="center"/>
          </w:tcPr>
          <w:p>
            <w:pPr>
              <w:spacing w:line="260" w:lineRule="exact"/>
              <w:jc w:val="center"/>
              <w:rPr>
                <w:rFonts w:ascii="宋体" w:cs="宋体"/>
                <w:sz w:val="18"/>
                <w:szCs w:val="18"/>
              </w:rPr>
            </w:pPr>
            <w:r>
              <w:rPr>
                <w:rFonts w:ascii="宋体" w:cs="宋体" w:hint="eastAsia"/>
                <w:sz w:val="18"/>
                <w:szCs w:val="18"/>
              </w:rPr>
              <w:t>≥90%</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663" w:type="dxa"/>
            <w:vMerge/>
            <w:noWrap/>
            <w:vAlign w:val="center"/>
          </w:tcPr>
          <w:p>
            <w:pPr>
              <w:spacing w:line="260" w:lineRule="exact"/>
              <w:jc w:val="center"/>
              <w:rPr>
                <w:rFonts w:ascii="宋体" w:cs="宋体"/>
                <w:sz w:val="18"/>
                <w:szCs w:val="18"/>
              </w:rPr>
            </w:pPr>
          </w:p>
        </w:tc>
        <w:tc>
          <w:tcPr>
            <w:tcW w:w="708" w:type="dxa"/>
            <w:gridSpan w:val="2"/>
            <w:vMerge/>
            <w:noWrap/>
            <w:vAlign w:val="center"/>
          </w:tcPr>
          <w:p>
            <w:pPr>
              <w:spacing w:line="260" w:lineRule="exact"/>
              <w:jc w:val="center"/>
              <w:rPr>
                <w:rFonts w:ascii="宋体" w:cs="宋体"/>
                <w:sz w:val="18"/>
                <w:szCs w:val="18"/>
              </w:rPr>
            </w:pPr>
          </w:p>
        </w:tc>
        <w:tc>
          <w:tcPr>
            <w:tcW w:w="3261" w:type="dxa"/>
            <w:gridSpan w:val="2"/>
            <w:noWrap/>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rPr>
              <w:t>指标2：减少病人就诊距离</w:t>
            </w:r>
          </w:p>
        </w:tc>
        <w:tc>
          <w:tcPr>
            <w:tcW w:w="3950" w:type="dxa"/>
            <w:gridSpan w:val="2"/>
            <w:noWrap/>
            <w:vAlign w:val="center"/>
          </w:tcPr>
          <w:p>
            <w:pPr>
              <w:spacing w:line="260" w:lineRule="exact"/>
              <w:jc w:val="center"/>
              <w:rPr>
                <w:rFonts w:ascii="宋体" w:cs="宋体"/>
                <w:sz w:val="18"/>
                <w:szCs w:val="18"/>
              </w:rPr>
            </w:pPr>
            <w:r>
              <w:rPr>
                <w:rFonts w:ascii="宋体" w:cs="宋体" w:hint="eastAsia"/>
                <w:sz w:val="18"/>
                <w:szCs w:val="18"/>
              </w:rPr>
              <w:t>≤</w:t>
            </w:r>
            <w:r>
              <w:rPr>
                <w:rFonts w:ascii="宋体" w:cs="宋体" w:hint="eastAsia"/>
                <w:sz w:val="18"/>
                <w:szCs w:val="18"/>
                <w:lang w:val="en-US" w:eastAsia="zh-CN"/>
              </w:rPr>
              <w:t>5</w:t>
            </w:r>
            <w:r>
              <w:rPr>
                <w:rFonts w:ascii="宋体" w:cs="宋体" w:hint="eastAsia"/>
                <w:sz w:val="18"/>
                <w:szCs w:val="18"/>
              </w:rPr>
              <w:t>公里</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663" w:type="dxa"/>
            <w:vMerge/>
            <w:noWrap/>
            <w:vAlign w:val="center"/>
          </w:tcPr>
          <w:p>
            <w:pPr>
              <w:spacing w:line="260" w:lineRule="exact"/>
              <w:jc w:val="center"/>
              <w:rPr>
                <w:rFonts w:ascii="宋体" w:cs="宋体"/>
                <w:sz w:val="18"/>
                <w:szCs w:val="18"/>
              </w:rPr>
            </w:pPr>
          </w:p>
        </w:tc>
        <w:tc>
          <w:tcPr>
            <w:tcW w:w="708" w:type="dxa"/>
            <w:gridSpan w:val="2"/>
            <w:vMerge w:val="restart"/>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生态效益指标</w:t>
            </w:r>
          </w:p>
        </w:tc>
        <w:tc>
          <w:tcPr>
            <w:tcW w:w="3261" w:type="dxa"/>
            <w:gridSpan w:val="2"/>
            <w:noWrap/>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rPr>
              <w:t>指标1：保障基本医疗工作质量</w:t>
            </w:r>
          </w:p>
        </w:tc>
        <w:tc>
          <w:tcPr>
            <w:tcW w:w="3950" w:type="dxa"/>
            <w:gridSpan w:val="2"/>
            <w:noWrap/>
            <w:vAlign w:val="center"/>
          </w:tcPr>
          <w:p>
            <w:pPr>
              <w:spacing w:line="260" w:lineRule="exact"/>
              <w:jc w:val="center"/>
              <w:rPr>
                <w:rFonts w:ascii="宋体" w:cs="宋体"/>
                <w:sz w:val="18"/>
                <w:szCs w:val="18"/>
              </w:rPr>
            </w:pPr>
            <w:r>
              <w:rPr>
                <w:rFonts w:ascii="宋体" w:cs="宋体" w:hint="eastAsia"/>
                <w:sz w:val="18"/>
                <w:szCs w:val="18"/>
              </w:rPr>
              <w:t>≥90%</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663" w:type="dxa"/>
            <w:vMerge/>
            <w:noWrap/>
            <w:vAlign w:val="center"/>
          </w:tcPr>
          <w:p>
            <w:pPr>
              <w:spacing w:line="260" w:lineRule="exact"/>
              <w:jc w:val="center"/>
              <w:rPr>
                <w:rFonts w:ascii="宋体" w:cs="宋体"/>
                <w:sz w:val="18"/>
                <w:szCs w:val="18"/>
              </w:rPr>
            </w:pPr>
          </w:p>
        </w:tc>
        <w:tc>
          <w:tcPr>
            <w:tcW w:w="708" w:type="dxa"/>
            <w:gridSpan w:val="2"/>
            <w:vMerge/>
            <w:noWrap/>
            <w:vAlign w:val="center"/>
          </w:tcPr>
          <w:p>
            <w:pPr>
              <w:spacing w:line="260" w:lineRule="exact"/>
              <w:jc w:val="center"/>
              <w:rPr>
                <w:rFonts w:ascii="宋体" w:cs="宋体"/>
                <w:sz w:val="18"/>
                <w:szCs w:val="18"/>
              </w:rPr>
            </w:pPr>
          </w:p>
        </w:tc>
        <w:tc>
          <w:tcPr>
            <w:tcW w:w="3261" w:type="dxa"/>
            <w:gridSpan w:val="2"/>
            <w:noWrap/>
            <w:vAlign w:val="center"/>
          </w:tcPr>
          <w:p>
            <w:pPr>
              <w:spacing w:line="260" w:lineRule="exact"/>
              <w:jc w:val="left"/>
              <w:textAlignment w:val="center"/>
              <w:rPr>
                <w:rFonts w:ascii="汉仪中秀体简" w:eastAsia="汉仪中秀体简" w:hAnsi="汉仪中秀体简" w:cs="汉仪中秀体简"/>
                <w:color w:val="000000"/>
                <w:kern w:val="0"/>
                <w:sz w:val="18"/>
                <w:szCs w:val="18"/>
              </w:rPr>
            </w:pPr>
            <w:r>
              <w:rPr>
                <w:rFonts w:ascii="汉仪中秀体简" w:eastAsia="汉仪中秀体简" w:hAnsi="汉仪中秀体简" w:cs="汉仪中秀体简"/>
                <w:color w:val="000000"/>
                <w:kern w:val="0"/>
                <w:sz w:val="18"/>
                <w:szCs w:val="18"/>
              </w:rPr>
              <w:t>…</w:t>
            </w:r>
          </w:p>
        </w:tc>
        <w:tc>
          <w:tcPr>
            <w:tcW w:w="3950" w:type="dxa"/>
            <w:gridSpan w:val="2"/>
            <w:noWrap/>
            <w:vAlign w:val="center"/>
          </w:tcPr>
          <w:p>
            <w:pPr>
              <w:spacing w:line="260" w:lineRule="exact"/>
              <w:jc w:val="left"/>
              <w:textAlignment w:val="center"/>
              <w:rPr>
                <w:rFonts w:ascii="汉仪中秀体简" w:eastAsia="汉仪中秀体简" w:hAnsi="汉仪中秀体简" w:cs="汉仪中秀体简"/>
                <w:color w:val="000000"/>
                <w:kern w:val="0"/>
                <w:sz w:val="18"/>
                <w:szCs w:val="18"/>
              </w:rPr>
            </w:pPr>
          </w:p>
        </w:tc>
      </w:tr>
      <w:tr>
        <w:tblPrEx>
          <w:tblW w:w="0" w:type="auto"/>
          <w:tblInd w:w="0" w:type="dxa"/>
          <w:tblLayout w:type="fixed"/>
          <w:tblCellMar>
            <w:top w:w="0" w:type="dxa"/>
            <w:left w:w="108" w:type="dxa"/>
            <w:bottom w:w="0" w:type="dxa"/>
            <w:right w:w="108" w:type="dxa"/>
          </w:tblCellMar>
        </w:tblPrEx>
        <w:trPr>
          <w:trHeight w:val="420"/>
        </w:trPr>
        <w:tc>
          <w:tcPr>
            <w:tcW w:w="438" w:type="dxa"/>
            <w:vMerge/>
            <w:noWrap/>
            <w:vAlign w:val="center"/>
          </w:tcPr>
          <w:p>
            <w:pPr>
              <w:spacing w:line="260" w:lineRule="exact"/>
              <w:jc w:val="center"/>
              <w:rPr>
                <w:rFonts w:ascii="宋体" w:cs="宋体"/>
                <w:sz w:val="18"/>
                <w:szCs w:val="18"/>
              </w:rPr>
            </w:pPr>
          </w:p>
        </w:tc>
        <w:tc>
          <w:tcPr>
            <w:tcW w:w="663" w:type="dxa"/>
            <w:vMerge/>
            <w:noWrap/>
            <w:vAlign w:val="center"/>
          </w:tcPr>
          <w:p>
            <w:pPr>
              <w:spacing w:line="260" w:lineRule="exact"/>
              <w:jc w:val="center"/>
              <w:rPr>
                <w:rFonts w:ascii="宋体" w:cs="宋体"/>
                <w:sz w:val="18"/>
                <w:szCs w:val="18"/>
              </w:rPr>
            </w:pPr>
          </w:p>
        </w:tc>
        <w:tc>
          <w:tcPr>
            <w:tcW w:w="708" w:type="dxa"/>
            <w:gridSpan w:val="2"/>
            <w:vMerge w:val="restart"/>
            <w:noWrap/>
            <w:vAlign w:val="center"/>
          </w:tcPr>
          <w:p>
            <w:pPr>
              <w:spacing w:line="260" w:lineRule="exact"/>
              <w:jc w:val="center"/>
              <w:rPr>
                <w:rFonts w:ascii="宋体" w:hAnsi="宋体" w:cs="宋体"/>
                <w:sz w:val="18"/>
                <w:szCs w:val="18"/>
              </w:rPr>
            </w:pPr>
            <w:r>
              <w:rPr>
                <w:rFonts w:ascii="宋体" w:hAnsi="宋体" w:cs="宋体" w:hint="eastAsia"/>
                <w:sz w:val="18"/>
                <w:szCs w:val="18"/>
              </w:rPr>
              <w:t>可持续影响指标</w:t>
            </w:r>
          </w:p>
        </w:tc>
        <w:tc>
          <w:tcPr>
            <w:tcW w:w="3261" w:type="dxa"/>
            <w:gridSpan w:val="2"/>
            <w:noWrap/>
            <w:vAlign w:val="center"/>
          </w:tcPr>
          <w:p>
            <w:pPr>
              <w:spacing w:line="260" w:lineRule="exact"/>
              <w:jc w:val="left"/>
              <w:textAlignment w:val="center"/>
              <w:rPr>
                <w:rFonts w:ascii="宋体" w:hAnsi="宋体" w:cs="宋体"/>
                <w:sz w:val="18"/>
                <w:szCs w:val="18"/>
              </w:rPr>
            </w:pPr>
            <w:r>
              <w:rPr>
                <w:rFonts w:ascii="宋体" w:hAnsi="宋体" w:cs="宋体" w:hint="eastAsia"/>
                <w:color w:val="000000"/>
                <w:kern w:val="0"/>
                <w:sz w:val="18"/>
                <w:szCs w:val="18"/>
              </w:rPr>
              <w:t>指标1：规范医疗制度与提高医疗技术</w:t>
            </w:r>
          </w:p>
        </w:tc>
        <w:tc>
          <w:tcPr>
            <w:tcW w:w="3950" w:type="dxa"/>
            <w:gridSpan w:val="2"/>
            <w:noWrap/>
            <w:vAlign w:val="center"/>
          </w:tcPr>
          <w:p>
            <w:pPr>
              <w:spacing w:line="260" w:lineRule="exact"/>
              <w:jc w:val="center"/>
              <w:rPr>
                <w:rFonts w:ascii="宋体" w:cs="宋体"/>
                <w:sz w:val="18"/>
                <w:szCs w:val="18"/>
              </w:rPr>
            </w:pPr>
            <w:r>
              <w:rPr>
                <w:rFonts w:ascii="宋体" w:cs="宋体"/>
                <w:sz w:val="18"/>
                <w:szCs w:val="18"/>
              </w:rPr>
              <w:t>长期</w:t>
            </w:r>
          </w:p>
        </w:tc>
      </w:tr>
      <w:tr>
        <w:tblPrEx>
          <w:tblW w:w="0" w:type="auto"/>
          <w:tblInd w:w="0" w:type="dxa"/>
          <w:tblLayout w:type="fixed"/>
          <w:tblCellMar>
            <w:top w:w="0" w:type="dxa"/>
            <w:left w:w="108" w:type="dxa"/>
            <w:bottom w:w="0" w:type="dxa"/>
            <w:right w:w="108" w:type="dxa"/>
          </w:tblCellMar>
        </w:tblPrEx>
        <w:trPr>
          <w:trHeight w:val="444"/>
        </w:trPr>
        <w:tc>
          <w:tcPr>
            <w:tcW w:w="438" w:type="dxa"/>
            <w:vMerge/>
            <w:noWrap/>
            <w:vAlign w:val="center"/>
          </w:tcPr>
          <w:p>
            <w:pPr>
              <w:spacing w:line="260" w:lineRule="exact"/>
              <w:jc w:val="center"/>
              <w:rPr>
                <w:rFonts w:ascii="宋体" w:cs="宋体"/>
                <w:sz w:val="18"/>
                <w:szCs w:val="18"/>
              </w:rPr>
            </w:pPr>
          </w:p>
        </w:tc>
        <w:tc>
          <w:tcPr>
            <w:tcW w:w="663" w:type="dxa"/>
            <w:vMerge/>
            <w:noWrap/>
            <w:vAlign w:val="center"/>
          </w:tcPr>
          <w:p>
            <w:pPr>
              <w:spacing w:line="260" w:lineRule="exact"/>
              <w:jc w:val="center"/>
              <w:rPr>
                <w:rFonts w:ascii="宋体" w:cs="宋体"/>
                <w:sz w:val="18"/>
                <w:szCs w:val="18"/>
              </w:rPr>
            </w:pPr>
          </w:p>
        </w:tc>
        <w:tc>
          <w:tcPr>
            <w:tcW w:w="708" w:type="dxa"/>
            <w:gridSpan w:val="2"/>
            <w:vMerge/>
            <w:noWrap/>
            <w:vAlign w:val="center"/>
          </w:tcPr>
          <w:p>
            <w:pPr>
              <w:spacing w:line="260" w:lineRule="exact"/>
              <w:jc w:val="center"/>
              <w:rPr>
                <w:rFonts w:ascii="宋体" w:hAnsi="宋体" w:cs="宋体"/>
                <w:sz w:val="18"/>
                <w:szCs w:val="18"/>
              </w:rPr>
            </w:pPr>
          </w:p>
        </w:tc>
        <w:tc>
          <w:tcPr>
            <w:tcW w:w="3261" w:type="dxa"/>
            <w:gridSpan w:val="2"/>
            <w:noWrap/>
            <w:vAlign w:val="center"/>
          </w:tcPr>
          <w:p>
            <w:pPr>
              <w:spacing w:line="260" w:lineRule="exact"/>
              <w:jc w:val="left"/>
              <w:textAlignment w:val="center"/>
              <w:rPr>
                <w:rFonts w:ascii="宋体" w:hAnsi="宋体" w:cs="宋体"/>
                <w:color w:val="000000"/>
                <w:kern w:val="0"/>
                <w:sz w:val="18"/>
                <w:szCs w:val="18"/>
              </w:rPr>
            </w:pPr>
            <w:r>
              <w:rPr>
                <w:rFonts w:ascii="宋体" w:hAnsi="宋体" w:cs="宋体" w:hint="eastAsia"/>
                <w:color w:val="000000"/>
                <w:kern w:val="0"/>
                <w:sz w:val="18"/>
                <w:szCs w:val="18"/>
              </w:rPr>
              <w:t>指标2：不断完善院内基础设施和标准化建设</w:t>
            </w:r>
          </w:p>
        </w:tc>
        <w:tc>
          <w:tcPr>
            <w:tcW w:w="3950" w:type="dxa"/>
            <w:gridSpan w:val="2"/>
            <w:noWrap/>
            <w:vAlign w:val="center"/>
          </w:tcPr>
          <w:p>
            <w:pPr>
              <w:spacing w:line="260" w:lineRule="exact"/>
              <w:jc w:val="center"/>
              <w:rPr>
                <w:rFonts w:ascii="宋体" w:cs="宋体"/>
                <w:sz w:val="18"/>
                <w:szCs w:val="18"/>
              </w:rPr>
            </w:pPr>
            <w:r>
              <w:rPr>
                <w:rFonts w:ascii="宋体" w:cs="宋体"/>
                <w:sz w:val="18"/>
                <w:szCs w:val="18"/>
              </w:rPr>
              <w:t>长期</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663" w:type="dxa"/>
            <w:vMerge w:val="restart"/>
            <w:noWrap/>
            <w:vAlign w:val="center"/>
          </w:tcPr>
          <w:p>
            <w:pPr>
              <w:spacing w:line="260" w:lineRule="exact"/>
              <w:jc w:val="center"/>
              <w:rPr>
                <w:rFonts w:ascii="宋体" w:hAnsi="宋体" w:cs="宋体"/>
                <w:sz w:val="18"/>
                <w:szCs w:val="18"/>
              </w:rPr>
            </w:pPr>
            <w:r>
              <w:rPr>
                <w:rFonts w:ascii="宋体" w:hAnsi="宋体" w:cs="宋体" w:hint="eastAsia"/>
                <w:sz w:val="18"/>
                <w:szCs w:val="18"/>
              </w:rPr>
              <w:t>满意度指标</w:t>
            </w:r>
          </w:p>
        </w:tc>
        <w:tc>
          <w:tcPr>
            <w:tcW w:w="708" w:type="dxa"/>
            <w:gridSpan w:val="2"/>
            <w:vMerge w:val="restart"/>
            <w:noWrap/>
            <w:vAlign w:val="center"/>
          </w:tcPr>
          <w:p>
            <w:pPr>
              <w:spacing w:line="260" w:lineRule="exact"/>
              <w:jc w:val="center"/>
              <w:rPr>
                <w:rFonts w:ascii="宋体" w:hAnsi="宋体" w:cs="宋体"/>
                <w:sz w:val="18"/>
                <w:szCs w:val="18"/>
              </w:rPr>
            </w:pPr>
            <w:r>
              <w:rPr>
                <w:rFonts w:ascii="宋体" w:hAnsi="宋体" w:cs="宋体" w:hint="eastAsia"/>
                <w:sz w:val="18"/>
                <w:szCs w:val="18"/>
              </w:rPr>
              <w:t>满意度指标</w:t>
            </w:r>
          </w:p>
        </w:tc>
        <w:tc>
          <w:tcPr>
            <w:tcW w:w="3261" w:type="dxa"/>
            <w:gridSpan w:val="2"/>
            <w:noWrap/>
            <w:vAlign w:val="center"/>
          </w:tcPr>
          <w:p>
            <w:pPr>
              <w:spacing w:line="260" w:lineRule="exact"/>
              <w:jc w:val="left"/>
              <w:textAlignment w:val="center"/>
              <w:rPr>
                <w:rFonts w:ascii="宋体" w:hAnsi="宋体" w:cs="宋体"/>
                <w:sz w:val="18"/>
                <w:szCs w:val="18"/>
              </w:rPr>
            </w:pPr>
            <w:r>
              <w:rPr>
                <w:rFonts w:ascii="宋体" w:hAnsi="宋体" w:cs="宋体" w:hint="eastAsia"/>
                <w:color w:val="000000"/>
                <w:kern w:val="0"/>
                <w:sz w:val="18"/>
                <w:szCs w:val="18"/>
              </w:rPr>
              <w:t>指标1：辖区就诊病人满意度</w:t>
            </w:r>
          </w:p>
        </w:tc>
        <w:tc>
          <w:tcPr>
            <w:tcW w:w="3950" w:type="dxa"/>
            <w:gridSpan w:val="2"/>
            <w:noWrap/>
            <w:vAlign w:val="center"/>
          </w:tcPr>
          <w:p>
            <w:pPr>
              <w:spacing w:line="260" w:lineRule="exact"/>
              <w:jc w:val="center"/>
              <w:rPr>
                <w:rFonts w:ascii="宋体" w:cs="宋体"/>
                <w:sz w:val="18"/>
                <w:szCs w:val="18"/>
              </w:rPr>
            </w:pPr>
            <w:r>
              <w:rPr>
                <w:rFonts w:ascii="宋体" w:cs="宋体" w:hint="eastAsia"/>
                <w:sz w:val="18"/>
                <w:szCs w:val="18"/>
              </w:rPr>
              <w:t>≥90%</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663" w:type="dxa"/>
            <w:vMerge/>
            <w:noWrap/>
            <w:vAlign w:val="center"/>
          </w:tcPr>
          <w:p>
            <w:pPr>
              <w:spacing w:line="260" w:lineRule="exact"/>
              <w:jc w:val="center"/>
              <w:rPr>
                <w:rFonts w:ascii="宋体" w:hAnsi="宋体" w:cs="宋体"/>
                <w:sz w:val="18"/>
                <w:szCs w:val="18"/>
              </w:rPr>
            </w:pPr>
          </w:p>
        </w:tc>
        <w:tc>
          <w:tcPr>
            <w:tcW w:w="708" w:type="dxa"/>
            <w:gridSpan w:val="2"/>
            <w:vMerge/>
            <w:noWrap/>
            <w:vAlign w:val="center"/>
          </w:tcPr>
          <w:p>
            <w:pPr>
              <w:spacing w:line="260" w:lineRule="exact"/>
              <w:jc w:val="center"/>
              <w:rPr>
                <w:rFonts w:ascii="宋体" w:hAnsi="宋体" w:cs="宋体"/>
                <w:sz w:val="18"/>
                <w:szCs w:val="18"/>
              </w:rPr>
            </w:pPr>
          </w:p>
        </w:tc>
        <w:tc>
          <w:tcPr>
            <w:tcW w:w="3261" w:type="dxa"/>
            <w:gridSpan w:val="2"/>
            <w:noWrap/>
            <w:vAlign w:val="center"/>
          </w:tcPr>
          <w:p>
            <w:pPr>
              <w:spacing w:line="260" w:lineRule="exact"/>
              <w:jc w:val="left"/>
              <w:textAlignment w:val="center"/>
              <w:rPr>
                <w:rFonts w:ascii="宋体" w:hAnsi="宋体" w:cs="宋体"/>
                <w:sz w:val="18"/>
                <w:szCs w:val="18"/>
              </w:rPr>
            </w:pPr>
            <w:r>
              <w:rPr>
                <w:rFonts w:ascii="宋体" w:hAnsi="宋体" w:cs="宋体" w:hint="eastAsia"/>
                <w:color w:val="000000"/>
                <w:kern w:val="0"/>
                <w:sz w:val="18"/>
                <w:szCs w:val="18"/>
              </w:rPr>
              <w:t>…</w:t>
            </w:r>
          </w:p>
        </w:tc>
        <w:tc>
          <w:tcPr>
            <w:tcW w:w="3950" w:type="dxa"/>
            <w:gridSpan w:val="2"/>
            <w:noWrap/>
            <w:vAlign w:val="center"/>
          </w:tcPr>
          <w:p>
            <w:pPr>
              <w:spacing w:line="260" w:lineRule="exact"/>
              <w:jc w:val="center"/>
              <w:rPr>
                <w:rFonts w:ascii="宋体" w:cs="宋体"/>
                <w:sz w:val="18"/>
                <w:szCs w:val="18"/>
              </w:rPr>
            </w:pPr>
          </w:p>
        </w:tc>
      </w:tr>
    </w:tbl>
    <w:p>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（二）机关运行经费。</w:t>
      </w:r>
    </w:p>
    <w:p>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瓦埠</w:t>
      </w:r>
      <w:r>
        <w:rPr>
          <w:rFonts w:ascii="仿宋_GB2312" w:eastAsia="仿宋_GB2312" w:hAnsi="TimesNewRoman" w:cs="TimesNewRoman" w:hint="eastAsia"/>
          <w:sz w:val="32"/>
          <w:szCs w:val="32"/>
        </w:rPr>
        <w:t>镇中心卫生院为非参照公务员法管理的事业单位，按照部门预算机关运行经费口径，2024年无机关运行经费财政拨款预算。</w:t>
      </w:r>
    </w:p>
    <w:p>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（三）政府采购情况。</w:t>
      </w:r>
    </w:p>
    <w:p>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lang w:eastAsia="zh-CN"/>
        </w:rPr>
        <w:t>瓦埠</w:t>
      </w:r>
      <w:r>
        <w:rPr>
          <w:rFonts w:ascii="仿宋_GB2312" w:eastAsia="仿宋_GB2312" w:hAnsi="TimesNewRoman" w:cs="TimesNewRoman" w:hint="eastAsia"/>
          <w:kern w:val="0"/>
          <w:sz w:val="32"/>
          <w:szCs w:val="32"/>
        </w:rPr>
        <w:t>镇中心卫生院</w:t>
      </w:r>
      <w:r>
        <w:rPr>
          <w:rFonts w:ascii="仿宋_GB2312" w:eastAsia="仿宋_GB2312" w:hAnsi="TimesNewRoman" w:cs="TimesNewRoman" w:hint="eastAsia"/>
          <w:sz w:val="32"/>
          <w:szCs w:val="32"/>
        </w:rPr>
        <w:t>2024年政府采购预算</w:t>
      </w:r>
      <w:r>
        <w:rPr>
          <w:rFonts w:ascii="仿宋_GB2312" w:eastAsia="仿宋_GB2312" w:hAnsi="TimesNewRoman" w:cs="TimesNewRoman" w:hint="eastAsia"/>
          <w:sz w:val="32"/>
          <w:szCs w:val="32"/>
          <w:lang w:val="en-US" w:eastAsia="zh-CN"/>
        </w:rPr>
        <w:t>42.8</w:t>
      </w:r>
      <w:r>
        <w:rPr>
          <w:rFonts w:ascii="仿宋_GB2312" w:eastAsia="仿宋_GB2312" w:hAnsi="TimesNewRoman" w:cs="TimesNewRoman" w:hint="eastAsia"/>
          <w:sz w:val="32"/>
          <w:szCs w:val="32"/>
        </w:rPr>
        <w:t>万元。全部为政府采购货物预算</w:t>
      </w:r>
      <w:r>
        <w:rPr>
          <w:rFonts w:ascii="仿宋_GB2312" w:eastAsia="仿宋_GB2312" w:hAnsi="TimesNewRoman" w:cs="TimesNewRoman" w:hint="eastAsia"/>
          <w:sz w:val="32"/>
          <w:szCs w:val="32"/>
          <w:lang w:val="en-US" w:eastAsia="zh-CN"/>
        </w:rPr>
        <w:t>42.8</w:t>
      </w:r>
      <w:r>
        <w:rPr>
          <w:rFonts w:ascii="仿宋_GB2312" w:eastAsia="仿宋_GB2312" w:hAnsi="TimesNewRoman" w:cs="TimesNewRoman" w:hint="eastAsia"/>
          <w:sz w:val="32"/>
          <w:szCs w:val="32"/>
        </w:rPr>
        <w:t>万元。</w:t>
      </w:r>
    </w:p>
    <w:p>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（四）国有资产占有使用情况。</w:t>
      </w:r>
    </w:p>
    <w:p>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截至2023年12月31日，</w:t>
      </w: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lang w:eastAsia="zh-CN"/>
        </w:rPr>
        <w:t>瓦埠</w:t>
      </w:r>
      <w:r>
        <w:rPr>
          <w:rFonts w:ascii="仿宋_GB2312" w:eastAsia="仿宋_GB2312" w:hAnsi="TimesNewRoman" w:cs="TimesNewRoman" w:hint="eastAsia"/>
          <w:kern w:val="0"/>
          <w:sz w:val="32"/>
          <w:szCs w:val="32"/>
        </w:rPr>
        <w:t>镇中心卫生院</w:t>
      </w:r>
      <w:r>
        <w:rPr>
          <w:rFonts w:ascii="仿宋_GB2312" w:eastAsia="仿宋_GB2312" w:hAnsi="TimesNewRoman" w:cs="TimesNewRoman" w:hint="eastAsia"/>
          <w:sz w:val="32"/>
          <w:szCs w:val="32"/>
        </w:rPr>
        <w:t>没有公务用相关车辆。</w:t>
      </w:r>
      <w:r>
        <w:rPr>
          <w:rFonts w:ascii="仿宋_GB2312" w:eastAsia="仿宋_GB2312" w:hAnsi="TimesNewRoman" w:cs="TimesNewRoman" w:hint="eastAsia"/>
          <w:sz w:val="32"/>
          <w:szCs w:val="32"/>
          <w:lang w:eastAsia="zh-CN"/>
        </w:rPr>
        <w:t>单位价值</w:t>
      </w:r>
      <w:r>
        <w:rPr>
          <w:rFonts w:ascii="仿宋_GB2312" w:eastAsia="仿宋_GB2312" w:hAnsi="TimesNewRoman" w:cs="TimesNewRoman" w:hint="eastAsia"/>
          <w:sz w:val="32"/>
          <w:szCs w:val="32"/>
        </w:rPr>
        <w:t>50万元以上的通用设备</w:t>
      </w:r>
      <w:r>
        <w:rPr>
          <w:rFonts w:ascii="仿宋_GB2312" w:eastAsia="仿宋_GB2312" w:hAnsi="TimesNewRoman" w:cs="TimesNewRoman" w:hint="eastAsia"/>
          <w:sz w:val="32"/>
          <w:szCs w:val="32"/>
          <w:lang w:val="en-US" w:eastAsia="zh-CN"/>
        </w:rPr>
        <w:t>1台（套）</w:t>
      </w:r>
      <w:r>
        <w:rPr>
          <w:rFonts w:ascii="仿宋_GB2312" w:eastAsia="仿宋_GB2312" w:hAnsi="TimesNewRoman" w:cs="TimesNewRoman" w:hint="eastAsia"/>
          <w:sz w:val="32"/>
          <w:szCs w:val="32"/>
        </w:rPr>
        <w:t>，没有单价100万元以上的专用设备，也没有安排相关购置预算。</w:t>
      </w:r>
    </w:p>
    <w:p>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（五）绩效目标设置情况。</w:t>
      </w:r>
    </w:p>
    <w:p>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2024年，</w:t>
      </w: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lang w:eastAsia="zh-CN"/>
        </w:rPr>
        <w:t>瓦埠</w:t>
      </w:r>
      <w:r>
        <w:rPr>
          <w:rFonts w:ascii="仿宋_GB2312" w:eastAsia="仿宋_GB2312" w:hAnsi="TimesNewRoman" w:cs="TimesNewRoman" w:hint="eastAsia"/>
          <w:kern w:val="0"/>
          <w:sz w:val="32"/>
          <w:szCs w:val="32"/>
        </w:rPr>
        <w:t>镇中心卫生院</w:t>
      </w:r>
      <w:r>
        <w:rPr>
          <w:rFonts w:ascii="仿宋_GB2312" w:eastAsia="仿宋_GB2312" w:hAnsi="TimesNewRoman" w:cs="TimesNewRoman" w:hint="eastAsia"/>
          <w:sz w:val="32"/>
          <w:szCs w:val="32"/>
        </w:rPr>
        <w:t>1个项目实行了绩效目标管理，涉及单位资金安排</w:t>
      </w:r>
      <w:r>
        <w:rPr>
          <w:rFonts w:ascii="仿宋_GB2312" w:eastAsia="仿宋_GB2312" w:hAnsi="TimesNewRoman" w:cs="TimesNewRoman" w:hint="eastAsia"/>
          <w:sz w:val="32"/>
          <w:szCs w:val="32"/>
          <w:lang w:val="en-US" w:eastAsia="zh-CN"/>
        </w:rPr>
        <w:t>69</w:t>
      </w:r>
      <w:r>
        <w:rPr>
          <w:rFonts w:ascii="仿宋_GB2312" w:eastAsia="仿宋_GB2312" w:hAnsi="TimesNewRoman" w:cs="TimesNewRoman" w:hint="eastAsia"/>
          <w:sz w:val="32"/>
          <w:szCs w:val="32"/>
        </w:rPr>
        <w:t>0万元。</w:t>
      </w:r>
    </w:p>
    <w:p>
      <w:pPr>
        <w:topLinePunct/>
        <w:adjustRightInd w:val="0"/>
        <w:snapToGrid w:val="0"/>
        <w:spacing w:line="560" w:lineRule="exact"/>
        <w:rPr>
          <w:rFonts w:ascii="TimesNewRoman" w:eastAsia="黑体" w:hAnsi="TimesNewRoman" w:cs="TimesNewRoman"/>
          <w:sz w:val="36"/>
          <w:szCs w:val="36"/>
        </w:rPr>
      </w:pPr>
    </w:p>
    <w:p>
      <w:pPr>
        <w:topLinePunct/>
        <w:adjustRightInd w:val="0"/>
        <w:snapToGrid w:val="0"/>
        <w:spacing w:line="560" w:lineRule="exact"/>
        <w:jc w:val="center"/>
        <w:rPr>
          <w:rFonts w:ascii="TimesNewRoman" w:eastAsia="黑体" w:hAnsi="TimesNewRoman" w:cs="TimesNewRoman"/>
          <w:sz w:val="36"/>
          <w:szCs w:val="36"/>
        </w:rPr>
      </w:pPr>
    </w:p>
    <w:p>
      <w:pPr>
        <w:topLinePunct/>
        <w:adjustRightInd w:val="0"/>
        <w:snapToGrid w:val="0"/>
        <w:spacing w:line="560" w:lineRule="exact"/>
        <w:jc w:val="center"/>
        <w:rPr>
          <w:rFonts w:ascii="TimesNewRoman" w:eastAsia="黑体" w:hAnsi="TimesNewRoman" w:cs="TimesNewRoman"/>
          <w:sz w:val="36"/>
          <w:szCs w:val="36"/>
        </w:rPr>
      </w:pPr>
      <w:r>
        <w:rPr>
          <w:rFonts w:ascii="TimesNewRoman" w:eastAsia="黑体" w:hAnsi="TimesNewRoman" w:cs="TimesNewRoman"/>
          <w:sz w:val="36"/>
          <w:szCs w:val="36"/>
        </w:rPr>
        <w:t>第四部分 名词解释</w:t>
      </w:r>
    </w:p>
    <w:p>
      <w:pPr>
        <w:topLinePunct/>
        <w:adjustRightInd w:val="0"/>
        <w:snapToGrid w:val="0"/>
        <w:spacing w:line="560" w:lineRule="exact"/>
        <w:rPr>
          <w:rFonts w:ascii="TimesNewRoman" w:eastAsia="黑体" w:hAnsi="TimesNewRoman" w:cs="TimesNewRoman"/>
          <w:szCs w:val="32"/>
        </w:rPr>
      </w:pPr>
    </w:p>
    <w:p>
      <w:pPr>
        <w:topLinePunct/>
        <w:adjustRightInd w:val="0"/>
        <w:snapToGrid w:val="0"/>
        <w:spacing w:line="560" w:lineRule="exact"/>
        <w:ind w:firstLine="640" w:firstLineChars="200"/>
        <w:rPr>
          <w:rFonts w:ascii="TimesNewRoman" w:hAnsi="TimesNewRoman" w:cs="TimesNewRoman"/>
          <w:sz w:val="32"/>
          <w:szCs w:val="32"/>
        </w:rPr>
      </w:pPr>
      <w:r>
        <w:rPr>
          <w:rFonts w:ascii="楷体_GB2312" w:eastAsia="楷体_GB2312" w:hAnsi="TimesNewRoman" w:cs="TimesNewRoman" w:hint="eastAsia"/>
          <w:sz w:val="32"/>
          <w:szCs w:val="32"/>
        </w:rPr>
        <w:t>一、财政拨款收入</w:t>
      </w:r>
      <w:r>
        <w:rPr>
          <w:rFonts w:ascii="楷体_GB2312" w:eastAsia="楷体_GB2312" w:hAnsi="TimesNewRoman" w:cs="TimesNewRoman" w:hint="eastAsia"/>
          <w:b/>
          <w:sz w:val="32"/>
          <w:szCs w:val="32"/>
        </w:rPr>
        <w:t>：</w:t>
      </w:r>
      <w:r>
        <w:rPr>
          <w:rFonts w:ascii="TimesNewRoman" w:hAnsi="TimesNewRoman" w:cs="TimesNewRoman" w:hint="eastAsia"/>
          <w:sz w:val="32"/>
          <w:szCs w:val="32"/>
        </w:rPr>
        <w:t>指</w:t>
      </w:r>
      <w:r>
        <w:rPr>
          <w:rFonts w:ascii="TimesNewRoman" w:hAnsi="TimesNewRoman" w:cs="TimesNewRoman"/>
          <w:sz w:val="32"/>
          <w:szCs w:val="32"/>
        </w:rPr>
        <w:t>县财政当年拨付的资金，主要包括一般公共预算拨款收入、政府性基金预算拨款收入、国有资本经营预算拨款收入。</w:t>
      </w:r>
    </w:p>
    <w:p>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sz w:val="32"/>
          <w:szCs w:val="32"/>
        </w:rPr>
      </w:pPr>
      <w:r>
        <w:rPr>
          <w:rFonts w:ascii="楷体_GB2312" w:eastAsia="楷体_GB2312" w:hAnsi="TimesNewRoman" w:cs="TimesNewRoman"/>
          <w:kern w:val="2"/>
          <w:sz w:val="32"/>
          <w:szCs w:val="32"/>
        </w:rPr>
        <w:t>二、事业收入：</w:t>
      </w:r>
      <w:r>
        <w:rPr>
          <w:rFonts w:ascii="TimesNewRoman" w:eastAsia="仿宋_GB2312" w:hAnsi="TimesNewRoman" w:cs="TimesNewRoman"/>
          <w:sz w:val="32"/>
          <w:szCs w:val="32"/>
        </w:rPr>
        <w:t>指事业单位开展专业业务活动及辅助活动所取得的收入。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三、财政专户管理资金：</w:t>
      </w:r>
      <w:r>
        <w:rPr>
          <w:rFonts w:ascii="TimesNewRoman" w:eastAsia="仿宋_GB2312" w:hAnsi="TimesNewRoman" w:cs="TimesNewRoman"/>
          <w:sz w:val="32"/>
          <w:szCs w:val="32"/>
        </w:rPr>
        <w:t>指按照非税收入管理相关规定，纳入财政专户管理的教育收费等。</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四、事业单位经营收入：</w:t>
      </w:r>
      <w:r>
        <w:rPr>
          <w:rFonts w:ascii="TimesNewRoman" w:eastAsia="仿宋_GB2312" w:hAnsi="TimesNewRoman" w:cs="TimesNewRoman"/>
          <w:sz w:val="32"/>
          <w:szCs w:val="32"/>
        </w:rPr>
        <w:t>指事业单位在专业业务活动及其辅助活动之外开展非独立核算经营活动取得的收入。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五、附属单位上缴收入：</w:t>
      </w:r>
      <w:r>
        <w:rPr>
          <w:rFonts w:ascii="TimesNewRoman" w:eastAsia="仿宋_GB2312" w:hAnsi="TimesNewRoman" w:cs="TimesNewRoman"/>
          <w:sz w:val="32"/>
          <w:szCs w:val="32"/>
        </w:rPr>
        <w:t>本单位所属下级单位上缴给本单位的全部收入。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六、上年结转：</w:t>
      </w:r>
      <w:r>
        <w:rPr>
          <w:rFonts w:ascii="TimesNewRoman" w:eastAsia="仿宋_GB2312" w:hAnsi="TimesNewRoman" w:cs="TimesNewRoman"/>
          <w:sz w:val="32"/>
          <w:szCs w:val="32"/>
        </w:rPr>
        <w:t>指以前年度安排、结转到本年仍按原用途继续使用的资金。</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七、结转下年：</w:t>
      </w:r>
      <w:r>
        <w:rPr>
          <w:rFonts w:ascii="TimesNewRoman" w:eastAsia="仿宋_GB2312" w:hAnsi="TimesNewRoman" w:cs="TimesNewRoman"/>
          <w:sz w:val="32"/>
          <w:szCs w:val="32"/>
        </w:rPr>
        <w:t>指以前年度预算安排、因客观条件发生变化无法按原计划实施，需以后年度按原用途继续使用的资金。</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八、基本支出：</w:t>
      </w:r>
      <w:r>
        <w:rPr>
          <w:rFonts w:ascii="TimesNewRoman" w:eastAsia="仿宋_GB2312" w:hAnsi="TimesNewRoman" w:cs="TimesNewRoman"/>
          <w:sz w:val="32"/>
          <w:szCs w:val="32"/>
        </w:rPr>
        <w:t>指为保障机构正常运转、完成日常工作任务而发生的人员支出和公用支出。</w:t>
      </w:r>
    </w:p>
    <w:p>
      <w:pPr>
        <w:pStyle w:val="NormalWeb"/>
        <w:topLinePunct/>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九、项目支出：</w:t>
      </w:r>
      <w:r>
        <w:rPr>
          <w:rFonts w:ascii="TimesNewRoman" w:eastAsia="仿宋_GB2312" w:hAnsi="TimesNewRoman" w:cs="TimesNewRoman"/>
          <w:sz w:val="32"/>
          <w:szCs w:val="32"/>
        </w:rPr>
        <w:t>指在除基本支出之外的支出，主要用于完成特定的工作任务和事业发展目标。</w:t>
      </w:r>
      <w:r>
        <w:rPr>
          <w:rFonts w:ascii="TimesNewRoman" w:eastAsia="仿宋_GB2312" w:hAnsi="TimesNewRoman" w:cs="TimesNewRoman"/>
          <w:sz w:val="32"/>
          <w:szCs w:val="32"/>
        </w:rPr>
        <w:br/>
      </w:r>
      <w:r>
        <w:rPr>
          <w:rFonts w:ascii="楷体_GB2312" w:eastAsia="楷体_GB2312" w:hAnsi="TimesNewRoman" w:cs="TimesNewRoman"/>
          <w:kern w:val="2"/>
          <w:sz w:val="32"/>
          <w:szCs w:val="32"/>
        </w:rPr>
        <w:t xml:space="preserve">    十、机关运行经费:</w:t>
      </w:r>
      <w:r>
        <w:rPr>
          <w:rFonts w:ascii="TimesNewRoman" w:eastAsia="仿宋_GB2312" w:hAnsi="TimesNewRoman" w:cs="TimesNewRoman"/>
          <w:sz w:val="32"/>
          <w:szCs w:val="32"/>
        </w:rPr>
        <w:t>为保障行政单位（包括参照公务员法管理的事业单位）运行用于购买货物和服务的各项资金，包括办公及印刷费、邮电费、差旅费、会议费、福利费、日常维修费、一般设备购置费、办公用房水电费、办公用房取暖费、办公用房物业管理费、公务用车运行维护费以及其他费用。</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十一、一般公共服务支出（类）财政事务（款）财政国库业务：</w:t>
      </w:r>
      <w:r>
        <w:rPr>
          <w:rFonts w:ascii="TimesNewRoman" w:eastAsia="仿宋_GB2312" w:hAnsi="TimesNewRoman" w:cs="TimesNewRoman"/>
          <w:sz w:val="32"/>
          <w:szCs w:val="32"/>
        </w:rPr>
        <w:t>反映</w:t>
      </w:r>
      <w:r>
        <w:rPr>
          <w:rFonts w:ascii="TimesNewRoman" w:eastAsia="仿宋_GB2312" w:hAnsi="TimesNewRoman" w:cs="TimesNewRoman" w:hint="eastAsia"/>
          <w:sz w:val="32"/>
          <w:szCs w:val="32"/>
        </w:rPr>
        <w:t>县</w:t>
      </w:r>
      <w:r>
        <w:rPr>
          <w:rFonts w:ascii="TimesNewRoman" w:eastAsia="仿宋_GB2312" w:hAnsi="TimesNewRoman" w:cs="TimesNewRoman" w:hint="eastAsia"/>
          <w:sz w:val="32"/>
          <w:szCs w:val="32"/>
          <w:u w:val="single"/>
        </w:rPr>
        <w:t>财政局</w:t>
      </w:r>
      <w:r>
        <w:rPr>
          <w:rFonts w:ascii="TimesNewRoman" w:eastAsia="仿宋_GB2312" w:hAnsi="TimesNewRoman" w:cs="TimesNewRoman"/>
          <w:sz w:val="32"/>
          <w:szCs w:val="32"/>
        </w:rPr>
        <w:t>用于国库集中收付业务方面的支出。</w:t>
      </w:r>
    </w:p>
    <w:p>
      <w:pPr>
        <w:pStyle w:val="NormalWeb"/>
        <w:topLinePunct/>
        <w:spacing w:beforeAutospacing="0" w:afterAutospacing="0" w:line="560" w:lineRule="exact"/>
        <w:jc w:val="both"/>
        <w:rPr>
          <w:rFonts w:ascii="TimesNewRoman" w:eastAsia="楷体_GB2312" w:hAnsi="TimesNewRoman" w:cs="TimesNewRoman"/>
          <w:sz w:val="32"/>
          <w:szCs w:val="32"/>
        </w:rPr>
        <w:sectPr>
          <w:pgSz w:w="11907" w:h="16840"/>
          <w:pgMar w:top="2098" w:right="1474" w:bottom="1985" w:left="1588" w:header="851" w:footer="1021" w:gutter="0"/>
          <w:cols w:num="1" w:space="425"/>
          <w:docGrid w:type="lines" w:linePitch="312" w:charSpace="0"/>
        </w:sectPr>
      </w:pPr>
    </w:p>
    <w:p>
      <w:pPr>
        <w:pStyle w:val="NormalWeb"/>
        <w:topLinePunct/>
        <w:spacing w:beforeAutospacing="0" w:afterAutospacing="0" w:line="560" w:lineRule="exact"/>
        <w:jc w:val="both"/>
        <w:rPr>
          <w:rStyle w:val="Strong"/>
          <w:rFonts w:ascii="TimesNewRoman" w:eastAsia="楷体_GB2312" w:hAnsi="TimesNewRoman" w:cs="TimesNewRoman"/>
          <w:b w:val="0"/>
          <w:sz w:val="32"/>
          <w:szCs w:val="32"/>
        </w:rPr>
      </w:pPr>
    </w:p>
    <w:sectPr>
      <w:footerReference w:type="default" r:id="rId7"/>
      <w:type w:val="oddPage"/>
      <w:pgSz w:w="11907" w:h="16840"/>
      <w:pgMar w:top="2098" w:right="1474" w:bottom="1985" w:left="1588" w:header="851" w:footer="1021"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sNewRoman">
    <w:altName w:val="Arial Unicode MS"/>
    <w:panose1 w:val="00000000000000000000"/>
    <w:charset w:val="00"/>
    <w:family w:val="auto"/>
    <w:pitch w:val="default"/>
    <w:sig w:usb0="00000000" w:usb1="00000000" w:usb2="00000029" w:usb3="00000000" w:csb0="600001FF" w:csb1="FFFF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汉仪中秀体简">
    <w:altName w:val="微软雅黑"/>
    <w:panose1 w:val="00000000000000000000"/>
    <w:charset w:val="00"/>
    <w:family w:val="auto"/>
    <w:pitch w:val="default"/>
    <w:sig w:usb0="00000000" w:usb1="00000000" w:usb2="00000000"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left="420" w:leftChars="200"/>
      <w:rPr>
        <w:rFonts w:ascii="宋体" w:hAnsi="宋体"/>
        <w:sz w:val="28"/>
        <w:szCs w:val="28"/>
      </w:rPr>
    </w:pPr>
    <w:r>
      <w:rPr>
        <w:rFonts w:ascii="宋体" w:hAnsi="宋体" w:hint="eastAsia"/>
        <w:sz w:val="28"/>
        <w:szCs w:val="28"/>
      </w:rPr>
      <w:t xml:space="preserve">— </w:t>
    </w:r>
    <w:r>
      <w:rPr>
        <w:rFonts w:ascii="宋体" w:hAnsi="宋体" w:hint="eastAsia"/>
        <w:sz w:val="28"/>
        <w:szCs w:val="28"/>
      </w:rPr>
      <w:fldChar w:fldCharType="begin"/>
    </w:r>
    <w:r>
      <w:rPr>
        <w:rFonts w:ascii="宋体" w:hAnsi="宋体" w:hint="eastAsia"/>
        <w:sz w:val="28"/>
        <w:szCs w:val="28"/>
      </w:rPr>
      <w:instrText xml:space="preserve"> PAGE   \* MERGEFORMAT </w:instrText>
    </w:r>
    <w:r>
      <w:rPr>
        <w:rFonts w:ascii="宋体" w:hAnsi="宋体" w:hint="eastAsia"/>
        <w:sz w:val="28"/>
        <w:szCs w:val="28"/>
      </w:rPr>
      <w:fldChar w:fldCharType="separate"/>
    </w:r>
    <w:r>
      <w:rPr>
        <w:rFonts w:ascii="宋体" w:hAnsi="宋体"/>
        <w:sz w:val="28"/>
        <w:szCs w:val="28"/>
        <w:lang w:val="zh-CN"/>
      </w:rPr>
      <w:t>38</w:t>
    </w:r>
    <w:r>
      <w:rPr>
        <w:rFonts w:ascii="宋体" w:hAnsi="宋体" w:hint="eastAsia"/>
        <w:sz w:val="28"/>
        <w:szCs w:val="28"/>
      </w:rPr>
      <w:fldChar w:fldCharType="end"/>
    </w:r>
    <w:r>
      <w:rPr>
        <w:rFonts w:ascii="宋体" w:hAnsi="宋体" w:hint="eastAsia"/>
        <w:sz w:val="28"/>
        <w:szCs w:val="28"/>
      </w:rPr>
      <w:t xml:space="preserve"> —</w:t>
    </w:r>
  </w:p>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right="180"/>
      <w:jc w:val="right"/>
    </w:pPr>
    <w:r>
      <w:rPr>
        <w:rFonts w:ascii="宋体" w:hAnsi="宋体" w:hint="eastAsia"/>
        <w:sz w:val="28"/>
        <w:szCs w:val="28"/>
      </w:rPr>
      <w:t>—</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15</w:t>
    </w:r>
    <w:r>
      <w:rPr>
        <w:sz w:val="28"/>
        <w:szCs w:val="28"/>
      </w:rPr>
      <w:fldChar w:fldCharType="end"/>
    </w:r>
    <w:r>
      <w:rPr>
        <w:rFonts w:ascii="宋体" w:hAnsi="宋体" w:hint="eastAsia"/>
        <w:sz w:val="28"/>
        <w:szCs w:val="28"/>
      </w:rPr>
      <w:t xml:space="preserve">— </w:t>
    </w:r>
  </w:p>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4C97AC9"/>
    <w:rsid w:val="00082820"/>
    <w:rsid w:val="000A67BF"/>
    <w:rsid w:val="000F175A"/>
    <w:rsid w:val="001802D4"/>
    <w:rsid w:val="002A40AB"/>
    <w:rsid w:val="002C1E47"/>
    <w:rsid w:val="003319AA"/>
    <w:rsid w:val="00341DDC"/>
    <w:rsid w:val="00360AF0"/>
    <w:rsid w:val="0036496D"/>
    <w:rsid w:val="00374C23"/>
    <w:rsid w:val="003A4BDE"/>
    <w:rsid w:val="003C4618"/>
    <w:rsid w:val="003D28D7"/>
    <w:rsid w:val="004C4250"/>
    <w:rsid w:val="00535357"/>
    <w:rsid w:val="0056626B"/>
    <w:rsid w:val="0057509F"/>
    <w:rsid w:val="005C253D"/>
    <w:rsid w:val="00617ECF"/>
    <w:rsid w:val="00682DCF"/>
    <w:rsid w:val="00686AB8"/>
    <w:rsid w:val="006D29DE"/>
    <w:rsid w:val="00707E28"/>
    <w:rsid w:val="007E0F26"/>
    <w:rsid w:val="00815C70"/>
    <w:rsid w:val="00854B9C"/>
    <w:rsid w:val="00890D81"/>
    <w:rsid w:val="00962693"/>
    <w:rsid w:val="009830A5"/>
    <w:rsid w:val="00AF0ABD"/>
    <w:rsid w:val="00AF4B21"/>
    <w:rsid w:val="00B2790A"/>
    <w:rsid w:val="00B43BF1"/>
    <w:rsid w:val="00BB4A64"/>
    <w:rsid w:val="00CB751A"/>
    <w:rsid w:val="00CF45B4"/>
    <w:rsid w:val="00D231BD"/>
    <w:rsid w:val="00D25FC1"/>
    <w:rsid w:val="00D505C7"/>
    <w:rsid w:val="00D71FA4"/>
    <w:rsid w:val="00DB7EA4"/>
    <w:rsid w:val="00E35447"/>
    <w:rsid w:val="00F4267C"/>
    <w:rsid w:val="00F45672"/>
    <w:rsid w:val="00F72BB2"/>
    <w:rsid w:val="00F72F7B"/>
    <w:rsid w:val="011917F4"/>
    <w:rsid w:val="03637AFD"/>
    <w:rsid w:val="066D1004"/>
    <w:rsid w:val="07F62DFA"/>
    <w:rsid w:val="08EB3D36"/>
    <w:rsid w:val="0C9335F6"/>
    <w:rsid w:val="12AE2E27"/>
    <w:rsid w:val="14AA1B71"/>
    <w:rsid w:val="265D0887"/>
    <w:rsid w:val="2D887390"/>
    <w:rsid w:val="34C97AC9"/>
    <w:rsid w:val="47AC0AAE"/>
    <w:rsid w:val="4F5859D9"/>
    <w:rsid w:val="54E435DF"/>
    <w:rsid w:val="5CDB3C05"/>
    <w:rsid w:val="701E461E"/>
    <w:rsid w:val="72F70472"/>
    <w:rsid w:val="7953151C"/>
    <w:rsid w:val="7A4C00F3"/>
    <w:rsid w:val="7BB340A7"/>
  </w:rsids>
  <w:docVars>
    <w:docVar w:name="commondata" w:val="eyJoZGlkIjoiZmY2OWRmYjU3MTk4OGVmNTAyNGI1ZTlhNTFjZjkyYTMifQ=="/>
  </w:docVar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autoRedefine/>
    <w:uiPriority w:val="1"/>
    <w:semiHidden/>
    <w:unhideWhenUsed/>
    <w:qFormat/>
  </w:style>
  <w:style w:type="table" w:default="1" w:styleId="TableNormal">
    <w:name w:val="Normal Table"/>
    <w:autoRedefine/>
    <w:uiPriority w:val="99"/>
    <w:semiHidden/>
    <w:unhideWhenUsed/>
    <w:qFormat/>
    <w:tblPr>
      <w:tblCellMar>
        <w:top w:w="0" w:type="dxa"/>
        <w:left w:w="108" w:type="dxa"/>
        <w:bottom w:w="0" w:type="dxa"/>
        <w:right w:w="108" w:type="dxa"/>
      </w:tblCellMar>
    </w:tblPr>
  </w:style>
  <w:style w:type="paragraph" w:styleId="Footer">
    <w:name w:val="footer"/>
    <w:basedOn w:val="Normal"/>
    <w:autoRedefine/>
    <w:qFormat/>
    <w:pPr>
      <w:tabs>
        <w:tab w:val="center" w:pos="4153"/>
        <w:tab w:val="right" w:pos="8306"/>
      </w:tabs>
      <w:snapToGrid w:val="0"/>
      <w:jc w:val="left"/>
    </w:pPr>
    <w:rPr>
      <w:sz w:val="18"/>
      <w:szCs w:val="18"/>
    </w:rPr>
  </w:style>
  <w:style w:type="paragraph" w:styleId="Header">
    <w:name w:val="header"/>
    <w:basedOn w:val="Normal"/>
    <w:link w:val="Char"/>
    <w:autoRedefine/>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autoRedefine/>
    <w:qFormat/>
    <w:pPr>
      <w:spacing w:beforeAutospacing="1" w:afterAutospacing="1"/>
      <w:jc w:val="left"/>
    </w:pPr>
    <w:rPr>
      <w:rFonts w:ascii="Calibri" w:hAnsi="Calibri"/>
      <w:kern w:val="0"/>
      <w:sz w:val="24"/>
    </w:rPr>
  </w:style>
  <w:style w:type="character" w:styleId="Strong">
    <w:name w:val="Strong"/>
    <w:basedOn w:val="DefaultParagraphFont"/>
    <w:autoRedefine/>
    <w:qFormat/>
    <w:rPr>
      <w:b/>
      <w:bCs/>
    </w:rPr>
  </w:style>
  <w:style w:type="character" w:customStyle="1" w:styleId="Char">
    <w:name w:val="页眉 Char"/>
    <w:basedOn w:val="DefaultParagraphFont"/>
    <w:link w:val="Header"/>
    <w:qFormat/>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footer" Target="footer3.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A3E2AF-EEA5-48EA-A0FD-CEB15A5744F6}">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25</Pages>
  <Words>1898</Words>
  <Characters>10820</Characters>
  <Application>Microsoft Office Word</Application>
  <DocSecurity>0</DocSecurity>
  <Lines>90</Lines>
  <Paragraphs>25</Paragraphs>
  <ScaleCrop>false</ScaleCrop>
  <Company/>
  <LinksUpToDate>false</LinksUpToDate>
  <CharactersWithSpaces>12693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二蛋</dc:creator>
  <cp:lastModifiedBy>微信用户</cp:lastModifiedBy>
  <cp:revision>9</cp:revision>
  <dcterms:created xsi:type="dcterms:W3CDTF">2024-01-16T02:39:00Z</dcterms:created>
  <dcterms:modified xsi:type="dcterms:W3CDTF">2024-01-25T01:43:45Z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AB12261BCF484B528A5866483B2ED966_11</vt:lpwstr>
  </property>
  <property fmtid="{D5CDD505-2E9C-101B-9397-08002B2CF9AE}" pid="3" name="KSOProductBuildVer">
    <vt:lpwstr>2052-12.1.0.16250</vt:lpwstr>
  </property>
</Properties>
</file>