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eastAsia="zh-CN"/>
        </w:rPr>
        <w:t>双桥镇中心卫生院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u w:val="single"/>
        </w:rPr>
        <w:t>（单位）</w:t>
      </w:r>
      <w:r>
        <w:rPr>
          <w:rFonts w:ascii="方正小标宋_GBK" w:eastAsia="方正小标宋_GBK" w:hAnsi="TimesNewRoman" w:cs="TimesNewRoman" w:hint="eastAsia"/>
          <w:sz w:val="44"/>
          <w:szCs w:val="44"/>
        </w:rPr>
        <w:t>预算</w:t>
      </w: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01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sz w:val="32"/>
          <w:szCs w:val="32"/>
          <w:u w:val="single"/>
        </w:rPr>
        <w:t>（单位）</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双桥镇中心卫生院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双桥镇中心卫生院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双桥镇中心卫生院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双桥镇中心卫生院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双桥镇中心卫生院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双桥镇中心卫生院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双桥镇中心卫生院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双桥镇中心卫生院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双桥镇中心卫生院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双桥镇中心卫生院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双桥镇中心卫生院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bCs/>
          <w:sz w:val="36"/>
          <w:szCs w:val="36"/>
          <w:u w:val="single"/>
        </w:rPr>
        <w:t>（单位）</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r>
        <w:rPr>
          <w:rFonts w:ascii="TimesNewRoman" w:eastAsia="仿宋_GB2312" w:hAnsi="TimesNewRoman" w:cs="TimesNewRoman"/>
          <w:bCs/>
          <w:sz w:val="32"/>
          <w:szCs w:val="32"/>
        </w:rPr>
        <w:t>（一）根据相关文件规定，寿县</w:t>
      </w:r>
      <w:r>
        <w:rPr>
          <w:rFonts w:ascii="TimesNewRoman" w:eastAsia="仿宋_GB2312" w:hAnsi="TimesNewRoman" w:cs="TimesNewRoman" w:hint="eastAsia"/>
          <w:bCs/>
          <w:sz w:val="32"/>
          <w:szCs w:val="32"/>
          <w:lang w:eastAsia="zh-CN"/>
        </w:rPr>
        <w:t>双桥</w:t>
      </w:r>
      <w:r>
        <w:rPr>
          <w:rFonts w:ascii="TimesNewRoman" w:eastAsia="仿宋_GB2312" w:hAnsi="TimesNewRoman" w:cs="TimesNewRoman"/>
          <w:bCs/>
          <w:sz w:val="32"/>
          <w:szCs w:val="32"/>
        </w:rPr>
        <w:t>镇中心卫生院主要职责是：</w:t>
      </w:r>
      <w:r>
        <w:rPr>
          <w:rFonts w:ascii="TimesNewRoman" w:eastAsia="仿宋_GB2312" w:hAnsi="TimesNewRoman" w:cs="TimesNewRoman" w:hint="eastAsia"/>
          <w:bCs/>
          <w:sz w:val="32"/>
          <w:szCs w:val="32"/>
          <w:lang w:eastAsia="zh-CN"/>
        </w:rPr>
        <w:t>为</w:t>
      </w:r>
      <w:r>
        <w:rPr>
          <w:rFonts w:ascii="TimesNewRoman" w:eastAsia="仿宋_GB2312" w:hAnsi="TimesNewRoman" w:cs="TimesNewRoman"/>
          <w:bCs/>
          <w:sz w:val="32"/>
          <w:szCs w:val="32"/>
        </w:rPr>
        <w:t>人民群众身体健康和辖区公共卫生提供管理服务。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（二）</w:t>
      </w:r>
      <w:r>
        <w:rPr>
          <w:rFonts w:ascii="TimesNewRoman" w:eastAsia="仿宋_GB2312" w:hAnsi="TimesNewRoman" w:cs="TimesNewRoman" w:hint="eastAsia"/>
          <w:bCs/>
          <w:sz w:val="32"/>
          <w:szCs w:val="32"/>
        </w:rPr>
        <w:t>承担</w:t>
      </w:r>
      <w:r>
        <w:rPr>
          <w:rFonts w:ascii="TimesNewRoman" w:eastAsia="仿宋_GB2312" w:hAnsi="TimesNewRoman" w:cs="TimesNewRoman"/>
          <w:bCs/>
          <w:sz w:val="32"/>
          <w:szCs w:val="32"/>
        </w:rPr>
        <w:t>预防保健等公共卫生服务和一般常见病、多发病的基本医疗服务。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hint="eastAsia"/>
          <w:bCs/>
          <w:sz w:val="32"/>
          <w:szCs w:val="32"/>
        </w:rPr>
        <w:t>（三）受县级卫生行政部门和所在乡镇政府委托，承担辖区内公共卫生管理。</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（单位）预算构成</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从预算单位构成看，</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双桥镇中心卫生院</w:t>
      </w:r>
      <w:r>
        <w:rPr>
          <w:rFonts w:ascii="仿宋_GB2312" w:eastAsia="仿宋_GB2312" w:hAnsi="TimesNewRoman" w:cs="TimesNewRoman" w:hint="eastAsia"/>
          <w:sz w:val="32"/>
          <w:szCs w:val="32"/>
        </w:rPr>
        <w:t>2024年度部门预算</w:t>
      </w:r>
      <w:r>
        <w:rPr>
          <w:rFonts w:ascii="仿宋_GB2312" w:eastAsia="仿宋_GB2312" w:hAnsi="TimesNewRoman" w:cs="TimesNewRoman" w:hint="eastAsia"/>
          <w:sz w:val="32"/>
          <w:szCs w:val="32"/>
          <w:lang w:eastAsia="zh-CN"/>
        </w:rPr>
        <w:t>为本</w:t>
      </w:r>
      <w:r>
        <w:rPr>
          <w:rFonts w:ascii="仿宋_GB2312" w:eastAsia="仿宋_GB2312" w:hAnsi="TimesNewRoman" w:cs="TimesNewRoman" w:hint="eastAsia"/>
          <w:sz w:val="32"/>
          <w:szCs w:val="32"/>
        </w:rPr>
        <w:t>单位预算，纳入部门预算编制范围的预算单位共</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个，具体情况见下表。</w:t>
      </w:r>
    </w:p>
    <w:tbl>
      <w:tblPr>
        <w:tblStyle w:val="TableNormal"/>
        <w:tblW w:w="9180" w:type="dxa"/>
        <w:tblInd w:w="108" w:type="dxa"/>
        <w:tblLayout w:type="fixed"/>
        <w:tblCellMar>
          <w:top w:w="0" w:type="dxa"/>
          <w:left w:w="0" w:type="dxa"/>
          <w:bottom w:w="0" w:type="dxa"/>
          <w:right w:w="0" w:type="dxa"/>
        </w:tblCellMar>
      </w:tblPr>
      <w:tblGrid>
        <w:gridCol w:w="918"/>
        <w:gridCol w:w="3672"/>
        <w:gridCol w:w="4590"/>
      </w:tblGrid>
      <w:tr>
        <w:tblPrEx>
          <w:tblW w:w="9180" w:type="dxa"/>
          <w:tblInd w:w="108" w:type="dxa"/>
          <w:tblLayout w:type="fixed"/>
          <w:tblCellMar>
            <w:top w:w="0" w:type="dxa"/>
            <w:left w:w="0" w:type="dxa"/>
            <w:bottom w:w="0" w:type="dxa"/>
            <w:right w:w="0" w:type="dxa"/>
          </w:tblCellMar>
        </w:tblPrEx>
        <w:trPr>
          <w:trHeight w:val="400"/>
        </w:trPr>
        <w:tc>
          <w:tcPr>
            <w:tcW w:w="911"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序号</w:t>
            </w:r>
          </w:p>
        </w:tc>
        <w:tc>
          <w:tcPr>
            <w:tcW w:w="3643" w:type="dxa"/>
            <w:tcBorders>
              <w:top w:val="single" w:sz="8" w:space="0" w:color="auto"/>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单位名称</w:t>
            </w:r>
          </w:p>
        </w:tc>
        <w:tc>
          <w:tcPr>
            <w:tcW w:w="4554" w:type="dxa"/>
            <w:tcBorders>
              <w:top w:val="single" w:sz="8" w:space="0" w:color="auto"/>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单位性质</w:t>
            </w:r>
          </w:p>
        </w:tc>
      </w:tr>
      <w:tr>
        <w:tblPrEx>
          <w:tblW w:w="9180" w:type="dxa"/>
          <w:tblInd w:w="108" w:type="dxa"/>
          <w:tblLayout w:type="fixed"/>
          <w:tblCellMar>
            <w:top w:w="0" w:type="dxa"/>
            <w:left w:w="0" w:type="dxa"/>
            <w:bottom w:w="0" w:type="dxa"/>
            <w:right w:w="0" w:type="dxa"/>
          </w:tblCellMar>
        </w:tblPrEx>
        <w:trPr>
          <w:trHeight w:val="400"/>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1</w:t>
            </w: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eastAsia="宋体" w:hAnsi="TimesNewRoman" w:cs="TimesNewRoman" w:hint="eastAsia"/>
                <w:szCs w:val="21"/>
                <w:u w:val="single"/>
                <w:lang w:eastAsia="zh-CN"/>
              </w:rPr>
            </w:pPr>
            <w:r>
              <w:rPr>
                <w:rFonts w:ascii="TimesNewRoman" w:hAnsi="TimesNewRoman" w:cs="TimesNewRoman" w:hint="eastAsia"/>
                <w:bCs/>
                <w:szCs w:val="21"/>
                <w:lang w:eastAsia="zh-CN"/>
              </w:rPr>
              <w:t>双桥镇中心卫生院</w:t>
            </w:r>
          </w:p>
        </w:tc>
        <w:tc>
          <w:tcPr>
            <w:tcW w:w="4554" w:type="dxa"/>
            <w:tcBorders>
              <w:top w:val="nil"/>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u w:val="single"/>
              </w:rPr>
            </w:pPr>
            <w:r>
              <w:rPr>
                <w:rFonts w:ascii="TimesNewRoman" w:hAnsi="TimesNewRoman" w:cs="TimesNewRoman"/>
                <w:bCs/>
                <w:szCs w:val="21"/>
              </w:rPr>
              <w:t>公益一类事业单位</w:t>
            </w:r>
          </w:p>
        </w:tc>
      </w:tr>
      <w:tr>
        <w:tblPrEx>
          <w:tblW w:w="9180" w:type="dxa"/>
          <w:tblInd w:w="108" w:type="dxa"/>
          <w:shd w:val="clear" w:color="auto" w:fill="FFFFFF"/>
          <w:tblLayout w:type="fixed"/>
          <w:tblCellMar>
            <w:top w:w="0" w:type="dxa"/>
            <w:left w:w="0" w:type="dxa"/>
            <w:bottom w:w="0" w:type="dxa"/>
            <w:right w:w="0" w:type="dxa"/>
          </w:tblCellMar>
        </w:tblPrEx>
        <w:trPr>
          <w:trHeight w:hRule="exact" w:val="397"/>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jc w:val="center"/>
              <w:rPr>
                <w:rFonts w:ascii="仿宋_GB2312" w:eastAsia="仿宋_GB2312" w:hAnsi="宋体" w:cs="宋体" w:hint="eastAsia"/>
                <w:sz w:val="32"/>
                <w:szCs w:val="32"/>
              </w:rPr>
            </w:pP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rPr>
                <w:rFonts w:ascii="仿宋_GB2312" w:eastAsia="仿宋_GB2312" w:hAnsi="宋体" w:hint="eastAsia"/>
                <w:sz w:val="32"/>
                <w:szCs w:val="32"/>
                <w:u w:val="single"/>
              </w:rPr>
            </w:pPr>
          </w:p>
        </w:tc>
        <w:tc>
          <w:tcPr>
            <w:tcW w:w="4554" w:type="dxa"/>
            <w:tcBorders>
              <w:top w:val="nil"/>
              <w:left w:val="nil"/>
              <w:bottom w:val="single" w:sz="8" w:space="0" w:color="auto"/>
              <w:right w:val="single" w:sz="8" w:space="0" w:color="auto"/>
            </w:tcBorders>
            <w:shd w:val="clear" w:color="auto" w:fill="FFFFFF"/>
            <w:noWrap w:val="0"/>
            <w:vAlign w:val="top"/>
          </w:tcPr>
          <w:p>
            <w:pPr>
              <w:adjustRightInd w:val="0"/>
              <w:snapToGrid w:val="0"/>
              <w:spacing w:line="360" w:lineRule="auto"/>
              <w:rPr>
                <w:rFonts w:ascii="仿宋_GB2312" w:eastAsia="仿宋_GB2312" w:hAnsi="宋体" w:hint="eastAsia"/>
                <w:sz w:val="32"/>
                <w:szCs w:val="32"/>
                <w:u w:val="single"/>
              </w:rPr>
            </w:pPr>
          </w:p>
        </w:tc>
      </w:tr>
    </w:tbl>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双桥</w:t>
      </w:r>
      <w:r>
        <w:rPr>
          <w:rFonts w:ascii="仿宋_GB2312" w:eastAsia="仿宋_GB2312" w:hAnsi="TimesNewRoman" w:cs="TimesNewRoman" w:hint="eastAsia"/>
          <w:bCs/>
          <w:sz w:val="32"/>
          <w:szCs w:val="32"/>
        </w:rPr>
        <w:t>镇中心卫生院2024年度单位预算仅包括单位本级预算，无其他下属单位预算。</w:t>
      </w:r>
    </w:p>
    <w:p>
      <w:pPr>
        <w:pStyle w:val="NormalWeb"/>
        <w:topLinePunct/>
        <w:adjustRightInd w:val="0"/>
        <w:snapToGrid w:val="0"/>
        <w:spacing w:beforeAutospacing="0" w:afterAutospacing="0" w:line="580" w:lineRule="exact"/>
        <w:jc w:val="both"/>
        <w:rPr>
          <w:rFonts w:ascii="楷体_GB2312" w:eastAsia="楷体_GB2312" w:hAnsi="TimesNewRoman" w:cs="TimesNewRoman" w:hint="eastAsia"/>
          <w:b/>
          <w:bCs/>
          <w:sz w:val="32"/>
          <w:szCs w:val="32"/>
        </w:rPr>
      </w:pPr>
    </w:p>
    <w:p>
      <w:pPr>
        <w:pStyle w:val="NormalWeb"/>
        <w:topLinePunct/>
        <w:adjustRightInd w:val="0"/>
        <w:snapToGrid w:val="0"/>
        <w:spacing w:beforeAutospacing="0" w:afterAutospacing="0" w:line="580" w:lineRule="exact"/>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spacing w:before="0" w:beforeAutospacing="0" w:after="0" w:afterAutospacing="0" w:line="580" w:lineRule="atLeast"/>
        <w:ind w:firstLine="640"/>
        <w:jc w:val="both"/>
        <w:rPr>
          <w:rFonts w:ascii="Times New Roman" w:eastAsia="仿宋" w:hAnsi="Times New Roman" w:cs="Times New Roman" w:hint="eastAsia"/>
          <w:sz w:val="32"/>
          <w:szCs w:val="32"/>
        </w:rPr>
      </w:pPr>
      <w:r>
        <w:rPr>
          <w:rFonts w:ascii="仿宋" w:eastAsia="仿宋" w:hAnsi="仿宋" w:cs="仿宋" w:hint="eastAsia"/>
          <w:color w:val="333333"/>
          <w:sz w:val="32"/>
          <w:szCs w:val="32"/>
          <w:shd w:val="clear" w:color="auto" w:fill="FFFFFF"/>
        </w:rPr>
        <w:t>（一）加强医护质量管理，保障医疗安全；</w:t>
      </w:r>
    </w:p>
    <w:p>
      <w:pPr>
        <w:pStyle w:val="NormalWeb"/>
        <w:spacing w:before="0" w:beforeAutospacing="0" w:after="0" w:afterAutospacing="0" w:line="580" w:lineRule="atLeast"/>
        <w:ind w:firstLine="640"/>
        <w:jc w:val="both"/>
        <w:rPr>
          <w:rFonts w:ascii="Times New Roman" w:eastAsia="仿宋" w:hAnsi="Times New Roman" w:cs="Times New Roman" w:hint="eastAsia"/>
          <w:sz w:val="32"/>
          <w:szCs w:val="32"/>
        </w:rPr>
      </w:pPr>
      <w:r>
        <w:rPr>
          <w:rFonts w:ascii="仿宋" w:eastAsia="仿宋" w:hAnsi="仿宋" w:cs="仿宋" w:hint="eastAsia"/>
          <w:color w:val="333333"/>
          <w:sz w:val="32"/>
          <w:szCs w:val="32"/>
          <w:shd w:val="clear" w:color="auto" w:fill="FFFFFF"/>
        </w:rPr>
        <w:t>（二）着力做好重大疾病预防控制工作；</w:t>
      </w:r>
    </w:p>
    <w:p>
      <w:pPr>
        <w:pStyle w:val="NormalWeb"/>
        <w:spacing w:before="0" w:beforeAutospacing="0" w:after="0" w:afterAutospacing="0" w:line="580" w:lineRule="atLeast"/>
        <w:ind w:firstLine="640" w:firstLineChars="200"/>
        <w:jc w:val="both"/>
        <w:rPr>
          <w:rFonts w:ascii="Times New Roman" w:eastAsia="仿宋" w:hAnsi="Times New Roman" w:cs="Times New Roman" w:hint="eastAsia"/>
          <w:sz w:val="32"/>
          <w:szCs w:val="32"/>
        </w:rPr>
      </w:pPr>
      <w:r>
        <w:rPr>
          <w:rFonts w:ascii="仿宋" w:eastAsia="仿宋" w:hAnsi="仿宋" w:cs="仿宋" w:hint="eastAsia"/>
          <w:color w:val="333333"/>
          <w:sz w:val="32"/>
          <w:szCs w:val="32"/>
          <w:shd w:val="clear" w:color="auto" w:fill="FFFFFF"/>
        </w:rPr>
        <w:t>（三）做好医保结算工作；</w:t>
      </w:r>
    </w:p>
    <w:p>
      <w:pPr>
        <w:pStyle w:val="NormalWeb"/>
        <w:spacing w:before="0" w:beforeAutospacing="0" w:after="0" w:afterAutospacing="0" w:line="580" w:lineRule="atLeast"/>
        <w:ind w:firstLine="640"/>
        <w:jc w:val="both"/>
        <w:rPr>
          <w:rFonts w:ascii="Times New Roman" w:eastAsia="仿宋" w:hAnsi="Times New Roman" w:cs="Times New Roman" w:hint="eastAsia"/>
          <w:sz w:val="32"/>
          <w:szCs w:val="32"/>
        </w:rPr>
      </w:pPr>
      <w:r>
        <w:rPr>
          <w:rFonts w:ascii="仿宋" w:eastAsia="仿宋" w:hAnsi="仿宋" w:cs="仿宋" w:hint="eastAsia"/>
          <w:color w:val="333333"/>
          <w:sz w:val="32"/>
          <w:szCs w:val="32"/>
          <w:shd w:val="clear" w:color="auto" w:fill="FFFFFF"/>
        </w:rPr>
        <w:t>（四）加强党务及行风建设工作；</w:t>
      </w:r>
    </w:p>
    <w:p>
      <w:pPr>
        <w:pStyle w:val="NormalWeb"/>
        <w:spacing w:before="0" w:beforeAutospacing="0" w:after="0" w:afterAutospacing="0" w:line="580" w:lineRule="atLeast"/>
        <w:ind w:firstLine="640"/>
        <w:jc w:val="both"/>
        <w:rPr>
          <w:rFonts w:ascii="仿宋" w:eastAsia="仿宋" w:hAnsi="仿宋" w:cs="仿宋" w:hint="eastAsia"/>
          <w:color w:val="333333"/>
          <w:sz w:val="32"/>
          <w:szCs w:val="32"/>
          <w:shd w:val="clear" w:color="auto" w:fill="FFFFFF"/>
        </w:rPr>
      </w:pPr>
      <w:r>
        <w:rPr>
          <w:rFonts w:ascii="仿宋" w:eastAsia="仿宋" w:hAnsi="仿宋" w:cs="仿宋" w:hint="eastAsia"/>
          <w:color w:val="333333"/>
          <w:sz w:val="32"/>
          <w:szCs w:val="32"/>
          <w:shd w:val="clear" w:color="auto" w:fill="FFFFFF"/>
        </w:rPr>
        <w:t>（五）加强财务管理工作；</w:t>
      </w:r>
    </w:p>
    <w:p>
      <w:pPr>
        <w:pStyle w:val="NormalWeb"/>
        <w:spacing w:before="0" w:beforeAutospacing="0" w:after="0" w:afterAutospacing="0" w:line="580" w:lineRule="atLeast"/>
        <w:ind w:firstLine="640"/>
        <w:jc w:val="both"/>
        <w:rPr>
          <w:rFonts w:ascii="TimesNewRoman" w:eastAsia="黑体" w:hAnsi="TimesNewRoman" w:cs="TimesNewRoman"/>
          <w:bCs/>
          <w:sz w:val="36"/>
          <w:szCs w:val="36"/>
        </w:rPr>
      </w:pPr>
      <w:r>
        <w:rPr>
          <w:rFonts w:ascii="仿宋" w:eastAsia="仿宋" w:hAnsi="仿宋" w:cs="仿宋" w:hint="eastAsia"/>
          <w:color w:val="333333"/>
          <w:sz w:val="32"/>
          <w:szCs w:val="32"/>
          <w:shd w:val="clear" w:color="auto" w:fill="FFFFFF"/>
        </w:rPr>
        <w:t>（六）全面统筹抓好其他工作</w:t>
      </w:r>
      <w:r>
        <w:rPr>
          <w:rFonts w:ascii="仿宋" w:eastAsia="仿宋" w:hAnsi="仿宋" w:cs="仿宋" w:hint="eastAsia"/>
          <w:color w:val="333333"/>
          <w:sz w:val="32"/>
          <w:szCs w:val="32"/>
          <w:shd w:val="clear" w:color="auto" w:fill="FFFFFF"/>
          <w:lang w:eastAsia="zh-CN"/>
        </w:rPr>
        <w:t>。</w:t>
      </w: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年（单位）预算表</w:t>
      </w:r>
    </w:p>
    <w:p>
      <w:pPr>
        <w:spacing w:line="560" w:lineRule="exact"/>
        <w:ind w:firstLine="7000" w:firstLineChars="3500"/>
        <w:jc w:val="left"/>
        <w:rPr>
          <w:rFonts w:ascii="TimesNewRoman" w:hAnsi="TimesNewRoman" w:cs="TimesNewRoman" w:hint="eastAsia"/>
          <w:kern w:val="0"/>
          <w:sz w:val="20"/>
        </w:rPr>
      </w:pP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双桥镇中心卫生院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2"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406.83</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0.64</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106.07</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506.26</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234</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234</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28.5</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640.83</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640.83</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640.83</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640.83</w:t>
            </w: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lang w:val="en-US" w:eastAsia="zh-CN"/>
        </w:rPr>
        <w:t xml:space="preserve"> </w:t>
      </w: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双桥镇中心卫生院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462" w:type="dxa"/>
        <w:tblInd w:w="-431" w:type="dxa"/>
        <w:tblLayout w:type="fixed"/>
        <w:tblCellMar>
          <w:top w:w="0" w:type="dxa"/>
          <w:left w:w="108" w:type="dxa"/>
          <w:bottom w:w="0" w:type="dxa"/>
          <w:right w:w="108" w:type="dxa"/>
        </w:tblCellMar>
      </w:tblPr>
      <w:tblGrid>
        <w:gridCol w:w="1700"/>
        <w:gridCol w:w="538"/>
        <w:gridCol w:w="465"/>
        <w:gridCol w:w="647"/>
        <w:gridCol w:w="648"/>
        <w:gridCol w:w="648"/>
        <w:gridCol w:w="648"/>
        <w:gridCol w:w="648"/>
        <w:gridCol w:w="648"/>
        <w:gridCol w:w="648"/>
        <w:gridCol w:w="648"/>
        <w:gridCol w:w="648"/>
        <w:gridCol w:w="648"/>
        <w:gridCol w:w="648"/>
        <w:gridCol w:w="648"/>
        <w:gridCol w:w="648"/>
        <w:gridCol w:w="648"/>
        <w:gridCol w:w="648"/>
        <w:gridCol w:w="1040"/>
      </w:tblGrid>
      <w:tr>
        <w:tblPrEx>
          <w:tblW w:w="13462" w:type="dxa"/>
          <w:tblInd w:w="-431" w:type="dxa"/>
          <w:tblLayout w:type="fixed"/>
          <w:tblCellMar>
            <w:top w:w="0" w:type="dxa"/>
            <w:left w:w="108" w:type="dxa"/>
            <w:bottom w:w="0" w:type="dxa"/>
            <w:right w:w="108" w:type="dxa"/>
          </w:tblCellMar>
        </w:tblPrEx>
        <w:trPr>
          <w:trHeight w:val="501"/>
        </w:trPr>
        <w:tc>
          <w:tcPr>
            <w:tcW w:w="1700"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538"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CellMar>
            <w:top w:w="0" w:type="dxa"/>
            <w:left w:w="108" w:type="dxa"/>
            <w:bottom w:w="0" w:type="dxa"/>
            <w:right w:w="108" w:type="dxa"/>
          </w:tblCellMar>
        </w:tblPrEx>
        <w:trPr>
          <w:trHeight w:val="424"/>
        </w:trPr>
        <w:tc>
          <w:tcPr>
            <w:tcW w:w="170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46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7"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6"/>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CellMar>
            <w:top w:w="0" w:type="dxa"/>
            <w:left w:w="108" w:type="dxa"/>
            <w:bottom w:w="0" w:type="dxa"/>
            <w:right w:w="108" w:type="dxa"/>
          </w:tblCellMar>
        </w:tblPrEx>
        <w:trPr>
          <w:trHeight w:val="2579"/>
        </w:trPr>
        <w:tc>
          <w:tcPr>
            <w:tcW w:w="170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6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7"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r>
      <w:tr>
        <w:tblPrEx>
          <w:tblW w:w="13462" w:type="dxa"/>
          <w:tblInd w:w="-431" w:type="dxa"/>
          <w:tblLayout w:type="fixed"/>
          <w:tblCellMar>
            <w:top w:w="0" w:type="dxa"/>
            <w:left w:w="108" w:type="dxa"/>
            <w:bottom w:w="0" w:type="dxa"/>
            <w:right w:w="108" w:type="dxa"/>
          </w:tblCellMar>
        </w:tblPrEx>
        <w:trPr>
          <w:trHeight w:val="795"/>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合计</w:t>
            </w: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640.83</w:t>
            </w:r>
            <w:r>
              <w:rPr>
                <w:rFonts w:ascii="TimesNewRoman" w:hAnsi="TimesNewRoman" w:cs="TimesNewRoman"/>
                <w:kern w:val="0"/>
                <w:sz w:val="18"/>
                <w:szCs w:val="18"/>
              </w:rPr>
              <w:t>　</w:t>
            </w:r>
          </w:p>
        </w:tc>
        <w:tc>
          <w:tcPr>
            <w:tcW w:w="46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640.83</w:t>
            </w:r>
            <w:r>
              <w:rPr>
                <w:rFonts w:ascii="TimesNewRoman" w:hAnsi="TimesNewRoman" w:cs="TimesNewRoman"/>
                <w:kern w:val="0"/>
                <w:sz w:val="18"/>
                <w:szCs w:val="18"/>
              </w:rPr>
              <w:t>　</w:t>
            </w:r>
          </w:p>
        </w:tc>
        <w:tc>
          <w:tcPr>
            <w:tcW w:w="647"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406.83</w:t>
            </w: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234</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bidi="ar-SA"/>
              </w:rPr>
              <w:t>234</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寿县</w:t>
            </w:r>
            <w:r>
              <w:rPr>
                <w:rFonts w:ascii="TimesNewRoman" w:hAnsi="TimesNewRoman" w:cs="TimesNewRoman"/>
                <w:kern w:val="0"/>
                <w:sz w:val="18"/>
                <w:szCs w:val="18"/>
              </w:rPr>
              <w:t>卫生健康委员会</w:t>
            </w: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640.83</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640.83</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406.83</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234</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234</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寿县</w:t>
            </w:r>
            <w:r>
              <w:rPr>
                <w:rFonts w:ascii="TimesNewRoman" w:hAnsi="TimesNewRoman" w:cs="TimesNewRoman" w:hint="eastAsia"/>
                <w:kern w:val="0"/>
                <w:sz w:val="18"/>
                <w:szCs w:val="18"/>
                <w:lang w:eastAsia="zh-CN"/>
              </w:rPr>
              <w:t>双桥</w:t>
            </w:r>
            <w:r>
              <w:rPr>
                <w:rFonts w:ascii="TimesNewRoman" w:hAnsi="TimesNewRoman" w:cs="TimesNewRoman"/>
                <w:kern w:val="0"/>
                <w:sz w:val="18"/>
                <w:szCs w:val="18"/>
              </w:rPr>
              <w:t>关镇中心卫生院</w:t>
            </w: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640.83</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640.83</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406.83</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234</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234</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both"/>
        <w:rPr>
          <w:lang w:val="en-US" w:eastAsia="zh-CN"/>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双桥镇中心卫生院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599"/>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43"/>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106.07</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106.07</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2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104.41</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104.41</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2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360" w:firstLineChars="200"/>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47.42</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47.42</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43"/>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360" w:firstLineChars="2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2080505</w:t>
            </w:r>
          </w:p>
        </w:tc>
        <w:tc>
          <w:tcPr>
            <w:tcW w:w="4495" w:type="dxa"/>
            <w:tcBorders>
              <w:top w:val="nil"/>
              <w:left w:val="nil"/>
              <w:bottom w:val="single" w:sz="4" w:space="0" w:color="auto"/>
              <w:right w:val="single" w:sz="4" w:space="0" w:color="auto"/>
            </w:tcBorders>
            <w:noWrap w:val="0"/>
            <w:vAlign w:val="center"/>
          </w:tcPr>
          <w:p>
            <w:pPr>
              <w:widowControl/>
              <w:spacing w:line="260" w:lineRule="exact"/>
              <w:ind w:firstLine="360" w:firstLineChars="200"/>
              <w:rPr>
                <w:rFonts w:ascii="TimesNewRoman" w:eastAsia="仿宋_GB2312" w:hAnsi="TimesNewRoman" w:cs="TimesNewRoman" w:hint="eastAsia"/>
                <w:kern w:val="0"/>
                <w:sz w:val="18"/>
                <w:szCs w:val="18"/>
                <w:lang w:val="en-US" w:eastAsia="zh-CN" w:bidi="ar-SA"/>
              </w:rPr>
            </w:pPr>
            <w:r>
              <w:rPr>
                <w:rFonts w:ascii="TimesNewRoman" w:hAnsi="TimesNewRoman" w:cs="TimesNewRoman" w:hint="eastAsia"/>
                <w:kern w:val="0"/>
                <w:sz w:val="18"/>
                <w:szCs w:val="18"/>
              </w:rPr>
              <w:t>机关事业单位基本养老保险缴费支出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37.99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37.99</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29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360" w:firstLineChars="2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2080506</w:t>
            </w:r>
          </w:p>
        </w:tc>
        <w:tc>
          <w:tcPr>
            <w:tcW w:w="4495" w:type="dxa"/>
            <w:tcBorders>
              <w:top w:val="nil"/>
              <w:left w:val="nil"/>
              <w:bottom w:val="single" w:sz="4" w:space="0" w:color="auto"/>
              <w:right w:val="single" w:sz="4" w:space="0" w:color="auto"/>
            </w:tcBorders>
            <w:noWrap w:val="0"/>
            <w:vAlign w:val="center"/>
          </w:tcPr>
          <w:p>
            <w:pPr>
              <w:widowControl/>
              <w:spacing w:line="260" w:lineRule="exact"/>
              <w:rPr>
                <w:rFonts w:asciiTheme="majorEastAsia" w:eastAsiaTheme="majorEastAsia" w:hAnsiTheme="majorEastAsia" w:cs="TimesNewRoman"/>
                <w:kern w:val="0"/>
                <w:sz w:val="18"/>
                <w:szCs w:val="18"/>
                <w:lang w:val="en-US" w:eastAsia="zh-CN" w:bidi="ar-SA"/>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机关事业单位职业年金缴费支出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19.00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19.00</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3"/>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其他社会保障和就业支出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1.66</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1.66</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253"/>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其他社会保障和就业支出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1.66</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1.66</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29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卫生健康支出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506.26</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261.37</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244.89</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3"/>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21003</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基层医疗卫生机构</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489.24</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244.99</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244.25</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283"/>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乡镇卫生院</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489.24</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244.99</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244.25</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26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21004</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公共卫生</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0.64</w:t>
            </w:r>
          </w:p>
        </w:tc>
        <w:tc>
          <w:tcPr>
            <w:tcW w:w="1181" w:type="dxa"/>
            <w:tcBorders>
              <w:top w:val="nil"/>
              <w:left w:val="nil"/>
              <w:bottom w:val="single" w:sz="4" w:space="0" w:color="auto"/>
              <w:right w:val="single" w:sz="4" w:space="0" w:color="auto"/>
            </w:tcBorders>
            <w:noWrap w:val="0"/>
            <w:vAlign w:val="center"/>
          </w:tcPr>
          <w:p>
            <w:pPr>
              <w:jc w:val="right"/>
              <w:rPr>
                <w:rFonts w:ascii="TimesNewRoman" w:eastAsia="宋体" w:hAnsi="TimesNewRoman" w:cs="TimesNewRoman"/>
                <w:kern w:val="0"/>
                <w:sz w:val="18"/>
                <w:szCs w:val="18"/>
                <w:lang w:val="en-US" w:eastAsia="zh-CN" w:bidi="ar-SA"/>
              </w:rPr>
            </w:pP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0.64</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43"/>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2100408</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基本公共卫生服务</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0.64</w:t>
            </w:r>
          </w:p>
        </w:tc>
        <w:tc>
          <w:tcPr>
            <w:tcW w:w="1181" w:type="dxa"/>
            <w:tcBorders>
              <w:top w:val="nil"/>
              <w:left w:val="nil"/>
              <w:bottom w:val="single" w:sz="4" w:space="0" w:color="auto"/>
              <w:right w:val="single" w:sz="4" w:space="0" w:color="auto"/>
            </w:tcBorders>
            <w:noWrap w:val="0"/>
            <w:vAlign w:val="center"/>
          </w:tcPr>
          <w:p>
            <w:pPr>
              <w:jc w:val="right"/>
              <w:rPr>
                <w:rFonts w:ascii="TimesNewRoman" w:eastAsia="宋体" w:hAnsi="TimesNewRoman" w:cs="TimesNewRoman"/>
                <w:kern w:val="0"/>
                <w:sz w:val="18"/>
                <w:szCs w:val="18"/>
                <w:lang w:val="en-US" w:eastAsia="zh-CN" w:bidi="ar-SA"/>
              </w:rPr>
            </w:pP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0.64</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73"/>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21011</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行政事业单位医疗</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16.38</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16.38</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2101102</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事业单位医疗</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16.38</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16.38</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221</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住房保障支出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28.50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28.50</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22102</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住房改革支出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28.50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28.50</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360" w:firstLineChars="2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2210201</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住房公积金</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28.50</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28.50</w:t>
            </w:r>
            <w:r>
              <w:rPr>
                <w:rFonts w:ascii="TimesNewRoman" w:hAnsi="TimesNewRoman" w:cs="TimesNewRoman" w:hint="eastAsia"/>
                <w:kern w:val="0"/>
                <w:sz w:val="18"/>
                <w:szCs w:val="18"/>
              </w:rPr>
              <w:t>5</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6134" w:type="dxa"/>
            <w:gridSpan w:val="2"/>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eastAsia="宋体" w:hAnsi="TimesNewRoman" w:cs="TimesNewRoman"/>
                <w:b/>
                <w:bCs/>
                <w:kern w:val="0"/>
                <w:sz w:val="18"/>
                <w:szCs w:val="18"/>
                <w:lang w:val="en-US" w:eastAsia="zh-CN" w:bidi="ar-SA"/>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b/>
                <w:bCs/>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640.83</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b/>
                <w:bCs/>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395.94</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b/>
                <w:bCs/>
                <w:kern w:val="0"/>
                <w:sz w:val="18"/>
                <w:szCs w:val="18"/>
                <w:lang w:val="en-US" w:eastAsia="zh-CN" w:bidi="ar-SA"/>
              </w:rPr>
            </w:pPr>
            <w:r>
              <w:rPr>
                <w:rFonts w:ascii="宋体" w:eastAsia="宋体" w:hAnsi="宋体" w:cs="宋体" w:hint="eastAsia"/>
                <w:i w:val="0"/>
                <w:iCs w:val="0"/>
                <w:color w:val="000000"/>
                <w:kern w:val="0"/>
                <w:sz w:val="20"/>
                <w:szCs w:val="20"/>
                <w:u w:val="none"/>
                <w:lang w:val="en-US" w:eastAsia="zh-CN" w:bidi="ar"/>
              </w:rPr>
              <w:t>244.89</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hint="eastAsia"/>
          <w:kern w:val="0"/>
          <w:sz w:val="20"/>
          <w:lang w:val="en-US" w:eastAsia="zh-CN"/>
        </w:rPr>
        <w:t xml:space="preserve">      </w:t>
      </w: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双桥镇中心卫生院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406.83</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406.83</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406.83</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106.07</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272.26</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1"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28.5</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245"/>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hint="eastAsia"/>
                <w:b/>
                <w:bCs/>
                <w:kern w:val="0"/>
                <w:sz w:val="18"/>
                <w:szCs w:val="18"/>
                <w:lang w:val="en-US" w:eastAsia="zh-CN"/>
              </w:rPr>
            </w:pP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hint="eastAsia"/>
                <w:kern w:val="0"/>
                <w:sz w:val="18"/>
                <w:szCs w:val="18"/>
                <w:lang w:val="en-US" w:eastAsia="zh-CN"/>
              </w:rPr>
            </w:pPr>
          </w:p>
        </w:tc>
      </w:tr>
      <w:tr>
        <w:tblPrEx>
          <w:tblW w:w="9274" w:type="dxa"/>
          <w:tblInd w:w="0" w:type="dxa"/>
          <w:tblLayout w:type="fixed"/>
          <w:tblCellMar>
            <w:top w:w="0" w:type="dxa"/>
            <w:left w:w="108" w:type="dxa"/>
            <w:bottom w:w="0" w:type="dxa"/>
            <w:right w:w="108" w:type="dxa"/>
          </w:tblCellMar>
        </w:tblPrEx>
        <w:trPr>
          <w:trHeight w:val="245"/>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406.83</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406.83</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双桥镇中心卫生院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CellMar>
            <w:top w:w="0" w:type="dxa"/>
            <w:left w:w="108" w:type="dxa"/>
            <w:bottom w:w="0" w:type="dxa"/>
            <w:right w:w="108" w:type="dxa"/>
          </w:tblCellMar>
        </w:tblPrEx>
        <w:trPr>
          <w:trHeight w:val="383"/>
        </w:trPr>
        <w:tc>
          <w:tcPr>
            <w:tcW w:w="160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CellMar>
            <w:top w:w="0" w:type="dxa"/>
            <w:left w:w="108" w:type="dxa"/>
            <w:bottom w:w="0" w:type="dxa"/>
            <w:right w:w="108" w:type="dxa"/>
          </w:tblCellMar>
        </w:tblPrEx>
        <w:trPr>
          <w:trHeight w:val="383"/>
        </w:trPr>
        <w:tc>
          <w:tcPr>
            <w:tcW w:w="160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CellMar>
            <w:top w:w="0" w:type="dxa"/>
            <w:left w:w="108" w:type="dxa"/>
            <w:bottom w:w="0" w:type="dxa"/>
            <w:right w:w="108" w:type="dxa"/>
          </w:tblCellMar>
        </w:tblPrEx>
        <w:trPr>
          <w:trHeight w:val="278"/>
        </w:trPr>
        <w:tc>
          <w:tcPr>
            <w:tcW w:w="1603"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82" w:type="dxa"/>
            <w:tcBorders>
              <w:top w:val="single" w:sz="4" w:space="0" w:color="auto"/>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106.07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106.07</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106.07</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08"/>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104.41</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104.41</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104.41</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29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360" w:firstLineChars="200"/>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47.42</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47.42</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47.42</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278"/>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360" w:firstLineChars="2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2080505</w:t>
            </w:r>
          </w:p>
        </w:tc>
        <w:tc>
          <w:tcPr>
            <w:tcW w:w="4482" w:type="dxa"/>
            <w:tcBorders>
              <w:top w:val="nil"/>
              <w:left w:val="nil"/>
              <w:bottom w:val="single" w:sz="4" w:space="0" w:color="auto"/>
              <w:right w:val="single" w:sz="4" w:space="0" w:color="auto"/>
            </w:tcBorders>
            <w:noWrap w:val="0"/>
            <w:vAlign w:val="center"/>
          </w:tcPr>
          <w:p>
            <w:pPr>
              <w:widowControl/>
              <w:spacing w:line="260" w:lineRule="exact"/>
              <w:ind w:firstLine="360" w:firstLineChars="200"/>
              <w:rPr>
                <w:rFonts w:ascii="TimesNewRoman" w:eastAsia="仿宋_GB2312" w:hAnsi="TimesNewRoman" w:cs="TimesNewRoman" w:hint="eastAsia"/>
                <w:kern w:val="0"/>
                <w:sz w:val="18"/>
                <w:szCs w:val="18"/>
                <w:lang w:val="en-US" w:eastAsia="zh-CN" w:bidi="ar-SA"/>
              </w:rPr>
            </w:pPr>
            <w:r>
              <w:rPr>
                <w:rFonts w:ascii="TimesNewRoman" w:hAnsi="TimesNewRoman" w:cs="TimesNewRoman" w:hint="eastAsia"/>
                <w:kern w:val="0"/>
                <w:sz w:val="18"/>
                <w:szCs w:val="18"/>
              </w:rPr>
              <w:t>机关事业单位基本养老保险缴费支出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37.99</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37.99</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37.99</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278"/>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360" w:firstLineChars="2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2080506</w:t>
            </w:r>
          </w:p>
        </w:tc>
        <w:tc>
          <w:tcPr>
            <w:tcW w:w="4482" w:type="dxa"/>
            <w:tcBorders>
              <w:top w:val="nil"/>
              <w:left w:val="nil"/>
              <w:bottom w:val="single" w:sz="4" w:space="0" w:color="auto"/>
              <w:right w:val="single" w:sz="4" w:space="0" w:color="auto"/>
            </w:tcBorders>
            <w:noWrap w:val="0"/>
            <w:vAlign w:val="center"/>
          </w:tcPr>
          <w:p>
            <w:pPr>
              <w:widowControl/>
              <w:spacing w:line="260" w:lineRule="exact"/>
              <w:rPr>
                <w:rFonts w:asciiTheme="majorEastAsia" w:eastAsiaTheme="majorEastAsia" w:hAnsiTheme="majorEastAsia" w:cs="TimesNewRoman"/>
                <w:kern w:val="0"/>
                <w:sz w:val="18"/>
                <w:szCs w:val="18"/>
                <w:lang w:val="en-US" w:eastAsia="zh-CN" w:bidi="ar-SA"/>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机关事业单位职业年金缴费支出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19.00</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19.00</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19.00</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08"/>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其他社会保障和就业支出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1.66</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2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其他社会保障和就业支出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1.66</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08"/>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卫生健康支出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272.26</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261.37</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261.37</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10.89</w:t>
            </w:r>
          </w:p>
        </w:tc>
      </w:tr>
      <w:tr>
        <w:tblPrEx>
          <w:tblW w:w="13840" w:type="dxa"/>
          <w:tblInd w:w="0" w:type="dxa"/>
          <w:tblLayout w:type="fixed"/>
          <w:tblCellMar>
            <w:top w:w="0" w:type="dxa"/>
            <w:left w:w="108" w:type="dxa"/>
            <w:bottom w:w="0" w:type="dxa"/>
            <w:right w:w="108" w:type="dxa"/>
          </w:tblCellMar>
        </w:tblPrEx>
        <w:trPr>
          <w:trHeight w:val="20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21003</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基层医疗卫生机构</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255.24</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244.99</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244.99</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10.25</w:t>
            </w:r>
          </w:p>
        </w:tc>
      </w:tr>
      <w:tr>
        <w:tblPrEx>
          <w:tblW w:w="13840" w:type="dxa"/>
          <w:tblInd w:w="0" w:type="dxa"/>
          <w:tblLayout w:type="fixed"/>
          <w:tblCellMar>
            <w:top w:w="0" w:type="dxa"/>
            <w:left w:w="108" w:type="dxa"/>
            <w:bottom w:w="0" w:type="dxa"/>
            <w:right w:w="108" w:type="dxa"/>
          </w:tblCellMar>
        </w:tblPrEx>
        <w:trPr>
          <w:trHeight w:val="338"/>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乡镇卫生院</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255.24</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244.99</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244.99</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kern w:val="0"/>
                <w:sz w:val="18"/>
                <w:szCs w:val="18"/>
                <w:lang w:val="en-US" w:eastAsia="zh-CN" w:bidi="ar-SA"/>
              </w:rPr>
            </w:pP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bidi="ar-SA"/>
              </w:rPr>
            </w:pPr>
            <w:r>
              <w:rPr>
                <w:rFonts w:ascii="TimesNewRoman" w:hAnsi="TimesNewRoman" w:cs="TimesNewRoman" w:hint="eastAsia"/>
                <w:kern w:val="0"/>
                <w:sz w:val="18"/>
                <w:szCs w:val="18"/>
                <w:lang w:val="en-US" w:eastAsia="zh-CN"/>
              </w:rPr>
              <w:t>10.25</w:t>
            </w:r>
          </w:p>
        </w:tc>
      </w:tr>
      <w:tr>
        <w:tblPrEx>
          <w:tblW w:w="13840" w:type="dxa"/>
          <w:tblInd w:w="0" w:type="dxa"/>
          <w:tblLayout w:type="fixed"/>
          <w:tblCellMar>
            <w:top w:w="0" w:type="dxa"/>
            <w:left w:w="108" w:type="dxa"/>
            <w:bottom w:w="0" w:type="dxa"/>
            <w:right w:w="108" w:type="dxa"/>
          </w:tblCellMar>
        </w:tblPrEx>
        <w:trPr>
          <w:trHeight w:val="32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21004</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公共卫生</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0.64</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0.64</w:t>
            </w: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38"/>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2100408</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基本公共卫生服务</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0.64</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0.64</w:t>
            </w: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29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21011</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行政事业单位医疗</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16.38</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16.38</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16.38</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08"/>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2101102</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事业单位医疗</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16.38</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16.38</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16.38</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278"/>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221</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住房保障支出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28.50</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28.50</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28.50</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22102</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住房改革支出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28.50</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28.50</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28.50</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60" w:lineRule="exact"/>
              <w:ind w:firstLine="360" w:firstLineChars="200"/>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2210201</w:t>
            </w:r>
          </w:p>
        </w:tc>
        <w:tc>
          <w:tcPr>
            <w:tcW w:w="4482"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 xml:space="preserve">    住房公积金</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28.50</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28.50</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28.50</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6085"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406.83</w:t>
            </w:r>
            <w:r>
              <w:rPr>
                <w:rFonts w:ascii="TimesNewRoman" w:hAnsi="TimesNewRoman" w:cs="TimesNewRoman"/>
                <w:b/>
                <w:bCs/>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395.94</w:t>
            </w:r>
            <w:r>
              <w:rPr>
                <w:rFonts w:ascii="TimesNewRoman" w:hAnsi="TimesNewRoman" w:cs="TimesNewRoman"/>
                <w:b/>
                <w:bCs/>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395.94</w:t>
            </w:r>
            <w:r>
              <w:rPr>
                <w:rFonts w:ascii="TimesNewRoman" w:hAnsi="TimesNewRoman" w:cs="TimesNewRoman"/>
                <w:b/>
                <w:bCs/>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10.89</w:t>
            </w:r>
            <w:r>
              <w:rPr>
                <w:rFonts w:ascii="TimesNewRoman" w:hAnsi="TimesNewRoman" w:cs="TimesNewRoman"/>
                <w:b/>
                <w:bCs/>
                <w:kern w:val="0"/>
                <w:sz w:val="18"/>
                <w:szCs w:val="18"/>
              </w:rPr>
              <w:t>　</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双桥镇中心卫生院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301</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340.99</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宋体" w:eastAsia="宋体" w:hAnsi="宋体" w:cs="宋体" w:hint="eastAsia"/>
                <w:i w:val="0"/>
                <w:iCs w:val="0"/>
                <w:color w:val="000000"/>
                <w:kern w:val="2"/>
                <w:sz w:val="20"/>
                <w:szCs w:val="20"/>
                <w:u w:val="none"/>
                <w:lang w:val="en-US" w:eastAsia="zh-CN" w:bidi="ar-SA"/>
              </w:rPr>
            </w:pPr>
            <w:r>
              <w:rPr>
                <w:rFonts w:ascii="宋体" w:eastAsia="宋体" w:hAnsi="宋体" w:cs="宋体" w:hint="eastAsia"/>
                <w:i w:val="0"/>
                <w:iCs w:val="0"/>
                <w:color w:val="000000"/>
                <w:kern w:val="0"/>
                <w:sz w:val="20"/>
                <w:szCs w:val="20"/>
                <w:u w:val="none"/>
                <w:lang w:val="en-US" w:eastAsia="zh-CN" w:bidi="ar"/>
              </w:rPr>
              <w:t>340.99</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30101</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xml:space="preserve">    基本工资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154.20</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154.20</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180" w:firstLineChars="100"/>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3010</w:t>
            </w:r>
            <w:r>
              <w:rPr>
                <w:rFonts w:ascii="TimesNewRoman" w:hAnsi="TimesNewRoman" w:cs="TimesNewRoman" w:hint="eastAsia"/>
                <w:kern w:val="0"/>
                <w:sz w:val="18"/>
                <w:szCs w:val="18"/>
              </w:rPr>
              <w:t>7</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绩效</w:t>
            </w:r>
            <w:r>
              <w:rPr>
                <w:rFonts w:ascii="TimesNewRoman" w:hAnsi="TimesNewRoman" w:cs="TimesNewRoman"/>
                <w:kern w:val="0"/>
                <w:sz w:val="18"/>
                <w:szCs w:val="18"/>
              </w:rPr>
              <w:t>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83.24</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83.24</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3010</w:t>
            </w:r>
            <w:r>
              <w:rPr>
                <w:rFonts w:ascii="TimesNewRoman" w:hAnsi="TimesNewRoman" w:cs="TimesNewRoman" w:hint="eastAsia"/>
                <w:kern w:val="0"/>
                <w:sz w:val="18"/>
                <w:szCs w:val="18"/>
              </w:rPr>
              <w:t>8</w:t>
            </w:r>
          </w:p>
        </w:tc>
        <w:tc>
          <w:tcPr>
            <w:tcW w:w="4350" w:type="dxa"/>
            <w:tcBorders>
              <w:top w:val="nil"/>
              <w:left w:val="nil"/>
              <w:bottom w:val="single" w:sz="4" w:space="0" w:color="auto"/>
              <w:right w:val="single" w:sz="4" w:space="0" w:color="auto"/>
            </w:tcBorders>
            <w:noWrap w:val="0"/>
            <w:vAlign w:val="center"/>
          </w:tcPr>
          <w:p>
            <w:pPr>
              <w:widowControl/>
              <w:spacing w:line="280" w:lineRule="exact"/>
              <w:rPr>
                <w:rFonts w:asciiTheme="majorEastAsia" w:eastAsiaTheme="majorEastAsia" w:hAnsiTheme="majorEastAsia" w:cs="TimesNewRoman"/>
                <w:kern w:val="0"/>
                <w:sz w:val="18"/>
                <w:szCs w:val="18"/>
                <w:lang w:val="en-US" w:eastAsia="zh-CN" w:bidi="ar-SA"/>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机关事业单位基本养老保险缴费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eastAsia="宋体" w:hAnsi="TimesNewRoman" w:cs="TimesNewRoman" w:hint="default"/>
                <w:kern w:val="0"/>
                <w:sz w:val="18"/>
                <w:szCs w:val="18"/>
                <w:lang w:val="en-US" w:eastAsia="zh-CN"/>
              </w:rPr>
            </w:pPr>
            <w:r>
              <w:rPr>
                <w:rFonts w:ascii="宋体" w:eastAsia="宋体" w:hAnsi="宋体" w:cs="宋体" w:hint="eastAsia"/>
                <w:i w:val="0"/>
                <w:iCs w:val="0"/>
                <w:color w:val="000000"/>
                <w:kern w:val="0"/>
                <w:sz w:val="20"/>
                <w:szCs w:val="20"/>
                <w:u w:val="none"/>
                <w:lang w:val="en-US" w:eastAsia="zh-CN" w:bidi="ar"/>
              </w:rPr>
              <w:t>37.99</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37.99</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3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3010</w:t>
            </w:r>
            <w:r>
              <w:rPr>
                <w:rFonts w:ascii="TimesNewRoman" w:hAnsi="TimesNewRoman" w:cs="TimesNewRoman" w:hint="eastAsia"/>
                <w:kern w:val="0"/>
                <w:sz w:val="18"/>
                <w:szCs w:val="18"/>
              </w:rPr>
              <w:t>9</w:t>
            </w:r>
          </w:p>
        </w:tc>
        <w:tc>
          <w:tcPr>
            <w:tcW w:w="4350" w:type="dxa"/>
            <w:tcBorders>
              <w:top w:val="nil"/>
              <w:left w:val="nil"/>
              <w:bottom w:val="single" w:sz="4" w:space="0" w:color="auto"/>
              <w:right w:val="single" w:sz="4" w:space="0" w:color="auto"/>
            </w:tcBorders>
            <w:noWrap w:val="0"/>
            <w:vAlign w:val="center"/>
          </w:tcPr>
          <w:p>
            <w:pPr>
              <w:widowControl/>
              <w:spacing w:line="280" w:lineRule="exact"/>
              <w:ind w:firstLine="360" w:firstLineChars="200"/>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职业年级缴费　</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19.00</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19.00</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301</w:t>
            </w:r>
            <w:r>
              <w:rPr>
                <w:rFonts w:ascii="TimesNewRoman" w:hAnsi="TimesNewRoman" w:cs="TimesNewRoman" w:hint="eastAsia"/>
                <w:kern w:val="0"/>
                <w:sz w:val="18"/>
                <w:szCs w:val="18"/>
              </w:rPr>
              <w:t>10</w:t>
            </w:r>
          </w:p>
        </w:tc>
        <w:tc>
          <w:tcPr>
            <w:tcW w:w="4350" w:type="dxa"/>
            <w:tcBorders>
              <w:top w:val="nil"/>
              <w:left w:val="nil"/>
              <w:bottom w:val="single" w:sz="4" w:space="0" w:color="auto"/>
              <w:right w:val="single" w:sz="4" w:space="0" w:color="auto"/>
            </w:tcBorders>
            <w:noWrap w:val="0"/>
            <w:vAlign w:val="center"/>
          </w:tcPr>
          <w:p>
            <w:pPr>
              <w:widowControl/>
              <w:spacing w:line="280" w:lineRule="exact"/>
              <w:ind w:firstLine="360" w:firstLineChars="200"/>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职工基本医疗保险缴费　</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16.38</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16.38</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301</w:t>
            </w:r>
            <w:r>
              <w:rPr>
                <w:rFonts w:ascii="TimesNewRoman" w:hAnsi="TimesNewRoman" w:cs="TimesNewRoman" w:hint="eastAsia"/>
                <w:kern w:val="0"/>
                <w:sz w:val="18"/>
                <w:szCs w:val="18"/>
              </w:rPr>
              <w:t>12</w:t>
            </w:r>
          </w:p>
        </w:tc>
        <w:tc>
          <w:tcPr>
            <w:tcW w:w="4350" w:type="dxa"/>
            <w:tcBorders>
              <w:top w:val="nil"/>
              <w:left w:val="nil"/>
              <w:bottom w:val="single" w:sz="4" w:space="0" w:color="auto"/>
              <w:right w:val="single" w:sz="4" w:space="0" w:color="auto"/>
            </w:tcBorders>
            <w:noWrap w:val="0"/>
            <w:vAlign w:val="center"/>
          </w:tcPr>
          <w:p>
            <w:pPr>
              <w:widowControl/>
              <w:spacing w:line="280" w:lineRule="exact"/>
              <w:ind w:firstLine="360" w:firstLineChars="200"/>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其他社会保障缴费　</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1.66</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1.66</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301</w:t>
            </w:r>
            <w:r>
              <w:rPr>
                <w:rFonts w:ascii="TimesNewRoman" w:hAnsi="TimesNewRoman" w:cs="TimesNewRoman" w:hint="eastAsia"/>
                <w:kern w:val="0"/>
                <w:sz w:val="18"/>
                <w:szCs w:val="18"/>
              </w:rPr>
              <w:t>13</w:t>
            </w:r>
          </w:p>
        </w:tc>
        <w:tc>
          <w:tcPr>
            <w:tcW w:w="4350" w:type="dxa"/>
            <w:tcBorders>
              <w:top w:val="nil"/>
              <w:left w:val="nil"/>
              <w:bottom w:val="single" w:sz="4" w:space="0" w:color="auto"/>
              <w:right w:val="single" w:sz="4" w:space="0" w:color="auto"/>
            </w:tcBorders>
            <w:noWrap w:val="0"/>
            <w:vAlign w:val="center"/>
          </w:tcPr>
          <w:p>
            <w:pPr>
              <w:widowControl/>
              <w:spacing w:line="280" w:lineRule="exact"/>
              <w:ind w:firstLine="360" w:firstLineChars="200"/>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住房公积金</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28.50</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28.50</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301</w:t>
            </w:r>
            <w:r>
              <w:rPr>
                <w:rFonts w:ascii="TimesNewRoman" w:hAnsi="TimesNewRoman" w:cs="TimesNewRoman" w:hint="eastAsia"/>
                <w:kern w:val="0"/>
                <w:sz w:val="18"/>
                <w:szCs w:val="18"/>
              </w:rPr>
              <w:t>99</w:t>
            </w:r>
          </w:p>
        </w:tc>
        <w:tc>
          <w:tcPr>
            <w:tcW w:w="4350" w:type="dxa"/>
            <w:tcBorders>
              <w:top w:val="nil"/>
              <w:left w:val="nil"/>
              <w:bottom w:val="single" w:sz="4" w:space="0" w:color="auto"/>
              <w:right w:val="single" w:sz="4" w:space="0" w:color="auto"/>
            </w:tcBorders>
            <w:noWrap w:val="0"/>
            <w:vAlign w:val="center"/>
          </w:tcPr>
          <w:p>
            <w:pPr>
              <w:widowControl/>
              <w:spacing w:line="280" w:lineRule="exac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其他工资福利支出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0.02</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0.02</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rPr>
              <w:t>303</w:t>
            </w:r>
          </w:p>
        </w:tc>
        <w:tc>
          <w:tcPr>
            <w:tcW w:w="4350" w:type="dxa"/>
            <w:tcBorders>
              <w:top w:val="nil"/>
              <w:left w:val="nil"/>
              <w:bottom w:val="single" w:sz="4" w:space="0" w:color="auto"/>
              <w:right w:val="single" w:sz="4" w:space="0" w:color="auto"/>
            </w:tcBorders>
            <w:noWrap w:val="0"/>
            <w:vAlign w:val="center"/>
          </w:tcPr>
          <w:p>
            <w:pPr>
              <w:widowControl/>
              <w:spacing w:line="280" w:lineRule="exac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对个人和家庭的补助</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54.95</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54.95</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30</w:t>
            </w:r>
            <w:r>
              <w:rPr>
                <w:rFonts w:ascii="TimesNewRoman" w:hAnsi="TimesNewRoman" w:cs="TimesNewRoman" w:hint="eastAsia"/>
                <w:kern w:val="0"/>
                <w:sz w:val="18"/>
                <w:szCs w:val="18"/>
              </w:rPr>
              <w:t>302</w:t>
            </w:r>
          </w:p>
        </w:tc>
        <w:tc>
          <w:tcPr>
            <w:tcW w:w="4350" w:type="dxa"/>
            <w:tcBorders>
              <w:top w:val="nil"/>
              <w:left w:val="nil"/>
              <w:bottom w:val="single" w:sz="4" w:space="0" w:color="auto"/>
              <w:right w:val="single" w:sz="4" w:space="0" w:color="auto"/>
            </w:tcBorders>
            <w:noWrap w:val="0"/>
            <w:vAlign w:val="center"/>
          </w:tcPr>
          <w:p>
            <w:pPr>
              <w:widowControl/>
              <w:spacing w:line="280" w:lineRule="exac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退休费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47.42</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47.42</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　30</w:t>
            </w:r>
            <w:r>
              <w:rPr>
                <w:rFonts w:ascii="TimesNewRoman" w:hAnsi="TimesNewRoman" w:cs="TimesNewRoman" w:hint="eastAsia"/>
                <w:kern w:val="0"/>
                <w:sz w:val="18"/>
                <w:szCs w:val="18"/>
              </w:rPr>
              <w:t>305</w:t>
            </w:r>
          </w:p>
        </w:tc>
        <w:tc>
          <w:tcPr>
            <w:tcW w:w="4350" w:type="dxa"/>
            <w:tcBorders>
              <w:top w:val="nil"/>
              <w:left w:val="nil"/>
              <w:bottom w:val="single" w:sz="4" w:space="0" w:color="auto"/>
              <w:right w:val="single" w:sz="4" w:space="0" w:color="auto"/>
            </w:tcBorders>
            <w:noWrap w:val="0"/>
            <w:vAlign w:val="center"/>
          </w:tcPr>
          <w:p>
            <w:pPr>
              <w:widowControl/>
              <w:spacing w:line="280" w:lineRule="exact"/>
              <w:ind w:firstLine="360" w:firstLineChars="200"/>
              <w:rPr>
                <w:rFonts w:ascii="TimesNewRoman" w:eastAsia="宋体" w:hAnsi="TimesNewRoman" w:cs="TimesNewRoman"/>
                <w:kern w:val="0"/>
                <w:sz w:val="18"/>
                <w:szCs w:val="18"/>
                <w:lang w:val="en-US" w:eastAsia="zh-CN" w:bidi="ar-SA"/>
              </w:rPr>
            </w:pPr>
            <w:r>
              <w:rPr>
                <w:rFonts w:ascii="TimesNewRoman" w:hAnsi="TimesNewRoman" w:cs="TimesNewRoman"/>
                <w:kern w:val="0"/>
                <w:sz w:val="18"/>
                <w:szCs w:val="18"/>
              </w:rPr>
              <w:t>生活补助</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7.53</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7.53</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395.94</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395.94</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双桥镇中心卫生院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both"/>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w:t>
      </w:r>
      <w:r>
        <w:rPr>
          <w:rFonts w:ascii="TimesNewRoman" w:hAnsi="TimesNewRoman" w:cs="TimesNewRoman" w:hint="eastAsia"/>
          <w:kern w:val="0"/>
          <w:sz w:val="24"/>
          <w:lang w:eastAsia="zh-CN"/>
        </w:rPr>
        <w:t>双桥镇中心卫生院</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双桥镇中心卫生院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rPr>
              <w:t>寿县</w:t>
            </w:r>
            <w:r>
              <w:rPr>
                <w:rFonts w:ascii="TimesNewRoman" w:hAnsi="TimesNewRoman" w:cs="TimesNewRoman" w:hint="eastAsia"/>
                <w:kern w:val="0"/>
                <w:sz w:val="24"/>
                <w:lang w:eastAsia="zh-CN"/>
              </w:rPr>
              <w:t>双桥镇中心卫生院</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hint="eastAsia"/>
          <w:kern w:val="0"/>
          <w:sz w:val="20"/>
        </w:rPr>
      </w:pPr>
      <w:r>
        <w:rPr>
          <w:rFonts w:ascii="TimesNewRoman" w:hAnsi="TimesNewRoman" w:cs="TimesNewRoman" w:hint="eastAsia"/>
          <w:kern w:val="0"/>
          <w:sz w:val="20"/>
        </w:rPr>
        <w:t xml:space="preserve">                                                                                                      </w:t>
      </w:r>
    </w:p>
    <w:p>
      <w:pPr>
        <w:spacing w:line="560" w:lineRule="exact"/>
        <w:jc w:val="center"/>
        <w:rPr>
          <w:rFonts w:ascii="TimesNewRoman" w:hAnsi="TimesNewRoman" w:cs="TimesNewRoman"/>
          <w:kern w:val="0"/>
          <w:sz w:val="20"/>
        </w:rPr>
      </w:pPr>
      <w:r>
        <w:rPr>
          <w:rFonts w:ascii="TimesNewRoman" w:hAnsi="TimesNewRoman" w:cs="TimesNewRoman" w:hint="eastAsia"/>
          <w:kern w:val="0"/>
          <w:sz w:val="20"/>
          <w:lang w:val="en-US" w:eastAsia="zh-CN"/>
        </w:rPr>
        <w:t xml:space="preserve">                                                                                                              </w:t>
      </w:r>
      <w:r>
        <w:rPr>
          <w:rFonts w:ascii="TimesNewRoman" w:hAnsi="TimesNewRoman" w:cs="TimesNewRoman" w:hint="eastAsia"/>
          <w:kern w:val="0"/>
          <w:sz w:val="20"/>
        </w:rPr>
        <w:t xml:space="preserve">    </w:t>
      </w:r>
      <w:r>
        <w:rPr>
          <w:rFonts w:ascii="TimesNewRoman" w:hAnsi="TimesNewRoman" w:cs="TimesNewRoman" w:hint="eastAsia"/>
          <w:kern w:val="0"/>
          <w:sz w:val="20"/>
          <w:lang w:val="en-US" w:eastAsia="zh-CN"/>
        </w:rPr>
        <w:t xml:space="preserve">    </w:t>
      </w: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双桥镇中心卫生院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特定目标类</w:t>
            </w:r>
          </w:p>
        </w:tc>
        <w:tc>
          <w:tcPr>
            <w:tcW w:w="1433"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2024_基本公共卫生服务</w:t>
            </w:r>
          </w:p>
        </w:tc>
        <w:tc>
          <w:tcPr>
            <w:tcW w:w="135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寿县双桥镇中心卫生院</w:t>
            </w:r>
          </w:p>
        </w:tc>
        <w:tc>
          <w:tcPr>
            <w:tcW w:w="91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0.64</w:t>
            </w:r>
          </w:p>
        </w:tc>
        <w:tc>
          <w:tcPr>
            <w:tcW w:w="1214"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0.64</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特定目标类</w:t>
            </w:r>
          </w:p>
        </w:tc>
        <w:tc>
          <w:tcPr>
            <w:tcW w:w="143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三年过渡安置人员补助</w:t>
            </w:r>
          </w:p>
        </w:tc>
        <w:tc>
          <w:tcPr>
            <w:tcW w:w="135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寿县双桥镇中心卫生院</w:t>
            </w:r>
          </w:p>
        </w:tc>
        <w:tc>
          <w:tcPr>
            <w:tcW w:w="91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10.25</w:t>
            </w:r>
          </w:p>
        </w:tc>
        <w:tc>
          <w:tcPr>
            <w:tcW w:w="121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b/>
                <w:bCs/>
                <w:kern w:val="0"/>
                <w:sz w:val="18"/>
                <w:szCs w:val="18"/>
              </w:rPr>
            </w:pPr>
            <w:r>
              <w:rPr>
                <w:rFonts w:ascii="宋体" w:eastAsia="宋体" w:hAnsi="宋体" w:cs="宋体" w:hint="eastAsia"/>
                <w:i w:val="0"/>
                <w:iCs w:val="0"/>
                <w:color w:val="000000"/>
                <w:kern w:val="0"/>
                <w:sz w:val="20"/>
                <w:szCs w:val="20"/>
                <w:u w:val="none"/>
                <w:lang w:val="en-US" w:eastAsia="zh-CN" w:bidi="ar"/>
              </w:rPr>
              <w:t>10.25</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特定目标类</w:t>
            </w:r>
          </w:p>
        </w:tc>
        <w:tc>
          <w:tcPr>
            <w:tcW w:w="143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乡镇卫生院医疗卫生支出</w:t>
            </w:r>
          </w:p>
        </w:tc>
        <w:tc>
          <w:tcPr>
            <w:tcW w:w="1353"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寿县双桥镇中心卫生院</w:t>
            </w:r>
          </w:p>
        </w:tc>
        <w:tc>
          <w:tcPr>
            <w:tcW w:w="916"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234.00</w:t>
            </w:r>
          </w:p>
        </w:tc>
        <w:tc>
          <w:tcPr>
            <w:tcW w:w="1214"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234</w:t>
            </w: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244.89</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10.89</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234</w:t>
            </w:r>
            <w:r>
              <w:rPr>
                <w:rFonts w:ascii="TimesNewRoman" w:hAnsi="TimesNewRoman" w:cs="TimesNewRoman"/>
                <w:b/>
                <w:bCs/>
                <w:kern w:val="0"/>
                <w:sz w:val="18"/>
                <w:szCs w:val="18"/>
              </w:rPr>
              <w:t>　</w:t>
            </w:r>
          </w:p>
        </w:tc>
      </w:tr>
    </w:tbl>
    <w:p>
      <w:pPr>
        <w:pStyle w:val="NormalWeb"/>
        <w:wordWrap w:val="0"/>
        <w:adjustRightInd w:val="0"/>
        <w:snapToGrid w:val="0"/>
        <w:spacing w:after="156" w:afterLines="50" w:line="560" w:lineRule="exact"/>
        <w:jc w:val="center"/>
        <w:rPr>
          <w:rFonts w:ascii="TimesNewRoman" w:hAnsi="TimesNewRoman" w:cs="TimesNewRoman" w:hint="eastAsia"/>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lang w:val="en-US" w:eastAsia="zh-CN"/>
        </w:rPr>
        <w:t xml:space="preserve">                                                                                                               </w:t>
      </w:r>
      <w:r>
        <w:rPr>
          <w:rFonts w:ascii="TimesNewRoman" w:hAnsi="TimesNewRoman" w:cs="TimesNewRoman" w:hint="eastAsia"/>
          <w:sz w:val="20"/>
          <w:szCs w:val="20"/>
        </w:rPr>
        <w:t xml:space="preserve">  </w:t>
      </w:r>
      <w:r>
        <w:rPr>
          <w:rFonts w:ascii="TimesNewRoman" w:hAnsi="TimesNewRoman" w:cs="TimesNewRoman" w:hint="eastAsia"/>
          <w:sz w:val="20"/>
          <w:szCs w:val="20"/>
          <w:lang w:val="en-US" w:eastAsia="zh-CN"/>
        </w:rPr>
        <w:t xml:space="preserve">   </w:t>
      </w: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0"/>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eastAsia="zh-CN"/>
              </w:rPr>
              <w:t>双桥镇中心卫生院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A4 黑白打印机</w:t>
            </w:r>
          </w:p>
        </w:tc>
        <w:tc>
          <w:tcPr>
            <w:tcW w:w="1430"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3.00</w:t>
            </w:r>
          </w:p>
        </w:tc>
        <w:tc>
          <w:tcPr>
            <w:tcW w:w="164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3.00</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空调机组</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4.58</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4.58</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　　台式计算机</w:t>
            </w:r>
          </w:p>
        </w:tc>
        <w:tc>
          <w:tcPr>
            <w:tcW w:w="14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4.80</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20"/>
              </w:rPr>
            </w:pPr>
            <w:r>
              <w:rPr>
                <w:rFonts w:ascii="宋体" w:eastAsia="宋体" w:hAnsi="宋体" w:cs="宋体" w:hint="eastAsia"/>
                <w:i w:val="0"/>
                <w:iCs w:val="0"/>
                <w:color w:val="000000"/>
                <w:kern w:val="0"/>
                <w:sz w:val="20"/>
                <w:szCs w:val="20"/>
                <w:u w:val="none"/>
                <w:lang w:val="en-US" w:eastAsia="zh-CN" w:bidi="ar"/>
              </w:rPr>
              <w:t>4.80</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3734"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12.38</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12.38</w:t>
            </w:r>
            <w:r>
              <w:rPr>
                <w:rFonts w:ascii="TimesNewRoman" w:hAnsi="TimesNewRoman" w:cs="TimesNewRoman"/>
                <w:kern w:val="0"/>
                <w:sz w:val="20"/>
              </w:rPr>
              <w:t>　</w:t>
            </w:r>
          </w:p>
        </w:tc>
      </w:tr>
    </w:tbl>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hint="eastAsia"/>
          <w:sz w:val="20"/>
          <w:szCs w:val="20"/>
        </w:rPr>
      </w:pPr>
      <w:r>
        <w:rPr>
          <w:rFonts w:ascii="TimesNewRoman" w:hAnsi="TimesNewRoman" w:cs="TimesNewRoman" w:hint="eastAsia"/>
          <w:sz w:val="20"/>
          <w:szCs w:val="20"/>
        </w:rPr>
        <w:t xml:space="preserve">                                                                                                   </w:t>
      </w: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lang w:val="en-US" w:eastAsia="zh-CN"/>
        </w:rPr>
        <w:t xml:space="preserve">                                                                                                        </w:t>
      </w:r>
      <w:r>
        <w:rPr>
          <w:rFonts w:ascii="TimesNewRoman" w:hAnsi="TimesNewRoman" w:cs="TimesNewRoman" w:hint="eastAsia"/>
          <w:sz w:val="20"/>
          <w:szCs w:val="20"/>
        </w:rPr>
        <w:t xml:space="preserve">       </w:t>
      </w:r>
      <w:r>
        <w:rPr>
          <w:rFonts w:ascii="TimesNewRoman" w:hAnsi="TimesNewRoman" w:cs="TimesNewRoman" w:hint="eastAsia"/>
          <w:sz w:val="20"/>
          <w:szCs w:val="20"/>
          <w:lang w:val="en-US" w:eastAsia="zh-CN"/>
        </w:rPr>
        <w:t xml:space="preserve">     </w:t>
      </w: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双桥镇中心卫生院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rPr>
        <w:t>寿县</w:t>
      </w:r>
      <w:r>
        <w:rPr>
          <w:rFonts w:ascii="TimesNewRoman" w:hAnsi="TimesNewRoman" w:cs="TimesNewRoman" w:hint="eastAsia"/>
          <w:kern w:val="0"/>
          <w:sz w:val="22"/>
          <w:lang w:eastAsia="zh-CN"/>
        </w:rPr>
        <w:t>双桥镇中心卫生院</w:t>
      </w:r>
      <w:r>
        <w:rPr>
          <w:rFonts w:ascii="TimesNewRoman" w:hAnsi="TimesNewRoman" w:cs="TimesNewRoman"/>
          <w:kern w:val="0"/>
          <w:sz w:val="22"/>
        </w:rPr>
        <w:t>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eastAsia="zh-CN"/>
        </w:rPr>
        <w:t>双桥镇中心卫生院</w:t>
      </w:r>
      <w:r>
        <w:rPr>
          <w:rFonts w:ascii="仿宋_GB2312" w:eastAsia="仿宋_GB2312" w:hAnsi="TimesNewRoman" w:cs="TimesNewRoman" w:hint="eastAsia"/>
          <w:sz w:val="32"/>
          <w:szCs w:val="32"/>
        </w:rPr>
        <w:t>所有收入和支出均纳入部门预算管理。寿县</w:t>
      </w:r>
      <w:r>
        <w:rPr>
          <w:rFonts w:ascii="仿宋_GB2312" w:eastAsia="仿宋_GB2312" w:hAnsi="TimesNewRoman" w:cs="TimesNewRoman" w:hint="eastAsia"/>
          <w:sz w:val="32"/>
          <w:szCs w:val="32"/>
          <w:lang w:eastAsia="zh-CN"/>
        </w:rPr>
        <w:t>双桥镇中心卫生院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640.83</w:t>
      </w:r>
      <w:r>
        <w:rPr>
          <w:rFonts w:ascii="仿宋_GB2312" w:eastAsia="仿宋_GB2312" w:hAnsi="TimesNewRoman" w:cs="TimesNewRoman" w:hint="eastAsia"/>
          <w:sz w:val="32"/>
          <w:szCs w:val="32"/>
        </w:rPr>
        <w:t>万元，收入包括一般公共预算拨款收入</w:t>
      </w:r>
      <w:r>
        <w:rPr>
          <w:rFonts w:ascii="仿宋_GB2312" w:eastAsia="仿宋_GB2312" w:hAnsi="TimesNewRoman" w:cs="TimesNewRoman" w:hint="eastAsia"/>
          <w:sz w:val="32"/>
          <w:szCs w:val="32"/>
          <w:lang w:val="en-US" w:eastAsia="zh-CN"/>
        </w:rPr>
        <w:t>406.83万元</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234万元</w:t>
      </w:r>
      <w:r>
        <w:rPr>
          <w:rFonts w:ascii="仿宋_GB2312" w:eastAsia="仿宋_GB2312" w:hAnsi="TimesNewRoman" w:cs="TimesNewRoman" w:hint="eastAsia"/>
          <w:sz w:val="32"/>
          <w:szCs w:val="32"/>
        </w:rPr>
        <w:t>，支出包括：社会保障和就业支出</w:t>
      </w:r>
      <w:r>
        <w:rPr>
          <w:rFonts w:ascii="仿宋_GB2312" w:eastAsia="仿宋_GB2312" w:hAnsi="TimesNewRoman" w:cs="TimesNewRoman" w:hint="eastAsia"/>
          <w:sz w:val="32"/>
          <w:szCs w:val="32"/>
          <w:lang w:val="en-US" w:eastAsia="zh-CN"/>
        </w:rPr>
        <w:t>106.07万元</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506.26万元</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28.5万元</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双桥镇中心卫生院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640.83</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640.83</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640.83</w:t>
      </w:r>
      <w:r>
        <w:rPr>
          <w:rFonts w:ascii="仿宋_GB2312" w:eastAsia="仿宋_GB2312" w:hAnsi="TimesNewRoman" w:cs="TimesNewRoman" w:hint="eastAsia"/>
          <w:sz w:val="32"/>
          <w:szCs w:val="32"/>
        </w:rPr>
        <w:t>万元，主要包括：一般公共预算拨款收</w:t>
      </w:r>
      <w:r>
        <w:rPr>
          <w:rFonts w:ascii="仿宋_GB2312" w:eastAsia="仿宋_GB2312" w:hAnsi="TimesNewRoman" w:cs="TimesNewRoman" w:hint="eastAsia"/>
          <w:sz w:val="32"/>
          <w:szCs w:val="32"/>
          <w:lang w:val="en-US" w:eastAsia="zh-CN"/>
        </w:rPr>
        <w:t>406.83</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63.48</w:t>
      </w:r>
      <w:r>
        <w:rPr>
          <w:rFonts w:ascii="仿宋_GB2312" w:eastAsia="仿宋_GB2312" w:hAnsi="TimesNewRoman" w:cs="TimesNewRoman" w:hint="eastAsia"/>
          <w:sz w:val="32"/>
          <w:szCs w:val="32"/>
        </w:rPr>
        <w:t>%，比2023年预算增</w:t>
      </w:r>
      <w:r>
        <w:rPr>
          <w:rFonts w:ascii="仿宋_GB2312" w:eastAsia="仿宋_GB2312" w:hAnsi="TimesNewRoman" w:cs="TimesNewRoman" w:hint="eastAsia"/>
          <w:sz w:val="32"/>
          <w:szCs w:val="32"/>
          <w:lang w:val="en-US" w:eastAsia="zh-CN"/>
        </w:rPr>
        <w:t>85.09</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26.45</w:t>
      </w:r>
      <w:r>
        <w:rPr>
          <w:rFonts w:ascii="仿宋_GB2312" w:eastAsia="仿宋_GB2312" w:hAnsi="TimesNewRoman" w:cs="TimesNewRoman" w:hint="eastAsia"/>
          <w:sz w:val="32"/>
          <w:szCs w:val="32"/>
        </w:rPr>
        <w:t>%，增长原因主要是1、人员预算增加，基本支出增加，2、调整退休人员补贴，纳入年初预算；单位资金收入</w:t>
      </w:r>
      <w:r>
        <w:rPr>
          <w:rFonts w:ascii="仿宋_GB2312" w:eastAsia="仿宋_GB2312" w:hAnsi="TimesNewRoman" w:cs="TimesNewRoman" w:hint="eastAsia"/>
          <w:sz w:val="32"/>
          <w:szCs w:val="32"/>
          <w:lang w:val="en-US" w:eastAsia="zh-CN"/>
        </w:rPr>
        <w:t>234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36.52</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82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53.95</w:t>
      </w:r>
      <w:r>
        <w:rPr>
          <w:rFonts w:ascii="仿宋_GB2312" w:eastAsia="仿宋_GB2312" w:hAnsi="TimesNewRoman" w:cs="TimesNewRoman" w:hint="eastAsia"/>
          <w:sz w:val="32"/>
          <w:szCs w:val="32"/>
        </w:rPr>
        <w:t>%，增长原因主要是新冠疫情结束，医疗业务收入增加。</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双桥镇中心卫生院</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024年支出预算</w:t>
      </w:r>
      <w:r>
        <w:rPr>
          <w:rFonts w:ascii="仿宋_GB2312" w:eastAsia="仿宋_GB2312" w:hAnsi="TimesNewRoman" w:cs="TimesNewRoman" w:hint="eastAsia"/>
          <w:sz w:val="32"/>
          <w:szCs w:val="32"/>
          <w:lang w:val="en-US" w:eastAsia="zh-CN"/>
        </w:rPr>
        <w:t>640.83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167.09</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35.27</w:t>
      </w:r>
      <w:r>
        <w:rPr>
          <w:rFonts w:ascii="仿宋_GB2312" w:eastAsia="仿宋_GB2312" w:hAnsi="TimesNewRoman" w:cs="TimesNewRoman" w:hint="eastAsia"/>
          <w:sz w:val="32"/>
          <w:szCs w:val="32"/>
        </w:rPr>
        <w:t>%，增长原因主要是1、调整退休人员补贴，纳入年初预算2、疫情结束业务增加，药品支出增加3、人员福利增加。其中，基本支出</w:t>
      </w:r>
      <w:r>
        <w:rPr>
          <w:rFonts w:ascii="仿宋_GB2312" w:eastAsia="仿宋_GB2312" w:hAnsi="TimesNewRoman" w:cs="TimesNewRoman" w:hint="eastAsia"/>
          <w:sz w:val="32"/>
          <w:szCs w:val="32"/>
          <w:lang w:val="en-US" w:eastAsia="zh-CN"/>
        </w:rPr>
        <w:t>395.94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61.79</w:t>
      </w:r>
      <w:r>
        <w:rPr>
          <w:rFonts w:ascii="仿宋_GB2312" w:eastAsia="仿宋_GB2312" w:hAnsi="TimesNewRoman" w:cs="TimesNewRoman" w:hint="eastAsia"/>
          <w:sz w:val="32"/>
          <w:szCs w:val="32"/>
        </w:rPr>
        <w:t>%，主要用于保障机构日常运转、完成日常工作任务</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人员工资，社保及住房公积金的支出；项目支</w:t>
      </w:r>
      <w:r>
        <w:rPr>
          <w:rFonts w:ascii="仿宋_GB2312" w:eastAsia="仿宋_GB2312" w:hAnsi="TimesNewRoman" w:cs="TimesNewRoman" w:hint="eastAsia"/>
          <w:sz w:val="32"/>
          <w:szCs w:val="32"/>
          <w:lang w:val="en-US" w:eastAsia="zh-CN"/>
        </w:rPr>
        <w:t>10.89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1.70</w:t>
      </w:r>
      <w:r>
        <w:rPr>
          <w:rFonts w:ascii="仿宋_GB2312" w:eastAsia="仿宋_GB2312" w:hAnsi="TimesNewRoman" w:cs="TimesNewRoman" w:hint="eastAsia"/>
          <w:sz w:val="32"/>
          <w:szCs w:val="32"/>
        </w:rPr>
        <w:t>%，主要用于三年过度安置人员工资支出及公共卫生项目支出；事业单位经营支出</w:t>
      </w:r>
      <w:r>
        <w:rPr>
          <w:rFonts w:ascii="仿宋_GB2312" w:eastAsia="仿宋_GB2312" w:hAnsi="TimesNewRoman" w:cs="TimesNewRoman" w:hint="eastAsia"/>
          <w:sz w:val="32"/>
          <w:szCs w:val="32"/>
          <w:lang w:val="en-US" w:eastAsia="zh-CN"/>
        </w:rPr>
        <w:t>234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36.51</w:t>
      </w:r>
      <w:r>
        <w:rPr>
          <w:rFonts w:ascii="仿宋_GB2312" w:eastAsia="仿宋_GB2312" w:hAnsi="TimesNewRoman" w:cs="TimesNewRoman" w:hint="eastAsia"/>
          <w:sz w:val="32"/>
          <w:szCs w:val="32"/>
        </w:rPr>
        <w:t>%，主要用于单位的正常开支运转，网采药品及人员福利支出。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双桥镇中心卫生院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406.83</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lang w:val="en-US" w:eastAsia="zh-CN"/>
        </w:rPr>
        <w:t>406.83</w:t>
      </w:r>
      <w:r>
        <w:rPr>
          <w:rFonts w:ascii="仿宋_GB2312" w:eastAsia="仿宋_GB2312" w:hAnsi="TimesNewRoman" w:cs="TimesNewRoman" w:hint="eastAsia"/>
          <w:sz w:val="32"/>
          <w:szCs w:val="32"/>
        </w:rPr>
        <w:t>万元；按资金年度分为：本年财政拨款收入</w:t>
      </w:r>
      <w:r>
        <w:rPr>
          <w:rFonts w:ascii="仿宋_GB2312" w:eastAsia="仿宋_GB2312" w:hAnsi="TimesNewRoman" w:cs="TimesNewRoman" w:hint="eastAsia"/>
          <w:sz w:val="32"/>
          <w:szCs w:val="32"/>
          <w:lang w:val="en-US" w:eastAsia="zh-CN"/>
        </w:rPr>
        <w:t>406.83</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万元。支出按功能分类分为：社会保障和就业支出</w:t>
      </w:r>
      <w:r>
        <w:rPr>
          <w:rFonts w:ascii="仿宋_GB2312" w:eastAsia="仿宋_GB2312" w:hAnsi="TimesNewRoman" w:cs="TimesNewRoman" w:hint="eastAsia"/>
          <w:sz w:val="32"/>
          <w:szCs w:val="32"/>
          <w:lang w:val="en-US" w:eastAsia="zh-CN"/>
        </w:rPr>
        <w:t>106.07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26.07</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272.26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66.92</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28.5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7.01</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双桥镇中心卫生院</w:t>
      </w:r>
      <w:r>
        <w:rPr>
          <w:rFonts w:ascii="仿宋_GB2312" w:eastAsia="仿宋_GB2312" w:hAnsi="TimesNewRoman" w:cs="TimesNewRoman" w:hint="eastAsia"/>
          <w:sz w:val="32"/>
          <w:szCs w:val="32"/>
        </w:rPr>
        <w:t>2024年一般公共预算支</w:t>
      </w:r>
      <w:r>
        <w:rPr>
          <w:rFonts w:ascii="仿宋_GB2312" w:eastAsia="仿宋_GB2312" w:hAnsi="TimesNewRoman" w:cs="TimesNewRoman" w:hint="eastAsia"/>
          <w:sz w:val="32"/>
          <w:szCs w:val="32"/>
          <w:lang w:val="en-US" w:eastAsia="zh-CN"/>
        </w:rPr>
        <w:t>406.83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85.09</w:t>
      </w:r>
      <w:r>
        <w:rPr>
          <w:rFonts w:ascii="仿宋_GB2312" w:eastAsia="仿宋_GB2312" w:hAnsi="TimesNewRoman" w:cs="TimesNewRoman" w:hint="eastAsia"/>
          <w:sz w:val="32"/>
          <w:szCs w:val="32"/>
        </w:rPr>
        <w:t>万元，增</w:t>
      </w:r>
      <w:r>
        <w:rPr>
          <w:rFonts w:ascii="仿宋_GB2312" w:eastAsia="仿宋_GB2312" w:hAnsi="TimesNewRoman" w:cs="TimesNewRoman" w:hint="eastAsia"/>
          <w:sz w:val="32"/>
          <w:szCs w:val="32"/>
          <w:lang w:val="en-US" w:eastAsia="zh-CN"/>
        </w:rPr>
        <w:t>26.45</w:t>
      </w:r>
      <w:r>
        <w:rPr>
          <w:rFonts w:ascii="仿宋_GB2312" w:eastAsia="仿宋_GB2312" w:hAnsi="TimesNewRoman" w:cs="TimesNewRoman" w:hint="eastAsia"/>
          <w:sz w:val="32"/>
          <w:szCs w:val="32"/>
        </w:rPr>
        <w:t>%，主要原因：一是调整退休人员补贴，纳入年初预算；二是人员预算增加，基本支出增加。</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106.07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26.07</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272.26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66.92</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28.5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7.01</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1</w:t>
      </w:r>
      <w:r>
        <w:rPr>
          <w:rFonts w:ascii="仿宋_GB2312" w:eastAsia="仿宋_GB2312" w:hAnsi="TimesNewRoman" w:cs="TimesNewRoman" w:hint="eastAsia"/>
          <w:b/>
          <w:sz w:val="32"/>
          <w:szCs w:val="32"/>
        </w:rPr>
        <w:t>.社会保障和就业支出（类）行政事业单位养老支出（款）事业单位离退休（项）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47.2</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47.2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新增</w:t>
      </w:r>
      <w:r>
        <w:rPr>
          <w:rFonts w:ascii="仿宋_GB2312" w:eastAsia="仿宋_GB2312" w:hAnsi="TimesNewRoman" w:cs="TimesNewRoman" w:hint="eastAsia"/>
          <w:sz w:val="32"/>
          <w:szCs w:val="32"/>
        </w:rPr>
        <w:t>退休人员补贴，纳入年初预算。</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b/>
          <w:sz w:val="32"/>
          <w:szCs w:val="32"/>
        </w:rPr>
        <w:t>社会保障和就业支出（类）行政事业单位养老支出（款）机关事业单位基本养老保险缴费支出（项）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37.99</w:t>
      </w:r>
      <w:r>
        <w:rPr>
          <w:rFonts w:ascii="仿宋_GB2312" w:eastAsia="仿宋_GB2312" w:hAnsi="TimesNewRoman" w:cs="TimesNewRoman" w:hint="eastAsia"/>
          <w:sz w:val="32"/>
          <w:szCs w:val="32"/>
        </w:rPr>
        <w:t>万元，比2023年预算增</w:t>
      </w:r>
      <w:r>
        <w:rPr>
          <w:rFonts w:ascii="仿宋_GB2312" w:eastAsia="仿宋_GB2312" w:hAnsi="TimesNewRoman" w:cs="TimesNewRoman" w:hint="eastAsia"/>
          <w:sz w:val="32"/>
          <w:szCs w:val="32"/>
          <w:lang w:val="en-US" w:eastAsia="zh-CN"/>
        </w:rPr>
        <w:t>3.49</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10.12</w:t>
      </w:r>
      <w:r>
        <w:rPr>
          <w:rFonts w:ascii="仿宋_GB2312" w:eastAsia="仿宋_GB2312" w:hAnsi="TimesNewRoman" w:cs="TimesNewRoman" w:hint="eastAsia"/>
          <w:sz w:val="32"/>
          <w:szCs w:val="32"/>
        </w:rPr>
        <w:t>%，增长原因主要是人员工资增加，职工调资调级</w:t>
      </w:r>
      <w:r>
        <w:rPr>
          <w:rFonts w:ascii="仿宋_GB2312" w:eastAsia="仿宋_GB2312" w:hAnsi="TimesNewRoman" w:cs="TimesNewRoman" w:hint="eastAsia"/>
          <w:sz w:val="32"/>
          <w:szCs w:val="32"/>
          <w:lang w:eastAsia="zh-CN"/>
        </w:rPr>
        <w:t>，</w:t>
      </w:r>
      <w:r>
        <w:rPr>
          <w:rFonts w:ascii="仿宋_GB2312" w:eastAsia="仿宋_GB2312" w:hAnsi="仿宋" w:hint="eastAsia"/>
          <w:sz w:val="32"/>
          <w:szCs w:val="32"/>
          <w:lang w:val="en-US" w:eastAsia="zh-CN"/>
        </w:rPr>
        <w:t>机关事业养老保险支出增加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3.社会保障和就业支出（类）行政事业单位养老支出（款）机关事业单位职业年金缴费支出（项）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19</w:t>
      </w:r>
      <w:r>
        <w:rPr>
          <w:rFonts w:ascii="仿宋_GB2312" w:eastAsia="仿宋_GB2312" w:hAnsi="TimesNewRoman" w:cs="TimesNewRoman" w:hint="eastAsia"/>
          <w:sz w:val="32"/>
          <w:szCs w:val="32"/>
        </w:rPr>
        <w:t>万元，比2023年预算增</w:t>
      </w:r>
      <w:r>
        <w:rPr>
          <w:rFonts w:ascii="仿宋_GB2312" w:eastAsia="仿宋_GB2312" w:hAnsi="TimesNewRoman" w:cs="TimesNewRoman" w:hint="eastAsia"/>
          <w:sz w:val="32"/>
          <w:szCs w:val="32"/>
          <w:lang w:val="en-US" w:eastAsia="zh-CN"/>
        </w:rPr>
        <w:t>1.75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10.14</w:t>
      </w:r>
      <w:r>
        <w:rPr>
          <w:rFonts w:ascii="仿宋_GB2312" w:eastAsia="仿宋_GB2312" w:hAnsi="TimesNewRoman" w:cs="TimesNewRoman" w:hint="eastAsia"/>
          <w:sz w:val="32"/>
          <w:szCs w:val="32"/>
        </w:rPr>
        <w:t>%，增长原因主要是人员工资增加，职工调资调级</w:t>
      </w:r>
      <w:r>
        <w:rPr>
          <w:rFonts w:ascii="仿宋_GB2312" w:eastAsia="仿宋_GB2312" w:hAnsi="TimesNewRoman" w:cs="TimesNewRoman" w:hint="eastAsia"/>
          <w:sz w:val="32"/>
          <w:szCs w:val="32"/>
          <w:lang w:eastAsia="zh-CN"/>
        </w:rPr>
        <w:t>，</w:t>
      </w:r>
      <w:r>
        <w:rPr>
          <w:rFonts w:ascii="仿宋_GB2312" w:eastAsia="仿宋_GB2312" w:hAnsi="仿宋" w:hint="eastAsia"/>
          <w:sz w:val="32"/>
          <w:szCs w:val="32"/>
          <w:lang w:val="en-US" w:eastAsia="zh-CN"/>
        </w:rPr>
        <w:t>机关事业年金支出增加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4. 社会保障和就业支出（类）其他社会保障和就业支出（款）其他社会保障和就业支出（项）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1.66</w:t>
      </w:r>
      <w:r>
        <w:rPr>
          <w:rFonts w:ascii="仿宋_GB2312" w:eastAsia="仿宋_GB2312" w:hAnsi="TimesNewRoman" w:cs="TimesNewRoman" w:hint="eastAsia"/>
          <w:sz w:val="32"/>
          <w:szCs w:val="32"/>
        </w:rPr>
        <w:t>万元，比2023年预算增加0.1</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9.93</w:t>
      </w:r>
      <w:r>
        <w:rPr>
          <w:rFonts w:ascii="仿宋_GB2312" w:eastAsia="仿宋_GB2312" w:hAnsi="TimesNewRoman" w:cs="TimesNewRoman" w:hint="eastAsia"/>
          <w:sz w:val="32"/>
          <w:szCs w:val="32"/>
        </w:rPr>
        <w:t>%，增长原因主要是人员工资增加，</w:t>
      </w:r>
      <w:r>
        <w:rPr>
          <w:rFonts w:ascii="仿宋_GB2312" w:eastAsia="仿宋_GB2312" w:hAnsi="TimesNewRoman" w:cs="TimesNewRoman" w:hint="eastAsia"/>
          <w:sz w:val="32"/>
          <w:szCs w:val="32"/>
          <w:lang w:eastAsia="zh-CN"/>
        </w:rPr>
        <w:t>其他社会保障和就业支出增加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b/>
          <w:sz w:val="32"/>
          <w:szCs w:val="32"/>
        </w:rPr>
        <w:t>5. 卫生健康支出（类）基层医疗卫生机构支出（款）乡镇卫生院（项）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255.24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27.51</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12.08</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职工人员</w:t>
      </w:r>
      <w:r>
        <w:rPr>
          <w:rFonts w:ascii="仿宋_GB2312" w:eastAsia="仿宋_GB2312" w:hAnsi="TimesNewRoman" w:cs="TimesNewRoman" w:hint="eastAsia"/>
          <w:sz w:val="32"/>
          <w:szCs w:val="32"/>
          <w:lang w:eastAsia="zh-CN"/>
        </w:rPr>
        <w:t>增加，工资增加；</w:t>
      </w:r>
      <w:r>
        <w:rPr>
          <w:rFonts w:ascii="仿宋_GB2312" w:eastAsia="仿宋_GB2312" w:hAnsi="TimesNewRoman" w:cs="TimesNewRoman" w:hint="eastAsia"/>
          <w:sz w:val="32"/>
          <w:szCs w:val="32"/>
          <w:lang w:val="en-US" w:eastAsia="zh-CN"/>
        </w:rPr>
        <w:t>2.新</w:t>
      </w:r>
      <w:r>
        <w:rPr>
          <w:rFonts w:ascii="仿宋_GB2312" w:eastAsia="仿宋_GB2312" w:hAnsi="TimesNewRoman" w:cs="TimesNewRoman" w:hint="eastAsia"/>
          <w:sz w:val="32"/>
          <w:szCs w:val="32"/>
          <w:lang w:eastAsia="zh-CN"/>
        </w:rPr>
        <w:t>增加三年过渡安置退休人员经费。</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6. 卫生健康支出（类）公共卫生（款）基本公共卫生服务（项）</w:t>
      </w:r>
      <w:r>
        <w:rPr>
          <w:rFonts w:ascii="仿宋_GB2312" w:eastAsia="仿宋_GB2312" w:hAnsi="TimesNewRoman" w:cs="TimesNewRoman" w:hint="eastAsia"/>
          <w:sz w:val="32"/>
          <w:szCs w:val="32"/>
        </w:rPr>
        <w:t>2024年预算0.6</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万元，比2023年预算增加0.6</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万元，增长100%，增长原因主要是2023年无此项目经费。</w:t>
      </w:r>
    </w:p>
    <w:p>
      <w:pPr>
        <w:topLinePunct/>
        <w:adjustRightInd w:val="0"/>
        <w:snapToGrid w:val="0"/>
        <w:spacing w:line="580" w:lineRule="exact"/>
        <w:ind w:firstLine="640" w:firstLineChars="200"/>
        <w:rPr>
          <w:rFonts w:ascii="仿宋_GB2312" w:eastAsia="仿宋_GB2312" w:hAnsi="TimesNewRoman" w:cs="TimesNewRoman" w:hint="default"/>
          <w:sz w:val="32"/>
          <w:szCs w:val="32"/>
          <w:lang w:val="en-US" w:eastAsia="zh-CN"/>
        </w:rPr>
      </w:pPr>
      <w:r>
        <w:rPr>
          <w:rFonts w:ascii="仿宋_GB2312" w:eastAsia="仿宋_GB2312" w:hAnsi="TimesNewRoman" w:cs="TimesNewRoman" w:hint="eastAsia"/>
          <w:b/>
          <w:sz w:val="32"/>
          <w:szCs w:val="32"/>
        </w:rPr>
        <w:t>7. 卫生健康支出（类）行政事业单位医疗（款）事业单位医疗（项）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16.38</w:t>
      </w:r>
      <w:r>
        <w:rPr>
          <w:rFonts w:ascii="仿宋_GB2312" w:eastAsia="仿宋_GB2312" w:hAnsi="TimesNewRoman" w:cs="TimesNewRoman" w:hint="eastAsia"/>
          <w:sz w:val="32"/>
          <w:szCs w:val="32"/>
        </w:rPr>
        <w:t>万元，比2023年预算增加1.</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10.08</w:t>
      </w:r>
      <w:r>
        <w:rPr>
          <w:rFonts w:ascii="仿宋_GB2312" w:eastAsia="仿宋_GB2312" w:hAnsi="TimesNewRoman" w:cs="TimesNewRoman" w:hint="eastAsia"/>
          <w:sz w:val="32"/>
          <w:szCs w:val="32"/>
        </w:rPr>
        <w:t>%，增长原因主要是职工人员工资调</w:t>
      </w:r>
      <w:r>
        <w:rPr>
          <w:rFonts w:ascii="仿宋_GB2312" w:eastAsia="仿宋_GB2312" w:hAnsi="TimesNewRoman" w:cs="TimesNewRoman" w:hint="eastAsia"/>
          <w:sz w:val="32"/>
          <w:szCs w:val="32"/>
          <w:lang w:eastAsia="zh-CN"/>
        </w:rPr>
        <w:t>整</w:t>
      </w:r>
      <w:r>
        <w:rPr>
          <w:rFonts w:ascii="仿宋_GB2312" w:eastAsia="仿宋_GB2312" w:hAnsi="TimesNewRoman" w:cs="TimesNewRoman" w:hint="eastAsia"/>
          <w:sz w:val="32"/>
          <w:szCs w:val="32"/>
        </w:rPr>
        <w:t>，事业单位医疗支出增加。</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lang w:val="en-US" w:eastAsia="zh-CN"/>
        </w:rPr>
        <w:t>8</w:t>
      </w:r>
      <w:r>
        <w:rPr>
          <w:rFonts w:ascii="仿宋_GB2312" w:eastAsia="仿宋_GB2312" w:hAnsi="TimesNewRoman" w:cs="TimesNewRoman" w:hint="eastAsia"/>
          <w:b/>
          <w:sz w:val="32"/>
          <w:szCs w:val="32"/>
        </w:rPr>
        <w:t>.住房保障支出（类）住房改革支出（款）住房公积金（项）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28.5</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2.62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10.12</w:t>
      </w:r>
      <w:r>
        <w:rPr>
          <w:rFonts w:ascii="仿宋_GB2312" w:eastAsia="仿宋_GB2312" w:hAnsi="TimesNewRoman" w:cs="TimesNewRoman" w:hint="eastAsia"/>
          <w:sz w:val="32"/>
          <w:szCs w:val="32"/>
        </w:rPr>
        <w:t>%，增长（下降）原因主要是职工调资调级，人员经费增加。</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双桥镇中心卫生院</w:t>
      </w:r>
      <w:r>
        <w:rPr>
          <w:rFonts w:ascii="仿宋_GB2312" w:eastAsia="仿宋_GB2312" w:hAnsi="TimesNewRoman" w:cs="TimesNewRoman" w:hint="eastAsia"/>
          <w:sz w:val="32"/>
          <w:szCs w:val="32"/>
        </w:rPr>
        <w:t>2024年一般公共预算基本支</w:t>
      </w:r>
      <w:r>
        <w:rPr>
          <w:rFonts w:ascii="仿宋_GB2312" w:eastAsia="仿宋_GB2312" w:hAnsi="TimesNewRoman" w:cs="TimesNewRoman" w:hint="eastAsia"/>
          <w:sz w:val="32"/>
          <w:szCs w:val="32"/>
          <w:lang w:val="en-US" w:eastAsia="zh-CN"/>
        </w:rPr>
        <w:t>395.94</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395.94</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395.94</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基本工资、绩效工资、机关事业单位基本养老保险费、职业年金缴费、职工基本医疗保险缴费、其他社会保障缴费、住房公积金、其他工资福利支出</w:t>
      </w:r>
      <w:r>
        <w:rPr>
          <w:rFonts w:ascii="仿宋_GB2312" w:eastAsia="仿宋_GB2312" w:hAnsi="TimesNewRoman" w:cs="TimesNewRoman" w:hint="eastAsia"/>
          <w:sz w:val="32"/>
          <w:szCs w:val="32"/>
          <w:u w:val="single"/>
          <w:lang w:eastAsia="zh-CN"/>
        </w:rPr>
        <w:t>、</w:t>
      </w:r>
      <w:r>
        <w:rPr>
          <w:rFonts w:ascii="仿宋_GB2312" w:eastAsia="仿宋_GB2312" w:hAnsi="TimesNewRoman" w:cs="TimesNewRoman" w:hint="eastAsia"/>
          <w:sz w:val="32"/>
          <w:szCs w:val="32"/>
          <w:u w:val="single"/>
        </w:rPr>
        <w:t>对其他个人和家庭的补助支出。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双桥镇中心卫生院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双桥镇中心卫生院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双桥镇中心卫生院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244.89</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87.76</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lang w:val="en-US" w:eastAsia="zh-CN"/>
        </w:rPr>
        <w:t>55.85</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1.新增基本公共卫生服务项目经费；2.三年过渡安置退休人员增加，人员补助增加；3.单位资金收入增加</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lang w:val="en-US" w:eastAsia="zh-CN"/>
        </w:rPr>
        <w:t>10.89</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10.89</w:t>
      </w:r>
      <w:r>
        <w:rPr>
          <w:rFonts w:ascii="仿宋_GB2312" w:eastAsia="仿宋_GB2312" w:hAnsi="TimesNewRoman" w:cs="TimesNewRoman" w:hint="eastAsia"/>
          <w:sz w:val="32"/>
          <w:szCs w:val="32"/>
        </w:rPr>
        <w:t>万元）和单位资金安排</w:t>
      </w:r>
      <w:r>
        <w:rPr>
          <w:rFonts w:ascii="仿宋_GB2312" w:eastAsia="仿宋_GB2312" w:hAnsi="TimesNewRoman" w:cs="TimesNewRoman" w:hint="eastAsia"/>
          <w:sz w:val="32"/>
          <w:szCs w:val="32"/>
          <w:lang w:val="en-US" w:eastAsia="zh-CN"/>
        </w:rPr>
        <w:t>234</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双桥镇中心卫生院</w:t>
      </w:r>
      <w:r>
        <w:rPr>
          <w:rFonts w:ascii="仿宋_GB2312" w:eastAsia="仿宋_GB2312" w:hAnsi="TimesNewRoman" w:cs="TimesNewRoman" w:hint="eastAsia"/>
          <w:sz w:val="32"/>
          <w:szCs w:val="32"/>
        </w:rPr>
        <w:t>2024年预算安排政府采购支出</w:t>
      </w:r>
      <w:r>
        <w:rPr>
          <w:rFonts w:ascii="仿宋_GB2312" w:eastAsia="仿宋_GB2312" w:hAnsi="TimesNewRoman" w:cs="TimesNewRoman" w:hint="eastAsia"/>
          <w:sz w:val="32"/>
          <w:szCs w:val="32"/>
          <w:lang w:val="en-US" w:eastAsia="zh-CN"/>
        </w:rPr>
        <w:t>12.38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4.28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52.83</w:t>
      </w:r>
      <w:r>
        <w:rPr>
          <w:rFonts w:ascii="仿宋_GB2312" w:eastAsia="仿宋_GB2312" w:hAnsi="TimesNewRoman" w:cs="TimesNewRoman" w:hint="eastAsia"/>
          <w:sz w:val="32"/>
          <w:szCs w:val="32"/>
        </w:rPr>
        <w:t>%，增长原因主要是因业务</w:t>
      </w:r>
      <w:r>
        <w:rPr>
          <w:rFonts w:ascii="仿宋_GB2312" w:eastAsia="仿宋_GB2312" w:hAnsi="TimesNewRoman" w:cs="TimesNewRoman" w:hint="eastAsia"/>
          <w:sz w:val="32"/>
          <w:szCs w:val="32"/>
          <w:lang w:eastAsia="zh-CN"/>
        </w:rPr>
        <w:t>发展</w:t>
      </w:r>
      <w:r>
        <w:rPr>
          <w:rFonts w:ascii="仿宋_GB2312" w:eastAsia="仿宋_GB2312" w:hAnsi="TimesNewRoman" w:cs="TimesNewRoman" w:hint="eastAsia"/>
          <w:sz w:val="32"/>
          <w:szCs w:val="32"/>
        </w:rPr>
        <w:t>需要，需购买部分办公设备。其中，单位资金安排</w:t>
      </w:r>
      <w:r>
        <w:rPr>
          <w:rFonts w:ascii="仿宋_GB2312" w:eastAsia="仿宋_GB2312" w:hAnsi="TimesNewRoman" w:cs="TimesNewRoman" w:hint="eastAsia"/>
          <w:sz w:val="32"/>
          <w:szCs w:val="32"/>
          <w:lang w:val="en-US" w:eastAsia="zh-CN"/>
        </w:rPr>
        <w:t>12.38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 xml:space="preserve">5.29 </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双桥镇中心卫生院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1.</w:t>
      </w:r>
      <w:r>
        <w:rPr>
          <w:rFonts w:ascii="仿宋_GB2312" w:eastAsia="仿宋_GB2312" w:hAnsi="楷体" w:hint="eastAsia"/>
          <w:b/>
          <w:sz w:val="32"/>
          <w:szCs w:val="32"/>
        </w:rPr>
        <w:t>“</w:t>
      </w:r>
      <w:r>
        <w:rPr>
          <w:rFonts w:ascii="黑体" w:eastAsia="黑体" w:hAnsi="黑体" w:hint="eastAsia"/>
          <w:sz w:val="32"/>
          <w:szCs w:val="32"/>
        </w:rPr>
        <w:t>乡镇卫生院医疗卫生支出</w:t>
      </w:r>
      <w:r>
        <w:rPr>
          <w:rFonts w:ascii="仿宋_GB2312" w:eastAsia="仿宋_GB2312" w:hAnsi="TimesNewRoman" w:cs="TimesNewRoman" w:hint="eastAsia"/>
          <w:b/>
          <w:sz w:val="32"/>
          <w:szCs w:val="32"/>
        </w:rPr>
        <w:t>项目。</w:t>
      </w:r>
    </w:p>
    <w:p>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TimesNewRoman" w:cs="TimesNewRoman" w:hint="eastAsia"/>
          <w:sz w:val="32"/>
          <w:szCs w:val="32"/>
        </w:rPr>
        <w:t>（1）项目概述</w:t>
      </w:r>
      <w:r>
        <w:rPr>
          <w:rFonts w:ascii="仿宋_GB2312" w:eastAsia="仿宋_GB2312" w:hAnsi="TimesNewRoman" w:cs="TimesNewRoman" w:hint="eastAsia"/>
          <w:sz w:val="32"/>
          <w:szCs w:val="32"/>
          <w:lang w:eastAsia="zh-CN"/>
        </w:rPr>
        <w:t>：</w:t>
      </w:r>
      <w:r>
        <w:rPr>
          <w:rFonts w:ascii="仿宋_GB2312" w:eastAsia="仿宋_GB2312" w:hAnsi="楷体" w:hint="eastAsia"/>
          <w:sz w:val="32"/>
          <w:szCs w:val="32"/>
        </w:rPr>
        <w:t>1加快我院的发展，提高我院的医疗安全质量，为患者提供一个安全放心的就医场所；2.保障我院日常开支，确保日常后勤工作顺利开展。</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sz w:val="32"/>
          <w:szCs w:val="32"/>
          <w:lang w:val="en-US" w:eastAsia="zh-CN"/>
        </w:rPr>
        <w:t xml:space="preserve"> </w:t>
      </w:r>
    </w:p>
    <w:p>
      <w:pPr>
        <w:spacing w:line="600" w:lineRule="exact"/>
        <w:ind w:firstLine="640" w:firstLineChars="200"/>
        <w:rPr>
          <w:rFonts w:ascii="仿宋_GB2312" w:eastAsia="仿宋_GB2312" w:hAnsi="楷体" w:hint="eastAsia"/>
          <w:sz w:val="32"/>
          <w:szCs w:val="32"/>
        </w:rPr>
      </w:pPr>
      <w:r>
        <w:rPr>
          <w:rFonts w:ascii="仿宋_GB2312" w:eastAsia="仿宋_GB2312" w:hAnsi="TimesNewRoman" w:cs="TimesNewRoman" w:hint="eastAsia"/>
          <w:sz w:val="32"/>
          <w:szCs w:val="32"/>
        </w:rPr>
        <w:t>（2）立项依据</w:t>
      </w:r>
      <w:r>
        <w:rPr>
          <w:rFonts w:ascii="仿宋_GB2312" w:eastAsia="仿宋_GB2312" w:hAnsi="TimesNewRoman" w:cs="TimesNewRoman" w:hint="eastAsia"/>
          <w:sz w:val="32"/>
          <w:szCs w:val="32"/>
          <w:lang w:eastAsia="zh-CN"/>
        </w:rPr>
        <w:t>：</w:t>
      </w:r>
      <w:r>
        <w:rPr>
          <w:rFonts w:ascii="仿宋_GB2312" w:eastAsia="仿宋_GB2312" w:hAnsi="楷体" w:hint="eastAsia"/>
          <w:sz w:val="32"/>
          <w:szCs w:val="32"/>
        </w:rPr>
        <w:t>为人民身体健康提供医疗保健服务，常见病多发病诊治与护理、卫生防疫、妇幼保健、计划免疫、乡村医生业务培训、卫生员业务培训、初级卫生保健规划实施。</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p>
    <w:p>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（3）实施主体</w:t>
      </w:r>
      <w:r>
        <w:rPr>
          <w:rFonts w:ascii="仿宋_GB2312" w:eastAsia="仿宋_GB2312" w:hAnsi="TimesNewRoman" w:cs="TimesNewRoman" w:hint="eastAsia"/>
          <w:sz w:val="32"/>
          <w:szCs w:val="32"/>
          <w:lang w:eastAsia="zh-CN"/>
        </w:rPr>
        <w:t>：</w:t>
      </w:r>
      <w:r>
        <w:rPr>
          <w:rFonts w:ascii="仿宋_GB2312" w:eastAsia="仿宋_GB2312" w:hAnsi="仿宋" w:hint="eastAsia"/>
          <w:sz w:val="32"/>
          <w:szCs w:val="32"/>
          <w:lang w:eastAsia="zh-CN"/>
        </w:rPr>
        <w:t>寿县双桥镇中心卫生院</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（4）起止时间</w:t>
      </w:r>
      <w:r>
        <w:rPr>
          <w:rFonts w:ascii="仿宋_GB2312" w:eastAsia="仿宋_GB2312" w:hAnsi="楷体" w:hint="eastAsia"/>
          <w:sz w:val="32"/>
          <w:szCs w:val="32"/>
        </w:rPr>
        <w:t>：202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年1月1日至202</w:t>
      </w:r>
      <w:r>
        <w:rPr>
          <w:rFonts w:ascii="仿宋_GB2312" w:eastAsia="仿宋_GB2312" w:hAnsi="楷体" w:hint="eastAsia"/>
          <w:sz w:val="32"/>
          <w:szCs w:val="32"/>
          <w:lang w:val="en-US" w:eastAsia="zh-CN"/>
        </w:rPr>
        <w:t>4</w:t>
      </w:r>
      <w:r>
        <w:rPr>
          <w:rFonts w:ascii="仿宋_GB2312" w:eastAsia="仿宋_GB2312" w:hAnsi="楷体" w:hint="eastAsia"/>
          <w:sz w:val="32"/>
          <w:szCs w:val="32"/>
        </w:rPr>
        <w:t>年12月31日</w:t>
      </w:r>
    </w:p>
    <w:p>
      <w:pPr>
        <w:spacing w:line="600" w:lineRule="exact"/>
        <w:ind w:firstLine="586" w:firstLineChars="183"/>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（5）项目内容</w:t>
      </w:r>
      <w:r>
        <w:rPr>
          <w:rFonts w:ascii="仿宋_GB2312" w:eastAsia="仿宋_GB2312" w:hAnsi="楷体" w:hint="eastAsia"/>
          <w:sz w:val="32"/>
          <w:szCs w:val="32"/>
        </w:rPr>
        <w:t>：为人民身体健康提供医疗保健服务，常病多发病诊治与护理、卫生防疫、妇幼保健、计划免疫、乡村医生业务培训、卫生员业务培训、初级卫生保健规划实施。</w:t>
      </w:r>
    </w:p>
    <w:p>
      <w:pPr>
        <w:topLinePunct/>
        <w:adjustRightInd w:val="0"/>
        <w:snapToGrid w:val="0"/>
        <w:spacing w:line="580" w:lineRule="exact"/>
        <w:ind w:firstLine="640" w:firstLineChars="200"/>
        <w:rPr>
          <w:rFonts w:ascii="仿宋_GB2312" w:eastAsia="仿宋_GB2312" w:hAnsi="TimesNewRoman" w:cs="TimesNewRoman" w:hint="default"/>
          <w:sz w:val="32"/>
          <w:szCs w:val="32"/>
          <w:lang w:val="en-US" w:eastAsia="zh-CN"/>
        </w:rPr>
      </w:pPr>
      <w:r>
        <w:rPr>
          <w:rFonts w:ascii="仿宋_GB2312" w:eastAsia="仿宋_GB2312" w:hAnsi="TimesNewRoman" w:cs="TimesNewRoman" w:hint="eastAsia"/>
          <w:sz w:val="32"/>
          <w:szCs w:val="32"/>
        </w:rPr>
        <w:t>（6）年度预算安排</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lang w:val="en-US" w:eastAsia="zh-CN"/>
        </w:rPr>
        <w:t>234万元</w:t>
      </w:r>
    </w:p>
    <w:p>
      <w:pPr>
        <w:spacing w:line="600" w:lineRule="exact"/>
        <w:ind w:firstLine="586" w:firstLineChars="183"/>
        <w:rPr>
          <w:rFonts w:ascii="仿宋_GB2312" w:eastAsia="仿宋_GB2312" w:hAnsi="楷体"/>
          <w:sz w:val="32"/>
          <w:szCs w:val="32"/>
        </w:rPr>
      </w:pPr>
      <w:r>
        <w:rPr>
          <w:rFonts w:ascii="仿宋_GB2312" w:eastAsia="仿宋_GB2312" w:hAnsi="TimesNewRoman" w:cs="TimesNewRoman" w:hint="eastAsia"/>
          <w:sz w:val="32"/>
          <w:szCs w:val="32"/>
        </w:rPr>
        <w:t>（7）绩效目标</w:t>
      </w:r>
      <w:r>
        <w:rPr>
          <w:rFonts w:ascii="仿宋_GB2312" w:eastAsia="仿宋_GB2312" w:hAnsi="楷体" w:hint="eastAsia"/>
          <w:sz w:val="32"/>
          <w:szCs w:val="32"/>
        </w:rPr>
        <w:t>：为人民身体健康提供医疗保健服务，常病多发病诊治与护理、卫生防疫、妇幼保健、计划免疫、乡村医生业务培训、卫生员业务培训、初级卫生保健规划实施。</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cs="宋体"/>
                <w:sz w:val="18"/>
                <w:szCs w:val="18"/>
              </w:rPr>
            </w:pPr>
            <w:r>
              <w:rPr>
                <w:rFonts w:ascii="宋体" w:cs="宋体"/>
                <w:sz w:val="18"/>
                <w:szCs w:val="18"/>
              </w:rPr>
              <w:t>乡镇卫生院医疗卫生支出</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cs="宋体"/>
                <w:sz w:val="18"/>
                <w:szCs w:val="18"/>
              </w:rPr>
            </w:pPr>
            <w:r>
              <w:rPr>
                <w:rFonts w:ascii="宋体" w:cs="宋体"/>
                <w:sz w:val="18"/>
                <w:szCs w:val="18"/>
              </w:rPr>
              <w:t>寿县卫生健康委员会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sz w:val="18"/>
                <w:szCs w:val="18"/>
              </w:rPr>
            </w:pPr>
            <w:r>
              <w:rPr>
                <w:sz w:val="18"/>
                <w:szCs w:val="18"/>
              </w:rPr>
              <w:t>寿县</w:t>
            </w:r>
            <w:r>
              <w:rPr>
                <w:rFonts w:hint="eastAsia"/>
                <w:sz w:val="18"/>
                <w:szCs w:val="18"/>
                <w:lang w:eastAsia="zh-CN"/>
              </w:rPr>
              <w:t>双桥</w:t>
            </w:r>
            <w:r>
              <w:rPr>
                <w:sz w:val="18"/>
                <w:szCs w:val="18"/>
              </w:rPr>
              <w:t>镇中心卫生院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eastAsia"/>
                <w:sz w:val="18"/>
                <w:szCs w:val="18"/>
                <w:lang w:val="en-US" w:eastAsia="zh-CN"/>
              </w:rPr>
            </w:pPr>
            <w:r>
              <w:rPr>
                <w:rFonts w:hint="eastAsia"/>
                <w:sz w:val="18"/>
                <w:szCs w:val="18"/>
                <w:lang w:val="en-US" w:eastAsia="zh-CN"/>
              </w:rPr>
              <w:t>1年</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234</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center"/>
              <w:rPr>
                <w:rFonts w:ascii="宋体" w:eastAsia="宋体" w:cs="宋体" w:hint="default"/>
                <w:sz w:val="18"/>
                <w:szCs w:val="18"/>
                <w:lang w:val="en-US" w:eastAsia="zh-CN"/>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center"/>
              <w:rPr>
                <w:rFonts w:ascii="宋体" w:eastAsia="宋体" w:cs="宋体" w:hint="default"/>
                <w:sz w:val="18"/>
                <w:szCs w:val="18"/>
                <w:lang w:val="en-US" w:eastAsia="zh-CN"/>
              </w:rPr>
            </w:pPr>
            <w:r>
              <w:rPr>
                <w:rFonts w:ascii="宋体" w:cs="宋体" w:hint="eastAsia"/>
                <w:sz w:val="18"/>
                <w:szCs w:val="18"/>
                <w:lang w:val="en-US" w:eastAsia="zh-CN"/>
              </w:rPr>
              <w:t>234</w:t>
            </w:r>
          </w:p>
        </w:tc>
      </w:tr>
      <w:tr>
        <w:tblPrEx>
          <w:tblW w:w="0" w:type="auto"/>
          <w:tblInd w:w="0" w:type="dxa"/>
          <w:tblLayout w:type="fixed"/>
          <w:tblCellMar>
            <w:top w:w="0" w:type="dxa"/>
            <w:left w:w="108" w:type="dxa"/>
            <w:bottom w:w="0" w:type="dxa"/>
            <w:right w:w="108" w:type="dxa"/>
          </w:tblCellMar>
        </w:tblPrEx>
        <w:trPr>
          <w:trHeight w:val="880"/>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spacing w:line="260" w:lineRule="exact"/>
              <w:jc w:val="left"/>
              <w:rPr>
                <w:rFonts w:ascii="宋体" w:cs="宋体"/>
                <w:sz w:val="18"/>
                <w:szCs w:val="18"/>
              </w:rPr>
            </w:pPr>
            <w:r>
              <w:rPr>
                <w:rFonts w:ascii="宋体" w:cs="宋体" w:hint="eastAsia"/>
                <w:sz w:val="18"/>
                <w:szCs w:val="18"/>
              </w:rPr>
              <w:t>1.为人民身体健康提供基本医疗保健服务，开展常见病多发病的诊治与护理；2.保障卫生院的正常运转、运行，进一步完善医疗卫生基础设施，满足人民群众需求。</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指标1：接待就诊病人</w:t>
            </w:r>
          </w:p>
        </w:tc>
        <w:tc>
          <w:tcPr>
            <w:tcW w:w="4228" w:type="dxa"/>
            <w:gridSpan w:val="2"/>
            <w:noWrap w:val="0"/>
            <w:vAlign w:val="center"/>
          </w:tcPr>
          <w:p>
            <w:pPr>
              <w:spacing w:line="260" w:lineRule="exact"/>
              <w:jc w:val="center"/>
              <w:rPr>
                <w:rFonts w:ascii="宋体" w:eastAsia="宋体" w:hAnsi="Times New Roman" w:cs="宋体" w:hint="default"/>
                <w:kern w:val="2"/>
                <w:sz w:val="18"/>
                <w:szCs w:val="18"/>
                <w:lang w:val="en-US" w:eastAsia="zh-CN" w:bidi="ar-SA"/>
              </w:rPr>
            </w:pPr>
            <w:r>
              <w:rPr>
                <w:rFonts w:ascii="宋体" w:cs="宋体" w:hint="eastAsia"/>
                <w:sz w:val="18"/>
                <w:szCs w:val="18"/>
              </w:rPr>
              <w:t>≥</w:t>
            </w:r>
            <w:r>
              <w:rPr>
                <w:rFonts w:ascii="宋体" w:cs="宋体" w:hint="eastAsia"/>
                <w:sz w:val="18"/>
                <w:szCs w:val="18"/>
                <w:lang w:val="en-US" w:eastAsia="zh-CN"/>
              </w:rPr>
              <w:t>18000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指标2：老年健康体检</w:t>
            </w:r>
          </w:p>
        </w:tc>
        <w:tc>
          <w:tcPr>
            <w:tcW w:w="4228" w:type="dxa"/>
            <w:gridSpan w:val="2"/>
            <w:noWrap w:val="0"/>
            <w:vAlign w:val="center"/>
          </w:tcPr>
          <w:p>
            <w:pPr>
              <w:spacing w:line="260" w:lineRule="exact"/>
              <w:ind w:firstLine="1710" w:firstLineChars="950"/>
              <w:rPr>
                <w:rFonts w:ascii="宋体" w:eastAsia="宋体" w:hAnsi="Times New Roman" w:cs="宋体"/>
                <w:kern w:val="2"/>
                <w:sz w:val="18"/>
                <w:szCs w:val="18"/>
                <w:lang w:val="en-US" w:eastAsia="zh-CN" w:bidi="ar-SA"/>
              </w:rPr>
            </w:pPr>
            <w:r>
              <w:rPr>
                <w:rFonts w:ascii="宋体" w:cs="宋体" w:hint="eastAsia"/>
                <w:sz w:val="18"/>
                <w:szCs w:val="18"/>
              </w:rPr>
              <w:t>≥</w:t>
            </w:r>
            <w:r>
              <w:rPr>
                <w:rFonts w:ascii="宋体" w:cs="宋体" w:hint="eastAsia"/>
                <w:sz w:val="18"/>
                <w:szCs w:val="18"/>
                <w:lang w:val="en-US" w:eastAsia="zh-CN"/>
              </w:rPr>
              <w:t>5</w:t>
            </w:r>
            <w:r>
              <w:rPr>
                <w:rFonts w:ascii="宋体" w:cs="宋体" w:hint="eastAsia"/>
                <w:sz w:val="18"/>
                <w:szCs w:val="18"/>
              </w:rPr>
              <w:t>000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指标1：病人疾病治愈情况</w:t>
            </w:r>
          </w:p>
        </w:tc>
        <w:tc>
          <w:tcPr>
            <w:tcW w:w="4228" w:type="dxa"/>
            <w:gridSpan w:val="2"/>
            <w:noWrap w:val="0"/>
            <w:vAlign w:val="center"/>
          </w:tcPr>
          <w:p>
            <w:pPr>
              <w:spacing w:line="260" w:lineRule="exact"/>
              <w:jc w:val="center"/>
              <w:rPr>
                <w:rFonts w:ascii="宋体" w:eastAsia="宋体" w:hAnsi="Times New Roman" w:cs="宋体"/>
                <w:kern w:val="2"/>
                <w:sz w:val="18"/>
                <w:szCs w:val="18"/>
                <w:lang w:val="en-US" w:eastAsia="zh-CN" w:bidi="ar-SA"/>
              </w:rPr>
            </w:pPr>
            <w:r>
              <w:rPr>
                <w:rFonts w:ascii="宋体" w:hAnsi="宋体" w:cs="宋体" w:hint="eastAsia"/>
                <w:color w:val="000000"/>
                <w:kern w:val="0"/>
                <w:sz w:val="18"/>
                <w:szCs w:val="18"/>
              </w:rPr>
              <w:t>基本完成病人疾病治愈</w:t>
            </w:r>
          </w:p>
        </w:tc>
      </w:tr>
      <w:tr>
        <w:tblPrEx>
          <w:tblW w:w="0" w:type="auto"/>
          <w:tblInd w:w="0" w:type="dxa"/>
          <w:tblLayout w:type="fixed"/>
          <w:tblCellMar>
            <w:top w:w="0" w:type="dxa"/>
            <w:left w:w="108" w:type="dxa"/>
            <w:bottom w:w="0" w:type="dxa"/>
            <w:right w:w="108" w:type="dxa"/>
          </w:tblCellMar>
        </w:tblPrEx>
        <w:trPr>
          <w:trHeight w:val="20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rPr>
              <w:t>满足区域病人快速就诊</w:t>
            </w:r>
          </w:p>
        </w:tc>
        <w:tc>
          <w:tcPr>
            <w:tcW w:w="4228" w:type="dxa"/>
            <w:gridSpan w:val="2"/>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rPr>
              <w:t>≤1小</w:t>
            </w:r>
            <w:r>
              <w:rPr>
                <w:rFonts w:ascii="宋体" w:cs="宋体" w:hint="eastAsia"/>
                <w:sz w:val="18"/>
                <w:szCs w:val="18"/>
                <w:lang w:eastAsia="zh-CN"/>
              </w:rPr>
              <w:t>时</w:t>
            </w:r>
          </w:p>
        </w:tc>
      </w:tr>
      <w:tr>
        <w:tblPrEx>
          <w:tblW w:w="0" w:type="auto"/>
          <w:tblInd w:w="0" w:type="dxa"/>
          <w:tblLayout w:type="fixed"/>
          <w:tblCellMar>
            <w:top w:w="0" w:type="dxa"/>
            <w:left w:w="108" w:type="dxa"/>
            <w:bottom w:w="0" w:type="dxa"/>
            <w:right w:w="108" w:type="dxa"/>
          </w:tblCellMar>
        </w:tblPrEx>
        <w:trPr>
          <w:trHeight w:val="23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指标1：减少就诊患者看病费用</w:t>
            </w:r>
          </w:p>
        </w:tc>
        <w:tc>
          <w:tcPr>
            <w:tcW w:w="4228" w:type="dxa"/>
            <w:gridSpan w:val="2"/>
            <w:noWrap w:val="0"/>
            <w:vAlign w:val="center"/>
          </w:tcPr>
          <w:p>
            <w:pPr>
              <w:spacing w:line="260" w:lineRule="exact"/>
              <w:jc w:val="center"/>
              <w:rPr>
                <w:rFonts w:ascii="宋体" w:eastAsia="宋体" w:hAnsi="Times New Roman" w:cs="宋体"/>
                <w:kern w:val="2"/>
                <w:sz w:val="18"/>
                <w:szCs w:val="18"/>
                <w:lang w:val="en-US" w:eastAsia="zh-CN" w:bidi="ar-SA"/>
              </w:rPr>
            </w:pPr>
            <w:r>
              <w:rPr>
                <w:rFonts w:ascii="宋体" w:cs="宋体"/>
                <w:sz w:val="18"/>
                <w:szCs w:val="18"/>
              </w:rPr>
              <w:t>建</w:t>
            </w:r>
            <w:r>
              <w:rPr>
                <w:rFonts w:ascii="宋体" w:cs="宋体" w:hint="eastAsia"/>
                <w:sz w:val="18"/>
                <w:szCs w:val="18"/>
              </w:rPr>
              <w:t>少</w:t>
            </w:r>
            <w:r>
              <w:rPr>
                <w:rFonts w:ascii="宋体" w:cs="宋体"/>
                <w:sz w:val="18"/>
                <w:szCs w:val="18"/>
              </w:rPr>
              <w:t>病人费用</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指标2：提升就医环境，合理配资医疗资源</w:t>
            </w:r>
          </w:p>
        </w:tc>
        <w:tc>
          <w:tcPr>
            <w:tcW w:w="4228" w:type="dxa"/>
            <w:gridSpan w:val="2"/>
            <w:noWrap w:val="0"/>
            <w:vAlign w:val="center"/>
          </w:tcPr>
          <w:p>
            <w:pPr>
              <w:spacing w:line="260" w:lineRule="exact"/>
              <w:jc w:val="center"/>
              <w:rPr>
                <w:rFonts w:ascii="宋体" w:eastAsia="宋体" w:hAnsi="Times New Roman" w:cs="宋体"/>
                <w:kern w:val="2"/>
                <w:sz w:val="18"/>
                <w:szCs w:val="18"/>
                <w:lang w:val="en-US" w:eastAsia="zh-CN" w:bidi="ar-SA"/>
              </w:rPr>
            </w:pPr>
            <w:r>
              <w:rPr>
                <w:rFonts w:ascii="宋体" w:cs="宋体"/>
                <w:sz w:val="18"/>
                <w:szCs w:val="18"/>
              </w:rPr>
              <w:t>提供服务质量</w:t>
            </w:r>
          </w:p>
        </w:tc>
      </w:tr>
      <w:tr>
        <w:tblPrEx>
          <w:tblW w:w="0" w:type="auto"/>
          <w:tblInd w:w="0" w:type="dxa"/>
          <w:tblLayout w:type="fixed"/>
          <w:tblCellMar>
            <w:top w:w="0" w:type="dxa"/>
            <w:left w:w="108" w:type="dxa"/>
            <w:bottom w:w="0" w:type="dxa"/>
            <w:right w:w="108" w:type="dxa"/>
          </w:tblCellMar>
        </w:tblPrEx>
        <w:trPr>
          <w:trHeight w:val="17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eastAsia="宋体" w:hAnsi="Times New Roman" w:cs="宋体"/>
                <w:kern w:val="2"/>
                <w:sz w:val="18"/>
                <w:szCs w:val="18"/>
                <w:lang w:val="en-US" w:eastAsia="zh-CN" w:bidi="ar-SA"/>
              </w:rPr>
            </w:pPr>
            <w:r>
              <w:rPr>
                <w:rFonts w:ascii="宋体" w:hAnsi="宋体" w:cs="宋体" w:hint="eastAsia"/>
                <w:color w:val="000000"/>
                <w:kern w:val="0"/>
                <w:sz w:val="18"/>
                <w:szCs w:val="18"/>
              </w:rPr>
              <w:t>指标1：收入费用率（费用/收入）</w:t>
            </w:r>
          </w:p>
        </w:tc>
        <w:tc>
          <w:tcPr>
            <w:tcW w:w="4228" w:type="dxa"/>
            <w:gridSpan w:val="2"/>
            <w:noWrap w:val="0"/>
            <w:vAlign w:val="center"/>
          </w:tcPr>
          <w:p>
            <w:pPr>
              <w:spacing w:line="260" w:lineRule="exact"/>
              <w:jc w:val="center"/>
              <w:rPr>
                <w:rFonts w:ascii="宋体" w:eastAsia="宋体" w:hAnsi="Times New Roman" w:cs="宋体"/>
                <w:kern w:val="2"/>
                <w:sz w:val="18"/>
                <w:szCs w:val="18"/>
                <w:lang w:val="en-US" w:eastAsia="zh-CN" w:bidi="ar-SA"/>
              </w:rPr>
            </w:pPr>
            <w:r>
              <w:rPr>
                <w:rFonts w:ascii="宋体" w:cs="宋体"/>
                <w:sz w:val="18"/>
                <w:szCs w:val="18"/>
              </w:rPr>
              <w:t>降低收入费用率</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eastAsia="宋体" w:hAnsi="Times New Roman" w:cs="宋体"/>
                <w:kern w:val="2"/>
                <w:sz w:val="18"/>
                <w:szCs w:val="18"/>
                <w:lang w:val="en-US" w:eastAsia="zh-CN" w:bidi="ar-SA"/>
              </w:rPr>
            </w:pPr>
            <w:r>
              <w:rPr>
                <w:rFonts w:ascii="宋体" w:hAnsi="宋体" w:cs="宋体" w:hint="eastAsia"/>
                <w:color w:val="000000"/>
                <w:kern w:val="0"/>
                <w:sz w:val="18"/>
                <w:szCs w:val="18"/>
              </w:rPr>
              <w:t>指标2：日常运转经费</w:t>
            </w:r>
          </w:p>
        </w:tc>
        <w:tc>
          <w:tcPr>
            <w:tcW w:w="4228" w:type="dxa"/>
            <w:gridSpan w:val="2"/>
            <w:noWrap w:val="0"/>
            <w:vAlign w:val="center"/>
          </w:tcPr>
          <w:p>
            <w:pPr>
              <w:spacing w:line="260" w:lineRule="exact"/>
              <w:jc w:val="center"/>
              <w:rPr>
                <w:rFonts w:ascii="宋体" w:eastAsia="宋体" w:hAnsi="Times New Roman" w:cs="宋体"/>
                <w:kern w:val="2"/>
                <w:sz w:val="18"/>
                <w:szCs w:val="18"/>
                <w:lang w:val="en-US" w:eastAsia="zh-CN" w:bidi="ar-SA"/>
              </w:rPr>
            </w:pPr>
            <w:r>
              <w:rPr>
                <w:rFonts w:ascii="宋体" w:cs="宋体"/>
                <w:sz w:val="18"/>
                <w:szCs w:val="18"/>
              </w:rPr>
              <w:t>减少办公经费</w:t>
            </w:r>
            <w:r>
              <w:rPr>
                <w:rFonts w:ascii="宋体" w:cs="宋体" w:hint="eastAsia"/>
                <w:sz w:val="18"/>
                <w:szCs w:val="18"/>
              </w:rPr>
              <w:t>开支</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spacing w:line="260" w:lineRule="exact"/>
              <w:jc w:val="left"/>
              <w:textAlignment w:val="center"/>
              <w:rPr>
                <w:rFonts w:ascii="宋体" w:eastAsia="宋体" w:hAnsi="Times New Roman" w:cs="宋体"/>
                <w:kern w:val="2"/>
                <w:sz w:val="18"/>
                <w:szCs w:val="18"/>
                <w:lang w:val="en-US" w:eastAsia="zh-CN" w:bidi="ar-SA"/>
              </w:rPr>
            </w:pPr>
            <w:r>
              <w:rPr>
                <w:rFonts w:ascii="宋体" w:hAnsi="宋体" w:cs="宋体" w:hint="eastAsia"/>
                <w:color w:val="000000"/>
                <w:kern w:val="0"/>
                <w:sz w:val="18"/>
                <w:szCs w:val="18"/>
              </w:rPr>
              <w:t>指标1：满足区域病人就诊需求</w:t>
            </w:r>
          </w:p>
        </w:tc>
        <w:tc>
          <w:tcPr>
            <w:tcW w:w="4228" w:type="dxa"/>
            <w:gridSpan w:val="2"/>
            <w:noWrap w:val="0"/>
            <w:vAlign w:val="center"/>
          </w:tcPr>
          <w:p>
            <w:pPr>
              <w:spacing w:line="260" w:lineRule="exact"/>
              <w:jc w:val="center"/>
              <w:rPr>
                <w:rFonts w:ascii="宋体" w:eastAsia="宋体" w:hAnsi="Times New Roman" w:cs="宋体"/>
                <w:kern w:val="2"/>
                <w:sz w:val="18"/>
                <w:szCs w:val="18"/>
                <w:lang w:val="en-US" w:eastAsia="zh-CN" w:bidi="ar-SA"/>
              </w:rPr>
            </w:pPr>
            <w:r>
              <w:rPr>
                <w:rFonts w:ascii="宋体" w:cs="宋体" w:hint="eastAsia"/>
                <w:sz w:val="18"/>
                <w:szCs w:val="18"/>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eastAsia="宋体" w:hAnsi="Times New Roman" w:cs="宋体"/>
                <w:kern w:val="2"/>
                <w:sz w:val="18"/>
                <w:szCs w:val="18"/>
                <w:lang w:val="en-US" w:eastAsia="zh-CN" w:bidi="ar-SA"/>
              </w:rPr>
            </w:pPr>
            <w:r>
              <w:rPr>
                <w:rFonts w:ascii="宋体" w:hAnsi="宋体" w:cs="宋体" w:hint="eastAsia"/>
                <w:color w:val="000000"/>
                <w:kern w:val="0"/>
                <w:sz w:val="18"/>
                <w:szCs w:val="18"/>
              </w:rPr>
              <w:t>指标2：保障基本医疗工作质量</w:t>
            </w:r>
          </w:p>
        </w:tc>
        <w:tc>
          <w:tcPr>
            <w:tcW w:w="4228" w:type="dxa"/>
            <w:gridSpan w:val="2"/>
            <w:noWrap w:val="0"/>
            <w:vAlign w:val="center"/>
          </w:tcPr>
          <w:p>
            <w:pPr>
              <w:spacing w:line="260" w:lineRule="exact"/>
              <w:jc w:val="center"/>
              <w:rPr>
                <w:rFonts w:ascii="宋体" w:eastAsia="宋体" w:hAnsi="Times New Roman" w:cs="宋体"/>
                <w:kern w:val="2"/>
                <w:sz w:val="18"/>
                <w:szCs w:val="18"/>
                <w:lang w:val="en-US" w:eastAsia="zh-CN" w:bidi="ar-SA"/>
              </w:rPr>
            </w:pPr>
            <w:r>
              <w:rPr>
                <w:rFonts w:ascii="宋体" w:cs="宋体" w:hint="eastAsia"/>
                <w:sz w:val="18"/>
                <w:szCs w:val="18"/>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rPr>
              <w:t>减少病人就诊距离</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w:t>
            </w:r>
            <w:r>
              <w:rPr>
                <w:rFonts w:ascii="宋体" w:cs="宋体" w:hint="eastAsia"/>
                <w:sz w:val="18"/>
                <w:szCs w:val="18"/>
                <w:lang w:val="en-US" w:eastAsia="zh-CN"/>
              </w:rPr>
              <w:t>2</w:t>
            </w:r>
            <w:r>
              <w:rPr>
                <w:rFonts w:ascii="宋体" w:cs="宋体" w:hint="eastAsia"/>
                <w:sz w:val="18"/>
                <w:szCs w:val="18"/>
              </w:rPr>
              <w:t>公里</w:t>
            </w:r>
          </w:p>
        </w:tc>
      </w:tr>
      <w:tr>
        <w:tblPrEx>
          <w:tblW w:w="0" w:type="auto"/>
          <w:tblInd w:w="0" w:type="dxa"/>
          <w:tblLayout w:type="fixed"/>
          <w:tblCellMar>
            <w:top w:w="0" w:type="dxa"/>
            <w:left w:w="108" w:type="dxa"/>
            <w:bottom w:w="0" w:type="dxa"/>
            <w:right w:w="108" w:type="dxa"/>
          </w:tblCellMar>
        </w:tblPrEx>
        <w:trPr>
          <w:trHeight w:val="9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spacing w:line="260" w:lineRule="exact"/>
              <w:jc w:val="left"/>
              <w:textAlignment w:val="center"/>
              <w:rPr>
                <w:rFonts w:ascii="宋体" w:eastAsia="宋体" w:hAnsi="宋体" w:cs="宋体" w:hint="eastAsia"/>
                <w:kern w:val="2"/>
                <w:sz w:val="18"/>
                <w:szCs w:val="18"/>
                <w:lang w:val="en-US" w:eastAsia="zh-CN" w:bidi="ar-SA"/>
              </w:rPr>
            </w:pPr>
            <w:r>
              <w:rPr>
                <w:rFonts w:ascii="宋体" w:hAnsi="宋体" w:cs="宋体" w:hint="eastAsia"/>
                <w:color w:val="000000"/>
                <w:kern w:val="0"/>
                <w:sz w:val="18"/>
                <w:szCs w:val="18"/>
              </w:rPr>
              <w:t>指标1：规范医疗制度与提高医疗技术</w:t>
            </w:r>
          </w:p>
        </w:tc>
        <w:tc>
          <w:tcPr>
            <w:tcW w:w="4228" w:type="dxa"/>
            <w:gridSpan w:val="2"/>
            <w:noWrap w:val="0"/>
            <w:vAlign w:val="center"/>
          </w:tcPr>
          <w:p>
            <w:pPr>
              <w:spacing w:line="260" w:lineRule="exact"/>
              <w:jc w:val="center"/>
              <w:rPr>
                <w:rFonts w:ascii="宋体" w:eastAsia="宋体" w:hAnsi="Times New Roman" w:cs="宋体"/>
                <w:kern w:val="2"/>
                <w:sz w:val="18"/>
                <w:szCs w:val="18"/>
                <w:lang w:val="en-US" w:eastAsia="zh-CN" w:bidi="ar-SA"/>
              </w:rPr>
            </w:pPr>
            <w:r>
              <w:rPr>
                <w:rFonts w:ascii="宋体" w:cs="宋体"/>
                <w:sz w:val="18"/>
                <w:szCs w:val="18"/>
              </w:rPr>
              <w:t>长期</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eastAsia="宋体" w:hAnsi="宋体" w:cs="宋体" w:hint="eastAsia"/>
                <w:color w:val="000000"/>
                <w:kern w:val="0"/>
                <w:sz w:val="18"/>
                <w:szCs w:val="18"/>
                <w:lang w:val="en-US" w:eastAsia="zh-CN" w:bidi="ar-SA"/>
              </w:rPr>
            </w:pPr>
            <w:r>
              <w:rPr>
                <w:rFonts w:ascii="宋体" w:hAnsi="宋体" w:cs="宋体" w:hint="eastAsia"/>
                <w:color w:val="000000"/>
                <w:kern w:val="0"/>
                <w:sz w:val="18"/>
                <w:szCs w:val="18"/>
              </w:rPr>
              <w:t>指标2：不断完善院内基础设施和标准化建设</w:t>
            </w:r>
          </w:p>
        </w:tc>
        <w:tc>
          <w:tcPr>
            <w:tcW w:w="4228" w:type="dxa"/>
            <w:gridSpan w:val="2"/>
            <w:noWrap w:val="0"/>
            <w:vAlign w:val="center"/>
          </w:tcPr>
          <w:p>
            <w:pPr>
              <w:spacing w:line="260" w:lineRule="exact"/>
              <w:jc w:val="center"/>
              <w:rPr>
                <w:rFonts w:ascii="宋体" w:eastAsia="宋体" w:hAnsi="Times New Roman" w:cs="宋体"/>
                <w:kern w:val="2"/>
                <w:sz w:val="18"/>
                <w:szCs w:val="18"/>
                <w:lang w:val="en-US" w:eastAsia="zh-CN" w:bidi="ar-SA"/>
              </w:rPr>
            </w:pPr>
            <w:r>
              <w:rPr>
                <w:rFonts w:ascii="宋体" w:cs="宋体"/>
                <w:sz w:val="18"/>
                <w:szCs w:val="18"/>
              </w:rPr>
              <w:t>长期</w:t>
            </w:r>
          </w:p>
        </w:tc>
      </w:tr>
      <w:tr>
        <w:tblPrEx>
          <w:tblW w:w="0" w:type="auto"/>
          <w:tblInd w:w="0" w:type="dxa"/>
          <w:tblLayout w:type="fixed"/>
          <w:tblCellMar>
            <w:top w:w="0" w:type="dxa"/>
            <w:left w:w="108" w:type="dxa"/>
            <w:bottom w:w="0" w:type="dxa"/>
            <w:right w:w="108" w:type="dxa"/>
          </w:tblCellMar>
        </w:tblPrEx>
        <w:trPr>
          <w:trHeight w:val="248"/>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指标1</w:t>
            </w:r>
            <w:r>
              <w:rPr>
                <w:rFonts w:ascii="宋体" w:hAnsi="宋体" w:cs="宋体" w:hint="eastAsia"/>
                <w:color w:val="000000"/>
                <w:kern w:val="0"/>
                <w:sz w:val="18"/>
                <w:szCs w:val="18"/>
              </w:rPr>
              <w:t>：辖区就诊病人满意度</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≥90%</w:t>
            </w:r>
          </w:p>
        </w:tc>
      </w:tr>
      <w:tr>
        <w:tblPrEx>
          <w:tblW w:w="0" w:type="auto"/>
          <w:tblInd w:w="0" w:type="dxa"/>
          <w:tblLayout w:type="fixed"/>
          <w:tblCellMar>
            <w:top w:w="0" w:type="dxa"/>
            <w:left w:w="108" w:type="dxa"/>
            <w:bottom w:w="0" w:type="dxa"/>
            <w:right w:w="108" w:type="dxa"/>
          </w:tblCellMar>
        </w:tblPrEx>
        <w:trPr>
          <w:trHeight w:val="46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双桥镇中心卫生院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双桥镇中心卫生院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12.38</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全部为</w:t>
      </w:r>
      <w:r>
        <w:rPr>
          <w:rFonts w:ascii="仿宋_GB2312" w:eastAsia="仿宋_GB2312" w:hAnsi="TimesNewRoman" w:cs="TimesNewRoman" w:hint="eastAsia"/>
          <w:sz w:val="32"/>
          <w:szCs w:val="32"/>
        </w:rPr>
        <w:t>政府采购货物预算</w:t>
      </w:r>
      <w:r>
        <w:rPr>
          <w:rFonts w:ascii="仿宋_GB2312" w:eastAsia="仿宋_GB2312" w:hAnsi="TimesNewRoman" w:cs="TimesNewRoman" w:hint="eastAsia"/>
          <w:sz w:val="32"/>
          <w:szCs w:val="32"/>
          <w:lang w:val="en-US" w:eastAsia="zh-CN"/>
        </w:rPr>
        <w:t>12.38</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双桥镇中心卫生院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辆，其中：、其他用车</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辆。</w:t>
      </w:r>
      <w:r>
        <w:rPr>
          <w:rFonts w:ascii="仿宋_GB2312" w:eastAsia="仿宋_GB2312" w:hAnsi="TimesNewRoman" w:cs="TimesNewRoman" w:hint="eastAsia"/>
          <w:sz w:val="32"/>
          <w:szCs w:val="32"/>
          <w:lang w:eastAsia="zh-CN"/>
        </w:rPr>
        <w:t>没有</w:t>
      </w:r>
      <w:r>
        <w:rPr>
          <w:rFonts w:ascii="仿宋_GB2312" w:eastAsia="仿宋_GB2312" w:hAnsi="TimesNewRoman" w:cs="TimesNewRoman" w:hint="eastAsia"/>
          <w:sz w:val="32"/>
          <w:szCs w:val="32"/>
        </w:rPr>
        <w:t>单价50万元以上的通用设备，</w:t>
      </w:r>
      <w:r>
        <w:rPr>
          <w:rFonts w:ascii="仿宋_GB2312" w:eastAsia="仿宋_GB2312" w:hAnsi="TimesNewRoman" w:cs="TimesNewRoman" w:hint="eastAsia"/>
          <w:sz w:val="32"/>
          <w:szCs w:val="32"/>
          <w:lang w:eastAsia="zh-CN"/>
        </w:rPr>
        <w:t>没有</w:t>
      </w:r>
      <w:r>
        <w:rPr>
          <w:rFonts w:ascii="仿宋_GB2312" w:eastAsia="仿宋_GB2312" w:hAnsi="TimesNewRoman" w:cs="TimesNewRoman" w:hint="eastAsia"/>
          <w:sz w:val="32"/>
          <w:szCs w:val="32"/>
        </w:rPr>
        <w:t>单价100万元以上的专用设备。</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2024年部门预算安排购置公务用车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安排购置单价50万元以上的通用设备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万元；安排购置单价100万元以上专用设备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双桥镇中心卫生院</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个项目实行了绩效目标管理，涉及单位资金当年安排</w:t>
      </w:r>
      <w:r>
        <w:rPr>
          <w:rFonts w:ascii="仿宋_GB2312" w:eastAsia="仿宋_GB2312" w:hAnsi="TimesNewRoman" w:cs="TimesNewRoman" w:hint="eastAsia"/>
          <w:sz w:val="32"/>
          <w:szCs w:val="32"/>
          <w:lang w:val="en-US" w:eastAsia="zh-CN"/>
        </w:rPr>
        <w:t>234</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bookmarkStart w:id="0" w:name="_GoBack"/>
      <w:bookmarkEnd w:id="0"/>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
    <w:altName w:val="Simplified Arabic"/>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汉仪中秀体简">
    <w:altName w:val="微软雅黑"/>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Simplified Arabic">
    <w:panose1 w:val="02020603050405020304"/>
    <w:charset w:val="00"/>
    <w:family w:val="auto"/>
    <w:pitch w:val="default"/>
    <w:sig w:usb0="00002003" w:usb1="00000000" w:usb2="00000000" w:usb3="00000000" w:csb0="00000041" w:csb1="200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04B48CF"/>
    <w:rsid w:val="012313A8"/>
    <w:rsid w:val="015F0800"/>
    <w:rsid w:val="018A58CB"/>
    <w:rsid w:val="019E3125"/>
    <w:rsid w:val="02111B48"/>
    <w:rsid w:val="04926F71"/>
    <w:rsid w:val="051E7028"/>
    <w:rsid w:val="056F71D3"/>
    <w:rsid w:val="06B036DE"/>
    <w:rsid w:val="06B07B82"/>
    <w:rsid w:val="07DD49A7"/>
    <w:rsid w:val="08253C58"/>
    <w:rsid w:val="08907C6B"/>
    <w:rsid w:val="0955056D"/>
    <w:rsid w:val="09B6743C"/>
    <w:rsid w:val="09C72078"/>
    <w:rsid w:val="0A081A83"/>
    <w:rsid w:val="0A7410CD"/>
    <w:rsid w:val="0BE34556"/>
    <w:rsid w:val="0D305579"/>
    <w:rsid w:val="0D336E17"/>
    <w:rsid w:val="0D7D0092"/>
    <w:rsid w:val="0DD473D5"/>
    <w:rsid w:val="0FD04DF1"/>
    <w:rsid w:val="10A83678"/>
    <w:rsid w:val="10F13271"/>
    <w:rsid w:val="11825DEF"/>
    <w:rsid w:val="11AB1672"/>
    <w:rsid w:val="11AD363C"/>
    <w:rsid w:val="12597320"/>
    <w:rsid w:val="13C22CA3"/>
    <w:rsid w:val="13E40AD4"/>
    <w:rsid w:val="14495172"/>
    <w:rsid w:val="14700951"/>
    <w:rsid w:val="151B6B0E"/>
    <w:rsid w:val="159F14ED"/>
    <w:rsid w:val="15BD5E17"/>
    <w:rsid w:val="15CA766E"/>
    <w:rsid w:val="1609105D"/>
    <w:rsid w:val="161A0B74"/>
    <w:rsid w:val="162C6AF9"/>
    <w:rsid w:val="16BE2F97"/>
    <w:rsid w:val="16F13FCB"/>
    <w:rsid w:val="17702692"/>
    <w:rsid w:val="17B60D70"/>
    <w:rsid w:val="18B708FC"/>
    <w:rsid w:val="194B192D"/>
    <w:rsid w:val="197C38F4"/>
    <w:rsid w:val="19C21FF7"/>
    <w:rsid w:val="1A6160FE"/>
    <w:rsid w:val="1A756329"/>
    <w:rsid w:val="1B2C7F34"/>
    <w:rsid w:val="1C0C002B"/>
    <w:rsid w:val="1C4C57FF"/>
    <w:rsid w:val="1C984EE8"/>
    <w:rsid w:val="1CF074F6"/>
    <w:rsid w:val="1D35233A"/>
    <w:rsid w:val="1D556936"/>
    <w:rsid w:val="1DC745C9"/>
    <w:rsid w:val="1DE008F5"/>
    <w:rsid w:val="1FF40688"/>
    <w:rsid w:val="20915ED7"/>
    <w:rsid w:val="21707EAF"/>
    <w:rsid w:val="219914E7"/>
    <w:rsid w:val="22743D02"/>
    <w:rsid w:val="22C95DFC"/>
    <w:rsid w:val="23481F51"/>
    <w:rsid w:val="237D6BE6"/>
    <w:rsid w:val="23D507D0"/>
    <w:rsid w:val="23FA1B72"/>
    <w:rsid w:val="252A68FA"/>
    <w:rsid w:val="258B55EA"/>
    <w:rsid w:val="2599083C"/>
    <w:rsid w:val="25AF2E14"/>
    <w:rsid w:val="26070E5F"/>
    <w:rsid w:val="26995AE5"/>
    <w:rsid w:val="27037B36"/>
    <w:rsid w:val="270F3FF9"/>
    <w:rsid w:val="27201111"/>
    <w:rsid w:val="27D570E1"/>
    <w:rsid w:val="28017DE6"/>
    <w:rsid w:val="289B1D09"/>
    <w:rsid w:val="28F96D0F"/>
    <w:rsid w:val="2A587A65"/>
    <w:rsid w:val="2B400C25"/>
    <w:rsid w:val="2BE45A54"/>
    <w:rsid w:val="2C504E98"/>
    <w:rsid w:val="2C610D15"/>
    <w:rsid w:val="2CF06831"/>
    <w:rsid w:val="2DB43204"/>
    <w:rsid w:val="2E6065EF"/>
    <w:rsid w:val="2E61338C"/>
    <w:rsid w:val="2E9F5C62"/>
    <w:rsid w:val="2EEB534C"/>
    <w:rsid w:val="2EF50470"/>
    <w:rsid w:val="2FDB53C0"/>
    <w:rsid w:val="30262488"/>
    <w:rsid w:val="30C61BCC"/>
    <w:rsid w:val="30D67722"/>
    <w:rsid w:val="30FA7AC8"/>
    <w:rsid w:val="32083625"/>
    <w:rsid w:val="32807B59"/>
    <w:rsid w:val="32B67A1F"/>
    <w:rsid w:val="333A0650"/>
    <w:rsid w:val="33504D8D"/>
    <w:rsid w:val="33557238"/>
    <w:rsid w:val="336D27D3"/>
    <w:rsid w:val="34012BC3"/>
    <w:rsid w:val="34B41D3C"/>
    <w:rsid w:val="34C97AC9"/>
    <w:rsid w:val="3569521C"/>
    <w:rsid w:val="36050AA1"/>
    <w:rsid w:val="367B5207"/>
    <w:rsid w:val="36A75FFC"/>
    <w:rsid w:val="385F7597"/>
    <w:rsid w:val="39A607ED"/>
    <w:rsid w:val="3AA36ADA"/>
    <w:rsid w:val="3AB9182B"/>
    <w:rsid w:val="3FA330D9"/>
    <w:rsid w:val="3FCC6AD3"/>
    <w:rsid w:val="40297A82"/>
    <w:rsid w:val="421B789E"/>
    <w:rsid w:val="4251506E"/>
    <w:rsid w:val="42723962"/>
    <w:rsid w:val="42CA3158"/>
    <w:rsid w:val="42D261AF"/>
    <w:rsid w:val="43C24475"/>
    <w:rsid w:val="43D0150C"/>
    <w:rsid w:val="45D264C6"/>
    <w:rsid w:val="474D22A8"/>
    <w:rsid w:val="476870E2"/>
    <w:rsid w:val="47C620B2"/>
    <w:rsid w:val="47CD163B"/>
    <w:rsid w:val="47EF7803"/>
    <w:rsid w:val="48221986"/>
    <w:rsid w:val="48921659"/>
    <w:rsid w:val="48DD302B"/>
    <w:rsid w:val="48DE195A"/>
    <w:rsid w:val="48FC21D7"/>
    <w:rsid w:val="4A682F1C"/>
    <w:rsid w:val="4ADD3943"/>
    <w:rsid w:val="4B0C247A"/>
    <w:rsid w:val="4B756271"/>
    <w:rsid w:val="4B904E59"/>
    <w:rsid w:val="4C51283A"/>
    <w:rsid w:val="4D722A68"/>
    <w:rsid w:val="4D931045"/>
    <w:rsid w:val="4DB90697"/>
    <w:rsid w:val="4E45017D"/>
    <w:rsid w:val="501F4629"/>
    <w:rsid w:val="50F73284"/>
    <w:rsid w:val="513B5867"/>
    <w:rsid w:val="538D415C"/>
    <w:rsid w:val="54091C4C"/>
    <w:rsid w:val="54FB4F3E"/>
    <w:rsid w:val="561163DA"/>
    <w:rsid w:val="56A86DBC"/>
    <w:rsid w:val="57F64296"/>
    <w:rsid w:val="59507D1E"/>
    <w:rsid w:val="5A017854"/>
    <w:rsid w:val="5B127639"/>
    <w:rsid w:val="5BDE751B"/>
    <w:rsid w:val="5C1E200D"/>
    <w:rsid w:val="5D3D64C3"/>
    <w:rsid w:val="5E2E3A79"/>
    <w:rsid w:val="5E7B3747"/>
    <w:rsid w:val="5F092B01"/>
    <w:rsid w:val="5F265461"/>
    <w:rsid w:val="5FF94923"/>
    <w:rsid w:val="60602BF4"/>
    <w:rsid w:val="6089214B"/>
    <w:rsid w:val="60AC241C"/>
    <w:rsid w:val="61306A6A"/>
    <w:rsid w:val="6138591F"/>
    <w:rsid w:val="61730705"/>
    <w:rsid w:val="62EF0C13"/>
    <w:rsid w:val="630A6ACB"/>
    <w:rsid w:val="6315416A"/>
    <w:rsid w:val="633B34A5"/>
    <w:rsid w:val="63442359"/>
    <w:rsid w:val="63AB687C"/>
    <w:rsid w:val="644665A5"/>
    <w:rsid w:val="64EB2B99"/>
    <w:rsid w:val="6524497B"/>
    <w:rsid w:val="65D36317"/>
    <w:rsid w:val="66F76665"/>
    <w:rsid w:val="67CE48E7"/>
    <w:rsid w:val="68863414"/>
    <w:rsid w:val="689C49E5"/>
    <w:rsid w:val="69B63885"/>
    <w:rsid w:val="69ED633A"/>
    <w:rsid w:val="69F34AD9"/>
    <w:rsid w:val="6A40646F"/>
    <w:rsid w:val="6AFE1987"/>
    <w:rsid w:val="6B272C8C"/>
    <w:rsid w:val="6B734FAD"/>
    <w:rsid w:val="6C6972D4"/>
    <w:rsid w:val="6CC10EBE"/>
    <w:rsid w:val="6CEF7485"/>
    <w:rsid w:val="6D9E6B0A"/>
    <w:rsid w:val="6E1746CC"/>
    <w:rsid w:val="6EAB14DE"/>
    <w:rsid w:val="6EE40E94"/>
    <w:rsid w:val="6F3516F0"/>
    <w:rsid w:val="705160B5"/>
    <w:rsid w:val="73261A7B"/>
    <w:rsid w:val="73777ED7"/>
    <w:rsid w:val="741E6BF6"/>
    <w:rsid w:val="74836A59"/>
    <w:rsid w:val="74850A24"/>
    <w:rsid w:val="75C612F4"/>
    <w:rsid w:val="76171B4F"/>
    <w:rsid w:val="769048B8"/>
    <w:rsid w:val="76BC657B"/>
    <w:rsid w:val="76E732D0"/>
    <w:rsid w:val="76F61765"/>
    <w:rsid w:val="77672662"/>
    <w:rsid w:val="77CA5200"/>
    <w:rsid w:val="78947487"/>
    <w:rsid w:val="79132AA2"/>
    <w:rsid w:val="79607369"/>
    <w:rsid w:val="79CB6ED9"/>
    <w:rsid w:val="79F77CCE"/>
    <w:rsid w:val="7A0D4354"/>
    <w:rsid w:val="7ABB6F4D"/>
    <w:rsid w:val="7CD24A22"/>
    <w:rsid w:val="7CF41A27"/>
    <w:rsid w:val="7D0E5A5A"/>
    <w:rsid w:val="7D124E1E"/>
    <w:rsid w:val="7E07251B"/>
    <w:rsid w:val="7E4F632A"/>
    <w:rsid w:val="7EFC43E0"/>
    <w:rsid w:val="7F253C46"/>
    <w:rsid w:val="7F3943E9"/>
    <w:rsid w:val="7F477001"/>
    <w:rsid w:val="7F5F07EF"/>
    <w:rsid w:val="7F73429A"/>
    <w:rsid w:val="7FA426A6"/>
    <w:rsid w:val="7FAC3308"/>
    <w:rsid w:val="7FDB3BED"/>
    <w:rsid w:val="7FE07151"/>
  </w:rsids>
  <w:docVars>
    <w:docVar w:name="commondata" w:val="eyJoZGlkIjoiM2M3NzFkNTQ0NGI4MWVhMjc3MjIxNDVjMzcxMThmYm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szCs w:val="18"/>
    </w:rPr>
  </w:style>
  <w:style w:type="paragraph" w:styleId="NormalWeb">
    <w:name w:val="Normal (Web)"/>
    <w:basedOn w:val="Normal"/>
    <w:qFormat/>
    <w:pPr>
      <w:spacing w:beforeAutospacing="1" w:afterAutospacing="1"/>
      <w:jc w:val="left"/>
    </w:pPr>
    <w:rPr>
      <w:rFonts w:ascii="Calibri" w:hAnsi="Calibri"/>
      <w:kern w:val="0"/>
      <w:sz w:val="24"/>
    </w:rPr>
  </w:style>
  <w:style w:type="character" w:styleId="Strong">
    <w:name w:val="Strong"/>
    <w:basedOn w:val="DefaultParagraphFont"/>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杨小懒</cp:lastModifiedBy>
  <cp:revision>1</cp:revision>
  <dcterms:created xsi:type="dcterms:W3CDTF">2024-01-16T02:39:00Z</dcterms:created>
  <dcterms:modified xsi:type="dcterms:W3CDTF">2024-01-24T03:17:15Z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CEDE6AF718C84F85A2AF421251183F7E_13</vt:lpwstr>
  </property>
  <property fmtid="{D5CDD505-2E9C-101B-9397-08002B2CF9AE}" pid="3" name="KSOProductBuildVer">
    <vt:lpwstr>2052-12.1.0.16250</vt:lpwstr>
  </property>
</Properties>
</file>