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5.0 -->
  <w:body>
    <w:p>
      <w:pPr>
        <w:spacing w:line="560" w:lineRule="exact"/>
        <w:rPr>
          <w:rFonts w:ascii="黑体" w:eastAsia="黑体" w:hAnsi="黑体" w:cs="TimesNewRoman"/>
          <w:sz w:val="32"/>
          <w:szCs w:val="32"/>
        </w:rPr>
      </w:pPr>
      <w:r>
        <w:rPr>
          <w:rFonts w:ascii="黑体" w:eastAsia="黑体" w:hAnsi="黑体" w:cs="TimesNewRoman" w:hint="eastAsia"/>
          <w:sz w:val="32"/>
          <w:szCs w:val="32"/>
          <w:lang w:val="en"/>
        </w:rPr>
        <w:t>附件</w:t>
      </w:r>
      <w:r>
        <w:rPr>
          <w:rFonts w:ascii="黑体" w:eastAsia="黑体" w:hAnsi="黑体" w:cs="TimesNewRoman" w:hint="eastAsia"/>
          <w:sz w:val="32"/>
          <w:szCs w:val="32"/>
        </w:rPr>
        <w:t>1</w:t>
      </w:r>
    </w:p>
    <w:p>
      <w:pPr>
        <w:spacing w:line="560" w:lineRule="exact"/>
        <w:rPr>
          <w:rFonts w:ascii="TimesNewRoman" w:eastAsia="黑体" w:hAnsi="TimesNewRoman" w:cs="TimesNewRoman" w:hint="eastAsia"/>
          <w:szCs w:val="32"/>
        </w:rPr>
      </w:pPr>
    </w:p>
    <w:p>
      <w:pPr>
        <w:spacing w:line="560" w:lineRule="exact"/>
        <w:jc w:val="center"/>
        <w:rPr>
          <w:rFonts w:ascii="方正小标宋_GBK" w:eastAsia="方正小标宋_GBK" w:hAnsi="TimesNewRoman" w:cs="TimesNewRoman" w:hint="eastAsia"/>
          <w:szCs w:val="32"/>
        </w:rPr>
      </w:pP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寿县</w:t>
      </w:r>
      <w:r>
        <w:rPr>
          <w:rFonts w:ascii="方正小标宋_GBK" w:eastAsia="方正小标宋_GBK" w:hAnsi="TimesNewRoman" w:cs="TimesNewRoman" w:hint="eastAsia"/>
          <w:sz w:val="44"/>
          <w:szCs w:val="44"/>
          <w:lang w:eastAsia="zh-CN"/>
        </w:rPr>
        <w:t>三觉镇中心卫生院瓦房分院</w:t>
      </w:r>
      <w:r>
        <w:rPr>
          <w:rFonts w:ascii="方正小标宋_GBK" w:eastAsia="方正小标宋_GBK" w:hAnsi="TimesNewRoman" w:cs="TimesNewRoman" w:hint="eastAsia"/>
          <w:sz w:val="44"/>
          <w:szCs w:val="44"/>
        </w:rPr>
        <w:t>2024年</w:t>
      </w:r>
    </w:p>
    <w:p>
      <w:pPr>
        <w:spacing w:line="560" w:lineRule="exact"/>
        <w:jc w:val="center"/>
        <w:rPr>
          <w:rFonts w:ascii="方正小标宋_GBK" w:eastAsia="方正小标宋_GBK" w:hAnsi="TimesNewRoman" w:cs="TimesNewRoman" w:hint="eastAsia"/>
          <w:sz w:val="44"/>
          <w:szCs w:val="44"/>
        </w:rPr>
      </w:pPr>
      <w:r>
        <w:rPr>
          <w:rFonts w:ascii="方正小标宋_GBK" w:eastAsia="方正小标宋_GBK" w:hAnsi="TimesNewRoman" w:cs="TimesNewRoman" w:hint="eastAsia"/>
          <w:sz w:val="44"/>
          <w:szCs w:val="44"/>
        </w:rPr>
        <w:t>预算</w:t>
      </w:r>
    </w:p>
    <w:p>
      <w:pPr>
        <w:pStyle w:val="NormalWeb"/>
        <w:adjustRightInd w:val="0"/>
        <w:snapToGrid w:val="0"/>
        <w:spacing w:line="560" w:lineRule="exact"/>
        <w:jc w:val="center"/>
        <w:outlineLvl w:val="0"/>
        <w:rPr>
          <w:rFonts w:ascii="方正小标宋_GBK" w:eastAsia="方正小标宋_GBK" w:hAnsi="TimesNewRoman" w:cs="TimesNewRoman" w:hint="eastAsia"/>
          <w:sz w:val="32"/>
          <w:szCs w:val="32"/>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bCs/>
          <w:sz w:val="36"/>
          <w:szCs w:val="36"/>
        </w:rPr>
      </w:pPr>
    </w:p>
    <w:p>
      <w:pPr>
        <w:pStyle w:val="NormalWeb"/>
        <w:adjustRightInd w:val="0"/>
        <w:snapToGrid w:val="0"/>
        <w:spacing w:line="560" w:lineRule="exact"/>
        <w:jc w:val="center"/>
        <w:rPr>
          <w:rFonts w:ascii="TimesNewRoman" w:eastAsia="黑体" w:hAnsi="TimesNewRoman" w:cs="TimesNewRoman" w:hint="eastAsia"/>
          <w:bCs/>
          <w:sz w:val="36"/>
          <w:szCs w:val="36"/>
        </w:rPr>
      </w:pPr>
    </w:p>
    <w:p>
      <w:pPr>
        <w:pStyle w:val="NormalWeb"/>
        <w:adjustRightInd w:val="0"/>
        <w:snapToGrid w:val="0"/>
        <w:spacing w:line="560" w:lineRule="exact"/>
        <w:jc w:val="center"/>
        <w:rPr>
          <w:rFonts w:ascii="TimesNewRoman" w:eastAsia="黑体" w:hAnsi="TimesNewRoman" w:cs="TimesNewRoman"/>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2"/>
          <w:szCs w:val="32"/>
        </w:rPr>
      </w:pPr>
    </w:p>
    <w:p>
      <w:pPr>
        <w:pStyle w:val="NormalWeb"/>
        <w:adjustRightInd w:val="0"/>
        <w:snapToGrid w:val="0"/>
        <w:spacing w:line="560" w:lineRule="exact"/>
        <w:jc w:val="center"/>
        <w:rPr>
          <w:rFonts w:ascii="仿宋_GB2312" w:eastAsia="仿宋_GB2312" w:hAnsi="TimesNewRoman" w:cs="TimesNewRoman" w:hint="eastAsia"/>
          <w:bCs/>
          <w:sz w:val="36"/>
          <w:szCs w:val="32"/>
        </w:rPr>
      </w:pPr>
      <w:r>
        <w:rPr>
          <w:rFonts w:ascii="仿宋_GB2312" w:eastAsia="仿宋_GB2312" w:hAnsi="TimesNewRoman" w:cs="TimesNewRoman" w:hint="eastAsia"/>
          <w:bCs/>
          <w:sz w:val="36"/>
          <w:szCs w:val="32"/>
        </w:rPr>
        <w:t>2024年</w:t>
      </w:r>
      <w:r>
        <w:rPr>
          <w:rFonts w:ascii="仿宋_GB2312" w:eastAsia="仿宋_GB2312" w:hAnsi="TimesNewRoman" w:cs="TimesNewRoman" w:hint="eastAsia"/>
          <w:bCs/>
          <w:sz w:val="36"/>
          <w:szCs w:val="32"/>
          <w:lang w:val="en-US" w:eastAsia="zh-CN"/>
        </w:rPr>
        <w:t>1</w:t>
      </w:r>
      <w:r>
        <w:rPr>
          <w:rFonts w:ascii="仿宋_GB2312" w:eastAsia="仿宋_GB2312" w:hAnsi="TimesNewRoman" w:cs="TimesNewRoman" w:hint="eastAsia"/>
          <w:bCs/>
          <w:sz w:val="36"/>
          <w:szCs w:val="32"/>
        </w:rPr>
        <w:t>月</w:t>
      </w:r>
    </w:p>
    <w:p>
      <w:pPr>
        <w:pStyle w:val="NormalWeb"/>
        <w:adjustRightInd w:val="0"/>
        <w:snapToGrid w:val="0"/>
        <w:spacing w:line="560" w:lineRule="exact"/>
        <w:jc w:val="center"/>
        <w:rPr>
          <w:rFonts w:ascii="方正小标宋_GBK" w:eastAsia="方正小标宋_GBK" w:hAnsi="TimesNewRoman" w:cs="TimesNewRoman" w:hint="eastAsia"/>
          <w:bCs/>
          <w:sz w:val="44"/>
          <w:szCs w:val="44"/>
        </w:rPr>
      </w:pPr>
      <w:r>
        <w:rPr>
          <w:rFonts w:ascii="方正小标宋_GBK" w:eastAsia="方正小标宋_GBK" w:hAnsi="TimesNewRoman" w:cs="TimesNewRoman" w:hint="eastAsia"/>
          <w:bCs/>
          <w:sz w:val="44"/>
          <w:szCs w:val="44"/>
        </w:rPr>
        <w:t>目  录</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第一部分</w:t>
      </w:r>
      <w:r>
        <w:rPr>
          <w:rFonts w:ascii="黑体" w:eastAsia="黑体" w:hAnsi="黑体" w:cs="TimesNewRoman" w:hint="eastAsia"/>
          <w:sz w:val="32"/>
          <w:szCs w:val="32"/>
          <w:lang w:val="en-US" w:eastAsia="zh-CN"/>
        </w:rPr>
        <w:t xml:space="preserve"> </w:t>
      </w:r>
      <w:r>
        <w:rPr>
          <w:rFonts w:ascii="黑体" w:eastAsia="黑体" w:hAnsi="黑体" w:cs="TimesNewRoman" w:hint="eastAsia"/>
          <w:sz w:val="32"/>
          <w:szCs w:val="32"/>
          <w:u w:val="single"/>
          <w:lang w:eastAsia="zh-CN"/>
        </w:rPr>
        <w:t>三觉镇中心卫生院瓦房分院</w:t>
      </w:r>
      <w:r>
        <w:rPr>
          <w:rFonts w:ascii="黑体" w:eastAsia="黑体" w:hAnsi="黑体" w:cs="TimesNewRoman"/>
          <w:sz w:val="32"/>
          <w:szCs w:val="32"/>
        </w:rPr>
        <w:t>概况</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1.主要</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职责</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2.部门预算构成</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hint="eastAsia"/>
          <w:bCs/>
          <w:sz w:val="32"/>
          <w:szCs w:val="32"/>
        </w:rPr>
      </w:pPr>
      <w:r>
        <w:rPr>
          <w:rFonts w:ascii="仿宋_GB2312" w:eastAsia="仿宋_GB2312" w:hAnsi="TimesNewRoman" w:cs="TimesNewRoman" w:hint="eastAsia"/>
          <w:bCs/>
          <w:sz w:val="32"/>
          <w:szCs w:val="32"/>
        </w:rPr>
        <w:t>3.2024年度主要工作任务</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第二部分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eastAsia="zh-CN"/>
        </w:rPr>
        <w:t>三觉镇中心卫生院瓦房分院</w:t>
      </w:r>
      <w:r>
        <w:rPr>
          <w:rFonts w:ascii="黑体" w:eastAsia="黑体" w:hAnsi="黑体" w:cs="TimesNewRoman"/>
          <w:sz w:val="32"/>
          <w:szCs w:val="32"/>
        </w:rPr>
        <w:t>预算表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w:t>
      </w:r>
      <w:r>
        <w:rPr>
          <w:rFonts w:ascii="仿宋_GB2312" w:eastAsia="仿宋_GB2312" w:hAnsi="TimesNewRoman" w:cs="TimesNewRoman" w:hint="eastAsia"/>
          <w:bCs/>
          <w:sz w:val="32"/>
          <w:szCs w:val="32"/>
        </w:rPr>
        <w:t>寿县</w:t>
      </w:r>
      <w:r>
        <w:rPr>
          <w:rFonts w:ascii="仿宋_GB2312" w:eastAsia="仿宋_GB2312" w:hAnsi="TimesNewRoman" w:cs="TimesNewRoman" w:hint="eastAsia"/>
          <w:bCs/>
          <w:sz w:val="32"/>
          <w:szCs w:val="32"/>
          <w:lang w:eastAsia="zh-CN"/>
        </w:rPr>
        <w:t>三觉镇中心卫生院瓦房分院</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第三部分 </w:t>
      </w:r>
      <w:r>
        <w:rPr>
          <w:rFonts w:ascii="黑体" w:eastAsia="黑体" w:hAnsi="黑体" w:cs="TimesNewRoman" w:hint="eastAsia"/>
          <w:sz w:val="32"/>
          <w:szCs w:val="32"/>
        </w:rPr>
        <w:t>2024</w:t>
      </w:r>
      <w:r>
        <w:rPr>
          <w:rFonts w:ascii="黑体" w:eastAsia="黑体" w:hAnsi="黑体" w:cs="TimesNewRoman"/>
          <w:sz w:val="32"/>
          <w:szCs w:val="32"/>
        </w:rPr>
        <w:t>年</w:t>
      </w:r>
      <w:r>
        <w:rPr>
          <w:rFonts w:ascii="黑体" w:eastAsia="黑体" w:hAnsi="黑体" w:cs="TimesNewRoman" w:hint="eastAsia"/>
          <w:sz w:val="32"/>
          <w:szCs w:val="32"/>
          <w:lang w:eastAsia="zh-CN"/>
        </w:rPr>
        <w:t>三觉镇中心卫生院瓦房分院</w:t>
      </w:r>
      <w:r>
        <w:rPr>
          <w:rFonts w:ascii="黑体" w:eastAsia="黑体" w:hAnsi="黑体" w:cs="TimesNewRoman"/>
          <w:sz w:val="32"/>
          <w:szCs w:val="32"/>
        </w:rPr>
        <w:t>预算情况说明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年收入总表的说明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年支出总表的说明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年财政拨款收支总表的说明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年一般公共预算基本支出表的说明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年政府性基金预算支出表的说明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年国有资本经营预算支出表的说明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年项目支出表的说明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年政府采购支出表的说明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2024</w:t>
      </w:r>
      <w:r>
        <w:rPr>
          <w:rFonts w:ascii="仿宋_GB2312" w:eastAsia="仿宋_GB2312" w:hAnsi="TimesNewRoman" w:cs="TimesNewRoman"/>
          <w:bCs/>
          <w:sz w:val="32"/>
          <w:szCs w:val="32"/>
        </w:rPr>
        <w:t>年政府购买服务支出表的说明</w:t>
      </w:r>
    </w:p>
    <w:p>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12.其他重要事项情况说明</w:t>
      </w:r>
    </w:p>
    <w:p>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第四部分 名词解释</w:t>
      </w: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ind w:firstLine="200"/>
        <w:jc w:val="both"/>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第一部分 </w:t>
      </w:r>
      <w:r>
        <w:rPr>
          <w:rFonts w:ascii="TimesNewRoman" w:eastAsia="黑体" w:hAnsi="TimesNewRoman" w:cs="TimesNewRoman" w:hint="eastAsia"/>
          <w:bCs/>
          <w:sz w:val="36"/>
          <w:szCs w:val="36"/>
          <w:u w:val="single"/>
          <w:lang w:eastAsia="zh-CN"/>
        </w:rPr>
        <w:t>三觉镇中心卫生院瓦房分院</w:t>
      </w:r>
      <w:r>
        <w:rPr>
          <w:rFonts w:ascii="TimesNewRoman" w:eastAsia="黑体" w:hAnsi="TimesNewRoman" w:cs="TimesNewRoman"/>
          <w:bCs/>
          <w:sz w:val="36"/>
          <w:szCs w:val="36"/>
        </w:rPr>
        <w:t>概况</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一、主要职责</w:t>
      </w:r>
    </w:p>
    <w:p>
      <w:pPr>
        <w:pStyle w:val="NormalWeb"/>
        <w:adjustRightInd w:val="0"/>
        <w:snapToGrid w:val="0"/>
        <w:spacing w:before="0" w:beforeAutospacing="0" w:after="0" w:afterAutospacing="0" w:line="360" w:lineRule="auto"/>
        <w:ind w:firstLine="320" w:firstLineChars="100"/>
        <w:jc w:val="both"/>
      </w:pPr>
      <w:r>
        <w:rPr>
          <w:rFonts w:ascii="TimesNewRoman" w:eastAsia="仿宋_GB2312" w:hAnsi="TimesNewRoman" w:cs="TimesNewRoman"/>
          <w:bCs/>
          <w:sz w:val="32"/>
          <w:szCs w:val="32"/>
        </w:rPr>
        <w:t>（一）</w:t>
      </w:r>
      <w:r>
        <w:rPr>
          <w:rFonts w:hint="eastAsia"/>
        </w:rPr>
        <w:t>寿县</w:t>
      </w:r>
      <w:r>
        <w:rPr>
          <w:rFonts w:hint="eastAsia"/>
          <w:lang w:eastAsia="zh-CN"/>
        </w:rPr>
        <w:t>三觉中心卫生院瓦房分院</w:t>
      </w:r>
      <w:r>
        <w:rPr>
          <w:rFonts w:hint="eastAsia"/>
        </w:rPr>
        <w:t>是</w:t>
      </w:r>
      <w:r>
        <w:t>乡镇卫生院</w:t>
      </w:r>
      <w:r>
        <w:rPr>
          <w:rFonts w:hint="eastAsia"/>
        </w:rPr>
        <w:t>，</w:t>
      </w:r>
      <w:r>
        <w:t>是县或乡设立的一种卫生行政兼医疗预防工作的综合性机构，其任务是负责所在地区内医疗卫生工作，组织领导群众卫生运动，培训卫生技术人员。并对基层卫生医疗机构进行业务指导和会诊工作。是农村三级医疗网点的重要环节，担负着医疗防疫，保健的重要任务，是直接解决农村看病难看病贵的重要一关。</w:t>
      </w:r>
    </w:p>
    <w:p>
      <w:pPr>
        <w:pStyle w:val="NormalWeb"/>
        <w:numPr>
          <w:ilvl w:val="0"/>
          <w:numId w:val="1"/>
        </w:numPr>
        <w:adjustRightInd w:val="0"/>
        <w:snapToGrid w:val="0"/>
        <w:spacing w:before="0" w:beforeAutospacing="0" w:after="0" w:afterAutospacing="0" w:line="360" w:lineRule="auto"/>
        <w:ind w:firstLine="470" w:firstLineChars="196"/>
        <w:jc w:val="both"/>
      </w:pPr>
      <w:r>
        <w:t>提供公共卫生服务</w:t>
      </w:r>
      <w:r>
        <w:br/>
      </w:r>
      <w:r>
        <w:t>1.承担本镇农村居民健康档案规范建档指导、管理及服务。</w:t>
      </w:r>
      <w:r>
        <w:br/>
      </w:r>
      <w:r>
        <w:t>2.普及卫生保健常识，在重点人群和重点场所开展健康教育,帮助居民形成有利于维护和增进健康的行为方式;指导开展爱国卫生工作。</w:t>
      </w:r>
      <w:r>
        <w:br/>
      </w:r>
      <w:r>
        <w:t>3.提供并组织实施本镇预防接种服务，落实国家免疫规划。</w:t>
      </w:r>
    </w:p>
    <w:p>
      <w:pPr>
        <w:pStyle w:val="NormalWeb"/>
        <w:numPr>
          <w:ilvl w:val="0"/>
          <w:numId w:val="2"/>
        </w:numPr>
        <w:adjustRightInd w:val="0"/>
        <w:snapToGrid w:val="0"/>
        <w:spacing w:before="0" w:beforeAutospacing="0" w:after="0" w:afterAutospacing="0" w:line="360" w:lineRule="auto"/>
        <w:jc w:val="both"/>
      </w:pPr>
      <w:r>
        <w:t>及时发现、登记并报告本镇内发现的传染病病例和疑似病例,参与现场疫情处理。</w:t>
      </w:r>
      <w:r>
        <w:br/>
      </w:r>
      <w:r>
        <w:t>5.开展新生儿访视及儿童保健系统管理,进行体格检查和生长发育监测及评价，开展健康指导。</w:t>
      </w:r>
      <w:r>
        <w:br/>
      </w:r>
      <w:r>
        <w:t>6.开展孕产妇保健系统管理和产后访视,进行一般体格检查及孕期营养、心理等健康指导。</w:t>
      </w:r>
      <w:r>
        <w:br/>
      </w:r>
      <w:r>
        <w:t>7.对本镇65岁及以上老年人进行登记管理,进行健康危险因素调查和一般体格检查，开展健康指导。</w:t>
      </w:r>
      <w:r>
        <w:br/>
      </w:r>
      <w:r>
        <w:t>8.对高血压、糖尿病等慢性病高危人群进行指导,对确诊高血压、糖尿病等慢性病病例进行登记管理、定期随访和健康指导。</w:t>
      </w:r>
      <w:r>
        <w:br/>
      </w:r>
      <w:r>
        <w:t>9.对本镇重性精神疾病患者进行登记管理、治疗随访和康复指导。</w:t>
      </w:r>
      <w:r>
        <w:br/>
      </w:r>
      <w:r>
        <w:t>10.负责本镇内突发公共卫生事件的报告并协助处理。</w:t>
      </w:r>
      <w:r>
        <w:br/>
      </w:r>
      <w:r>
        <w:t>11. 做好卫生行政部门规定的其他公共卫生服务。</w:t>
      </w:r>
    </w:p>
    <w:p>
      <w:pPr>
        <w:pStyle w:val="NormalWeb"/>
        <w:adjustRightInd w:val="0"/>
        <w:snapToGrid w:val="0"/>
        <w:spacing w:before="0" w:beforeAutospacing="0" w:after="0" w:afterAutospacing="0" w:line="360" w:lineRule="auto"/>
        <w:jc w:val="both"/>
      </w:pPr>
      <w:r>
        <w:t>二、提供基本医疗服务</w:t>
      </w:r>
      <w:r>
        <w:br/>
      </w:r>
      <w:r>
        <w:t>1.使用农村适宜医疗技术和中医药技术，正确处理常见病、多发病，对疑难重症进行恰当的处理并转诊。承担乡村现场应急救护、转诊服务和康复服务。</w:t>
      </w:r>
      <w:r>
        <w:br/>
      </w:r>
      <w:r>
        <w:rPr>
          <w:rFonts w:hint="eastAsia"/>
        </w:rPr>
        <w:t>2</w:t>
      </w:r>
      <w:r>
        <w:t>.健全消毒、隔离制度,遵守无菌操作规程,加强医疗质量管理。做好医疗废物处理和污水、污物无害化处理。</w:t>
      </w:r>
      <w:r>
        <w:br/>
      </w:r>
      <w:r>
        <w:rPr>
          <w:rFonts w:hint="eastAsia"/>
        </w:rPr>
        <w:t>3</w:t>
      </w:r>
      <w:r>
        <w:t>.执行国家基本药物制度药品集中采购、零差率销售等政策,为实施一体化管理的村卫生室统一</w:t>
      </w:r>
      <w:r>
        <w:rPr>
          <w:rFonts w:hint="eastAsia"/>
        </w:rPr>
        <w:t>网采</w:t>
      </w:r>
      <w:r>
        <w:t>药品。</w:t>
      </w:r>
      <w:r>
        <w:br/>
      </w:r>
      <w:r>
        <w:t>三、承担公共卫生管理</w:t>
      </w:r>
      <w:r>
        <w:br/>
      </w:r>
      <w:r>
        <w:t>1.对本镇内传染病防治、学校卫生、食品卫生、饮水卫生、职业卫生，以及村级预防保健工作进行指导、培训、考核与监督。</w:t>
      </w:r>
      <w:r>
        <w:br/>
      </w:r>
      <w:r>
        <w:t>2.严格执行</w:t>
      </w:r>
      <w:r>
        <w:rPr>
          <w:rFonts w:hint="eastAsia"/>
        </w:rPr>
        <w:t>居民医保</w:t>
      </w:r>
      <w:r>
        <w:t>政策规定，履行定点医疗机构职责，做好有关的政策宣传、监督及服务工作。</w:t>
      </w:r>
    </w:p>
    <w:p>
      <w:pPr>
        <w:pStyle w:val="NormalWeb"/>
        <w:adjustRightInd w:val="0"/>
        <w:snapToGrid w:val="0"/>
        <w:spacing w:before="0" w:beforeAutospacing="0" w:after="0" w:afterAutospacing="0" w:line="360" w:lineRule="auto"/>
        <w:jc w:val="both"/>
      </w:pPr>
      <w:r>
        <w:t>3.深入推进乡村卫生服务一体化管理，对村卫生室实行以行政、人员、业务、药品、财产为基本内容的“五统一”规范管理;负责村卫生室的技术指导和乡村医生培训等工作。</w:t>
      </w:r>
    </w:p>
    <w:p>
      <w:pPr>
        <w:pStyle w:val="NormalWeb"/>
        <w:adjustRightInd w:val="0"/>
        <w:snapToGrid w:val="0"/>
        <w:spacing w:before="0" w:beforeAutospacing="0" w:after="0" w:afterAutospacing="0" w:line="360" w:lineRule="auto"/>
        <w:jc w:val="both"/>
        <w:rPr>
          <w:rFonts w:hint="eastAsia"/>
        </w:rPr>
      </w:pPr>
      <w:r>
        <w:t>四、卫生行政管理.</w:t>
      </w:r>
      <w:r>
        <w:br/>
      </w:r>
      <w:r>
        <w:t>1.在当地政府和上级卫生行政部门领导下，依据当地社会经济发展规划，协助制定和实施社区的初级卫生规划。</w:t>
      </w:r>
      <w:r>
        <w:br/>
      </w:r>
      <w:r>
        <w:t>2.配合有关部门动员组织群众开展爱国卫生活动，逐步改善本镇卫生状况。</w:t>
      </w:r>
      <w:r>
        <w:br/>
      </w:r>
      <w:r>
        <w:t>3.贯彻执行国家各种卫生法规,对本镇内有关行业实行监督管理。4.负责本镇内村级卫生服务站的管理和培训工作。</w:t>
      </w:r>
    </w:p>
    <w:p>
      <w:pPr>
        <w:pStyle w:val="NormalWeb"/>
        <w:topLinePunct/>
        <w:adjustRightInd w:val="0"/>
        <w:snapToGrid w:val="0"/>
        <w:spacing w:beforeAutospacing="0" w:afterAutospacing="0" w:line="580" w:lineRule="exact"/>
        <w:ind w:firstLine="640" w:firstLineChars="200"/>
        <w:jc w:val="both"/>
        <w:rPr>
          <w:rFonts w:ascii="TimesNewRoman" w:eastAsia="黑体" w:hAnsi="TimesNewRoman" w:cs="TimesNewRoman"/>
          <w:bCs/>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Pr>
          <w:rFonts w:ascii="楷体_GB2312" w:eastAsia="楷体_GB2312" w:hAnsi="TimesNewRoman" w:cs="TimesNewRoman"/>
          <w:b/>
          <w:bCs/>
          <w:sz w:val="32"/>
          <w:szCs w:val="32"/>
        </w:rPr>
        <w:t>单位预算构成</w:t>
      </w:r>
    </w:p>
    <w:p>
      <w:pPr>
        <w:pStyle w:val="NormalWeb"/>
        <w:adjustRightInd w:val="0"/>
        <w:snapToGrid w:val="0"/>
        <w:spacing w:before="0" w:beforeAutospacing="0" w:after="0" w:afterAutospacing="0" w:line="360" w:lineRule="auto"/>
        <w:ind w:firstLine="627" w:firstLineChars="196"/>
        <w:jc w:val="both"/>
        <w:rPr>
          <w:rFonts w:ascii="仿宋" w:eastAsia="仿宋" w:hAnsi="仿宋" w:hint="eastAsia"/>
          <w:sz w:val="32"/>
          <w:szCs w:val="32"/>
        </w:rPr>
      </w:pPr>
      <w:r>
        <w:rPr>
          <w:rFonts w:ascii="仿宋_GB2312" w:eastAsia="仿宋_GB2312" w:hAnsi="TimesNewRoman" w:cs="TimesNewRoman" w:hint="eastAsia"/>
          <w:sz w:val="32"/>
          <w:szCs w:val="32"/>
        </w:rPr>
        <w:t>从预算单位构成看，</w:t>
      </w:r>
      <w:r>
        <w:rPr>
          <w:rFonts w:ascii="仿宋" w:eastAsia="仿宋" w:hAnsi="仿宋" w:cs="仿宋" w:hint="eastAsia"/>
          <w:bCs/>
          <w:sz w:val="32"/>
          <w:szCs w:val="32"/>
        </w:rPr>
        <w:t>寿县</w:t>
      </w:r>
      <w:r>
        <w:rPr>
          <w:rFonts w:ascii="仿宋" w:eastAsia="仿宋" w:hAnsi="仿宋" w:cs="仿宋" w:hint="eastAsia"/>
          <w:bCs/>
          <w:sz w:val="32"/>
          <w:szCs w:val="32"/>
          <w:lang w:eastAsia="zh-CN"/>
        </w:rPr>
        <w:t>三觉镇中心卫生院瓦房分院</w:t>
      </w:r>
      <w:r>
        <w:rPr>
          <w:rFonts w:ascii="仿宋" w:eastAsia="仿宋" w:hAnsi="仿宋" w:cs="仿宋" w:hint="eastAsia"/>
          <w:bCs/>
          <w:sz w:val="32"/>
          <w:szCs w:val="32"/>
        </w:rPr>
        <w:t>卫</w:t>
      </w:r>
      <w:r>
        <w:rPr>
          <w:rFonts w:ascii="仿宋" w:eastAsia="仿宋" w:hAnsi="仿宋" w:hint="eastAsia"/>
          <w:sz w:val="32"/>
          <w:szCs w:val="32"/>
        </w:rPr>
        <w:t>2021年度部门预算为本级预算，</w:t>
      </w:r>
      <w:r>
        <w:rPr>
          <w:rFonts w:ascii="仿宋_GB2312" w:eastAsia="仿宋_GB2312" w:hAnsi="TimesNewRoman" w:cs="TimesNewRoman" w:hint="eastAsia"/>
          <w:sz w:val="32"/>
          <w:szCs w:val="32"/>
        </w:rPr>
        <w:t>无其他下属单位预算</w:t>
      </w:r>
      <w:r>
        <w:rPr>
          <w:rFonts w:ascii="仿宋" w:eastAsia="仿宋" w:hAnsi="仿宋" w:hint="eastAsia"/>
          <w:sz w:val="32"/>
          <w:szCs w:val="32"/>
        </w:rPr>
        <w:t>。纳入部门预算编制范围的单位共1个，具体情况见下表。</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p>
    <w:tbl>
      <w:tblPr>
        <w:tblStyle w:val="TableNormal"/>
        <w:tblW w:w="9108" w:type="dxa"/>
        <w:tblInd w:w="108" w:type="dxa"/>
        <w:tblLayout w:type="fixed"/>
        <w:tblCellMar>
          <w:top w:w="0" w:type="dxa"/>
          <w:left w:w="0" w:type="dxa"/>
          <w:bottom w:w="0" w:type="dxa"/>
          <w:right w:w="0" w:type="dxa"/>
        </w:tblCellMar>
      </w:tblPr>
      <w:tblGrid>
        <w:gridCol w:w="911"/>
        <w:gridCol w:w="3643"/>
        <w:gridCol w:w="4554"/>
      </w:tblGrid>
      <w:tr>
        <w:tblPrEx>
          <w:tblW w:w="9108" w:type="dxa"/>
          <w:tblInd w:w="108" w:type="dxa"/>
          <w:tblLayout w:type="fixed"/>
          <w:tblCellMar>
            <w:top w:w="0" w:type="dxa"/>
            <w:left w:w="0" w:type="dxa"/>
            <w:bottom w:w="0" w:type="dxa"/>
            <w:right w:w="0" w:type="dxa"/>
          </w:tblCellMar>
        </w:tblPrEx>
        <w:trPr>
          <w:trHeight w:val="400"/>
        </w:trPr>
        <w:tc>
          <w:tcPr>
            <w:tcW w:w="911" w:type="dxa"/>
            <w:tcBorders>
              <w:top w:val="single" w:sz="8" w:space="0" w:color="auto"/>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序号</w:t>
            </w:r>
          </w:p>
        </w:tc>
        <w:tc>
          <w:tcPr>
            <w:tcW w:w="3643" w:type="dxa"/>
            <w:tcBorders>
              <w:top w:val="single" w:sz="8" w:space="0" w:color="auto"/>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单位名称</w:t>
            </w:r>
          </w:p>
        </w:tc>
        <w:tc>
          <w:tcPr>
            <w:tcW w:w="4554" w:type="dxa"/>
            <w:tcBorders>
              <w:top w:val="single" w:sz="8" w:space="0" w:color="auto"/>
              <w:left w:val="nil"/>
              <w:bottom w:val="single" w:sz="8" w:space="0" w:color="auto"/>
              <w:right w:val="single" w:sz="8" w:space="0" w:color="auto"/>
            </w:tcBorders>
            <w:shd w:val="clear" w:color="auto" w:fill="FFFFFF"/>
            <w:noWrap w:val="0"/>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单位性质</w:t>
            </w:r>
          </w:p>
        </w:tc>
      </w:tr>
      <w:tr>
        <w:tblPrEx>
          <w:tblW w:w="9108" w:type="dxa"/>
          <w:tblInd w:w="108" w:type="dxa"/>
          <w:tblLayout w:type="fixed"/>
          <w:tblCellMar>
            <w:top w:w="0" w:type="dxa"/>
            <w:left w:w="0" w:type="dxa"/>
            <w:bottom w:w="0" w:type="dxa"/>
            <w:right w:w="0" w:type="dxa"/>
          </w:tblCellMar>
        </w:tblPrEx>
        <w:trPr>
          <w:trHeight w:val="400"/>
        </w:trPr>
        <w:tc>
          <w:tcPr>
            <w:tcW w:w="911" w:type="dxa"/>
            <w:tcBorders>
              <w:top w:val="nil"/>
              <w:left w:val="single" w:sz="8" w:space="0" w:color="auto"/>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20" w:lineRule="exact"/>
              <w:jc w:val="center"/>
              <w:rPr>
                <w:rFonts w:ascii="TimesNewRoman" w:hAnsi="TimesNewRoman" w:cs="TimesNewRoman"/>
                <w:szCs w:val="21"/>
              </w:rPr>
            </w:pPr>
            <w:r>
              <w:rPr>
                <w:rFonts w:ascii="TimesNewRoman" w:hAnsi="TimesNewRoman" w:cs="TimesNewRoman"/>
                <w:szCs w:val="21"/>
              </w:rPr>
              <w:t>1</w:t>
            </w:r>
          </w:p>
        </w:tc>
        <w:tc>
          <w:tcPr>
            <w:tcW w:w="3643" w:type="dxa"/>
            <w:tcBorders>
              <w:top w:val="nil"/>
              <w:left w:val="nil"/>
              <w:bottom w:val="single" w:sz="8" w:space="0" w:color="auto"/>
              <w:right w:val="single" w:sz="8" w:space="0" w:color="auto"/>
            </w:tcBorders>
            <w:shd w:val="clear" w:color="auto" w:fill="FFFFFF"/>
            <w:noWrap w:val="0"/>
            <w:tcMar>
              <w:top w:w="0" w:type="dxa"/>
              <w:left w:w="108" w:type="dxa"/>
              <w:bottom w:w="0" w:type="dxa"/>
              <w:right w:w="108" w:type="dxa"/>
            </w:tcMar>
            <w:vAlign w:val="center"/>
          </w:tcPr>
          <w:p>
            <w:pPr>
              <w:adjustRightInd w:val="0"/>
              <w:snapToGrid w:val="0"/>
              <w:spacing w:line="360" w:lineRule="auto"/>
              <w:rPr>
                <w:rFonts w:ascii="TimesNewRoman" w:hAnsi="TimesNewRoman" w:cs="TimesNewRoman"/>
                <w:szCs w:val="21"/>
                <w:u w:val="single"/>
              </w:rPr>
            </w:pPr>
            <w:r>
              <w:rPr>
                <w:rFonts w:ascii="仿宋_GB2312" w:eastAsia="仿宋_GB2312" w:hAnsi="仿宋" w:cs="仿宋" w:hint="eastAsia"/>
                <w:bCs/>
                <w:sz w:val="24"/>
              </w:rPr>
              <w:t>寿县</w:t>
            </w:r>
            <w:r>
              <w:rPr>
                <w:rFonts w:ascii="仿宋_GB2312" w:eastAsia="仿宋_GB2312" w:hAnsi="仿宋" w:cs="仿宋" w:hint="eastAsia"/>
                <w:bCs/>
                <w:sz w:val="24"/>
                <w:lang w:eastAsia="zh-CN"/>
              </w:rPr>
              <w:t>三觉镇中心卫生院瓦房分院</w:t>
            </w:r>
          </w:p>
        </w:tc>
        <w:tc>
          <w:tcPr>
            <w:tcW w:w="4554" w:type="dxa"/>
            <w:tcBorders>
              <w:top w:val="nil"/>
              <w:left w:val="nil"/>
              <w:bottom w:val="single" w:sz="8" w:space="0" w:color="auto"/>
              <w:right w:val="single" w:sz="8" w:space="0" w:color="auto"/>
            </w:tcBorders>
            <w:shd w:val="clear" w:color="auto" w:fill="FFFFFF"/>
            <w:noWrap w:val="0"/>
            <w:vAlign w:val="top"/>
          </w:tcPr>
          <w:p>
            <w:pPr>
              <w:adjustRightInd w:val="0"/>
              <w:snapToGrid w:val="0"/>
              <w:spacing w:line="360" w:lineRule="auto"/>
              <w:rPr>
                <w:rFonts w:ascii="TimesNewRoman" w:hAnsi="TimesNewRoman" w:cs="TimesNewRoman"/>
                <w:szCs w:val="21"/>
                <w:u w:val="single"/>
              </w:rPr>
            </w:pPr>
            <w:r>
              <w:rPr>
                <w:rFonts w:ascii="仿宋_GB2312" w:eastAsia="仿宋_GB2312" w:hAnsi="宋体" w:hint="eastAsia"/>
                <w:sz w:val="24"/>
                <w:u w:val="single"/>
              </w:rPr>
              <w:t>暂划分为事业单位</w:t>
            </w:r>
          </w:p>
        </w:tc>
      </w:tr>
    </w:tbl>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bCs/>
          <w:sz w:val="32"/>
          <w:szCs w:val="32"/>
        </w:rPr>
      </w:pPr>
      <w:r>
        <w:rPr>
          <w:rFonts w:ascii="楷体_GB2312" w:eastAsia="楷体_GB2312" w:hAnsi="TimesNewRoman" w:cs="TimesNewRoman" w:hint="eastAsia"/>
          <w:b/>
          <w:bCs/>
          <w:sz w:val="32"/>
          <w:szCs w:val="32"/>
        </w:rPr>
        <w:t>三、2024年度主要工作任务</w:t>
      </w:r>
    </w:p>
    <w:p>
      <w:pPr>
        <w:pStyle w:val="NormalWeb"/>
        <w:adjustRightInd w:val="0"/>
        <w:snapToGrid w:val="0"/>
        <w:spacing w:before="0" w:beforeAutospacing="0" w:after="0" w:afterAutospacing="0" w:line="360" w:lineRule="auto"/>
        <w:ind w:firstLine="627" w:firstLineChars="196"/>
        <w:jc w:val="both"/>
        <w:rPr>
          <w:rFonts w:ascii="黑体" w:eastAsia="仿宋_GB2312" w:hAnsi="黑体" w:hint="eastAsia"/>
          <w:bCs/>
          <w:sz w:val="32"/>
          <w:szCs w:val="32"/>
        </w:rPr>
      </w:pPr>
      <w:r>
        <w:rPr>
          <w:rFonts w:ascii="仿宋_GB2312" w:eastAsia="仿宋_GB2312" w:hAnsi="黑体" w:hint="eastAsia"/>
          <w:bCs/>
          <w:sz w:val="32"/>
          <w:szCs w:val="32"/>
        </w:rPr>
        <w:t>（一）提供基本医疗服务</w:t>
      </w:r>
    </w:p>
    <w:p>
      <w:pPr>
        <w:pStyle w:val="NormalWeb"/>
        <w:adjustRightInd w:val="0"/>
        <w:snapToGrid w:val="0"/>
        <w:spacing w:before="0" w:beforeAutospacing="0" w:after="0" w:afterAutospacing="0" w:line="360" w:lineRule="auto"/>
        <w:ind w:firstLine="627" w:firstLineChars="196"/>
        <w:jc w:val="both"/>
        <w:rPr>
          <w:rFonts w:ascii="仿宋_GB2312" w:eastAsia="仿宋_GB2312" w:hAnsi="黑体" w:hint="eastAsia"/>
          <w:bCs/>
          <w:sz w:val="32"/>
          <w:szCs w:val="32"/>
        </w:rPr>
      </w:pPr>
      <w:r>
        <w:rPr>
          <w:rFonts w:ascii="仿宋_GB2312" w:eastAsia="仿宋_GB2312" w:hAnsi="黑体" w:hint="eastAsia"/>
          <w:bCs/>
          <w:sz w:val="32"/>
          <w:szCs w:val="32"/>
        </w:rPr>
        <w:t>（二）承担公共卫生管理服务</w:t>
      </w:r>
    </w:p>
    <w:p>
      <w:pPr>
        <w:pStyle w:val="NormalWeb"/>
        <w:adjustRightInd w:val="0"/>
        <w:snapToGrid w:val="0"/>
        <w:spacing w:before="0" w:beforeAutospacing="0" w:after="0" w:afterAutospacing="0" w:line="360" w:lineRule="auto"/>
        <w:jc w:val="both"/>
        <w:rPr>
          <w:rFonts w:ascii="TimesNewRoman" w:eastAsia="黑体" w:hAnsi="TimesNewRoman" w:cs="TimesNewRoman"/>
          <w:bCs/>
          <w:sz w:val="36"/>
          <w:szCs w:val="36"/>
        </w:rPr>
      </w:pPr>
      <w:r>
        <w:rPr>
          <w:rFonts w:ascii="仿宋_GB2312" w:eastAsia="仿宋_GB2312" w:hAnsi="黑体" w:hint="eastAsia"/>
          <w:bCs/>
          <w:sz w:val="32"/>
          <w:szCs w:val="32"/>
        </w:rPr>
        <w:t xml:space="preserve">    （三）本级应承担的卫生行政管理工作</w:t>
      </w:r>
    </w:p>
    <w:p>
      <w:pPr>
        <w:pStyle w:val="NormalWeb"/>
        <w:adjustRightInd w:val="0"/>
        <w:snapToGrid w:val="0"/>
        <w:spacing w:line="560" w:lineRule="exact"/>
        <w:rPr>
          <w:rFonts w:ascii="TimesNewRoman" w:eastAsia="黑体" w:hAnsi="TimesNewRoman" w:cs="TimesNewRoman"/>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第二部分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年单位预算表</w:t>
      </w:r>
    </w:p>
    <w:p>
      <w:pPr>
        <w:spacing w:line="560" w:lineRule="exact"/>
        <w:ind w:firstLine="6600" w:firstLineChars="3300"/>
        <w:jc w:val="left"/>
        <w:rPr>
          <w:rFonts w:ascii="TimesNewRoman" w:hAnsi="TimesNewRoman" w:cs="TimesNewRoman" w:hint="eastAsia"/>
          <w:kern w:val="0"/>
          <w:sz w:val="20"/>
        </w:rPr>
      </w:pPr>
      <w:r>
        <w:rPr>
          <w:rFonts w:ascii="TimesNewRoman" w:hAnsi="TimesNewRoman" w:cs="TimesNewRoman"/>
          <w:kern w:val="0"/>
          <w:sz w:val="20"/>
        </w:rPr>
        <w:t>部门</w:t>
      </w:r>
      <w:r>
        <w:rPr>
          <w:rFonts w:ascii="TimesNewRoman" w:hAnsi="TimesNewRoman" w:cs="TimesNewRoman"/>
          <w:kern w:val="0"/>
          <w:sz w:val="20"/>
          <w:u w:val="single"/>
        </w:rPr>
        <w:t>（单位）</w:t>
      </w:r>
      <w:r>
        <w:rPr>
          <w:rFonts w:ascii="TimesNewRoman" w:hAnsi="TimesNewRoman" w:cs="TimesNewRoman"/>
          <w:kern w:val="0"/>
          <w:sz w:val="20"/>
        </w:rPr>
        <w:t>公开表1</w:t>
      </w:r>
    </w:p>
    <w:p>
      <w:pPr>
        <w:spacing w:line="560" w:lineRule="exact"/>
        <w:jc w:val="center"/>
        <w:rPr>
          <w:rFonts w:ascii="宋体" w:hAnsi="宋体" w:cs="TimesNewRoman"/>
          <w:kern w:val="0"/>
          <w:sz w:val="24"/>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三觉镇中心卫生院瓦房分院</w:t>
      </w:r>
      <w:r>
        <w:rPr>
          <w:rFonts w:ascii="宋体" w:hAnsi="宋体" w:cs="TimesNewRoman" w:hint="eastAsia"/>
          <w:b/>
          <w:bCs/>
          <w:kern w:val="0"/>
          <w:sz w:val="28"/>
          <w:szCs w:val="32"/>
        </w:rPr>
        <w:t>2024</w:t>
      </w:r>
      <w:r>
        <w:rPr>
          <w:rFonts w:ascii="宋体" w:hAnsi="宋体" w:cs="TimesNewRoman"/>
          <w:b/>
          <w:bCs/>
          <w:kern w:val="0"/>
          <w:sz w:val="28"/>
          <w:szCs w:val="32"/>
        </w:rPr>
        <w:t>年收支总表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20" w:type="dxa"/>
        <w:tblInd w:w="0" w:type="dxa"/>
        <w:tblLayout w:type="fixed"/>
        <w:tblCellMar>
          <w:top w:w="0" w:type="dxa"/>
          <w:left w:w="108" w:type="dxa"/>
          <w:bottom w:w="0" w:type="dxa"/>
          <w:right w:w="108" w:type="dxa"/>
        </w:tblCellMar>
      </w:tblPr>
      <w:tblGrid>
        <w:gridCol w:w="3728"/>
        <w:gridCol w:w="1089"/>
        <w:gridCol w:w="3470"/>
        <w:gridCol w:w="933"/>
      </w:tblGrid>
      <w:tr>
        <w:tblPrEx>
          <w:tblW w:w="9220" w:type="dxa"/>
          <w:tblInd w:w="0" w:type="dxa"/>
          <w:tblLayout w:type="fixed"/>
          <w:tblCellMar>
            <w:top w:w="0" w:type="dxa"/>
            <w:left w:w="108" w:type="dxa"/>
            <w:bottom w:w="0" w:type="dxa"/>
            <w:right w:w="108" w:type="dxa"/>
          </w:tblCellMar>
        </w:tblPrEx>
        <w:trPr>
          <w:trHeight w:val="12"/>
        </w:trPr>
        <w:tc>
          <w:tcPr>
            <w:tcW w:w="4817"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 xml:space="preserve">          收            入             </w:t>
            </w:r>
          </w:p>
        </w:tc>
        <w:tc>
          <w:tcPr>
            <w:tcW w:w="4402" w:type="dxa"/>
            <w:gridSpan w:val="2"/>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          出</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收 入 项 目</w:t>
            </w:r>
          </w:p>
        </w:tc>
        <w:tc>
          <w:tcPr>
            <w:tcW w:w="1089"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支出功能分类科目</w:t>
            </w:r>
          </w:p>
        </w:tc>
        <w:tc>
          <w:tcPr>
            <w:tcW w:w="933"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预算数</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一、一般公共预算拨款收入</w:t>
            </w:r>
          </w:p>
        </w:tc>
        <w:tc>
          <w:tcPr>
            <w:tcW w:w="108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rPr>
                <w:rFonts w:ascii="TimesNewRoman" w:hAnsi="TimesNewRoman" w:cs="TimesNewRoman"/>
                <w:kern w:val="0"/>
                <w:sz w:val="18"/>
                <w:szCs w:val="18"/>
              </w:rPr>
            </w:pPr>
            <w:r>
              <w:rPr>
                <w:rFonts w:ascii="TimesNewRoman" w:hAnsi="TimesNewRoman" w:cs="TimesNewRoman"/>
                <w:kern w:val="0"/>
                <w:sz w:val="18"/>
                <w:szCs w:val="18"/>
              </w:rPr>
              <w:t>三、国有资本经营预算拨款收入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其中：中央转移支付收入</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22.09</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39.12</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四、财政专户管理资金收入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五、单位资金收入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其中：事业收入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933" w:type="dxa"/>
            <w:tcBorders>
              <w:top w:val="single" w:sz="4" w:space="0" w:color="auto"/>
              <w:left w:val="single" w:sz="4" w:space="0" w:color="auto"/>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事业单位经营收入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上级补助收入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附属单位上缴收入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其他收入</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933" w:type="dxa"/>
            <w:tcBorders>
              <w:top w:val="single" w:sz="4" w:space="0" w:color="auto"/>
              <w:left w:val="nil"/>
              <w:bottom w:val="nil"/>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2.69</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933"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nil"/>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089" w:type="dxa"/>
            <w:tcBorders>
              <w:top w:val="nil"/>
              <w:left w:val="single" w:sz="4" w:space="0" w:color="auto"/>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收  入  小  计</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kern w:val="0"/>
                <w:sz w:val="18"/>
                <w:szCs w:val="18"/>
              </w:rPr>
            </w:pPr>
            <w:r>
              <w:rPr>
                <w:rFonts w:ascii="TimesNewRoman" w:hAnsi="TimesNewRoman" w:cs="TimesNewRoman"/>
                <w:kern w:val="0"/>
                <w:sz w:val="18"/>
                <w:szCs w:val="18"/>
              </w:rPr>
              <w:t>本  年  支  出  小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kern w:val="0"/>
                <w:sz w:val="18"/>
                <w:szCs w:val="18"/>
              </w:rPr>
              <w:t>上年</w:t>
            </w:r>
            <w:r>
              <w:rPr>
                <w:rFonts w:ascii="TimesNewRoman" w:hAnsi="TimesNewRoman" w:cs="TimesNewRoman" w:hint="eastAsia"/>
                <w:kern w:val="0"/>
                <w:sz w:val="18"/>
                <w:szCs w:val="18"/>
              </w:rPr>
              <w:t>结转数</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eastAsia="仿宋_GB2312" w:hAnsi="TimesNewRoman" w:cs="TimesNewRoman" w:hint="eastAsia"/>
                <w:kern w:val="0"/>
                <w:sz w:val="18"/>
                <w:szCs w:val="18"/>
              </w:rPr>
            </w:pPr>
            <w:r>
              <w:rPr>
                <w:rFonts w:ascii="TimesNewRoman" w:hAnsi="TimesNewRoman" w:cs="TimesNewRoman" w:hint="eastAsia"/>
                <w:kern w:val="0"/>
                <w:sz w:val="18"/>
                <w:szCs w:val="18"/>
              </w:rPr>
              <w:t>结转下年</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一般公共预算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108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政府性基金预算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国有资本经营预算</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财政专户管理资金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单位资金</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20" w:type="dxa"/>
          <w:tblInd w:w="0" w:type="dxa"/>
          <w:tblLayout w:type="fixed"/>
          <w:tblCellMar>
            <w:top w:w="0" w:type="dxa"/>
            <w:left w:w="108" w:type="dxa"/>
            <w:bottom w:w="0" w:type="dxa"/>
            <w:right w:w="108" w:type="dxa"/>
          </w:tblCellMar>
        </w:tblPrEx>
        <w:trPr>
          <w:trHeight w:val="12"/>
        </w:trPr>
        <w:tc>
          <w:tcPr>
            <w:tcW w:w="3728" w:type="dxa"/>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089" w:type="dxa"/>
            <w:tcBorders>
              <w:top w:val="nil"/>
              <w:left w:val="nil"/>
              <w:bottom w:val="single" w:sz="4" w:space="0" w:color="auto"/>
              <w:right w:val="single" w:sz="4" w:space="0" w:color="auto"/>
            </w:tcBorders>
            <w:noWrap w:val="0"/>
            <w:vAlign w:val="bottom"/>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347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93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center"/>
        <w:rPr>
          <w:rFonts w:ascii="TimesNewRoman" w:hAnsi="TimesNewRoman" w:cs="TimesNewRoman"/>
          <w:kern w:val="0"/>
          <w:sz w:val="20"/>
        </w:rPr>
        <w:sectPr>
          <w:footerReference w:type="even" r:id="rId4"/>
          <w:footerReference w:type="default" r:id="rId5"/>
          <w:pgSz w:w="11907" w:h="16840"/>
          <w:pgMar w:top="2098" w:right="1474" w:bottom="1985" w:left="1588" w:header="851" w:footer="1021" w:gutter="0"/>
          <w:cols w:num="1" w:space="425"/>
          <w:titlePg/>
          <w:docGrid w:type="linesAndChars" w:linePitch="312" w:charSpace="0"/>
        </w:sect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公开表2</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三觉镇中心卫生院瓦房分院</w:t>
      </w:r>
      <w:r>
        <w:rPr>
          <w:rFonts w:ascii="宋体" w:hAnsi="宋体" w:cs="TimesNewRoman" w:hint="eastAsia"/>
          <w:b/>
          <w:bCs/>
          <w:kern w:val="0"/>
          <w:sz w:val="28"/>
          <w:szCs w:val="32"/>
        </w:rPr>
        <w:t>2024</w:t>
      </w:r>
      <w:r>
        <w:rPr>
          <w:rFonts w:ascii="宋体" w:hAnsi="宋体" w:cs="TimesNewRoman"/>
          <w:b/>
          <w:bCs/>
          <w:kern w:val="0"/>
          <w:sz w:val="28"/>
          <w:szCs w:val="32"/>
        </w:rPr>
        <w:t>年收入总表</w:t>
      </w:r>
    </w:p>
    <w:p>
      <w:pPr>
        <w:spacing w:line="560" w:lineRule="exact"/>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16" w:type="dxa"/>
        <w:tblInd w:w="-431" w:type="dxa"/>
        <w:tblLayout w:type="fixed"/>
        <w:tblCellMar>
          <w:top w:w="0" w:type="dxa"/>
          <w:left w:w="108" w:type="dxa"/>
          <w:bottom w:w="0" w:type="dxa"/>
          <w:right w:w="108" w:type="dxa"/>
        </w:tblCellMar>
      </w:tblPr>
      <w:tblGrid>
        <w:gridCol w:w="1519"/>
        <w:gridCol w:w="761"/>
        <w:gridCol w:w="715"/>
        <w:gridCol w:w="690"/>
        <w:gridCol w:w="676"/>
        <w:gridCol w:w="371"/>
        <w:gridCol w:w="660"/>
        <w:gridCol w:w="660"/>
        <w:gridCol w:w="660"/>
        <w:gridCol w:w="660"/>
        <w:gridCol w:w="660"/>
        <w:gridCol w:w="660"/>
        <w:gridCol w:w="665"/>
        <w:gridCol w:w="660"/>
        <w:gridCol w:w="660"/>
        <w:gridCol w:w="660"/>
        <w:gridCol w:w="660"/>
        <w:gridCol w:w="660"/>
        <w:gridCol w:w="1359"/>
      </w:tblGrid>
      <w:tr>
        <w:tblPrEx>
          <w:tblW w:w="14016" w:type="dxa"/>
          <w:tblInd w:w="-431" w:type="dxa"/>
          <w:tblLayout w:type="fixed"/>
          <w:tblCellMar>
            <w:top w:w="0" w:type="dxa"/>
            <w:left w:w="108" w:type="dxa"/>
            <w:bottom w:w="0" w:type="dxa"/>
            <w:right w:w="108" w:type="dxa"/>
          </w:tblCellMar>
        </w:tblPrEx>
        <w:trPr>
          <w:trHeight w:val="518"/>
        </w:trPr>
        <w:tc>
          <w:tcPr>
            <w:tcW w:w="1519"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部门（单位）名称</w:t>
            </w:r>
          </w:p>
        </w:tc>
        <w:tc>
          <w:tcPr>
            <w:tcW w:w="76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合计</w:t>
            </w:r>
          </w:p>
        </w:tc>
        <w:tc>
          <w:tcPr>
            <w:tcW w:w="7077" w:type="dxa"/>
            <w:gridSpan w:val="11"/>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本年收入</w:t>
            </w:r>
          </w:p>
        </w:tc>
        <w:tc>
          <w:tcPr>
            <w:tcW w:w="4659" w:type="dxa"/>
            <w:gridSpan w:val="6"/>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上年结转结余</w:t>
            </w:r>
          </w:p>
        </w:tc>
      </w:tr>
      <w:tr>
        <w:tblPrEx>
          <w:tblW w:w="14016" w:type="dxa"/>
          <w:tblInd w:w="-431" w:type="dxa"/>
          <w:tblLayout w:type="fixed"/>
          <w:tblCellMar>
            <w:top w:w="0" w:type="dxa"/>
            <w:left w:w="108" w:type="dxa"/>
            <w:bottom w:w="0" w:type="dxa"/>
            <w:right w:w="108" w:type="dxa"/>
          </w:tblCellMar>
        </w:tblPrEx>
        <w:trPr>
          <w:trHeight w:val="440"/>
        </w:trPr>
        <w:tc>
          <w:tcPr>
            <w:tcW w:w="1519"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76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b/>
                <w:kern w:val="0"/>
                <w:sz w:val="18"/>
                <w:szCs w:val="18"/>
              </w:rPr>
            </w:pPr>
          </w:p>
        </w:tc>
        <w:tc>
          <w:tcPr>
            <w:tcW w:w="715"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9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76"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371"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60" w:type="dxa"/>
            <w:vMerge w:val="restart"/>
            <w:tcBorders>
              <w:top w:val="nil"/>
              <w:left w:val="single" w:sz="4" w:space="0" w:color="auto"/>
              <w:bottom w:val="single" w:sz="4" w:space="0" w:color="000000"/>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3965" w:type="dxa"/>
            <w:gridSpan w:val="6"/>
            <w:tcBorders>
              <w:top w:val="single" w:sz="4" w:space="0" w:color="auto"/>
              <w:left w:val="nil"/>
              <w:bottom w:val="single" w:sz="4" w:space="0" w:color="auto"/>
              <w:right w:val="single" w:sz="4" w:space="0" w:color="000000"/>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c>
          <w:tcPr>
            <w:tcW w:w="66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6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一般公共预算</w:t>
            </w:r>
          </w:p>
        </w:tc>
        <w:tc>
          <w:tcPr>
            <w:tcW w:w="66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政府性基金预算</w:t>
            </w:r>
          </w:p>
        </w:tc>
        <w:tc>
          <w:tcPr>
            <w:tcW w:w="66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国有资本经营预算</w:t>
            </w:r>
          </w:p>
        </w:tc>
        <w:tc>
          <w:tcPr>
            <w:tcW w:w="660"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财政专户管理资金</w:t>
            </w:r>
          </w:p>
        </w:tc>
        <w:tc>
          <w:tcPr>
            <w:tcW w:w="1359" w:type="dxa"/>
            <w:vMerge w:val="restart"/>
            <w:tcBorders>
              <w:top w:val="nil"/>
              <w:left w:val="single" w:sz="4" w:space="0" w:color="auto"/>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单位资金</w:t>
            </w:r>
          </w:p>
        </w:tc>
      </w:tr>
      <w:tr>
        <w:tblPrEx>
          <w:tblW w:w="14016" w:type="dxa"/>
          <w:tblInd w:w="-431" w:type="dxa"/>
          <w:tblLayout w:type="fixed"/>
          <w:tblCellMar>
            <w:top w:w="0" w:type="dxa"/>
            <w:left w:w="108" w:type="dxa"/>
            <w:bottom w:w="0" w:type="dxa"/>
            <w:right w:w="108" w:type="dxa"/>
          </w:tblCellMar>
        </w:tblPrEx>
        <w:trPr>
          <w:trHeight w:val="2649"/>
        </w:trPr>
        <w:tc>
          <w:tcPr>
            <w:tcW w:w="1519"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76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715"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9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76"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371"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60" w:type="dxa"/>
            <w:vMerge/>
            <w:tcBorders>
              <w:top w:val="nil"/>
              <w:left w:val="single" w:sz="4" w:space="0" w:color="auto"/>
              <w:bottom w:val="single" w:sz="4" w:space="0" w:color="000000"/>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6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小计</w:t>
            </w:r>
          </w:p>
        </w:tc>
        <w:tc>
          <w:tcPr>
            <w:tcW w:w="66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     收入</w:t>
            </w:r>
          </w:p>
        </w:tc>
        <w:tc>
          <w:tcPr>
            <w:tcW w:w="660" w:type="dxa"/>
            <w:tcBorders>
              <w:top w:val="nil"/>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事业单位经营收入</w:t>
            </w:r>
          </w:p>
        </w:tc>
        <w:tc>
          <w:tcPr>
            <w:tcW w:w="660"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上级补助收入</w:t>
            </w:r>
          </w:p>
        </w:tc>
        <w:tc>
          <w:tcPr>
            <w:tcW w:w="660"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附属单位上缴收入</w:t>
            </w:r>
          </w:p>
        </w:tc>
        <w:tc>
          <w:tcPr>
            <w:tcW w:w="665" w:type="dxa"/>
            <w:tcBorders>
              <w:top w:val="nil"/>
              <w:left w:val="nil"/>
              <w:bottom w:val="nil"/>
              <w:right w:val="single" w:sz="4" w:space="0" w:color="auto"/>
            </w:tcBorders>
            <w:noWrap w:val="0"/>
            <w:vAlign w:val="center"/>
          </w:tcPr>
          <w:p>
            <w:pPr>
              <w:widowControl/>
              <w:spacing w:line="260" w:lineRule="exact"/>
              <w:jc w:val="center"/>
              <w:rPr>
                <w:rFonts w:ascii="TimesNewRoman" w:hAnsi="TimesNewRoman" w:cs="TimesNewRoman"/>
                <w:b/>
                <w:kern w:val="0"/>
                <w:sz w:val="18"/>
                <w:szCs w:val="18"/>
              </w:rPr>
            </w:pPr>
            <w:r>
              <w:rPr>
                <w:rFonts w:ascii="TimesNewRoman" w:hAnsi="TimesNewRoman" w:cs="TimesNewRoman"/>
                <w:b/>
                <w:kern w:val="0"/>
                <w:sz w:val="18"/>
                <w:szCs w:val="18"/>
              </w:rPr>
              <w:t>其他   收入</w:t>
            </w:r>
          </w:p>
        </w:tc>
        <w:tc>
          <w:tcPr>
            <w:tcW w:w="66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6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6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6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660"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1359" w:type="dxa"/>
            <w:vMerge/>
            <w:tcBorders>
              <w:top w:val="nil"/>
              <w:left w:val="single" w:sz="4" w:space="0" w:color="auto"/>
              <w:bottom w:val="nil"/>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r>
      <w:tr>
        <w:tblPrEx>
          <w:tblW w:w="14016" w:type="dxa"/>
          <w:tblInd w:w="-431" w:type="dxa"/>
          <w:tblLayout w:type="fixed"/>
          <w:tblCellMar>
            <w:top w:w="0" w:type="dxa"/>
            <w:left w:w="108" w:type="dxa"/>
            <w:bottom w:w="0" w:type="dxa"/>
            <w:right w:w="108" w:type="dxa"/>
          </w:tblCellMar>
        </w:tblPrEx>
        <w:trPr>
          <w:trHeight w:val="801"/>
        </w:trPr>
        <w:tc>
          <w:tcPr>
            <w:tcW w:w="151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r>
              <w:rPr>
                <w:rFonts w:ascii="宋体" w:hAnsi="宋体" w:cs="TimesNewRoman" w:hint="eastAsia"/>
                <w:b w:val="0"/>
                <w:bCs w:val="0"/>
                <w:kern w:val="0"/>
                <w:sz w:val="28"/>
                <w:szCs w:val="32"/>
                <w:lang w:eastAsia="zh-CN"/>
              </w:rPr>
              <w:t>三觉镇中心卫生院瓦房分院</w:t>
            </w:r>
          </w:p>
        </w:tc>
        <w:tc>
          <w:tcPr>
            <w:tcW w:w="76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c>
          <w:tcPr>
            <w:tcW w:w="71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c>
          <w:tcPr>
            <w:tcW w:w="69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c>
          <w:tcPr>
            <w:tcW w:w="676"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7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5"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9" w:type="dxa"/>
            <w:tcBorders>
              <w:top w:val="single" w:sz="4" w:space="0" w:color="auto"/>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16" w:type="dxa"/>
          <w:tblInd w:w="-431" w:type="dxa"/>
          <w:tblLayout w:type="fixed"/>
          <w:tblCellMar>
            <w:top w:w="0" w:type="dxa"/>
            <w:left w:w="108" w:type="dxa"/>
            <w:bottom w:w="0" w:type="dxa"/>
            <w:right w:w="108" w:type="dxa"/>
          </w:tblCellMar>
        </w:tblPrEx>
        <w:trPr>
          <w:trHeight w:val="455"/>
        </w:trPr>
        <w:tc>
          <w:tcPr>
            <w:tcW w:w="1519" w:type="dxa"/>
            <w:tcBorders>
              <w:top w:val="nil"/>
              <w:left w:val="single" w:sz="4" w:space="0" w:color="auto"/>
              <w:bottom w:val="single" w:sz="4" w:space="0" w:color="auto"/>
              <w:right w:val="single" w:sz="4" w:space="0" w:color="auto"/>
            </w:tcBorders>
            <w:noWrap w:val="0"/>
            <w:vAlign w:val="center"/>
          </w:tcPr>
          <w:p>
            <w:pPr>
              <w:widowControl/>
              <w:spacing w:line="260" w:lineRule="exact"/>
              <w:jc w:val="left"/>
              <w:rPr>
                <w:rFonts w:ascii="TimesNewRoman" w:hAnsi="TimesNewRoman" w:cs="TimesNewRoman"/>
                <w:kern w:val="0"/>
                <w:sz w:val="18"/>
                <w:szCs w:val="18"/>
              </w:rPr>
            </w:pPr>
          </w:p>
        </w:tc>
        <w:tc>
          <w:tcPr>
            <w:tcW w:w="76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71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9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76"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7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5"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66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359"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bl>
    <w:p>
      <w:pPr>
        <w:spacing w:line="560" w:lineRule="exact"/>
        <w:jc w:val="right"/>
        <w:rPr>
          <w:rFonts w:ascii="TimesNewRoman" w:hAnsi="TimesNewRoman" w:cs="TimesNewRoman" w:hint="eastAsia"/>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sectPr>
          <w:pgSz w:w="16840" w:h="11907" w:orient="landscape"/>
          <w:pgMar w:top="1588" w:right="2098" w:bottom="1474" w:left="1985"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公开表3</w:t>
      </w:r>
    </w:p>
    <w:p>
      <w:pPr>
        <w:spacing w:line="560" w:lineRule="exact"/>
        <w:jc w:val="center"/>
        <w:rPr>
          <w:rFonts w:ascii="TimesNewRoman" w:hAnsi="TimesNewRoman" w:cs="TimesNewRoman" w:hint="eastAsia"/>
          <w:kern w:val="0"/>
          <w:sz w:val="20"/>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三觉镇中心卫生院瓦房分院</w:t>
      </w:r>
      <w:r>
        <w:rPr>
          <w:rFonts w:ascii="宋体" w:hAnsi="宋体" w:cs="TimesNewRoman" w:hint="eastAsia"/>
          <w:b/>
          <w:bCs/>
          <w:kern w:val="0"/>
          <w:sz w:val="28"/>
          <w:szCs w:val="32"/>
        </w:rPr>
        <w:t>2024</w:t>
      </w:r>
      <w:r>
        <w:rPr>
          <w:rFonts w:ascii="宋体" w:hAnsi="宋体" w:cs="TimesNewRoman"/>
          <w:b/>
          <w:bCs/>
          <w:kern w:val="0"/>
          <w:sz w:val="28"/>
          <w:szCs w:val="32"/>
        </w:rPr>
        <w:t xml:space="preserve">年支出总表                 </w:t>
      </w:r>
      <w:r>
        <w:rPr>
          <w:rFonts w:ascii="TimesNewRoman" w:hAnsi="TimesNewRoman" w:cs="TimesNewRoman"/>
          <w:kern w:val="0"/>
          <w:sz w:val="20"/>
        </w:rPr>
        <w:t xml:space="preserve">                                                                          </w:t>
      </w:r>
      <w:r>
        <w:rPr>
          <w:rFonts w:ascii="TimesNewRoman" w:hAnsi="TimesNewRoman" w:cs="TimesNewRoman" w:hint="eastAsia"/>
          <w:kern w:val="0"/>
          <w:sz w:val="20"/>
        </w:rPr>
        <w:t xml:space="preserve">                            </w:t>
      </w:r>
    </w:p>
    <w:p>
      <w:pPr>
        <w:spacing w:line="560" w:lineRule="exact"/>
        <w:jc w:val="right"/>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rPr>
        <w:t>单位：万元</w:t>
      </w:r>
    </w:p>
    <w:tbl>
      <w:tblPr>
        <w:tblStyle w:val="TableNormal"/>
        <w:tblW w:w="14192" w:type="dxa"/>
        <w:tblInd w:w="0" w:type="dxa"/>
        <w:tblLayout w:type="fixed"/>
        <w:tblCellMar>
          <w:top w:w="0" w:type="dxa"/>
          <w:left w:w="108" w:type="dxa"/>
          <w:bottom w:w="0" w:type="dxa"/>
          <w:right w:w="108" w:type="dxa"/>
        </w:tblCellMar>
      </w:tblPr>
      <w:tblGrid>
        <w:gridCol w:w="1639"/>
        <w:gridCol w:w="4495"/>
        <w:gridCol w:w="1213"/>
        <w:gridCol w:w="1181"/>
        <w:gridCol w:w="1150"/>
        <w:gridCol w:w="1430"/>
        <w:gridCol w:w="1353"/>
        <w:gridCol w:w="1731"/>
      </w:tblGrid>
      <w:tr>
        <w:tblPrEx>
          <w:tblW w:w="14192" w:type="dxa"/>
          <w:tblInd w:w="0" w:type="dxa"/>
          <w:tblLayout w:type="fixed"/>
          <w:tblCellMar>
            <w:top w:w="0" w:type="dxa"/>
            <w:left w:w="108" w:type="dxa"/>
            <w:bottom w:w="0" w:type="dxa"/>
            <w:right w:w="108" w:type="dxa"/>
          </w:tblCellMar>
        </w:tblPrEx>
        <w:trPr>
          <w:trHeight w:val="744"/>
        </w:trPr>
        <w:tc>
          <w:tcPr>
            <w:tcW w:w="1639" w:type="dxa"/>
            <w:tcBorders>
              <w:top w:val="single" w:sz="4" w:space="0" w:color="auto"/>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95"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21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118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15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事业单位经营支出</w:t>
            </w:r>
          </w:p>
        </w:tc>
        <w:tc>
          <w:tcPr>
            <w:tcW w:w="1353"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上缴上级支出</w:t>
            </w:r>
          </w:p>
        </w:tc>
        <w:tc>
          <w:tcPr>
            <w:tcW w:w="1731" w:type="dxa"/>
            <w:tcBorders>
              <w:top w:val="single" w:sz="4" w:space="0" w:color="auto"/>
              <w:left w:val="nil"/>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对附属单位补助支出</w:t>
            </w: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事业单位离退休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16.70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16.70</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2080505</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仿宋_GB2312" w:hAnsi="TimesNewRoman" w:cs="TimesNewRoman" w:hint="eastAsia"/>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3.59</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2080506</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1.80</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1.80</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卫生健康支出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39.12</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26.98</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12.14</w:t>
            </w: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基层医疗卫生机构</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39.12</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26.98</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12.14</w:t>
            </w: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2100302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乡镇卫生院</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39.12</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26.98</w:t>
            </w:r>
          </w:p>
        </w:tc>
        <w:tc>
          <w:tcPr>
            <w:tcW w:w="115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12.14</w:t>
            </w: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住房改革支出</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1639"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2210201</w:t>
            </w:r>
          </w:p>
        </w:tc>
        <w:tc>
          <w:tcPr>
            <w:tcW w:w="4495"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21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18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15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430"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31"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192" w:type="dxa"/>
          <w:tblInd w:w="0" w:type="dxa"/>
          <w:tblLayout w:type="fixed"/>
          <w:tblCellMar>
            <w:top w:w="0" w:type="dxa"/>
            <w:left w:w="108" w:type="dxa"/>
            <w:bottom w:w="0" w:type="dxa"/>
            <w:right w:w="108" w:type="dxa"/>
          </w:tblCellMar>
        </w:tblPrEx>
        <w:trPr>
          <w:trHeight w:val="388"/>
        </w:trPr>
        <w:tc>
          <w:tcPr>
            <w:tcW w:w="6134" w:type="dxa"/>
            <w:gridSpan w:val="2"/>
            <w:tcBorders>
              <w:top w:val="nil"/>
              <w:left w:val="single" w:sz="4" w:space="0" w:color="auto"/>
              <w:bottom w:val="single" w:sz="4" w:space="0" w:color="auto"/>
              <w:right w:val="single" w:sz="4" w:space="0" w:color="auto"/>
            </w:tcBorders>
            <w:noWrap w:val="0"/>
            <w:vAlign w:val="center"/>
          </w:tcPr>
          <w:p>
            <w:pPr>
              <w:widowControl/>
              <w:spacing w:line="26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21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51.77</w:t>
            </w:r>
            <w:r>
              <w:rPr>
                <w:rFonts w:ascii="TimesNewRoman" w:hAnsi="TimesNewRoman" w:cs="TimesNewRoman"/>
                <w:b/>
                <w:bCs/>
                <w:kern w:val="0"/>
                <w:sz w:val="18"/>
                <w:szCs w:val="18"/>
              </w:rPr>
              <w:t>　</w:t>
            </w:r>
          </w:p>
        </w:tc>
        <w:tc>
          <w:tcPr>
            <w:tcW w:w="118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51.77</w:t>
            </w:r>
            <w:r>
              <w:rPr>
                <w:rFonts w:ascii="TimesNewRoman" w:hAnsi="TimesNewRoman" w:cs="TimesNewRoman"/>
                <w:b/>
                <w:bCs/>
                <w:kern w:val="0"/>
                <w:sz w:val="18"/>
                <w:szCs w:val="18"/>
              </w:rPr>
              <w:t>　</w:t>
            </w:r>
          </w:p>
        </w:tc>
        <w:tc>
          <w:tcPr>
            <w:tcW w:w="115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430"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31" w:type="dxa"/>
            <w:tcBorders>
              <w:top w:val="nil"/>
              <w:left w:val="nil"/>
              <w:bottom w:val="single" w:sz="4" w:space="0" w:color="auto"/>
              <w:right w:val="single" w:sz="4" w:space="0" w:color="auto"/>
            </w:tcBorders>
            <w:noWrap w:val="0"/>
            <w:vAlign w:val="center"/>
          </w:tcPr>
          <w:p>
            <w:pPr>
              <w:widowControl/>
              <w:spacing w:line="26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rPr>
          <w:rFonts w:ascii="TimesNewRoman" w:hAnsi="TimesNewRoman" w:cs="TimesNewRoman"/>
          <w:kern w:val="0"/>
          <w:sz w:val="20"/>
        </w:rPr>
        <w:sectPr>
          <w:pgSz w:w="16840" w:h="11907" w:orient="landscape"/>
          <w:pgMar w:top="1588" w:right="1389" w:bottom="1474" w:left="1418" w:header="851" w:footer="1021" w:gutter="0"/>
          <w:cols w:num="1" w:space="425"/>
          <w:docGrid w:type="linesAndChars" w:linePitch="312" w:charSpace="0"/>
        </w:sectPr>
      </w:pPr>
    </w:p>
    <w:p>
      <w:pPr>
        <w:spacing w:line="560" w:lineRule="exac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公开表4</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三觉镇中心卫生院瓦房分院</w:t>
      </w:r>
      <w:r>
        <w:rPr>
          <w:rFonts w:ascii="宋体" w:hAnsi="宋体" w:cs="TimesNewRoman" w:hint="eastAsia"/>
          <w:b/>
          <w:bCs/>
          <w:kern w:val="0"/>
          <w:sz w:val="28"/>
          <w:szCs w:val="32"/>
        </w:rPr>
        <w:t>2024</w:t>
      </w:r>
      <w:r>
        <w:rPr>
          <w:rFonts w:ascii="宋体" w:hAnsi="宋体" w:cs="TimesNewRoman"/>
          <w:b/>
          <w:bCs/>
          <w:kern w:val="0"/>
          <w:sz w:val="28"/>
          <w:szCs w:val="32"/>
        </w:rPr>
        <w:t>年财政拨款收支总表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9274" w:type="dxa"/>
        <w:tblInd w:w="0" w:type="dxa"/>
        <w:tblLayout w:type="fixed"/>
        <w:tblCellMar>
          <w:top w:w="0" w:type="dxa"/>
          <w:left w:w="108" w:type="dxa"/>
          <w:bottom w:w="0" w:type="dxa"/>
          <w:right w:w="108" w:type="dxa"/>
        </w:tblCellMar>
      </w:tblPr>
      <w:tblGrid>
        <w:gridCol w:w="2995"/>
        <w:gridCol w:w="1167"/>
        <w:gridCol w:w="3821"/>
        <w:gridCol w:w="1291"/>
      </w:tblGrid>
      <w:tr>
        <w:tblPrEx>
          <w:tblW w:w="9274" w:type="dxa"/>
          <w:tblInd w:w="0" w:type="dxa"/>
          <w:tblLayout w:type="fixed"/>
          <w:tblCellMar>
            <w:top w:w="0" w:type="dxa"/>
            <w:left w:w="108" w:type="dxa"/>
            <w:bottom w:w="0" w:type="dxa"/>
            <w:right w:w="108" w:type="dxa"/>
          </w:tblCellMar>
        </w:tblPrEx>
        <w:trPr>
          <w:trHeight w:val="167"/>
        </w:trPr>
        <w:tc>
          <w:tcPr>
            <w:tcW w:w="4162"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w:t>
            </w:r>
          </w:p>
        </w:tc>
        <w:tc>
          <w:tcPr>
            <w:tcW w:w="5112" w:type="dxa"/>
            <w:gridSpan w:val="2"/>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预算数</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一、本年收入</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一、本年支出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（一）一般公共服务支出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（二）外交支出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（四）公共安全支出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二、上年结转</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（五）教育支出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（一）一般公共预算拨款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（六）科学技术支出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（二）政府性基金预算拨款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（七）文化旅游体育与传媒支出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r>
              <w:rPr>
                <w:rFonts w:ascii="TimesNewRoman" w:hAnsi="TimesNewRoman" w:cs="TimesNewRoman"/>
                <w:kern w:val="0"/>
                <w:sz w:val="18"/>
                <w:szCs w:val="18"/>
              </w:rPr>
              <w:t>（三）国有资本经营预算拨款</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（八）社会保障和就业支出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22.09</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（九）卫生健康支出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39.12</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（十）节能环保支出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（十一）城乡社区支出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（十二）农林水支出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nil"/>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（十三）交通运输支出</w:t>
            </w:r>
          </w:p>
        </w:tc>
        <w:tc>
          <w:tcPr>
            <w:tcW w:w="1290" w:type="dxa"/>
            <w:tcBorders>
              <w:top w:val="nil"/>
              <w:left w:val="single" w:sz="4" w:space="0" w:color="auto"/>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（十四）资源勘探工业信息等支出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（十五）商业服务业等支出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（十六）金融支出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（十七）援助其他地区支出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（十八）自然资源海洋气象等支出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（十九）住房保障支出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2.69</w:t>
            </w: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（二十）粮油物资储备支出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（二十一）灾害防治及应急管理支出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（二十二）预备费</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（二十三）其他支出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（二十四）转移性支出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（二十五）债务还本支出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（二十六）债务付息支出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（二十七）债务发行费用支出</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二、年终结转结余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（一）一般公共预算结转结余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（二）政府性基金预算结转结余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（三）国有资本经营预算结转结余</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9274" w:type="dxa"/>
          <w:tblInd w:w="0" w:type="dxa"/>
          <w:tblLayout w:type="fixed"/>
          <w:tblCellMar>
            <w:top w:w="0" w:type="dxa"/>
            <w:left w:w="108" w:type="dxa"/>
            <w:bottom w:w="0" w:type="dxa"/>
            <w:right w:w="108" w:type="dxa"/>
          </w:tblCellMar>
        </w:tblPrEx>
        <w:trPr>
          <w:trHeight w:val="167"/>
        </w:trPr>
        <w:tc>
          <w:tcPr>
            <w:tcW w:w="2995"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收    入    总    计</w:t>
            </w:r>
          </w:p>
        </w:tc>
        <w:tc>
          <w:tcPr>
            <w:tcW w:w="116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63.91</w:t>
            </w:r>
            <w:r>
              <w:rPr>
                <w:rFonts w:ascii="TimesNewRoman" w:hAnsi="TimesNewRoman" w:cs="TimesNewRoman"/>
                <w:b/>
                <w:bCs/>
                <w:kern w:val="0"/>
                <w:sz w:val="18"/>
                <w:szCs w:val="18"/>
              </w:rPr>
              <w:t>　</w:t>
            </w:r>
          </w:p>
        </w:tc>
        <w:tc>
          <w:tcPr>
            <w:tcW w:w="382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支    出    总    计</w:t>
            </w:r>
          </w:p>
        </w:tc>
        <w:tc>
          <w:tcPr>
            <w:tcW w:w="129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hint="eastAsia"/>
                <w:kern w:val="0"/>
                <w:sz w:val="18"/>
                <w:szCs w:val="18"/>
                <w:lang w:val="en-US" w:eastAsia="zh-CN"/>
              </w:rPr>
              <w:t>63.91</w:t>
            </w:r>
            <w:r>
              <w:rPr>
                <w:rFonts w:ascii="TimesNewRoman" w:hAnsi="TimesNewRoman" w:cs="TimesNewRoman"/>
                <w:kern w:val="0"/>
                <w:sz w:val="18"/>
                <w:szCs w:val="18"/>
              </w:rPr>
              <w:t>　</w:t>
            </w:r>
          </w:p>
        </w:tc>
      </w:tr>
    </w:tbl>
    <w:p>
      <w:pPr>
        <w:spacing w:line="560" w:lineRule="exact"/>
        <w:jc w:val="right"/>
        <w:rPr>
          <w:rFonts w:ascii="TimesNewRoman" w:hAnsi="TimesNewRoman" w:cs="TimesNewRoman"/>
          <w:kern w:val="0"/>
          <w:sz w:val="20"/>
        </w:rPr>
        <w:sectPr>
          <w:pgSz w:w="11907" w:h="16840"/>
          <w:pgMar w:top="2098" w:right="1474" w:bottom="1985" w:left="1588" w:header="851" w:footer="1021" w:gutter="0"/>
          <w:cols w:num="1" w:space="425"/>
          <w:docGrid w:type="lines" w:linePitch="312" w:charSpace="0"/>
        </w:sectPr>
      </w:pPr>
    </w:p>
    <w:p>
      <w:pPr>
        <w:spacing w:line="560" w:lineRule="exact"/>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公开表5</w:t>
      </w:r>
    </w:p>
    <w:p>
      <w:pPr>
        <w:widowControl/>
        <w:spacing w:before="156" w:beforeLines="50" w:after="156" w:afterLines="50" w:line="560" w:lineRule="exact"/>
        <w:jc w:val="center"/>
        <w:rPr>
          <w:rFonts w:ascii="TimesNewRoman" w:eastAsia="华文中宋" w:hAnsi="TimesNewRoman" w:cs="TimesNewRoman"/>
          <w:b/>
          <w:bCs/>
          <w:kern w:val="0"/>
          <w:sz w:val="30"/>
          <w:szCs w:val="30"/>
        </w:rPr>
      </w:pPr>
      <w:r>
        <w:rPr>
          <w:rFonts w:ascii="TimesNewRoman" w:eastAsia="华文中宋" w:hAnsi="TimesNewRoman" w:cs="TimesNewRoman" w:hint="eastAsia"/>
          <w:b/>
          <w:bCs/>
          <w:kern w:val="0"/>
          <w:sz w:val="30"/>
          <w:szCs w:val="30"/>
        </w:rPr>
        <w:t xml:space="preserve">  寿县</w:t>
      </w:r>
      <w:r>
        <w:rPr>
          <w:rFonts w:ascii="宋体" w:hAnsi="宋体" w:cs="TimesNewRoman" w:hint="eastAsia"/>
          <w:b/>
          <w:bCs/>
          <w:kern w:val="0"/>
          <w:sz w:val="28"/>
          <w:szCs w:val="32"/>
          <w:lang w:eastAsia="zh-CN"/>
        </w:rPr>
        <w:t>三觉镇中心卫生院瓦房分院</w:t>
      </w:r>
      <w:r>
        <w:rPr>
          <w:rFonts w:ascii="TimesNewRoman" w:eastAsia="华文中宋" w:hAnsi="TimesNewRoman" w:cs="TimesNewRoman" w:hint="eastAsia"/>
          <w:b/>
          <w:bCs/>
          <w:kern w:val="0"/>
          <w:sz w:val="30"/>
          <w:szCs w:val="30"/>
        </w:rPr>
        <w:t>2024</w:t>
      </w:r>
      <w:r>
        <w:rPr>
          <w:rFonts w:ascii="TimesNewRoman" w:eastAsia="华文中宋" w:hAnsi="TimesNewRoman" w:cs="TimesNewRoman"/>
          <w:b/>
          <w:bCs/>
          <w:kern w:val="0"/>
          <w:sz w:val="30"/>
          <w:szCs w:val="30"/>
        </w:rPr>
        <w:t>年一般公共预算支出表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840" w:type="dxa"/>
        <w:tblInd w:w="0" w:type="dxa"/>
        <w:tblLayout w:type="fixed"/>
        <w:tblCellMar>
          <w:top w:w="0" w:type="dxa"/>
          <w:left w:w="108" w:type="dxa"/>
          <w:bottom w:w="0" w:type="dxa"/>
          <w:right w:w="108" w:type="dxa"/>
        </w:tblCellMar>
      </w:tblPr>
      <w:tblGrid>
        <w:gridCol w:w="1603"/>
        <w:gridCol w:w="4482"/>
        <w:gridCol w:w="1303"/>
        <w:gridCol w:w="1287"/>
        <w:gridCol w:w="1752"/>
        <w:gridCol w:w="1706"/>
        <w:gridCol w:w="1707"/>
      </w:tblGrid>
      <w:tr>
        <w:tblPrEx>
          <w:tblW w:w="13840" w:type="dxa"/>
          <w:tblInd w:w="0" w:type="dxa"/>
          <w:tblLayout w:type="fixed"/>
          <w:tblCellMar>
            <w:top w:w="0" w:type="dxa"/>
            <w:left w:w="108" w:type="dxa"/>
            <w:bottom w:w="0" w:type="dxa"/>
            <w:right w:w="108" w:type="dxa"/>
          </w:tblCellMar>
        </w:tblPrEx>
        <w:trPr>
          <w:trHeight w:val="383"/>
        </w:trPr>
        <w:tc>
          <w:tcPr>
            <w:tcW w:w="160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编码</w:t>
            </w:r>
          </w:p>
        </w:tc>
        <w:tc>
          <w:tcPr>
            <w:tcW w:w="4482"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303"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474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1707"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40" w:type="dxa"/>
          <w:tblInd w:w="0" w:type="dxa"/>
          <w:tblLayout w:type="fixed"/>
          <w:tblCellMar>
            <w:top w:w="0" w:type="dxa"/>
            <w:left w:w="108" w:type="dxa"/>
            <w:bottom w:w="0" w:type="dxa"/>
            <w:right w:w="108" w:type="dxa"/>
          </w:tblCellMar>
        </w:tblPrEx>
        <w:trPr>
          <w:trHeight w:val="383"/>
        </w:trPr>
        <w:tc>
          <w:tcPr>
            <w:tcW w:w="160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4482"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03"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87"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小计</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c>
          <w:tcPr>
            <w:tcW w:w="1707"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single" w:sz="4" w:space="0" w:color="auto"/>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w:t>
            </w:r>
          </w:p>
        </w:tc>
        <w:tc>
          <w:tcPr>
            <w:tcW w:w="4482" w:type="dxa"/>
            <w:tcBorders>
              <w:top w:val="single" w:sz="4" w:space="0" w:color="auto"/>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single" w:sz="4" w:space="0" w:color="auto"/>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行政事业单位养老支出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2080502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事业单位离退休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16.70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16.70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16.70</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2080505</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eastAsia="仿宋_GB2312" w:hAnsi="TimesNewRoman" w:cs="TimesNewRoman" w:hint="eastAsia"/>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3.59</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2080506</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机关事业单位职业年金缴费支出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1.80</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1.80</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1.80</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卫生健康支出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39.12</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26.98</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26.98</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12.14</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21003</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基层医疗卫生机构</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39.12</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26.98</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26.98</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12.14</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2100302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乡镇卫生院</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39.12</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26.98</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26.98</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12.14</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住房保障支出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22102</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住房改革支出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2210201</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center"/>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208</w:t>
            </w:r>
          </w:p>
        </w:tc>
        <w:tc>
          <w:tcPr>
            <w:tcW w:w="4482"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社会保障和就业支出</w:t>
            </w:r>
          </w:p>
        </w:tc>
        <w:tc>
          <w:tcPr>
            <w:tcW w:w="1303"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287"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752"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22.09</w:t>
            </w:r>
          </w:p>
        </w:tc>
        <w:tc>
          <w:tcPr>
            <w:tcW w:w="1706"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c>
          <w:tcPr>
            <w:tcW w:w="1707"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1603"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p>
        </w:tc>
        <w:tc>
          <w:tcPr>
            <w:tcW w:w="448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xml:space="preserve">         　</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840" w:type="dxa"/>
          <w:tblInd w:w="0" w:type="dxa"/>
          <w:tblLayout w:type="fixed"/>
          <w:tblCellMar>
            <w:top w:w="0" w:type="dxa"/>
            <w:left w:w="108" w:type="dxa"/>
            <w:bottom w:w="0" w:type="dxa"/>
            <w:right w:w="108" w:type="dxa"/>
          </w:tblCellMar>
        </w:tblPrEx>
        <w:trPr>
          <w:trHeight w:val="383"/>
        </w:trPr>
        <w:tc>
          <w:tcPr>
            <w:tcW w:w="6085"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30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63.91</w:t>
            </w:r>
            <w:r>
              <w:rPr>
                <w:rFonts w:ascii="TimesNewRoman" w:hAnsi="TimesNewRoman" w:cs="TimesNewRoman"/>
                <w:b/>
                <w:bCs/>
                <w:kern w:val="0"/>
                <w:sz w:val="18"/>
                <w:szCs w:val="18"/>
              </w:rPr>
              <w:t>　</w:t>
            </w:r>
          </w:p>
        </w:tc>
        <w:tc>
          <w:tcPr>
            <w:tcW w:w="128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51.77</w:t>
            </w:r>
            <w:r>
              <w:rPr>
                <w:rFonts w:ascii="TimesNewRoman" w:hAnsi="TimesNewRoman" w:cs="TimesNewRoman"/>
                <w:b/>
                <w:bCs/>
                <w:kern w:val="0"/>
                <w:sz w:val="18"/>
                <w:szCs w:val="18"/>
              </w:rPr>
              <w:t>　</w:t>
            </w:r>
          </w:p>
        </w:tc>
        <w:tc>
          <w:tcPr>
            <w:tcW w:w="1752"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51.77</w:t>
            </w:r>
            <w:r>
              <w:rPr>
                <w:rFonts w:ascii="TimesNewRoman" w:hAnsi="TimesNewRoman" w:cs="TimesNewRoman"/>
                <w:b/>
                <w:bCs/>
                <w:kern w:val="0"/>
                <w:sz w:val="18"/>
                <w:szCs w:val="18"/>
              </w:rPr>
              <w:t>　</w:t>
            </w:r>
          </w:p>
        </w:tc>
        <w:tc>
          <w:tcPr>
            <w:tcW w:w="170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707"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ind w:left="903" w:leftChars="430"/>
        <w:jc w:val="right"/>
        <w:rPr>
          <w:rFonts w:ascii="TimesNewRoman" w:hAnsi="TimesNewRoman" w:cs="TimesNewRoman"/>
          <w:kern w:val="0"/>
          <w:sz w:val="20"/>
        </w:rPr>
      </w:pPr>
      <w:r>
        <w:rPr>
          <w:rFonts w:ascii="TimesNewRoman" w:hAnsi="TimesNewRoman" w:cs="TimesNewRoman"/>
          <w:kern w:val="0"/>
          <w:sz w:val="20"/>
          <w:u w:val="single"/>
        </w:rPr>
        <w:t>单位</w:t>
      </w:r>
      <w:r>
        <w:rPr>
          <w:rFonts w:ascii="TimesNewRoman" w:hAnsi="TimesNewRoman" w:cs="TimesNewRoman"/>
          <w:kern w:val="0"/>
          <w:sz w:val="20"/>
        </w:rPr>
        <w:t>公开表6</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三觉镇中心卫生院瓦房分院</w:t>
      </w:r>
      <w:r>
        <w:rPr>
          <w:rFonts w:ascii="宋体" w:hAnsi="宋体" w:cs="TimesNewRoman" w:hint="eastAsia"/>
          <w:b/>
          <w:bCs/>
          <w:kern w:val="0"/>
          <w:sz w:val="28"/>
          <w:szCs w:val="32"/>
        </w:rPr>
        <w:t>2024</w:t>
      </w:r>
      <w:r>
        <w:rPr>
          <w:rFonts w:ascii="宋体" w:hAnsi="宋体" w:cs="TimesNewRoman"/>
          <w:b/>
          <w:bCs/>
          <w:kern w:val="0"/>
          <w:sz w:val="28"/>
          <w:szCs w:val="32"/>
        </w:rPr>
        <w:t>年一般公共预算基本支出表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05" w:type="dxa"/>
        <w:tblInd w:w="0" w:type="dxa"/>
        <w:tblLayout w:type="fixed"/>
        <w:tblCellMar>
          <w:top w:w="0" w:type="dxa"/>
          <w:left w:w="108" w:type="dxa"/>
          <w:bottom w:w="0" w:type="dxa"/>
          <w:right w:w="108" w:type="dxa"/>
        </w:tblCellMar>
      </w:tblPr>
      <w:tblGrid>
        <w:gridCol w:w="2930"/>
        <w:gridCol w:w="4350"/>
        <w:gridCol w:w="1530"/>
        <w:gridCol w:w="2631"/>
        <w:gridCol w:w="2564"/>
      </w:tblGrid>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部门预算支出经济分类科目</w:t>
            </w:r>
          </w:p>
        </w:tc>
        <w:tc>
          <w:tcPr>
            <w:tcW w:w="6725"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本年一般公共预算基本支出</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人员经费</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公用经费</w:t>
            </w: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301</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32.24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32.24</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30101</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基本工资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13.44</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13.44</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30107</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绩效工资</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9.01</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9.01</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30108</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机关事业单位基本养老保险缴费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3.59</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30109</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职业年金缴费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1.80</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30110</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职工基本医疗保险缴费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1.55</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1.55</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30112</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其他社会保障缴费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0.16</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0.16</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30113</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住房公积金</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2.69</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30199</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其他工资福利支出</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0.00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0.00</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303</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对个人和家庭的补助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19.53</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19.53</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30302</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退休费</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16.70</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16.70</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30305</w:t>
            </w: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　生活补助</w:t>
            </w: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2.82</w:t>
            </w: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r>
              <w:rPr>
                <w:rFonts w:ascii="宋体" w:eastAsia="宋体" w:hAnsi="宋体" w:cs="宋体" w:hint="eastAsia"/>
                <w:i w:val="0"/>
                <w:iCs w:val="0"/>
                <w:color w:val="000000"/>
                <w:kern w:val="0"/>
                <w:sz w:val="20"/>
                <w:szCs w:val="20"/>
                <w:u w:val="none"/>
                <w:lang w:val="en-US" w:eastAsia="zh-CN" w:bidi="ar"/>
              </w:rPr>
              <w:t>2.82</w:t>
            </w: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4349" w:type="dxa"/>
            <w:tcBorders>
              <w:top w:val="nil"/>
              <w:left w:val="nil"/>
              <w:bottom w:val="single" w:sz="4" w:space="0" w:color="auto"/>
              <w:right w:val="single" w:sz="4" w:space="0" w:color="auto"/>
            </w:tcBorders>
            <w:noWrap w:val="0"/>
            <w:vAlign w:val="center"/>
          </w:tcPr>
          <w:p>
            <w:pPr>
              <w:keepNext w:val="0"/>
              <w:keepLines w:val="0"/>
              <w:widowControl/>
              <w:suppressLineNumbers w:val="0"/>
              <w:jc w:val="left"/>
              <w:textAlignment w:val="center"/>
              <w:rPr>
                <w:rFonts w:ascii="TimesNewRoman" w:hAnsi="TimesNewRoman" w:cs="TimesNewRoman"/>
                <w:kern w:val="0"/>
                <w:sz w:val="18"/>
                <w:szCs w:val="18"/>
              </w:rPr>
            </w:pPr>
          </w:p>
        </w:tc>
        <w:tc>
          <w:tcPr>
            <w:tcW w:w="1530" w:type="dxa"/>
            <w:tcBorders>
              <w:top w:val="nil"/>
              <w:left w:val="nil"/>
              <w:bottom w:val="single" w:sz="4" w:space="0" w:color="auto"/>
              <w:right w:val="single" w:sz="4" w:space="0" w:color="auto"/>
            </w:tcBorders>
            <w:noWrap w:val="0"/>
            <w:vAlign w:val="center"/>
          </w:tcPr>
          <w:p>
            <w:pPr>
              <w:keepNext w:val="0"/>
              <w:keepLines w:val="0"/>
              <w:widowControl/>
              <w:suppressLineNumbers w:val="0"/>
              <w:jc w:val="both"/>
              <w:textAlignment w:val="center"/>
              <w:rPr>
                <w:rFonts w:ascii="TimesNewRoman" w:hAnsi="TimesNewRoman" w:cs="TimesNewRoman"/>
                <w:kern w:val="0"/>
                <w:sz w:val="18"/>
                <w:szCs w:val="18"/>
              </w:rPr>
            </w:pPr>
          </w:p>
        </w:tc>
        <w:tc>
          <w:tcPr>
            <w:tcW w:w="2631" w:type="dxa"/>
            <w:tcBorders>
              <w:top w:val="nil"/>
              <w:left w:val="nil"/>
              <w:bottom w:val="single" w:sz="4" w:space="0" w:color="auto"/>
              <w:right w:val="single" w:sz="4" w:space="0" w:color="auto"/>
            </w:tcBorders>
            <w:noWrap w:val="0"/>
            <w:vAlign w:val="center"/>
          </w:tcPr>
          <w:p>
            <w:pPr>
              <w:keepNext w:val="0"/>
              <w:keepLines w:val="0"/>
              <w:widowControl/>
              <w:suppressLineNumbers w:val="0"/>
              <w:jc w:val="right"/>
              <w:textAlignment w:val="center"/>
              <w:rPr>
                <w:rFonts w:ascii="TimesNewRoman" w:hAnsi="TimesNewRoman" w:cs="TimesNewRoman"/>
                <w:kern w:val="0"/>
                <w:sz w:val="18"/>
                <w:szCs w:val="18"/>
              </w:rPr>
            </w:pPr>
          </w:p>
        </w:tc>
        <w:tc>
          <w:tcPr>
            <w:tcW w:w="2564" w:type="dxa"/>
            <w:tcBorders>
              <w:top w:val="nil"/>
              <w:left w:val="nil"/>
              <w:bottom w:val="single" w:sz="4" w:space="0" w:color="auto"/>
              <w:right w:val="single" w:sz="4" w:space="0" w:color="auto"/>
            </w:tcBorders>
            <w:noWrap w:val="0"/>
            <w:vAlign w:val="center"/>
          </w:tcPr>
          <w:p>
            <w:pPr>
              <w:jc w:val="right"/>
              <w:rPr>
                <w:rFonts w:ascii="TimesNewRoman" w:hAnsi="TimesNewRoman" w:cs="TimesNewRoman"/>
                <w:kern w:val="0"/>
                <w:sz w:val="18"/>
                <w:szCs w:val="18"/>
              </w:rPr>
            </w:pPr>
          </w:p>
        </w:tc>
      </w:tr>
      <w:tr>
        <w:tblPrEx>
          <w:tblW w:w="14005" w:type="dxa"/>
          <w:tblInd w:w="0" w:type="dxa"/>
          <w:tblLayout w:type="fixed"/>
          <w:tblCellMar>
            <w:top w:w="0" w:type="dxa"/>
            <w:left w:w="108" w:type="dxa"/>
            <w:bottom w:w="0" w:type="dxa"/>
            <w:right w:w="108" w:type="dxa"/>
          </w:tblCellMar>
        </w:tblPrEx>
        <w:trPr>
          <w:trHeight w:val="365"/>
        </w:trPr>
        <w:tc>
          <w:tcPr>
            <w:tcW w:w="2930" w:type="dxa"/>
            <w:tcBorders>
              <w:top w:val="nil"/>
              <w:left w:val="single" w:sz="4" w:space="0" w:color="auto"/>
              <w:bottom w:val="single" w:sz="4" w:space="0" w:color="auto"/>
              <w:right w:val="single" w:sz="4" w:space="0" w:color="auto"/>
            </w:tcBorders>
            <w:noWrap w:val="0"/>
            <w:vAlign w:val="center"/>
          </w:tcPr>
          <w:p>
            <w:pPr>
              <w:widowControl/>
              <w:spacing w:line="280" w:lineRule="exact"/>
              <w:rPr>
                <w:rFonts w:ascii="TimesNewRoman" w:hAnsi="TimesNewRoman" w:cs="TimesNewRoman"/>
                <w:kern w:val="0"/>
                <w:sz w:val="18"/>
                <w:szCs w:val="18"/>
              </w:rPr>
            </w:pPr>
            <w:r>
              <w:rPr>
                <w:rFonts w:ascii="TimesNewRoman" w:hAnsi="TimesNewRoman" w:cs="TimesNewRoman"/>
                <w:kern w:val="0"/>
                <w:sz w:val="18"/>
                <w:szCs w:val="18"/>
              </w:rPr>
              <w:t>　</w:t>
            </w:r>
          </w:p>
        </w:tc>
        <w:tc>
          <w:tcPr>
            <w:tcW w:w="4349"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4005" w:type="dxa"/>
          <w:tblInd w:w="0" w:type="dxa"/>
          <w:tblLayout w:type="fixed"/>
          <w:tblCellMar>
            <w:top w:w="0" w:type="dxa"/>
            <w:left w:w="108" w:type="dxa"/>
            <w:bottom w:w="0" w:type="dxa"/>
            <w:right w:w="108" w:type="dxa"/>
          </w:tblCellMar>
        </w:tblPrEx>
        <w:trPr>
          <w:trHeight w:val="365"/>
        </w:trPr>
        <w:tc>
          <w:tcPr>
            <w:tcW w:w="7280"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53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51.77</w:t>
            </w:r>
          </w:p>
        </w:tc>
        <w:tc>
          <w:tcPr>
            <w:tcW w:w="2631"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eastAsia="宋体" w:hAnsi="TimesNewRoman" w:cs="TimesNewRoman" w:hint="default"/>
                <w:b/>
                <w:bCs/>
                <w:kern w:val="0"/>
                <w:sz w:val="18"/>
                <w:szCs w:val="18"/>
                <w:lang w:val="en-US" w:eastAsia="zh-CN"/>
              </w:rPr>
            </w:pPr>
            <w:r>
              <w:rPr>
                <w:rFonts w:ascii="TimesNewRoman" w:hAnsi="TimesNewRoman" w:cs="TimesNewRoman" w:hint="eastAsia"/>
                <w:b/>
                <w:bCs/>
                <w:kern w:val="0"/>
                <w:sz w:val="18"/>
                <w:szCs w:val="18"/>
                <w:lang w:val="en-US" w:eastAsia="zh-CN"/>
              </w:rPr>
              <w:t>51.77</w:t>
            </w:r>
          </w:p>
        </w:tc>
        <w:tc>
          <w:tcPr>
            <w:tcW w:w="256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spacing w:line="560" w:lineRule="exact"/>
        <w:rPr>
          <w:rFonts w:ascii="TimesNewRoman" w:hAnsi="TimesNewRoman" w:cs="TimesNewRoman"/>
        </w:rPr>
      </w:pPr>
    </w:p>
    <w:p>
      <w:pPr>
        <w:spacing w:line="560" w:lineRule="exact"/>
        <w:jc w:val="right"/>
        <w:rPr>
          <w:rFonts w:ascii="TimesNewRoman" w:hAnsi="TimesNewRoman" w:cs="TimesNewRoman"/>
          <w:kern w:val="0"/>
          <w:sz w:val="20"/>
        </w:rPr>
      </w:pPr>
      <w:r>
        <w:rPr>
          <w:rFonts w:ascii="TimesNewRoman" w:hAnsi="TimesNewRoman" w:cs="TimesNewRoman"/>
          <w:kern w:val="0"/>
          <w:sz w:val="20"/>
        </w:rPr>
        <w:t xml:space="preserve">                                                        </w:t>
      </w: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公开表7</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三觉镇中心卫生院瓦房分院</w:t>
      </w:r>
      <w:r>
        <w:rPr>
          <w:rFonts w:ascii="宋体" w:hAnsi="宋体" w:cs="TimesNewRoman" w:hint="eastAsia"/>
          <w:b/>
          <w:bCs/>
          <w:kern w:val="0"/>
          <w:sz w:val="28"/>
          <w:szCs w:val="32"/>
        </w:rPr>
        <w:t>2024</w:t>
      </w:r>
      <w:r>
        <w:rPr>
          <w:rFonts w:ascii="宋体" w:hAnsi="宋体" w:cs="TimesNewRoman"/>
          <w:b/>
          <w:bCs/>
          <w:kern w:val="0"/>
          <w:sz w:val="28"/>
          <w:szCs w:val="32"/>
        </w:rPr>
        <w:t>年政府性基金预算支出表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3951" w:type="dxa"/>
        <w:tblInd w:w="0" w:type="dxa"/>
        <w:tblLayout w:type="fixed"/>
        <w:tblCellMar>
          <w:top w:w="0" w:type="dxa"/>
          <w:left w:w="108" w:type="dxa"/>
          <w:bottom w:w="0" w:type="dxa"/>
          <w:right w:w="108" w:type="dxa"/>
        </w:tblCellMar>
      </w:tblPr>
      <w:tblGrid>
        <w:gridCol w:w="1911"/>
        <w:gridCol w:w="6266"/>
        <w:gridCol w:w="1640"/>
        <w:gridCol w:w="2018"/>
        <w:gridCol w:w="2116"/>
      </w:tblGrid>
      <w:tr>
        <w:tblPrEx>
          <w:tblW w:w="13951" w:type="dxa"/>
          <w:tblInd w:w="0" w:type="dxa"/>
          <w:tblLayout w:type="fixed"/>
          <w:tblCellMar>
            <w:top w:w="0" w:type="dxa"/>
            <w:left w:w="108" w:type="dxa"/>
            <w:bottom w:w="0" w:type="dxa"/>
            <w:right w:w="108" w:type="dxa"/>
          </w:tblCellMar>
        </w:tblPrEx>
        <w:trPr>
          <w:trHeight w:val="570"/>
        </w:trPr>
        <w:tc>
          <w:tcPr>
            <w:tcW w:w="1911"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6266"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5774" w:type="dxa"/>
            <w:gridSpan w:val="3"/>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本年政府性基金预算支出</w:t>
            </w:r>
          </w:p>
        </w:tc>
      </w:tr>
      <w:tr>
        <w:tblPrEx>
          <w:tblW w:w="13951" w:type="dxa"/>
          <w:tblInd w:w="0" w:type="dxa"/>
          <w:tblLayout w:type="fixed"/>
          <w:tblCellMar>
            <w:top w:w="0" w:type="dxa"/>
            <w:left w:w="108" w:type="dxa"/>
            <w:bottom w:w="0" w:type="dxa"/>
            <w:right w:w="108" w:type="dxa"/>
          </w:tblCellMar>
        </w:tblPrEx>
        <w:trPr>
          <w:trHeight w:val="570"/>
        </w:trPr>
        <w:tc>
          <w:tcPr>
            <w:tcW w:w="1911"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6266"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hint="eastAsia"/>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576"/>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仿宋_GB2312"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1911"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6266"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3951" w:type="dxa"/>
          <w:tblInd w:w="0" w:type="dxa"/>
          <w:tblLayout w:type="fixed"/>
          <w:tblCellMar>
            <w:top w:w="0" w:type="dxa"/>
            <w:left w:w="108" w:type="dxa"/>
            <w:bottom w:w="0" w:type="dxa"/>
            <w:right w:w="108" w:type="dxa"/>
          </w:tblCellMar>
        </w:tblPrEx>
        <w:trPr>
          <w:trHeight w:val="442"/>
        </w:trPr>
        <w:tc>
          <w:tcPr>
            <w:tcW w:w="8177"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总</w:t>
            </w:r>
            <w:r>
              <w:rPr>
                <w:rFonts w:ascii="TimesNewRoman" w:hAnsi="TimesNewRoman" w:cs="TimesNewRoman"/>
                <w:b/>
                <w:bCs/>
                <w:kern w:val="0"/>
                <w:sz w:val="18"/>
                <w:szCs w:val="18"/>
              </w:rPr>
              <w:t xml:space="preserve"> 计</w:t>
            </w:r>
          </w:p>
        </w:tc>
        <w:tc>
          <w:tcPr>
            <w:tcW w:w="164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01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21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注：没有政府性基金收支预算的部门（单位）也要公开空白表，并备注说明：“</w:t>
      </w:r>
      <w:r>
        <w:rPr>
          <w:rFonts w:ascii="TimesNewRoman" w:hAnsi="TimesNewRoman" w:cs="TimesNewRoman" w:hint="eastAsia"/>
          <w:kern w:val="0"/>
          <w:sz w:val="24"/>
        </w:rPr>
        <w:t>寿县</w:t>
      </w:r>
      <w:r>
        <w:rPr>
          <w:rFonts w:ascii="TimesNewRoman" w:hAnsi="TimesNewRoman" w:cs="TimesNewRoman"/>
          <w:kern w:val="0"/>
          <w:sz w:val="24"/>
        </w:rPr>
        <w:t>XX（部门、单位名称）没有政府性基金预算拨款收入，也没有政府性基金预算拨款安排的支出，故本表无数据”。</w:t>
      </w:r>
    </w:p>
    <w:p>
      <w:pPr>
        <w:pStyle w:val="NormalWeb"/>
        <w:adjustRightInd w:val="0"/>
        <w:snapToGrid w:val="0"/>
        <w:spacing w:after="156" w:afterLines="50" w:line="560" w:lineRule="exact"/>
        <w:ind w:right="102"/>
        <w:jc w:val="right"/>
        <w:rPr>
          <w:rFonts w:ascii="TimesNewRoman" w:eastAsia="黑体" w:hAnsi="TimesNewRoman" w:cs="TimesNewRoman"/>
          <w:bCs/>
          <w:sz w:val="36"/>
          <w:szCs w:val="36"/>
        </w:rPr>
      </w:pPr>
      <w:r>
        <w:rPr>
          <w:rFonts w:ascii="TimesNewRoman" w:hAnsi="TimesNewRoman" w:cs="TimesNewRoman"/>
          <w:sz w:val="20"/>
          <w:szCs w:val="20"/>
        </w:rPr>
        <w:t xml:space="preserve"> </w:t>
      </w:r>
      <w:r>
        <w:rPr>
          <w:rFonts w:ascii="TimesNewRoman" w:eastAsia="仿宋_GB2312" w:hAnsi="TimesNewRoman" w:cs="TimesNewRoman"/>
          <w:sz w:val="20"/>
          <w:szCs w:val="20"/>
        </w:rPr>
        <w:t xml:space="preserve"> </w:t>
      </w:r>
      <w:r>
        <w:rPr>
          <w:rFonts w:ascii="TimesNewRoman" w:eastAsia="仿宋_GB2312" w:hAnsi="TimesNewRoman" w:cs="TimesNewRoman"/>
          <w:sz w:val="20"/>
          <w:szCs w:val="20"/>
          <w:u w:val="single"/>
        </w:rPr>
        <w:t>单位</w:t>
      </w:r>
      <w:r>
        <w:rPr>
          <w:rFonts w:ascii="TimesNewRoman" w:eastAsia="仿宋_GB2312" w:hAnsi="TimesNewRoman" w:cs="TimesNewRoman"/>
          <w:sz w:val="20"/>
          <w:szCs w:val="20"/>
        </w:rPr>
        <w:t>公开表8</w:t>
      </w:r>
    </w:p>
    <w:tbl>
      <w:tblPr>
        <w:tblStyle w:val="TableNormal"/>
        <w:tblW w:w="13876" w:type="dxa"/>
        <w:tblInd w:w="0" w:type="dxa"/>
        <w:tblLayout w:type="fixed"/>
        <w:tblCellMar>
          <w:top w:w="0" w:type="dxa"/>
          <w:left w:w="108" w:type="dxa"/>
          <w:bottom w:w="0" w:type="dxa"/>
          <w:right w:w="108" w:type="dxa"/>
        </w:tblCellMar>
      </w:tblPr>
      <w:tblGrid>
        <w:gridCol w:w="710"/>
        <w:gridCol w:w="902"/>
        <w:gridCol w:w="1870"/>
        <w:gridCol w:w="4312"/>
        <w:gridCol w:w="342"/>
        <w:gridCol w:w="1153"/>
        <w:gridCol w:w="2013"/>
        <w:gridCol w:w="666"/>
        <w:gridCol w:w="1224"/>
        <w:gridCol w:w="559"/>
        <w:gridCol w:w="125"/>
      </w:tblGrid>
      <w:tr>
        <w:tblPrEx>
          <w:tblW w:w="13876" w:type="dxa"/>
          <w:tblInd w:w="0" w:type="dxa"/>
          <w:tblLayout w:type="fixed"/>
          <w:tblCellMar>
            <w:top w:w="0" w:type="dxa"/>
            <w:left w:w="108" w:type="dxa"/>
            <w:bottom w:w="0" w:type="dxa"/>
            <w:right w:w="108" w:type="dxa"/>
          </w:tblCellMar>
        </w:tblPrEx>
        <w:trPr>
          <w:gridAfter w:val="2"/>
          <w:wAfter w:w="683" w:type="dxa"/>
          <w:trHeight w:val="441"/>
        </w:trPr>
        <w:tc>
          <w:tcPr>
            <w:tcW w:w="13193" w:type="dxa"/>
            <w:gridSpan w:val="9"/>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三觉镇中心卫生院瓦房分院</w:t>
            </w:r>
            <w:r>
              <w:rPr>
                <w:rFonts w:ascii="宋体" w:hAnsi="宋体" w:cs="TimesNewRoman" w:hint="eastAsia"/>
                <w:b/>
                <w:bCs/>
                <w:kern w:val="0"/>
                <w:sz w:val="28"/>
                <w:szCs w:val="32"/>
              </w:rPr>
              <w:t>2024</w:t>
            </w:r>
            <w:r>
              <w:rPr>
                <w:rFonts w:ascii="宋体" w:hAnsi="宋体" w:cs="TimesNewRoman"/>
                <w:b/>
                <w:bCs/>
                <w:kern w:val="0"/>
                <w:sz w:val="28"/>
                <w:szCs w:val="32"/>
              </w:rPr>
              <w:t>年国有资本经营预算支出表</w:t>
            </w:r>
          </w:p>
        </w:tc>
      </w:tr>
      <w:tr>
        <w:tblPrEx>
          <w:tblW w:w="13876" w:type="dxa"/>
          <w:tblInd w:w="0" w:type="dxa"/>
          <w:tblLayout w:type="fixed"/>
          <w:tblCellMar>
            <w:top w:w="0" w:type="dxa"/>
            <w:left w:w="108" w:type="dxa"/>
            <w:bottom w:w="0" w:type="dxa"/>
            <w:right w:w="108" w:type="dxa"/>
          </w:tblCellMar>
        </w:tblPrEx>
        <w:trPr>
          <w:trHeight w:val="299"/>
        </w:trPr>
        <w:tc>
          <w:tcPr>
            <w:tcW w:w="711"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18"/>
                <w:szCs w:val="18"/>
              </w:rPr>
            </w:pPr>
          </w:p>
        </w:tc>
        <w:tc>
          <w:tcPr>
            <w:tcW w:w="902" w:type="dxa"/>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6182" w:type="dxa"/>
            <w:gridSpan w:val="2"/>
            <w:tcBorders>
              <w:top w:val="nil"/>
              <w:left w:val="nil"/>
              <w:bottom w:val="single" w:sz="4" w:space="0" w:color="auto"/>
              <w:right w:val="nil"/>
            </w:tcBorders>
            <w:noWrap w:val="0"/>
            <w:vAlign w:val="center"/>
          </w:tcPr>
          <w:p>
            <w:pPr>
              <w:widowControl/>
              <w:spacing w:line="560" w:lineRule="exact"/>
              <w:jc w:val="left"/>
              <w:rPr>
                <w:rFonts w:ascii="TimesNewRoman" w:hAnsi="TimesNewRoman" w:cs="TimesNewRoman"/>
                <w:kern w:val="0"/>
                <w:sz w:val="20"/>
              </w:rPr>
            </w:pPr>
          </w:p>
        </w:tc>
        <w:tc>
          <w:tcPr>
            <w:tcW w:w="342" w:type="dxa"/>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3832" w:type="dxa"/>
            <w:gridSpan w:val="3"/>
            <w:tcBorders>
              <w:top w:val="nil"/>
              <w:left w:val="nil"/>
              <w:bottom w:val="nil"/>
              <w:right w:val="nil"/>
            </w:tcBorders>
            <w:noWrap w:val="0"/>
            <w:vAlign w:val="center"/>
          </w:tcPr>
          <w:p>
            <w:pPr>
              <w:widowControl/>
              <w:spacing w:line="560" w:lineRule="exact"/>
              <w:jc w:val="left"/>
              <w:rPr>
                <w:rFonts w:ascii="TimesNewRoman" w:hAnsi="TimesNewRoman" w:cs="TimesNewRoman"/>
                <w:kern w:val="0"/>
                <w:sz w:val="20"/>
              </w:rPr>
            </w:pPr>
          </w:p>
        </w:tc>
        <w:tc>
          <w:tcPr>
            <w:tcW w:w="1907" w:type="dxa"/>
            <w:gridSpan w:val="3"/>
            <w:tcBorders>
              <w:top w:val="nil"/>
              <w:left w:val="nil"/>
              <w:bottom w:val="nil"/>
              <w:right w:val="nil"/>
            </w:tcBorders>
            <w:noWrap w:val="0"/>
            <w:vAlign w:val="center"/>
          </w:tcPr>
          <w:p>
            <w:pPr>
              <w:widowControl/>
              <w:spacing w:line="560" w:lineRule="exact"/>
              <w:ind w:right="100"/>
              <w:jc w:val="right"/>
              <w:rPr>
                <w:rFonts w:ascii="TimesNewRoman" w:hAnsi="TimesNewRoman" w:cs="TimesNewRoman"/>
                <w:kern w:val="0"/>
                <w:sz w:val="20"/>
              </w:rPr>
            </w:pPr>
            <w:r>
              <w:rPr>
                <w:rFonts w:ascii="TimesNewRoman" w:hAnsi="TimesNewRoman" w:cs="TimesNewRoman"/>
                <w:kern w:val="0"/>
                <w:sz w:val="20"/>
              </w:rPr>
              <w:t>单位：万元</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kern w:val="0"/>
                <w:sz w:val="18"/>
                <w:szCs w:val="18"/>
              </w:rPr>
            </w:pPr>
            <w:r>
              <w:rPr>
                <w:rFonts w:ascii="TimesNewRoman" w:hAnsi="TimesNewRoman" w:cs="TimesNewRoman"/>
                <w:b/>
                <w:kern w:val="0"/>
                <w:sz w:val="18"/>
                <w:szCs w:val="18"/>
              </w:rPr>
              <w:t>功能分类科目</w:t>
            </w:r>
          </w:p>
        </w:tc>
        <w:tc>
          <w:tcPr>
            <w:tcW w:w="5956" w:type="dxa"/>
            <w:gridSpan w:val="6"/>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b/>
                <w:bCs/>
                <w:kern w:val="0"/>
                <w:sz w:val="18"/>
                <w:szCs w:val="18"/>
              </w:rPr>
              <w:t>国有资本经营预算拨款支出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科目编码</w:t>
            </w: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科目名称</w:t>
            </w: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基本支出</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项目支出</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Cs/>
                <w:kern w:val="0"/>
                <w:sz w:val="18"/>
                <w:szCs w:val="18"/>
              </w:rPr>
            </w:pPr>
          </w:p>
        </w:tc>
        <w:tc>
          <w:tcPr>
            <w:tcW w:w="1495" w:type="dxa"/>
            <w:gridSpan w:val="2"/>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single" w:sz="4" w:space="0" w:color="auto"/>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ind w:firstLine="360" w:firstLineChars="200"/>
              <w:jc w:val="left"/>
              <w:rPr>
                <w:rFonts w:ascii="TimesNewRoman" w:hAnsi="TimesNewRoman" w:cs="TimesNewRoman"/>
                <w:kern w:val="0"/>
                <w:sz w:val="18"/>
                <w:szCs w:val="18"/>
              </w:rPr>
            </w:pPr>
            <w:r>
              <w:rPr>
                <w:rFonts w:ascii="TimesNewRoman" w:hAnsi="TimesNewRoman" w:cs="TimesNewRoman"/>
                <w:kern w:val="0"/>
                <w:sz w:val="18"/>
                <w:szCs w:val="18"/>
              </w:rPr>
              <w:t>解</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4312" w:type="dxa"/>
            <w:tcBorders>
              <w:top w:val="single" w:sz="4" w:space="0" w:color="auto"/>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bottom"/>
          </w:tcPr>
          <w:p>
            <w:pPr>
              <w:widowControl/>
              <w:spacing w:line="280" w:lineRule="exact"/>
              <w:jc w:val="center"/>
              <w:rPr>
                <w:rFonts w:ascii="TimesNewRoman" w:hAnsi="TimesNewRoman" w:cs="TimesNewRoman"/>
                <w:kern w:val="0"/>
                <w:sz w:val="18"/>
                <w:szCs w:val="18"/>
              </w:rPr>
            </w:pPr>
          </w:p>
        </w:tc>
        <w:tc>
          <w:tcPr>
            <w:tcW w:w="4312" w:type="dxa"/>
            <w:tcBorders>
              <w:top w:val="nil"/>
              <w:left w:val="nil"/>
              <w:bottom w:val="single" w:sz="4" w:space="0" w:color="auto"/>
              <w:right w:val="single" w:sz="4" w:space="0" w:color="auto"/>
            </w:tcBorders>
            <w:noWrap w:val="0"/>
            <w:vAlign w:val="bottom"/>
          </w:tcPr>
          <w:p>
            <w:pPr>
              <w:widowControl/>
              <w:spacing w:line="280" w:lineRule="exact"/>
              <w:jc w:val="center"/>
              <w:rPr>
                <w:rFonts w:ascii="TimesNewRoman" w:hAnsi="TimesNewRoman" w:cs="TimesNewRoman"/>
                <w:kern w:val="0"/>
                <w:sz w:val="18"/>
                <w:szCs w:val="18"/>
              </w:rPr>
            </w:pP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000000"/>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3483" w:type="dxa"/>
            <w:gridSpan w:val="3"/>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4312"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left"/>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5" w:type="dxa"/>
          <w:trHeight w:val="323"/>
        </w:trPr>
        <w:tc>
          <w:tcPr>
            <w:tcW w:w="7795" w:type="dxa"/>
            <w:gridSpan w:val="4"/>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hint="eastAsia"/>
                <w:sz w:val="18"/>
                <w:szCs w:val="18"/>
              </w:rPr>
              <w:t>总</w:t>
            </w:r>
            <w:r>
              <w:rPr>
                <w:rFonts w:ascii="汉仪中秀体简" w:eastAsia="汉仪中秀体简" w:hAnsi="汉仪中秀体简" w:cs="汉仪中秀体简"/>
                <w:sz w:val="18"/>
                <w:szCs w:val="18"/>
              </w:rPr>
              <w:t xml:space="preserve"> 计</w:t>
            </w:r>
          </w:p>
        </w:tc>
        <w:tc>
          <w:tcPr>
            <w:tcW w:w="1495" w:type="dxa"/>
            <w:gridSpan w:val="2"/>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013" w:type="dxa"/>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c>
          <w:tcPr>
            <w:tcW w:w="2448" w:type="dxa"/>
            <w:gridSpan w:val="3"/>
            <w:tcBorders>
              <w:top w:val="nil"/>
              <w:left w:val="nil"/>
              <w:bottom w:val="single" w:sz="4" w:space="0" w:color="auto"/>
              <w:right w:val="single" w:sz="4" w:space="0" w:color="auto"/>
            </w:tcBorders>
            <w:noWrap w:val="0"/>
            <w:vAlign w:val="center"/>
          </w:tcPr>
          <w:p>
            <w:pPr>
              <w:widowControl/>
              <w:spacing w:line="280" w:lineRule="exact"/>
              <w:jc w:val="center"/>
              <w:rPr>
                <w:rFonts w:ascii="汉仪中秀体简" w:eastAsia="汉仪中秀体简" w:hAnsi="汉仪中秀体简" w:cs="汉仪中秀体简"/>
                <w:sz w:val="18"/>
                <w:szCs w:val="18"/>
              </w:rPr>
            </w:pPr>
            <w:r>
              <w:rPr>
                <w:rFonts w:ascii="汉仪中秀体简" w:eastAsia="汉仪中秀体简" w:hAnsi="汉仪中秀体简" w:cs="汉仪中秀体简"/>
                <w:sz w:val="18"/>
                <w:szCs w:val="18"/>
              </w:rPr>
              <w:t>　</w:t>
            </w:r>
          </w:p>
        </w:tc>
      </w:tr>
      <w:tr>
        <w:tblPrEx>
          <w:tblW w:w="13876" w:type="dxa"/>
          <w:tblInd w:w="0" w:type="dxa"/>
          <w:tblLayout w:type="fixed"/>
          <w:tblCellMar>
            <w:top w:w="0" w:type="dxa"/>
            <w:left w:w="108" w:type="dxa"/>
            <w:bottom w:w="0" w:type="dxa"/>
            <w:right w:w="108" w:type="dxa"/>
          </w:tblCellMar>
        </w:tblPrEx>
        <w:trPr>
          <w:gridAfter w:val="1"/>
          <w:wAfter w:w="124" w:type="dxa"/>
          <w:trHeight w:val="633"/>
        </w:trPr>
        <w:tc>
          <w:tcPr>
            <w:tcW w:w="13752" w:type="dxa"/>
            <w:gridSpan w:val="10"/>
            <w:tcBorders>
              <w:top w:val="single" w:sz="4" w:space="0" w:color="auto"/>
              <w:left w:val="nil"/>
              <w:bottom w:val="nil"/>
              <w:right w:val="nil"/>
            </w:tcBorders>
            <w:noWrap w:val="0"/>
            <w:vAlign w:val="center"/>
          </w:tcPr>
          <w:p>
            <w:pPr>
              <w:widowControl/>
              <w:spacing w:line="560" w:lineRule="exact"/>
              <w:jc w:val="left"/>
              <w:rPr>
                <w:rFonts w:ascii="TimesNewRoman" w:hAnsi="TimesNewRoman" w:cs="TimesNewRoman"/>
                <w:kern w:val="0"/>
                <w:sz w:val="24"/>
              </w:rPr>
            </w:pPr>
            <w:r>
              <w:rPr>
                <w:rFonts w:ascii="TimesNewRoman" w:hAnsi="TimesNewRoman" w:cs="TimesNewRoman"/>
                <w:kern w:val="0"/>
                <w:sz w:val="24"/>
              </w:rPr>
              <w:t>注：没有国有资本经营收支预算的部门（单位）也要公开空白表，并备注说明：“</w:t>
            </w:r>
            <w:r>
              <w:rPr>
                <w:rFonts w:ascii="TimesNewRoman" w:hAnsi="TimesNewRoman" w:cs="TimesNewRoman" w:hint="eastAsia"/>
                <w:kern w:val="0"/>
                <w:sz w:val="24"/>
              </w:rPr>
              <w:t>寿县</w:t>
            </w:r>
            <w:r>
              <w:rPr>
                <w:rFonts w:ascii="TimesNewRoman" w:hAnsi="TimesNewRoman" w:cs="TimesNewRoman"/>
                <w:kern w:val="0"/>
                <w:sz w:val="24"/>
              </w:rPr>
              <w:t>XX（部门、单位名称）没有国有资本经营预算拨款收入，也没有国有资本经营预算拨款安排的支出，故本表无数据”。</w:t>
            </w:r>
          </w:p>
        </w:tc>
      </w:tr>
    </w:tbl>
    <w:p>
      <w:pPr>
        <w:spacing w:line="560" w:lineRule="exact"/>
        <w:jc w:val="center"/>
        <w:rPr>
          <w:rFonts w:ascii="TimesNewRoman" w:hAnsi="TimesNewRoman" w:cs="TimesNewRoman" w:hint="eastAsia"/>
          <w:kern w:val="0"/>
          <w:sz w:val="20"/>
        </w:rPr>
      </w:pPr>
    </w:p>
    <w:p>
      <w:pPr>
        <w:spacing w:line="560" w:lineRule="exact"/>
        <w:jc w:val="center"/>
        <w:rPr>
          <w:rFonts w:ascii="TimesNewRoman" w:hAnsi="TimesNewRoman" w:cs="TimesNewRoman"/>
          <w:kern w:val="0"/>
          <w:sz w:val="20"/>
        </w:rPr>
      </w:pPr>
      <w:r>
        <w:rPr>
          <w:rFonts w:ascii="TimesNewRoman" w:hAnsi="TimesNewRoman" w:cs="TimesNewRoman" w:hint="eastAsia"/>
          <w:kern w:val="0"/>
          <w:sz w:val="20"/>
        </w:rPr>
        <w:t xml:space="preserve">                                                                                                          </w:t>
      </w:r>
      <w:r>
        <w:rPr>
          <w:rFonts w:ascii="TimesNewRoman" w:hAnsi="TimesNewRoman" w:cs="TimesNewRoman"/>
          <w:kern w:val="0"/>
          <w:sz w:val="20"/>
          <w:u w:val="single"/>
        </w:rPr>
        <w:t>单位</w:t>
      </w:r>
      <w:r>
        <w:rPr>
          <w:rFonts w:ascii="TimesNewRoman" w:hAnsi="TimesNewRoman" w:cs="TimesNewRoman"/>
          <w:kern w:val="0"/>
          <w:sz w:val="20"/>
        </w:rPr>
        <w:t>公开表9</w:t>
      </w:r>
    </w:p>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三觉镇中心卫生院瓦房分院</w:t>
      </w:r>
      <w:r>
        <w:rPr>
          <w:rFonts w:ascii="宋体" w:hAnsi="宋体" w:cs="TimesNewRoman" w:hint="eastAsia"/>
          <w:b/>
          <w:bCs/>
          <w:kern w:val="0"/>
          <w:sz w:val="28"/>
          <w:szCs w:val="32"/>
        </w:rPr>
        <w:t>2024</w:t>
      </w:r>
      <w:r>
        <w:rPr>
          <w:rFonts w:ascii="宋体" w:hAnsi="宋体" w:cs="TimesNewRoman"/>
          <w:b/>
          <w:bCs/>
          <w:kern w:val="0"/>
          <w:sz w:val="28"/>
          <w:szCs w:val="32"/>
        </w:rPr>
        <w:t>年项目支出表</w:t>
      </w:r>
    </w:p>
    <w:p>
      <w:pPr>
        <w:spacing w:line="560" w:lineRule="exact"/>
        <w:ind w:left="7400" w:hanging="7400" w:hangingChars="3700"/>
        <w:rPr>
          <w:rFonts w:ascii="TimesNewRoman" w:hAnsi="TimesNewRoman" w:cs="TimesNewRoman"/>
          <w:kern w:val="0"/>
          <w:sz w:val="20"/>
        </w:rPr>
      </w:pPr>
      <w:r>
        <w:rPr>
          <w:rFonts w:ascii="TimesNewRoman" w:hAnsi="TimesNewRoman" w:cs="TimesNewRoman"/>
          <w:kern w:val="0"/>
          <w:sz w:val="20"/>
        </w:rPr>
        <w:t xml:space="preserve">                                                                                                                       单位：万元</w:t>
      </w:r>
    </w:p>
    <w:tbl>
      <w:tblPr>
        <w:tblStyle w:val="TableNormal"/>
        <w:tblW w:w="14071" w:type="dxa"/>
        <w:tblInd w:w="0" w:type="dxa"/>
        <w:tblLayout w:type="fixed"/>
        <w:tblCellMar>
          <w:top w:w="0" w:type="dxa"/>
          <w:left w:w="108" w:type="dxa"/>
          <w:bottom w:w="0" w:type="dxa"/>
          <w:right w:w="108" w:type="dxa"/>
        </w:tblCellMar>
      </w:tblPr>
      <w:tblGrid>
        <w:gridCol w:w="1194"/>
        <w:gridCol w:w="1433"/>
        <w:gridCol w:w="1353"/>
        <w:gridCol w:w="916"/>
        <w:gridCol w:w="1214"/>
        <w:gridCol w:w="1214"/>
        <w:gridCol w:w="1214"/>
        <w:gridCol w:w="1214"/>
        <w:gridCol w:w="1214"/>
        <w:gridCol w:w="1214"/>
        <w:gridCol w:w="1015"/>
        <w:gridCol w:w="876"/>
      </w:tblGrid>
      <w:tr>
        <w:tblPrEx>
          <w:tblW w:w="14071" w:type="dxa"/>
          <w:tblInd w:w="0" w:type="dxa"/>
          <w:tblLayout w:type="fixed"/>
          <w:tblCellMar>
            <w:top w:w="0" w:type="dxa"/>
            <w:left w:w="108" w:type="dxa"/>
            <w:bottom w:w="0" w:type="dxa"/>
            <w:right w:w="108" w:type="dxa"/>
          </w:tblCellMar>
        </w:tblPrEx>
        <w:trPr>
          <w:trHeight w:val="1124"/>
        </w:trPr>
        <w:tc>
          <w:tcPr>
            <w:tcW w:w="1194"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类型</w:t>
            </w:r>
          </w:p>
        </w:tc>
        <w:tc>
          <w:tcPr>
            <w:tcW w:w="1433" w:type="dxa"/>
            <w:vMerge w:val="restart"/>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项目名称</w:t>
            </w:r>
          </w:p>
        </w:tc>
        <w:tc>
          <w:tcPr>
            <w:tcW w:w="1353" w:type="dxa"/>
            <w:vMerge w:val="restart"/>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项目单位</w:t>
            </w:r>
          </w:p>
        </w:tc>
        <w:tc>
          <w:tcPr>
            <w:tcW w:w="91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合计</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本年财政拨款</w:t>
            </w:r>
          </w:p>
        </w:tc>
        <w:tc>
          <w:tcPr>
            <w:tcW w:w="3642" w:type="dxa"/>
            <w:gridSpan w:val="3"/>
            <w:tcBorders>
              <w:top w:val="single" w:sz="4" w:space="0" w:color="auto"/>
              <w:left w:val="nil"/>
              <w:bottom w:val="single" w:sz="4" w:space="0" w:color="auto"/>
              <w:right w:val="single" w:sz="4" w:space="0" w:color="000000"/>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财政拨款结转结余</w:t>
            </w:r>
          </w:p>
        </w:tc>
        <w:tc>
          <w:tcPr>
            <w:tcW w:w="1015"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财政专户管理资金</w:t>
            </w:r>
          </w:p>
        </w:tc>
        <w:tc>
          <w:tcPr>
            <w:tcW w:w="876" w:type="dxa"/>
            <w:vMerge w:val="restart"/>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单位</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资金</w:t>
            </w:r>
          </w:p>
        </w:tc>
      </w:tr>
      <w:tr>
        <w:tblPrEx>
          <w:tblW w:w="14071" w:type="dxa"/>
          <w:tblInd w:w="0" w:type="dxa"/>
          <w:tblLayout w:type="fixed"/>
          <w:tblCellMar>
            <w:top w:w="0" w:type="dxa"/>
            <w:left w:w="108" w:type="dxa"/>
            <w:bottom w:w="0" w:type="dxa"/>
            <w:right w:w="108" w:type="dxa"/>
          </w:tblCellMar>
        </w:tblPrEx>
        <w:trPr>
          <w:trHeight w:val="1124"/>
        </w:trPr>
        <w:tc>
          <w:tcPr>
            <w:tcW w:w="1194"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433" w:type="dxa"/>
            <w:vMerge/>
            <w:tcBorders>
              <w:top w:val="single" w:sz="4" w:space="0" w:color="auto"/>
              <w:left w:val="single" w:sz="4" w:space="0" w:color="auto"/>
              <w:bottom w:val="nil"/>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353" w:type="dxa"/>
            <w:vMerge/>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91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一般公共预算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政府性</w:t>
            </w:r>
          </w:p>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基金预算</w:t>
            </w:r>
          </w:p>
        </w:tc>
        <w:tc>
          <w:tcPr>
            <w:tcW w:w="1214" w:type="dxa"/>
            <w:tcBorders>
              <w:top w:val="nil"/>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国有资本经营预算</w:t>
            </w:r>
          </w:p>
        </w:tc>
        <w:tc>
          <w:tcPr>
            <w:tcW w:w="1015"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c>
          <w:tcPr>
            <w:tcW w:w="876" w:type="dxa"/>
            <w:vMerge/>
            <w:tcBorders>
              <w:top w:val="single" w:sz="4" w:space="0" w:color="auto"/>
              <w:left w:val="single" w:sz="4" w:space="0" w:color="auto"/>
              <w:bottom w:val="single" w:sz="4" w:space="0" w:color="000000"/>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b/>
                <w:bCs/>
                <w:kern w:val="0"/>
                <w:sz w:val="18"/>
                <w:szCs w:val="18"/>
                <w:lang w:eastAsia="zh-CN"/>
              </w:rPr>
            </w:pPr>
            <w:r>
              <w:rPr>
                <w:rFonts w:ascii="TimesNewRoman" w:hAnsi="TimesNewRoman" w:cs="TimesNewRoman" w:hint="eastAsia"/>
                <w:b/>
                <w:bCs/>
                <w:kern w:val="0"/>
                <w:sz w:val="18"/>
                <w:szCs w:val="18"/>
                <w:lang w:eastAsia="zh-CN"/>
              </w:rPr>
              <w:t>特定目标类</w:t>
            </w:r>
          </w:p>
        </w:tc>
        <w:tc>
          <w:tcPr>
            <w:tcW w:w="1433"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eastAsia="宋体" w:hAnsi="TimesNewRoman" w:cs="TimesNewRoman" w:hint="eastAsia"/>
                <w:kern w:val="0"/>
                <w:sz w:val="18"/>
                <w:szCs w:val="18"/>
                <w:lang w:eastAsia="zh-CN"/>
              </w:rPr>
            </w:pPr>
            <w:r>
              <w:rPr>
                <w:rFonts w:ascii="TimesNewRoman" w:hAnsi="TimesNewRoman" w:cs="TimesNewRoman" w:hint="eastAsia"/>
                <w:kern w:val="0"/>
                <w:sz w:val="18"/>
                <w:szCs w:val="18"/>
                <w:lang w:eastAsia="zh-CN"/>
              </w:rPr>
              <w:t>三年过度安置人员经费</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12.14</w:t>
            </w: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12.14</w:t>
            </w: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both"/>
              <w:rPr>
                <w:rFonts w:ascii="TimesNewRoman" w:hAnsi="TimesNewRoman" w:cs="TimesNewRoman"/>
                <w:kern w:val="0"/>
                <w:sz w:val="18"/>
                <w:szCs w:val="18"/>
              </w:rPr>
            </w:pP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1194"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1433" w:type="dxa"/>
            <w:tcBorders>
              <w:top w:val="nil"/>
              <w:left w:val="nil"/>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18"/>
                <w:szCs w:val="18"/>
              </w:rPr>
            </w:pPr>
            <w:r>
              <w:rPr>
                <w:rFonts w:ascii="TimesNewRoman" w:hAnsi="TimesNewRoman" w:cs="TimesNewRoman"/>
                <w:kern w:val="0"/>
                <w:sz w:val="18"/>
                <w:szCs w:val="18"/>
              </w:rPr>
              <w:t>　</w:t>
            </w:r>
          </w:p>
        </w:tc>
        <w:tc>
          <w:tcPr>
            <w:tcW w:w="1353"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18"/>
                <w:szCs w:val="18"/>
              </w:rPr>
            </w:pPr>
            <w:r>
              <w:rPr>
                <w:rFonts w:ascii="TimesNewRoman" w:hAnsi="TimesNewRoman" w:cs="TimesNewRoman"/>
                <w:kern w:val="0"/>
                <w:sz w:val="18"/>
                <w:szCs w:val="18"/>
              </w:rPr>
              <w:t>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18"/>
                <w:szCs w:val="18"/>
              </w:rPr>
            </w:pPr>
            <w:r>
              <w:rPr>
                <w:rFonts w:ascii="TimesNewRoman" w:hAnsi="TimesNewRoman" w:cs="TimesNewRoman"/>
                <w:kern w:val="0"/>
                <w:sz w:val="18"/>
                <w:szCs w:val="18"/>
              </w:rPr>
              <w:t>　</w:t>
            </w:r>
          </w:p>
        </w:tc>
      </w:tr>
      <w:tr>
        <w:tblPrEx>
          <w:tblW w:w="14071" w:type="dxa"/>
          <w:tblInd w:w="0" w:type="dxa"/>
          <w:tblLayout w:type="fixed"/>
          <w:tblCellMar>
            <w:top w:w="0" w:type="dxa"/>
            <w:left w:w="108" w:type="dxa"/>
            <w:bottom w:w="0" w:type="dxa"/>
            <w:right w:w="108" w:type="dxa"/>
          </w:tblCellMar>
        </w:tblPrEx>
        <w:trPr>
          <w:trHeight w:val="531"/>
        </w:trPr>
        <w:tc>
          <w:tcPr>
            <w:tcW w:w="3980" w:type="dxa"/>
            <w:gridSpan w:val="3"/>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b/>
                <w:bCs/>
                <w:kern w:val="0"/>
                <w:sz w:val="18"/>
                <w:szCs w:val="18"/>
              </w:rPr>
            </w:pPr>
            <w:r>
              <w:rPr>
                <w:rFonts w:ascii="TimesNewRoman" w:hAnsi="TimesNewRoman" w:cs="TimesNewRoman" w:hint="eastAsia"/>
                <w:b/>
                <w:bCs/>
                <w:kern w:val="0"/>
                <w:sz w:val="18"/>
                <w:szCs w:val="18"/>
              </w:rPr>
              <w:t xml:space="preserve">总 </w:t>
            </w:r>
            <w:r>
              <w:rPr>
                <w:rFonts w:ascii="TimesNewRoman" w:hAnsi="TimesNewRoman" w:cs="TimesNewRoman"/>
                <w:b/>
                <w:bCs/>
                <w:kern w:val="0"/>
                <w:sz w:val="18"/>
                <w:szCs w:val="18"/>
              </w:rPr>
              <w:t>计　</w:t>
            </w:r>
          </w:p>
        </w:tc>
        <w:tc>
          <w:tcPr>
            <w:tcW w:w="91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12.14</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hint="eastAsia"/>
                <w:b/>
                <w:bCs/>
                <w:kern w:val="0"/>
                <w:sz w:val="18"/>
                <w:szCs w:val="18"/>
                <w:lang w:val="en-US" w:eastAsia="zh-CN"/>
              </w:rPr>
              <w:t>12.14</w:t>
            </w: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214"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1015"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c>
          <w:tcPr>
            <w:tcW w:w="876"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b/>
                <w:bCs/>
                <w:kern w:val="0"/>
                <w:sz w:val="18"/>
                <w:szCs w:val="18"/>
              </w:rPr>
            </w:pPr>
            <w:r>
              <w:rPr>
                <w:rFonts w:ascii="TimesNewRoman" w:hAnsi="TimesNewRoman" w:cs="TimesNewRoman"/>
                <w:b/>
                <w:bCs/>
                <w:kern w:val="0"/>
                <w:sz w:val="18"/>
                <w:szCs w:val="18"/>
              </w:rPr>
              <w:t>　</w:t>
            </w:r>
          </w:p>
        </w:tc>
      </w:tr>
    </w:tbl>
    <w:p>
      <w:pPr>
        <w:pStyle w:val="NormalWeb"/>
        <w:wordWrap w:val="0"/>
        <w:adjustRightInd w:val="0"/>
        <w:snapToGrid w:val="0"/>
        <w:spacing w:after="156" w:afterLines="50" w:line="560" w:lineRule="exact"/>
        <w:jc w:val="center"/>
        <w:rPr>
          <w:rFonts w:ascii="TimesNewRoman" w:hAnsi="TimesNewRoman" w:cs="TimesNewRoman" w:hint="eastAsia"/>
          <w:sz w:val="20"/>
          <w:szCs w:val="20"/>
        </w:rPr>
      </w:pPr>
      <w:r>
        <w:rPr>
          <w:rFonts w:ascii="TimesNewRoman" w:hAnsi="TimesNewRoman" w:cs="TimesNewRoman" w:hint="eastAsia"/>
          <w:sz w:val="20"/>
          <w:szCs w:val="20"/>
        </w:rPr>
        <w:t xml:space="preserve">                                                 </w:t>
      </w:r>
      <w:r>
        <w:rPr>
          <w:rFonts w:ascii="TimesNewRoman" w:hAnsi="TimesNewRoman" w:cs="TimesNewRoman"/>
          <w:sz w:val="20"/>
          <w:szCs w:val="20"/>
        </w:rPr>
        <w:t xml:space="preserve">    </w:t>
      </w:r>
      <w:r>
        <w:rPr>
          <w:rFonts w:ascii="TimesNewRoman" w:hAnsi="TimesNewRoman" w:cs="TimesNewRoman" w:hint="eastAsia"/>
          <w:sz w:val="20"/>
          <w:szCs w:val="20"/>
        </w:rPr>
        <w:t xml:space="preserve">                                                  </w:t>
      </w:r>
    </w:p>
    <w:p>
      <w:pPr>
        <w:pStyle w:val="NormalWeb"/>
        <w:wordWrap w:val="0"/>
        <w:adjustRightInd w:val="0"/>
        <w:snapToGrid w:val="0"/>
        <w:spacing w:after="156" w:afterLines="50"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公开表10</w:t>
      </w:r>
    </w:p>
    <w:tbl>
      <w:tblPr>
        <w:tblStyle w:val="TableNormal"/>
        <w:tblW w:w="14109" w:type="dxa"/>
        <w:tblInd w:w="0" w:type="dxa"/>
        <w:tblLayout w:type="fixed"/>
        <w:tblCellMar>
          <w:top w:w="0" w:type="dxa"/>
          <w:left w:w="108" w:type="dxa"/>
          <w:bottom w:w="0" w:type="dxa"/>
          <w:right w:w="108" w:type="dxa"/>
        </w:tblCellMar>
      </w:tblPr>
      <w:tblGrid>
        <w:gridCol w:w="1907"/>
        <w:gridCol w:w="1827"/>
        <w:gridCol w:w="1430"/>
        <w:gridCol w:w="1643"/>
        <w:gridCol w:w="1823"/>
        <w:gridCol w:w="1811"/>
        <w:gridCol w:w="1780"/>
        <w:gridCol w:w="1888"/>
      </w:tblGrid>
      <w:tr>
        <w:tblPrEx>
          <w:tblW w:w="14109" w:type="dxa"/>
          <w:tblInd w:w="0" w:type="dxa"/>
          <w:tblLayout w:type="fixed"/>
          <w:tblCellMar>
            <w:top w:w="0" w:type="dxa"/>
            <w:left w:w="108" w:type="dxa"/>
            <w:bottom w:w="0" w:type="dxa"/>
            <w:right w:w="108" w:type="dxa"/>
          </w:tblCellMar>
        </w:tblPrEx>
        <w:trPr>
          <w:trHeight w:val="482"/>
        </w:trPr>
        <w:tc>
          <w:tcPr>
            <w:tcW w:w="14109" w:type="dxa"/>
            <w:gridSpan w:val="8"/>
            <w:tcBorders>
              <w:top w:val="nil"/>
              <w:left w:val="nil"/>
              <w:bottom w:val="nil"/>
              <w:right w:val="nil"/>
            </w:tcBorders>
            <w:noWrap w:val="0"/>
            <w:vAlign w:val="center"/>
          </w:tcPr>
          <w:p>
            <w:pPr>
              <w:widowControl/>
              <w:spacing w:line="280" w:lineRule="exact"/>
              <w:jc w:val="center"/>
              <w:rPr>
                <w:rFonts w:ascii="TimesNewRoman" w:eastAsia="华文中宋" w:hAnsi="TimesNewRoman" w:cs="TimesNewRoman"/>
                <w:b/>
                <w:bCs/>
                <w:kern w:val="0"/>
                <w:szCs w:val="32"/>
              </w:rPr>
            </w:pPr>
            <w:r>
              <w:rPr>
                <w:rFonts w:ascii="TimesNewRoman" w:eastAsia="华文中宋" w:hAnsi="TimesNewRoman" w:cs="TimesNewRoman" w:hint="eastAsia"/>
                <w:b/>
                <w:bCs/>
                <w:kern w:val="0"/>
                <w:szCs w:val="32"/>
              </w:rPr>
              <w:t>寿县</w:t>
            </w:r>
            <w:r>
              <w:rPr>
                <w:rFonts w:ascii="宋体" w:hAnsi="宋体" w:cs="TimesNewRoman" w:hint="eastAsia"/>
                <w:b/>
                <w:bCs/>
                <w:kern w:val="0"/>
                <w:sz w:val="18"/>
                <w:szCs w:val="20"/>
                <w:lang w:eastAsia="zh-CN"/>
              </w:rPr>
              <w:t>三觉镇中心卫生院瓦房分院</w:t>
            </w:r>
            <w:r>
              <w:rPr>
                <w:rFonts w:ascii="TimesNewRoman" w:eastAsia="华文中宋" w:hAnsi="TimesNewRoman" w:cs="TimesNewRoman" w:hint="eastAsia"/>
                <w:b/>
                <w:bCs/>
                <w:kern w:val="0"/>
                <w:szCs w:val="32"/>
              </w:rPr>
              <w:t>2024</w:t>
            </w:r>
            <w:r>
              <w:rPr>
                <w:rFonts w:ascii="TimesNewRoman" w:eastAsia="华文中宋" w:hAnsi="TimesNewRoman" w:cs="TimesNewRoman"/>
                <w:b/>
                <w:bCs/>
                <w:kern w:val="0"/>
                <w:szCs w:val="32"/>
              </w:rPr>
              <w:t>年政府采购支出表</w:t>
            </w:r>
          </w:p>
          <w:p>
            <w:pPr>
              <w:widowControl/>
              <w:spacing w:line="280" w:lineRule="exact"/>
              <w:jc w:val="center"/>
              <w:rPr>
                <w:rFonts w:ascii="TimesNewRoman" w:hAnsi="TimesNewRoman" w:cs="TimesNewRoman"/>
                <w:b/>
                <w:bCs/>
                <w:kern w:val="0"/>
                <w:szCs w:val="32"/>
              </w:rPr>
            </w:pPr>
            <w:r>
              <w:rPr>
                <w:rFonts w:ascii="TimesNewRoman" w:hAnsi="TimesNewRoman" w:cs="TimesNewRoman"/>
                <w:kern w:val="0"/>
                <w:sz w:val="20"/>
              </w:rPr>
              <w:t xml:space="preserve">                                                                      单位：万元</w:t>
            </w:r>
          </w:p>
        </w:tc>
      </w:tr>
      <w:tr>
        <w:tblPrEx>
          <w:tblW w:w="14109" w:type="dxa"/>
          <w:tblInd w:w="0" w:type="dxa"/>
          <w:tblLayout w:type="fixed"/>
          <w:tblCellMar>
            <w:top w:w="0" w:type="dxa"/>
            <w:left w:w="108" w:type="dxa"/>
            <w:bottom w:w="0" w:type="dxa"/>
            <w:right w:w="108" w:type="dxa"/>
          </w:tblCellMar>
        </w:tblPrEx>
        <w:trPr>
          <w:trHeight w:val="800"/>
        </w:trPr>
        <w:tc>
          <w:tcPr>
            <w:tcW w:w="1907" w:type="dxa"/>
            <w:tcBorders>
              <w:top w:val="single" w:sz="4" w:space="0" w:color="auto"/>
              <w:left w:val="single" w:sz="4" w:space="0" w:color="auto"/>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项目名称</w:t>
            </w:r>
          </w:p>
        </w:tc>
        <w:tc>
          <w:tcPr>
            <w:tcW w:w="1827"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政府采购品目</w:t>
            </w:r>
          </w:p>
        </w:tc>
        <w:tc>
          <w:tcPr>
            <w:tcW w:w="143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合计</w:t>
            </w:r>
          </w:p>
        </w:tc>
        <w:tc>
          <w:tcPr>
            <w:tcW w:w="164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一般公共预算</w:t>
            </w:r>
          </w:p>
        </w:tc>
        <w:tc>
          <w:tcPr>
            <w:tcW w:w="1823"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政府性</w:t>
            </w:r>
          </w:p>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基金预算</w:t>
            </w:r>
          </w:p>
        </w:tc>
        <w:tc>
          <w:tcPr>
            <w:tcW w:w="1811"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国有资本经营预算</w:t>
            </w:r>
          </w:p>
        </w:tc>
        <w:tc>
          <w:tcPr>
            <w:tcW w:w="1780"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财政专户管理资金</w:t>
            </w:r>
          </w:p>
        </w:tc>
        <w:tc>
          <w:tcPr>
            <w:tcW w:w="1888" w:type="dxa"/>
            <w:tcBorders>
              <w:top w:val="single" w:sz="4" w:space="0" w:color="auto"/>
              <w:left w:val="nil"/>
              <w:bottom w:val="nil"/>
              <w:right w:val="single" w:sz="4" w:space="0" w:color="auto"/>
            </w:tcBorders>
            <w:noWrap w:val="0"/>
            <w:vAlign w:val="center"/>
          </w:tcPr>
          <w:p>
            <w:pPr>
              <w:widowControl/>
              <w:spacing w:line="280" w:lineRule="exact"/>
              <w:jc w:val="center"/>
              <w:rPr>
                <w:rFonts w:ascii="TimesNewRoman" w:hAnsi="TimesNewRoman" w:cs="TimesNewRoman"/>
                <w:b/>
                <w:bCs/>
                <w:kern w:val="0"/>
                <w:sz w:val="20"/>
              </w:rPr>
            </w:pPr>
            <w:r>
              <w:rPr>
                <w:rFonts w:ascii="TimesNewRoman" w:hAnsi="TimesNewRoman" w:cs="TimesNewRoman"/>
                <w:b/>
                <w:bCs/>
                <w:kern w:val="0"/>
                <w:sz w:val="20"/>
              </w:rPr>
              <w:t>单位资金</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single" w:sz="4" w:space="0" w:color="auto"/>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single" w:sz="4" w:space="0" w:color="auto"/>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single" w:sz="4" w:space="0" w:color="auto"/>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1907" w:type="dxa"/>
            <w:tcBorders>
              <w:top w:val="nil"/>
              <w:left w:val="single" w:sz="4" w:space="0" w:color="auto"/>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827" w:type="dxa"/>
            <w:tcBorders>
              <w:top w:val="nil"/>
              <w:left w:val="nil"/>
              <w:bottom w:val="single" w:sz="4" w:space="0" w:color="auto"/>
              <w:right w:val="single" w:sz="4" w:space="0" w:color="auto"/>
            </w:tcBorders>
            <w:noWrap w:val="0"/>
            <w:vAlign w:val="center"/>
          </w:tcPr>
          <w:p>
            <w:pPr>
              <w:widowControl/>
              <w:spacing w:line="280" w:lineRule="exact"/>
              <w:jc w:val="left"/>
              <w:rPr>
                <w:rFonts w:ascii="TimesNewRoman" w:hAnsi="TimesNewRoman" w:cs="TimesNewRoman"/>
                <w:kern w:val="0"/>
                <w:sz w:val="20"/>
              </w:rPr>
            </w:pPr>
            <w:r>
              <w:rPr>
                <w:rFonts w:ascii="TimesNewRoman" w:hAnsi="TimesNewRoman" w:cs="TimesNewRoman"/>
                <w:kern w:val="0"/>
                <w:sz w:val="20"/>
              </w:rPr>
              <w:t>　</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r>
        <w:tblPrEx>
          <w:tblW w:w="14109" w:type="dxa"/>
          <w:tblInd w:w="0" w:type="dxa"/>
          <w:tblLayout w:type="fixed"/>
          <w:tblCellMar>
            <w:top w:w="0" w:type="dxa"/>
            <w:left w:w="108" w:type="dxa"/>
            <w:bottom w:w="0" w:type="dxa"/>
            <w:right w:w="108" w:type="dxa"/>
          </w:tblCellMar>
        </w:tblPrEx>
        <w:trPr>
          <w:trHeight w:val="496"/>
        </w:trPr>
        <w:tc>
          <w:tcPr>
            <w:tcW w:w="3734" w:type="dxa"/>
            <w:gridSpan w:val="2"/>
            <w:tcBorders>
              <w:top w:val="nil"/>
              <w:left w:val="single" w:sz="4" w:space="0" w:color="auto"/>
              <w:bottom w:val="single" w:sz="4" w:space="0" w:color="auto"/>
              <w:right w:val="single" w:sz="4" w:space="0" w:color="auto"/>
            </w:tcBorders>
            <w:noWrap w:val="0"/>
            <w:vAlign w:val="center"/>
          </w:tcPr>
          <w:p>
            <w:pPr>
              <w:widowControl/>
              <w:spacing w:line="280" w:lineRule="exact"/>
              <w:jc w:val="center"/>
              <w:rPr>
                <w:rFonts w:ascii="TimesNewRoman" w:hAnsi="TimesNewRoman" w:cs="TimesNewRoman"/>
                <w:kern w:val="0"/>
                <w:sz w:val="20"/>
              </w:rPr>
            </w:pPr>
            <w:r>
              <w:rPr>
                <w:rFonts w:ascii="TimesNewRoman" w:hAnsi="TimesNewRoman" w:cs="TimesNewRoman" w:hint="eastAsia"/>
                <w:b/>
                <w:sz w:val="20"/>
              </w:rPr>
              <w:t>总</w:t>
            </w:r>
            <w:r>
              <w:rPr>
                <w:rFonts w:ascii="TimesNewRoman" w:hAnsi="TimesNewRoman" w:cs="TimesNewRoman"/>
                <w:b/>
                <w:sz w:val="20"/>
              </w:rPr>
              <w:t xml:space="preserve"> 计</w:t>
            </w:r>
          </w:p>
        </w:tc>
        <w:tc>
          <w:tcPr>
            <w:tcW w:w="143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64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23"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11"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780"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c>
          <w:tcPr>
            <w:tcW w:w="1888" w:type="dxa"/>
            <w:tcBorders>
              <w:top w:val="nil"/>
              <w:left w:val="nil"/>
              <w:bottom w:val="single" w:sz="4" w:space="0" w:color="auto"/>
              <w:right w:val="single" w:sz="4" w:space="0" w:color="auto"/>
            </w:tcBorders>
            <w:noWrap w:val="0"/>
            <w:vAlign w:val="center"/>
          </w:tcPr>
          <w:p>
            <w:pPr>
              <w:widowControl/>
              <w:spacing w:line="280" w:lineRule="exact"/>
              <w:jc w:val="right"/>
              <w:rPr>
                <w:rFonts w:ascii="TimesNewRoman" w:hAnsi="TimesNewRoman" w:cs="TimesNewRoman"/>
                <w:kern w:val="0"/>
                <w:sz w:val="20"/>
              </w:rPr>
            </w:pPr>
            <w:r>
              <w:rPr>
                <w:rFonts w:ascii="TimesNewRoman" w:hAnsi="TimesNewRoman" w:cs="TimesNewRoman"/>
                <w:kern w:val="0"/>
                <w:sz w:val="20"/>
              </w:rPr>
              <w:t>　</w:t>
            </w:r>
          </w:p>
        </w:tc>
      </w:tr>
    </w:tbl>
    <w:p>
      <w:pPr>
        <w:spacing w:line="560" w:lineRule="exact"/>
        <w:rPr>
          <w:rFonts w:ascii="TimesNewRoman" w:hAnsi="TimesNewRoman" w:cs="TimesNewRoman"/>
          <w:kern w:val="0"/>
          <w:sz w:val="22"/>
        </w:rPr>
      </w:pPr>
      <w:r>
        <w:rPr>
          <w:rFonts w:ascii="TimesNewRoman" w:hAnsi="TimesNewRoman" w:cs="TimesNewRoman"/>
          <w:kern w:val="0"/>
          <w:sz w:val="22"/>
        </w:rPr>
        <w:t>注：未安排政府采购预算的部门（单位），也要公开空白表，并备注说明“</w:t>
      </w:r>
      <w:r>
        <w:rPr>
          <w:rFonts w:ascii="TimesNewRoman" w:hAnsi="TimesNewRoman" w:cs="TimesNewRoman" w:hint="eastAsia"/>
          <w:kern w:val="0"/>
          <w:sz w:val="22"/>
        </w:rPr>
        <w:t>寿县</w:t>
      </w:r>
      <w:r>
        <w:rPr>
          <w:rFonts w:ascii="TimesNewRoman" w:hAnsi="TimesNewRoman" w:cs="TimesNewRoman"/>
          <w:kern w:val="0"/>
          <w:sz w:val="22"/>
        </w:rPr>
        <w:t>XX（部门、单位名称）没有使用一般公共预算拨款、政府性基金预算拨款、国有资本经营预算拨款、财政专户管理资金和单位资金安排的政府采购支出，故本表无数据”。</w:t>
      </w:r>
    </w:p>
    <w:p>
      <w:pPr>
        <w:spacing w:line="560" w:lineRule="exact"/>
        <w:rPr>
          <w:rFonts w:ascii="TimesNewRoman" w:hAnsi="TimesNewRoman" w:cs="TimesNewRoman"/>
        </w:rPr>
      </w:pPr>
    </w:p>
    <w:p>
      <w:pPr>
        <w:spacing w:line="560" w:lineRule="exact"/>
        <w:rPr>
          <w:rFonts w:ascii="TimesNewRoman" w:hAnsi="TimesNewRoman" w:cs="TimesNewRoman"/>
        </w:rPr>
      </w:pPr>
    </w:p>
    <w:p>
      <w:pPr>
        <w:pStyle w:val="NormalWeb"/>
        <w:wordWrap w:val="0"/>
        <w:adjustRightInd w:val="0"/>
        <w:snapToGrid w:val="0"/>
        <w:spacing w:line="560" w:lineRule="exact"/>
        <w:jc w:val="center"/>
        <w:rPr>
          <w:rFonts w:ascii="TimesNewRoman" w:hAnsi="TimesNewRoman" w:cs="TimesNewRoman"/>
          <w:sz w:val="20"/>
          <w:szCs w:val="20"/>
        </w:rPr>
      </w:pPr>
      <w:r>
        <w:rPr>
          <w:rFonts w:ascii="TimesNewRoman" w:hAnsi="TimesNewRoman" w:cs="TimesNewRoman" w:hint="eastAsia"/>
          <w:sz w:val="20"/>
          <w:szCs w:val="20"/>
        </w:rPr>
        <w:t xml:space="preserve">                                                                                                          </w:t>
      </w:r>
      <w:r>
        <w:rPr>
          <w:rFonts w:ascii="TimesNewRoman" w:hAnsi="TimesNewRoman" w:cs="TimesNewRoman"/>
          <w:sz w:val="20"/>
          <w:szCs w:val="20"/>
          <w:u w:val="single"/>
        </w:rPr>
        <w:t>单位</w:t>
      </w:r>
      <w:r>
        <w:rPr>
          <w:rFonts w:ascii="TimesNewRoman" w:hAnsi="TimesNewRoman" w:cs="TimesNewRoman"/>
          <w:sz w:val="20"/>
          <w:szCs w:val="20"/>
        </w:rPr>
        <w:t>公开表11</w:t>
      </w:r>
    </w:p>
    <w:tbl>
      <w:tblPr>
        <w:tblStyle w:val="TableNormal"/>
        <w:tblW w:w="13709" w:type="dxa"/>
        <w:jc w:val="center"/>
        <w:tblLayout w:type="fixed"/>
        <w:tblCellMar>
          <w:top w:w="0" w:type="dxa"/>
          <w:left w:w="108" w:type="dxa"/>
          <w:bottom w:w="0" w:type="dxa"/>
          <w:right w:w="108" w:type="dxa"/>
        </w:tblCellMar>
      </w:tblPr>
      <w:tblGrid>
        <w:gridCol w:w="2068"/>
        <w:gridCol w:w="1948"/>
        <w:gridCol w:w="1780"/>
        <w:gridCol w:w="1928"/>
        <w:gridCol w:w="2477"/>
        <w:gridCol w:w="1680"/>
        <w:gridCol w:w="1811"/>
        <w:gridCol w:w="17"/>
      </w:tblGrid>
      <w:tr>
        <w:tblPrEx>
          <w:tblW w:w="13709" w:type="dxa"/>
          <w:jc w:val="center"/>
          <w:tblLayout w:type="fixed"/>
          <w:tblCellMar>
            <w:top w:w="0" w:type="dxa"/>
            <w:left w:w="108" w:type="dxa"/>
            <w:bottom w:w="0" w:type="dxa"/>
            <w:right w:w="108" w:type="dxa"/>
          </w:tblCellMar>
        </w:tblPrEx>
        <w:trPr>
          <w:gridAfter w:val="1"/>
          <w:wAfter w:w="17" w:type="dxa"/>
          <w:trHeight w:val="673"/>
          <w:jc w:val="center"/>
        </w:trPr>
        <w:tc>
          <w:tcPr>
            <w:tcW w:w="13692" w:type="dxa"/>
            <w:gridSpan w:val="7"/>
            <w:tcBorders>
              <w:top w:val="nil"/>
              <w:left w:val="nil"/>
              <w:bottom w:val="nil"/>
              <w:right w:val="nil"/>
            </w:tcBorders>
            <w:noWrap w:val="0"/>
            <w:vAlign w:val="center"/>
          </w:tcPr>
          <w:p>
            <w:pPr>
              <w:spacing w:line="560" w:lineRule="exact"/>
              <w:jc w:val="center"/>
              <w:rPr>
                <w:rFonts w:ascii="宋体" w:hAnsi="宋体" w:cs="TimesNewRoman"/>
                <w:b/>
                <w:bCs/>
                <w:kern w:val="0"/>
                <w:sz w:val="28"/>
                <w:szCs w:val="32"/>
              </w:rPr>
            </w:pPr>
            <w:r>
              <w:rPr>
                <w:rFonts w:ascii="宋体" w:hAnsi="宋体" w:cs="TimesNewRoman" w:hint="eastAsia"/>
                <w:b/>
                <w:bCs/>
                <w:kern w:val="0"/>
                <w:sz w:val="28"/>
                <w:szCs w:val="32"/>
              </w:rPr>
              <w:t>寿县</w:t>
            </w:r>
            <w:r>
              <w:rPr>
                <w:rFonts w:ascii="宋体" w:hAnsi="宋体" w:cs="TimesNewRoman" w:hint="eastAsia"/>
                <w:b/>
                <w:bCs/>
                <w:kern w:val="0"/>
                <w:sz w:val="28"/>
                <w:szCs w:val="32"/>
                <w:lang w:eastAsia="zh-CN"/>
              </w:rPr>
              <w:t>三觉镇中心卫生院瓦房分院</w:t>
            </w:r>
            <w:r>
              <w:rPr>
                <w:rFonts w:ascii="宋体" w:hAnsi="宋体" w:cs="TimesNewRoman" w:hint="eastAsia"/>
                <w:b/>
                <w:bCs/>
                <w:kern w:val="0"/>
                <w:sz w:val="28"/>
                <w:szCs w:val="32"/>
              </w:rPr>
              <w:t>2024</w:t>
            </w:r>
            <w:r>
              <w:rPr>
                <w:rFonts w:ascii="宋体" w:hAnsi="宋体" w:cs="TimesNewRoman"/>
                <w:b/>
                <w:bCs/>
                <w:kern w:val="0"/>
                <w:sz w:val="28"/>
                <w:szCs w:val="32"/>
              </w:rPr>
              <w:t>年政府购买服务支出表</w:t>
            </w:r>
          </w:p>
          <w:p>
            <w:pPr>
              <w:widowControl/>
              <w:spacing w:line="560" w:lineRule="exact"/>
              <w:jc w:val="center"/>
              <w:rPr>
                <w:rFonts w:ascii="TimesNewRoman" w:hAnsi="TimesNewRoman" w:cs="TimesNewRoman"/>
                <w:kern w:val="0"/>
                <w:sz w:val="20"/>
              </w:rPr>
            </w:pPr>
            <w:r>
              <w:rPr>
                <w:rFonts w:ascii="TimesNewRoman" w:hAnsi="TimesNewRoman" w:cs="TimesNewRoman"/>
                <w:kern w:val="0"/>
                <w:sz w:val="20"/>
              </w:rPr>
              <w:t xml:space="preserve">                                                                                                                    单位：万元</w:t>
            </w:r>
          </w:p>
        </w:tc>
      </w:tr>
      <w:tr>
        <w:tblPrEx>
          <w:tblW w:w="13709" w:type="dxa"/>
          <w:jc w:val="center"/>
          <w:tblLayout w:type="fixed"/>
          <w:tblCellMar>
            <w:top w:w="15" w:type="dxa"/>
            <w:left w:w="15" w:type="dxa"/>
            <w:bottom w:w="15" w:type="dxa"/>
            <w:right w:w="15" w:type="dxa"/>
          </w:tblCellMar>
        </w:tblPrEx>
        <w:trPr>
          <w:trHeight w:val="922"/>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项目名称</w:t>
            </w: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一级目录名称</w:t>
            </w: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二级目录名称</w:t>
            </w: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三级目录名称</w:t>
            </w: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政府购买服务内容</w:t>
            </w: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购买数量</w:t>
            </w: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widowControl/>
              <w:spacing w:line="280" w:lineRule="exact"/>
              <w:jc w:val="center"/>
              <w:textAlignment w:val="center"/>
              <w:rPr>
                <w:rFonts w:ascii="TimesNewRoman" w:hAnsi="TimesNewRoman" w:cs="TimesNewRoman"/>
                <w:b/>
                <w:sz w:val="18"/>
                <w:szCs w:val="18"/>
              </w:rPr>
            </w:pPr>
            <w:r>
              <w:rPr>
                <w:rFonts w:ascii="TimesNewRoman" w:hAnsi="TimesNewRoman" w:cs="TimesNewRoman"/>
                <w:b/>
                <w:kern w:val="0"/>
                <w:sz w:val="18"/>
                <w:szCs w:val="18"/>
                <w:lang w:bidi="ar"/>
              </w:rPr>
              <w:t>购买金额</w:t>
            </w: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lef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righ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r>
        <w:tblPrEx>
          <w:tblW w:w="13709" w:type="dxa"/>
          <w:jc w:val="center"/>
          <w:tblLayout w:type="fixed"/>
          <w:tblCellMar>
            <w:top w:w="15" w:type="dxa"/>
            <w:left w:w="15" w:type="dxa"/>
            <w:bottom w:w="15" w:type="dxa"/>
            <w:right w:w="15" w:type="dxa"/>
          </w:tblCellMar>
        </w:tblPrEx>
        <w:trPr>
          <w:trHeight w:val="711"/>
          <w:jc w:val="center"/>
        </w:trPr>
        <w:tc>
          <w:tcPr>
            <w:tcW w:w="2068" w:type="dxa"/>
            <w:tcBorders>
              <w:top w:val="single" w:sz="4" w:space="0" w:color="000000"/>
              <w:left w:val="single" w:sz="4" w:space="0" w:color="000000"/>
              <w:bottom w:val="single" w:sz="4" w:space="0" w:color="000000"/>
              <w:right w:val="single" w:sz="4" w:space="0" w:color="000000"/>
            </w:tcBorders>
            <w:noWrap w:val="0"/>
            <w:vAlign w:val="center"/>
          </w:tcPr>
          <w:p>
            <w:pPr>
              <w:spacing w:line="280" w:lineRule="exact"/>
              <w:jc w:val="center"/>
              <w:rPr>
                <w:rFonts w:ascii="TimesNewRoman" w:hAnsi="TimesNewRoman" w:cs="TimesNewRoman"/>
                <w:b/>
                <w:sz w:val="18"/>
                <w:szCs w:val="18"/>
              </w:rPr>
            </w:pPr>
            <w:r>
              <w:rPr>
                <w:rFonts w:ascii="TimesNewRoman" w:hAnsi="TimesNewRoman" w:cs="TimesNewRoman"/>
                <w:b/>
                <w:sz w:val="18"/>
                <w:szCs w:val="18"/>
              </w:rPr>
              <w:t>合</w:t>
            </w:r>
            <w:r>
              <w:rPr>
                <w:rFonts w:ascii="TimesNewRoman" w:hAnsi="TimesNewRoman" w:cs="TimesNewRoman" w:hint="eastAsia"/>
                <w:b/>
                <w:sz w:val="18"/>
                <w:szCs w:val="18"/>
              </w:rPr>
              <w:t xml:space="preserve"> </w:t>
            </w:r>
            <w:r>
              <w:rPr>
                <w:rFonts w:ascii="TimesNewRoman" w:hAnsi="TimesNewRoman" w:cs="TimesNewRoman"/>
                <w:b/>
                <w:sz w:val="18"/>
                <w:szCs w:val="18"/>
              </w:rPr>
              <w:t>计</w:t>
            </w:r>
          </w:p>
        </w:tc>
        <w:tc>
          <w:tcPr>
            <w:tcW w:w="194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7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928"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2477"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680" w:type="dxa"/>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c>
          <w:tcPr>
            <w:tcW w:w="1828" w:type="dxa"/>
            <w:gridSpan w:val="2"/>
            <w:tcBorders>
              <w:top w:val="single" w:sz="4" w:space="0" w:color="000000"/>
              <w:left w:val="single" w:sz="4" w:space="0" w:color="000000"/>
              <w:bottom w:val="single" w:sz="4" w:space="0" w:color="000000"/>
              <w:right w:val="single" w:sz="4" w:space="0" w:color="000000"/>
            </w:tcBorders>
            <w:noWrap w:val="0"/>
            <w:vAlign w:val="bottom"/>
          </w:tcPr>
          <w:p>
            <w:pPr>
              <w:spacing w:line="280" w:lineRule="exact"/>
              <w:rPr>
                <w:rFonts w:ascii="TimesNewRoman" w:hAnsi="TimesNewRoman" w:cs="TimesNewRoman"/>
                <w:sz w:val="18"/>
                <w:szCs w:val="18"/>
              </w:rPr>
            </w:pPr>
          </w:p>
        </w:tc>
      </w:tr>
    </w:tbl>
    <w:p>
      <w:pPr>
        <w:spacing w:line="560" w:lineRule="exact"/>
        <w:rPr>
          <w:rFonts w:ascii="TimesNewRoman" w:hAnsi="TimesNewRoman" w:cs="TimesNewRoman"/>
          <w:kern w:val="0"/>
          <w:sz w:val="22"/>
        </w:rPr>
      </w:pPr>
      <w:r>
        <w:rPr>
          <w:rFonts w:ascii="TimesNewRoman" w:hAnsi="TimesNewRoman" w:cs="TimesNewRoman"/>
          <w:kern w:val="0"/>
          <w:sz w:val="22"/>
        </w:rPr>
        <w:t>注：未安排政府购买服务预算的（单位），也要公开空白表，并备注说明“</w:t>
      </w:r>
      <w:r>
        <w:rPr>
          <w:rFonts w:ascii="TimesNewRoman" w:hAnsi="TimesNewRoman" w:cs="TimesNewRoman" w:hint="eastAsia"/>
          <w:kern w:val="0"/>
          <w:sz w:val="22"/>
        </w:rPr>
        <w:t>寿县</w:t>
      </w:r>
      <w:r>
        <w:rPr>
          <w:rFonts w:ascii="TimesNewRoman" w:hAnsi="TimesNewRoman" w:cs="TimesNewRoman"/>
          <w:kern w:val="0"/>
          <w:sz w:val="22"/>
        </w:rPr>
        <w:t>XX（部门、单位名称）没有安排政府购买服务支出，故本表无数据”。</w:t>
      </w:r>
    </w:p>
    <w:p>
      <w:pPr>
        <w:pStyle w:val="NormalWeb"/>
        <w:adjustRightInd w:val="0"/>
        <w:snapToGrid w:val="0"/>
        <w:spacing w:before="100" w:after="100" w:line="560" w:lineRule="exact"/>
        <w:ind w:firstLine="640" w:firstLineChars="200"/>
        <w:rPr>
          <w:rFonts w:ascii="TimesNewRoman" w:eastAsia="楷体_GB2312" w:hAnsi="TimesNewRoman" w:cs="TimesNewRoman"/>
          <w:bCs/>
          <w:sz w:val="32"/>
          <w:szCs w:val="32"/>
        </w:rPr>
        <w:sectPr>
          <w:pgSz w:w="16840" w:h="11907" w:orient="landscape"/>
          <w:pgMar w:top="1588" w:right="1531" w:bottom="1474" w:left="1560" w:header="851" w:footer="1021" w:gutter="0"/>
          <w:cols w:num="1" w:space="425"/>
          <w:docGrid w:type="linesAndChars" w:linePitch="312" w:charSpace="0"/>
        </w:sectPr>
      </w:pPr>
    </w:p>
    <w:p>
      <w:pPr>
        <w:pStyle w:val="NormalWeb"/>
        <w:topLinePunct/>
        <w:adjustRightInd w:val="0"/>
        <w:snapToGrid w:val="0"/>
        <w:spacing w:beforeAutospacing="0" w:afterAutospacing="0" w:line="560" w:lineRule="exact"/>
        <w:jc w:val="center"/>
        <w:rPr>
          <w:rFonts w:ascii="TimesNewRoman" w:eastAsia="黑体" w:hAnsi="TimesNewRoman" w:cs="TimesNewRoman" w:hint="eastAsia"/>
          <w:bCs/>
          <w:sz w:val="36"/>
          <w:szCs w:val="36"/>
        </w:rPr>
      </w:pPr>
    </w:p>
    <w:p>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 xml:space="preserve">第三部分 </w:t>
      </w:r>
      <w:r>
        <w:rPr>
          <w:rFonts w:ascii="TimesNewRoman" w:eastAsia="黑体" w:hAnsi="TimesNewRoman" w:cs="TimesNewRoman" w:hint="eastAsia"/>
          <w:bCs/>
          <w:sz w:val="36"/>
          <w:szCs w:val="36"/>
        </w:rPr>
        <w:t>2024</w:t>
      </w:r>
      <w:r>
        <w:rPr>
          <w:rFonts w:ascii="TimesNewRoman" w:eastAsia="黑体" w:hAnsi="TimesNewRoman" w:cs="TimesNewRoman"/>
          <w:bCs/>
          <w:sz w:val="36"/>
          <w:szCs w:val="36"/>
        </w:rPr>
        <w:t>年单位预算情况说明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一、关于2024年收支总表的说明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按照综合预算的原则，寿县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所有收入和支出均纳入</w:t>
      </w:r>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预算管理。寿县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2024年收支总预算</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万元，收入包括一般公共预算拨款收入、政府性基金预算拨款收入、国有资本经营预算拨款收入、财政专户管理资金收入、单位资金收入</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支出包括：一般公共服务支出、社会保障和就业支出、卫生健康支出、住房保障支出。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二、关于2024年收入总表的说明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2024年收入预算</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元，上年结转收入</w:t>
      </w:r>
      <w:r>
        <w:rPr>
          <w:rFonts w:ascii="仿宋_GB2312" w:eastAsia="仿宋_GB2312" w:hAnsi="TimesNewRoman" w:cs="TimesNewRoman" w:hint="eastAsia"/>
          <w:sz w:val="32"/>
          <w:szCs w:val="32"/>
          <w:lang w:val="en-US" w:eastAsia="zh-CN"/>
        </w:rPr>
        <w:t>96.79</w:t>
      </w:r>
      <w:r>
        <w:rPr>
          <w:rFonts w:ascii="仿宋_GB2312" w:eastAsia="仿宋_GB2312" w:hAnsi="TimesNewRoman" w:cs="TimesNewRoman" w:hint="eastAsia"/>
          <w:sz w:val="32"/>
          <w:szCs w:val="32"/>
        </w:rPr>
        <w:t>万元。</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（一）本年收入</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100</w:t>
      </w:r>
      <w:r>
        <w:rPr>
          <w:rFonts w:ascii="仿宋_GB2312" w:eastAsia="仿宋_GB2312" w:hAnsi="TimesNewRoman" w:cs="TimesNewRoman" w:hint="eastAsia"/>
          <w:sz w:val="32"/>
          <w:szCs w:val="32"/>
        </w:rPr>
        <w:t>%，比2023年预算增加</w:t>
      </w:r>
      <w:r>
        <w:rPr>
          <w:rFonts w:ascii="仿宋_GB2312" w:eastAsia="仿宋_GB2312" w:hAnsi="TimesNewRoman" w:cs="TimesNewRoman" w:hint="eastAsia"/>
          <w:sz w:val="32"/>
          <w:szCs w:val="32"/>
          <w:lang w:val="en-US" w:eastAsia="zh-CN"/>
        </w:rPr>
        <w:t>19.13</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29</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退休人员补贴增加</w:t>
      </w:r>
      <w:r>
        <w:rPr>
          <w:rFonts w:ascii="仿宋_GB2312" w:eastAsia="仿宋_GB2312" w:hAnsi="TimesNewRoman" w:cs="TimesNewRoman" w:hint="eastAsia"/>
          <w:sz w:val="32"/>
          <w:szCs w:val="32"/>
        </w:rPr>
        <w:t>；政府性基金预算拨款收入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%，增长（下降）原因主要是</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国有资本经营预算拨款收入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%，增长（下降）原因主要是</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财政专户管理资金收入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%，增长（下降）原因主要是</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%，增长（下降）原因主要是。</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万元，主要包括：一般公共预算拨款收入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%，增长（下降）原因主要是</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政府性基金预算拨款收入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%，增长（下降）原因主要是</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国有资本经营预算拨款收入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%，增长（下降）原因主要是</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财政专户管理资金收入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%，增长（下降）原因主要是</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单位资金收入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%，增长（下降）原因主要是。</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三、关于2024年支出总表的说明</w:t>
      </w:r>
    </w:p>
    <w:p>
      <w:pPr>
        <w:topLinePunct/>
        <w:adjustRightInd w:val="0"/>
        <w:snapToGrid w:val="0"/>
        <w:spacing w:line="58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2024年支出预算</w:t>
      </w:r>
      <w:r>
        <w:rPr>
          <w:rFonts w:ascii="仿宋_GB2312" w:eastAsia="仿宋_GB2312" w:hAnsi="TimesNewRoman" w:cs="TimesNewRoman" w:hint="eastAsia"/>
          <w:sz w:val="32"/>
          <w:szCs w:val="32"/>
          <w:lang w:val="en-US" w:eastAsia="zh-CN"/>
        </w:rPr>
        <w:t>51.77</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15.73</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30</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退休人员补贴增加。</w:t>
      </w:r>
      <w:r>
        <w:rPr>
          <w:rFonts w:ascii="仿宋_GB2312" w:eastAsia="仿宋_GB2312" w:hAnsi="TimesNewRoman" w:cs="TimesNewRoman" w:hint="eastAsia"/>
          <w:sz w:val="32"/>
          <w:szCs w:val="32"/>
        </w:rPr>
        <w:t>其中，基本支出</w:t>
      </w:r>
      <w:r>
        <w:rPr>
          <w:rFonts w:ascii="仿宋_GB2312" w:eastAsia="仿宋_GB2312" w:hAnsi="TimesNewRoman" w:cs="TimesNewRoman" w:hint="eastAsia"/>
          <w:sz w:val="32"/>
          <w:szCs w:val="32"/>
          <w:lang w:val="en-US" w:eastAsia="zh-CN"/>
        </w:rPr>
        <w:t>5.177</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81</w:t>
      </w:r>
      <w:r>
        <w:rPr>
          <w:rFonts w:ascii="仿宋_GB2312" w:eastAsia="仿宋_GB2312" w:hAnsi="TimesNewRoman" w:cs="TimesNewRoman" w:hint="eastAsia"/>
          <w:sz w:val="32"/>
          <w:szCs w:val="32"/>
        </w:rPr>
        <w:t>%，主要用于保障机构日常运转、完成日常工作任务……；项目支出</w:t>
      </w:r>
      <w:r>
        <w:rPr>
          <w:rFonts w:ascii="仿宋_GB2312" w:eastAsia="仿宋_GB2312" w:hAnsi="TimesNewRoman" w:cs="TimesNewRoman" w:hint="eastAsia"/>
          <w:sz w:val="32"/>
          <w:szCs w:val="32"/>
          <w:lang w:val="en-US" w:eastAsia="zh-CN"/>
        </w:rPr>
        <w:t>12.14</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19</w:t>
      </w:r>
      <w:r>
        <w:rPr>
          <w:rFonts w:ascii="仿宋_GB2312" w:eastAsia="仿宋_GB2312" w:hAnsi="TimesNewRoman" w:cs="TimesNewRoman" w:hint="eastAsia"/>
          <w:sz w:val="32"/>
          <w:szCs w:val="32"/>
        </w:rPr>
        <w:t>，主要用于</w:t>
      </w:r>
      <w:r>
        <w:rPr>
          <w:rFonts w:ascii="仿宋_GB2312" w:eastAsia="仿宋_GB2312" w:hAnsi="TimesNewRoman" w:cs="TimesNewRoman" w:hint="eastAsia"/>
          <w:sz w:val="32"/>
          <w:szCs w:val="32"/>
          <w:lang w:eastAsia="zh-CN"/>
        </w:rPr>
        <w:t>三年过度安置人员经费</w:t>
      </w:r>
      <w:r>
        <w:rPr>
          <w:rFonts w:ascii="仿宋_GB2312" w:eastAsia="仿宋_GB2312" w:hAnsi="TimesNewRoman" w:cs="TimesNewRoman" w:hint="eastAsia"/>
          <w:sz w:val="32"/>
          <w:szCs w:val="32"/>
        </w:rPr>
        <w:t>；事业单位经营支出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w:t>
      </w:r>
      <w:r>
        <w:rPr>
          <w:rFonts w:ascii="仿宋_GB2312" w:eastAsia="仿宋_GB2312" w:hAnsi="TimesNewRoman" w:cs="TimesNewRoman" w:hint="eastAsia"/>
          <w:sz w:val="32"/>
          <w:szCs w:val="32"/>
        </w:rPr>
        <w:t>上缴上级支出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%；对附属单位补助支出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lang w:eastAsia="zh-CN"/>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四、关于2024年财政拨款收支总表的说明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2024年财政拨款收支预算</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万元。收入按资金来源分为：一般公共预算拨款</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万元、政府性基金预算拨款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万元；按资金年度分为：本年财政拨款收入</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万元。支出按功能分类分为：一般公共服务支出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五、关于2024年一般公共预算支出表的说明</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（一）一般公共预算支出规模变化情况。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2024年一般公共预算支出</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19.13</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29</w:t>
      </w:r>
      <w:r>
        <w:rPr>
          <w:rFonts w:ascii="仿宋_GB2312" w:eastAsia="仿宋_GB2312" w:hAnsi="TimesNewRoman" w:cs="TimesNewRoman" w:hint="eastAsia"/>
          <w:sz w:val="32"/>
          <w:szCs w:val="32"/>
        </w:rPr>
        <w:t>%，主要原因：一是</w:t>
      </w:r>
      <w:r>
        <w:rPr>
          <w:rFonts w:ascii="仿宋_GB2312" w:eastAsia="仿宋_GB2312" w:hAnsi="TimesNewRoman" w:cs="TimesNewRoman" w:hint="eastAsia"/>
          <w:sz w:val="32"/>
          <w:szCs w:val="32"/>
          <w:lang w:eastAsia="zh-CN"/>
        </w:rPr>
        <w:t>退休人员增补增加</w:t>
      </w:r>
      <w:r>
        <w:rPr>
          <w:rFonts w:ascii="仿宋_GB2312" w:eastAsia="仿宋_GB2312" w:hAnsi="TimesNewRoman" w:cs="TimesNewRoman" w:hint="eastAsia"/>
          <w:sz w:val="32"/>
          <w:szCs w:val="32"/>
        </w:rPr>
        <w:t>；二是</w:t>
      </w:r>
      <w:r>
        <w:rPr>
          <w:rFonts w:ascii="仿宋_GB2312" w:eastAsia="仿宋_GB2312" w:hAnsi="TimesNewRoman" w:cs="TimesNewRoman" w:hint="eastAsia"/>
          <w:sz w:val="32"/>
          <w:szCs w:val="32"/>
          <w:lang w:eastAsia="zh-CN"/>
        </w:rPr>
        <w:t>三年过度安置人员补贴增加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（二）一般公共预算支出结构情况。</w:t>
      </w:r>
    </w:p>
    <w:p>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一般公共服务支出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%；社会保障和就业支出</w:t>
      </w:r>
      <w:r>
        <w:rPr>
          <w:rFonts w:ascii="仿宋_GB2312" w:eastAsia="仿宋_GB2312" w:hAnsi="TimesNewRoman" w:cs="TimesNewRoman" w:hint="eastAsia"/>
          <w:sz w:val="32"/>
          <w:szCs w:val="32"/>
          <w:lang w:val="en-US" w:eastAsia="zh-CN"/>
        </w:rPr>
        <w:t>22.09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34</w:t>
      </w:r>
      <w:r>
        <w:rPr>
          <w:rFonts w:ascii="仿宋_GB2312" w:eastAsia="仿宋_GB2312" w:hAnsi="TimesNewRoman" w:cs="TimesNewRoman" w:hint="eastAsia"/>
          <w:sz w:val="32"/>
          <w:szCs w:val="32"/>
        </w:rPr>
        <w:t>%；卫生健康支出</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%；住房保障支出</w:t>
      </w:r>
      <w:r>
        <w:rPr>
          <w:rFonts w:ascii="仿宋_GB2312" w:eastAsia="仿宋_GB2312" w:hAnsi="TimesNewRoman" w:cs="TimesNewRoman" w:hint="eastAsia"/>
          <w:sz w:val="32"/>
          <w:szCs w:val="32"/>
          <w:lang w:val="en-US" w:eastAsia="zh-CN"/>
        </w:rPr>
        <w:t>2.69</w:t>
      </w:r>
      <w:r>
        <w:rPr>
          <w:rFonts w:ascii="仿宋_GB2312" w:eastAsia="仿宋_GB2312" w:hAnsi="TimesNewRoman" w:cs="TimesNewRoman" w:hint="eastAsia"/>
          <w:sz w:val="32"/>
          <w:szCs w:val="32"/>
        </w:rPr>
        <w:t>万元，占</w:t>
      </w:r>
      <w:r>
        <w:rPr>
          <w:rFonts w:ascii="仿宋_GB2312" w:eastAsia="仿宋_GB2312" w:hAnsi="TimesNewRoman" w:cs="TimesNewRoman" w:hint="eastAsia"/>
          <w:sz w:val="32"/>
          <w:szCs w:val="32"/>
          <w:lang w:val="en-US" w:eastAsia="zh-CN"/>
        </w:rPr>
        <w:t>4</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（三）一般公共预算支出具体使用情况。</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1.一般公共服务支出（类）财政事务（款）行政运行（项）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19.13</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29</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退休人员补贴增加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2.一般公共服务支出（类）财政事务（款）一般行政管理事务（项）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万元，比2023年预算增加（减少）</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3.社会保障和就业支出（类）行政事业单位离退休（款）归口管理的行政事业单位离退休（项）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22.09</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16.34</w:t>
      </w:r>
      <w:r>
        <w:rPr>
          <w:rFonts w:ascii="仿宋_GB2312" w:eastAsia="仿宋_GB2312" w:hAnsi="TimesNewRoman" w:cs="TimesNewRoman" w:hint="eastAsia"/>
          <w:sz w:val="32"/>
          <w:szCs w:val="32"/>
        </w:rPr>
        <w:t>万元，增长（下降）</w:t>
      </w:r>
      <w:r>
        <w:rPr>
          <w:rFonts w:ascii="仿宋_GB2312" w:eastAsia="仿宋_GB2312" w:hAnsi="TimesNewRoman" w:cs="TimesNewRoman" w:hint="eastAsia"/>
          <w:sz w:val="32"/>
          <w:szCs w:val="32"/>
          <w:lang w:val="en-US" w:eastAsia="zh-CN"/>
        </w:rPr>
        <w:t>36</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退休人员补贴增加</w:t>
      </w:r>
      <w:r>
        <w:rPr>
          <w:rFonts w:ascii="仿宋_GB2312" w:eastAsia="仿宋_GB2312" w:hAnsi="TimesNewRoman" w:cs="TimesNewRoman" w:hint="eastAsia"/>
          <w:sz w:val="32"/>
          <w:szCs w:val="32"/>
        </w:rPr>
        <w:t>。</w:t>
      </w:r>
    </w:p>
    <w:p>
      <w:pPr>
        <w:topLinePunct/>
        <w:adjustRightInd w:val="0"/>
        <w:snapToGrid w:val="0"/>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b/>
          <w:sz w:val="32"/>
          <w:szCs w:val="32"/>
        </w:rPr>
        <w:t>4.住房保障支出（类）住房改革支出（款）住房公积金（项）</w:t>
      </w:r>
      <w:r>
        <w:rPr>
          <w:rFonts w:ascii="仿宋_GB2312" w:eastAsia="仿宋_GB2312" w:hAnsi="TimesNewRoman" w:cs="TimesNewRoman" w:hint="eastAsia"/>
          <w:sz w:val="32"/>
          <w:szCs w:val="32"/>
        </w:rPr>
        <w:t>2024年预算</w:t>
      </w:r>
      <w:r>
        <w:rPr>
          <w:rFonts w:ascii="仿宋_GB2312" w:eastAsia="仿宋_GB2312" w:hAnsi="TimesNewRoman" w:cs="TimesNewRoman" w:hint="eastAsia"/>
          <w:sz w:val="32"/>
          <w:szCs w:val="32"/>
          <w:lang w:val="en-US" w:eastAsia="zh-CN"/>
        </w:rPr>
        <w:t>2.69</w:t>
      </w:r>
      <w:r>
        <w:rPr>
          <w:rFonts w:ascii="仿宋_GB2312" w:eastAsia="仿宋_GB2312" w:hAnsi="TimesNewRoman" w:cs="TimesNewRoman" w:hint="eastAsia"/>
          <w:sz w:val="32"/>
          <w:szCs w:val="32"/>
        </w:rPr>
        <w:t>万元，比2023年预算减少</w:t>
      </w:r>
      <w:r>
        <w:rPr>
          <w:rFonts w:ascii="仿宋_GB2312" w:eastAsia="仿宋_GB2312" w:hAnsi="TimesNewRoman" w:cs="TimesNewRoman" w:hint="eastAsia"/>
          <w:sz w:val="32"/>
          <w:szCs w:val="32"/>
          <w:lang w:val="en-US" w:eastAsia="zh-CN"/>
        </w:rPr>
        <w:t>0.1</w:t>
      </w:r>
      <w:r>
        <w:rPr>
          <w:rFonts w:ascii="仿宋_GB2312" w:eastAsia="仿宋_GB2312" w:hAnsi="TimesNewRoman" w:cs="TimesNewRoman" w:hint="eastAsia"/>
          <w:sz w:val="32"/>
          <w:szCs w:val="32"/>
        </w:rPr>
        <w:t>万元，下降</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%，下降原因主要是</w:t>
      </w:r>
      <w:r>
        <w:rPr>
          <w:rFonts w:ascii="仿宋_GB2312" w:eastAsia="仿宋_GB2312" w:hAnsi="TimesNewRoman" w:cs="TimesNewRoman" w:hint="eastAsia"/>
          <w:sz w:val="32"/>
          <w:szCs w:val="32"/>
          <w:lang w:eastAsia="zh-CN"/>
        </w:rPr>
        <w:t>在职人员晋升中级，基本工资增加</w:t>
      </w:r>
      <w:r>
        <w:rPr>
          <w:rFonts w:ascii="仿宋_GB2312" w:eastAsia="仿宋_GB2312" w:hAnsi="TimesNewRoman" w:cs="TimesNewRoman" w:hint="eastAsia"/>
          <w:sz w:val="32"/>
          <w:szCs w:val="32"/>
        </w:rPr>
        <w:t>。</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六、关于2024年一般公共预算基本支出表的说明</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2024年一般公共预算基本支出</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万元，其中，人员经费</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（一）人员经费</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基本工资、津贴补贴、奖金、伙食补助费、绩效工资、机关事业单位基本养老保险费、职业年金缴费、职工基本医疗保险缴费、公务员医疗补助缴费、其他社会保障缴费、住房公积金、医疗费、其他工资福利支出、离休费、退休费、退职（役）费、抚恤金、生活补助、救济费、医疗费补助、助学金、奖励金、个人农业生产补贴、对其他个人和家庭的补助支出。</w:t>
      </w:r>
    </w:p>
    <w:p>
      <w:pPr>
        <w:topLinePunct/>
        <w:spacing w:line="58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（二）公用经费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万元，主要包括：</w:t>
      </w:r>
      <w:r>
        <w:rPr>
          <w:rFonts w:ascii="仿宋_GB2312" w:eastAsia="仿宋_GB2312" w:hAnsi="TimesNewRoman" w:cs="TimesNewRoman" w:hint="eastAsia"/>
          <w:sz w:val="32"/>
          <w:szCs w:val="32"/>
          <w:u w:val="single"/>
        </w:rPr>
        <w:t>办公费、印刷费、咨询费、手续费、水费、电费、邮电费、取暖费、物业管理费、差旅费、因公出国（境）费、维修（护）费、租赁费、会议费、培训费、公务接待费、专用材料费、被装购置费、专用燃料费、劳务费、委托业务费、工会经费、福利费、公务用车运行维护费、其他交通费用、税金及附加费用、其他商品服务支出、国内债务付息、国外债务付息、国内债务发行费用、国外债务发行费用、房屋建筑物购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资本金注入、政府投资基金股权投资、费用补贴、利息补贴、其他对企业补助、对社会保险基金补助、补充全国社会保障基金、赠与、国家赔偿费用支出、对民间非营利组织和群众性自治组织补贴、其他支出等。</w:t>
      </w:r>
    </w:p>
    <w:p>
      <w:pPr>
        <w:topLinePunct/>
        <w:spacing w:line="580" w:lineRule="exact"/>
        <w:ind w:firstLine="640" w:firstLineChars="200"/>
        <w:rPr>
          <w:rFonts w:ascii="仿宋_GB2312" w:eastAsia="仿宋_GB2312" w:hAnsi="TimesNewRoman" w:cs="TimesNewRoman" w:hint="eastAsia"/>
          <w:sz w:val="32"/>
          <w:szCs w:val="32"/>
        </w:rPr>
      </w:pP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七、关于2024年政府性基金预算支出表的说明</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2024年没有政府性基金预算拨款收入，也没有使用政府性基金预算拨款安排的支出。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八、关于2024年国有资本经营预算支出表的说明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2024年没有国有资本经营预算拨款收入，也没有使用国有资本经营预算拨款安排的支出。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九、关于2024年项目支出表的说明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2024年预算共安排项目支出</w:t>
      </w:r>
      <w:r>
        <w:rPr>
          <w:rFonts w:ascii="仿宋_GB2312" w:eastAsia="仿宋_GB2312" w:hAnsi="TimesNewRoman" w:cs="TimesNewRoman" w:hint="eastAsia"/>
          <w:sz w:val="32"/>
          <w:szCs w:val="32"/>
          <w:lang w:val="en-US" w:eastAsia="zh-CN"/>
        </w:rPr>
        <w:t>12.14</w:t>
      </w:r>
      <w:r>
        <w:rPr>
          <w:rFonts w:ascii="仿宋_GB2312" w:eastAsia="仿宋_GB2312" w:hAnsi="TimesNewRoman" w:cs="TimesNewRoman" w:hint="eastAsia"/>
          <w:sz w:val="32"/>
          <w:szCs w:val="32"/>
        </w:rPr>
        <w:t>万元，比2023年预算增加</w:t>
      </w:r>
      <w:r>
        <w:rPr>
          <w:rFonts w:ascii="仿宋_GB2312" w:eastAsia="仿宋_GB2312" w:hAnsi="TimesNewRoman" w:cs="TimesNewRoman" w:hint="eastAsia"/>
          <w:sz w:val="32"/>
          <w:szCs w:val="32"/>
          <w:lang w:val="en-US" w:eastAsia="zh-CN"/>
        </w:rPr>
        <w:t>3.4</w:t>
      </w:r>
      <w:r>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lang w:val="en-US" w:eastAsia="zh-CN"/>
        </w:rPr>
        <w:t>28</w:t>
      </w:r>
      <w:r>
        <w:rPr>
          <w:rFonts w:ascii="仿宋_GB2312" w:eastAsia="仿宋_GB2312" w:hAnsi="TimesNewRoman" w:cs="TimesNewRoman" w:hint="eastAsia"/>
          <w:sz w:val="32"/>
          <w:szCs w:val="32"/>
        </w:rPr>
        <w:t>%，增长原因主要是</w:t>
      </w:r>
      <w:r>
        <w:rPr>
          <w:rFonts w:ascii="仿宋_GB2312" w:eastAsia="仿宋_GB2312" w:hAnsi="TimesNewRoman" w:cs="TimesNewRoman" w:hint="eastAsia"/>
          <w:sz w:val="32"/>
          <w:szCs w:val="32"/>
          <w:lang w:eastAsia="zh-CN"/>
        </w:rPr>
        <w:t>退休人员补贴增加</w:t>
      </w:r>
      <w:r>
        <w:rPr>
          <w:rFonts w:ascii="仿宋_GB2312" w:eastAsia="仿宋_GB2312" w:hAnsi="TimesNewRoman" w:cs="TimesNewRoman" w:hint="eastAsia"/>
          <w:sz w:val="32"/>
          <w:szCs w:val="32"/>
        </w:rPr>
        <w:t>。主要包括：本年财政拨款安排</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万元，政府性基金预算拨款安排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 xml:space="preserve">万元），财政拨款上年结转安排 </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万元（其中，一般公共预算拨款安排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万元，政府性基金预算拨款安排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万元，国有资本经营预算拨款安排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万元）、财政专户管理资金安排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万元和单位资金安排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十、关于2024年政府采购支出表的说明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2024年没有使用一般公共预算拨款、政府性基金预算拨款、国有资本经营预算拨款、财政专户管理资金和单位资金安排的政府采购支出。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十一、关于2024年政府购买服务支出表的说明</w:t>
      </w:r>
    </w:p>
    <w:p>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2024年没有安排政府购买服务支出。</w:t>
      </w:r>
    </w:p>
    <w:p>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hint="eastAsia"/>
          <w:b/>
          <w:sz w:val="32"/>
          <w:szCs w:val="32"/>
        </w:rPr>
      </w:pPr>
      <w:r>
        <w:rPr>
          <w:rFonts w:ascii="楷体_GB2312" w:eastAsia="楷体_GB2312" w:hAnsi="TimesNewRoman" w:cs="TimesNewRoman" w:hint="eastAsia"/>
          <w:b/>
          <w:sz w:val="32"/>
          <w:szCs w:val="32"/>
        </w:rPr>
        <w:t>十二、其他重要事项情况说明</w:t>
      </w:r>
    </w:p>
    <w:p>
      <w:pPr>
        <w:topLinePunct/>
        <w:adjustRightInd w:val="0"/>
        <w:snapToGrid w:val="0"/>
        <w:spacing w:line="580" w:lineRule="exact"/>
        <w:rPr>
          <w:rFonts w:ascii="仿宋_GB2312" w:eastAsia="仿宋_GB2312" w:hAnsi="楷体" w:hint="eastAsia"/>
          <w:sz w:val="32"/>
          <w:szCs w:val="32"/>
        </w:rPr>
      </w:pPr>
    </w:p>
    <w:p>
      <w:pPr>
        <w:topLinePunct/>
        <w:adjustRightInd w:val="0"/>
        <w:snapToGrid w:val="0"/>
        <w:spacing w:line="580" w:lineRule="exact"/>
        <w:ind w:firstLine="640" w:firstLineChars="200"/>
        <w:rPr>
          <w:rFonts w:ascii="仿宋_GB2312" w:eastAsia="仿宋_GB2312" w:hAnsi="楷体" w:hint="eastAsia"/>
          <w:sz w:val="32"/>
          <w:szCs w:val="32"/>
        </w:rPr>
      </w:pPr>
    </w:p>
    <w:p>
      <w:pPr>
        <w:topLinePunct/>
        <w:adjustRightInd w:val="0"/>
        <w:snapToGrid w:val="0"/>
        <w:spacing w:line="580" w:lineRule="exact"/>
        <w:ind w:firstLine="640" w:firstLineChars="200"/>
        <w:rPr>
          <w:rFonts w:ascii="仿宋_GB2312" w:eastAsia="仿宋_GB2312" w:hAnsi="楷体" w:hint="eastAsia"/>
          <w:sz w:val="32"/>
          <w:szCs w:val="32"/>
        </w:rPr>
      </w:pPr>
    </w:p>
    <w:p>
      <w:pPr>
        <w:topLinePunct/>
        <w:adjustRightInd w:val="0"/>
        <w:snapToGrid w:val="0"/>
        <w:spacing w:line="580" w:lineRule="exact"/>
        <w:ind w:firstLine="640" w:firstLineChars="200"/>
        <w:rPr>
          <w:rFonts w:ascii="仿宋_GB2312" w:eastAsia="仿宋_GB2312" w:hAnsi="楷体" w:hint="eastAsia"/>
          <w:sz w:val="32"/>
          <w:szCs w:val="32"/>
        </w:rPr>
      </w:pP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723"/>
        <w:gridCol w:w="282"/>
        <w:gridCol w:w="477"/>
        <w:gridCol w:w="2872"/>
        <w:gridCol w:w="1848"/>
        <w:gridCol w:w="238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253"/>
        </w:trPr>
        <w:tc>
          <w:tcPr>
            <w:tcW w:w="9020" w:type="dxa"/>
            <w:gridSpan w:val="7"/>
            <w:tcBorders>
              <w:top w:val="nil"/>
              <w:left w:val="nil"/>
              <w:bottom w:val="nil"/>
              <w:right w:val="nil"/>
            </w:tcBorders>
            <w:noWrap w:val="0"/>
            <w:vAlign w:val="center"/>
          </w:tcPr>
          <w:p>
            <w:pPr>
              <w:widowControl/>
              <w:jc w:val="center"/>
              <w:textAlignment w:val="center"/>
              <w:rPr>
                <w:rFonts w:ascii="宋体" w:cs="宋体"/>
                <w:b/>
                <w:bCs/>
                <w:szCs w:val="32"/>
              </w:rPr>
            </w:pPr>
            <w:r>
              <w:rPr>
                <w:rFonts w:ascii="宋体" w:hAnsi="宋体" w:cs="宋体" w:hint="eastAsia"/>
                <w:b/>
                <w:color w:val="000000"/>
                <w:kern w:val="0"/>
                <w:sz w:val="28"/>
                <w:szCs w:val="28"/>
                <w:lang w:bidi="ar"/>
              </w:rPr>
              <w:t>项目支出绩效目标表</w:t>
            </w:r>
          </w:p>
        </w:tc>
      </w:tr>
      <w:tr>
        <w:tblPrEx>
          <w:tblW w:w="0" w:type="auto"/>
          <w:tblInd w:w="0" w:type="dxa"/>
          <w:tblLayout w:type="fixed"/>
          <w:tblCellMar>
            <w:top w:w="0" w:type="dxa"/>
            <w:left w:w="108" w:type="dxa"/>
            <w:bottom w:w="0" w:type="dxa"/>
            <w:right w:w="108" w:type="dxa"/>
          </w:tblCellMar>
        </w:tblPrEx>
        <w:trPr>
          <w:trHeight w:val="270"/>
        </w:trPr>
        <w:tc>
          <w:tcPr>
            <w:tcW w:w="9020" w:type="dxa"/>
            <w:gridSpan w:val="7"/>
            <w:tcBorders>
              <w:top w:val="nil"/>
              <w:left w:val="nil"/>
              <w:right w:val="nil"/>
            </w:tcBorders>
            <w:noWrap w:val="0"/>
            <w:vAlign w:val="center"/>
          </w:tcPr>
          <w:p>
            <w:pPr>
              <w:widowControl/>
              <w:jc w:val="center"/>
              <w:textAlignment w:val="center"/>
              <w:rPr>
                <w:rFonts w:ascii="宋体" w:cs="宋体"/>
                <w:sz w:val="20"/>
              </w:rPr>
            </w:pPr>
            <w:r>
              <w:rPr>
                <w:rFonts w:ascii="宋体" w:hAnsi="宋体" w:cs="宋体" w:hint="eastAsia"/>
                <w:color w:val="000000"/>
                <w:kern w:val="0"/>
                <w:sz w:val="20"/>
                <w:szCs w:val="20"/>
                <w:lang w:bidi="ar"/>
              </w:rPr>
              <w:t xml:space="preserve"> （2024年度）                                </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项目名称</w:t>
            </w:r>
          </w:p>
        </w:tc>
        <w:tc>
          <w:tcPr>
            <w:tcW w:w="7577" w:type="dxa"/>
            <w:gridSpan w:val="4"/>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三年多度安置人员经费</w:t>
            </w:r>
          </w:p>
        </w:tc>
      </w:tr>
      <w:tr>
        <w:tblPrEx>
          <w:tblW w:w="0" w:type="auto"/>
          <w:tblInd w:w="0" w:type="dxa"/>
          <w:tblLayout w:type="fixed"/>
          <w:tblCellMar>
            <w:top w:w="0" w:type="dxa"/>
            <w:left w:w="108" w:type="dxa"/>
            <w:bottom w:w="0" w:type="dxa"/>
            <w:right w:w="108" w:type="dxa"/>
          </w:tblCellMar>
        </w:tblPrEx>
        <w:trPr>
          <w:trHeight w:val="491"/>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主管部门   及代码</w:t>
            </w:r>
          </w:p>
        </w:tc>
        <w:tc>
          <w:tcPr>
            <w:tcW w:w="3349" w:type="dxa"/>
            <w:gridSpan w:val="2"/>
            <w:noWrap w:val="0"/>
            <w:vAlign w:val="center"/>
          </w:tcPr>
          <w:p>
            <w:pPr>
              <w:spacing w:line="260" w:lineRule="exact"/>
              <w:jc w:val="center"/>
              <w:rPr>
                <w:rFonts w:ascii="宋体" w:eastAsia="宋体" w:cs="宋体" w:hint="eastAsia"/>
                <w:sz w:val="18"/>
                <w:szCs w:val="18"/>
                <w:lang w:eastAsia="zh-CN"/>
              </w:rPr>
            </w:pPr>
            <w:r>
              <w:rPr>
                <w:rFonts w:ascii="宋体" w:cs="宋体" w:hint="eastAsia"/>
                <w:sz w:val="18"/>
                <w:szCs w:val="18"/>
                <w:lang w:eastAsia="zh-CN"/>
              </w:rPr>
              <w:t>寿县健康委员会</w:t>
            </w: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实施单位</w:t>
            </w:r>
          </w:p>
        </w:tc>
        <w:tc>
          <w:tcPr>
            <w:tcW w:w="2380" w:type="dxa"/>
            <w:noWrap w:val="0"/>
            <w:vAlign w:val="center"/>
          </w:tcPr>
          <w:p>
            <w:pPr>
              <w:spacing w:line="260" w:lineRule="exact"/>
              <w:jc w:val="center"/>
              <w:rPr>
                <w:rFonts w:eastAsia="宋体" w:hint="eastAsia"/>
                <w:sz w:val="18"/>
                <w:szCs w:val="18"/>
                <w:lang w:eastAsia="zh-CN"/>
              </w:rPr>
            </w:pPr>
            <w:r>
              <w:rPr>
                <w:rFonts w:hint="eastAsia"/>
                <w:sz w:val="18"/>
                <w:szCs w:val="18"/>
                <w:lang w:eastAsia="zh-CN"/>
              </w:rPr>
              <w:t>三觉镇中心卫生院瓦房分院</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项目来源</w:t>
            </w:r>
          </w:p>
        </w:tc>
        <w:tc>
          <w:tcPr>
            <w:tcW w:w="3349" w:type="dxa"/>
            <w:gridSpan w:val="2"/>
            <w:noWrap w:val="0"/>
            <w:vAlign w:val="center"/>
          </w:tcPr>
          <w:p>
            <w:pPr>
              <w:spacing w:line="260" w:lineRule="exact"/>
              <w:jc w:val="center"/>
              <w:rPr>
                <w:rFonts w:ascii="宋体" w:cs="宋体"/>
                <w:sz w:val="18"/>
                <w:szCs w:val="18"/>
              </w:rPr>
            </w:pPr>
          </w:p>
        </w:tc>
        <w:tc>
          <w:tcPr>
            <w:tcW w:w="1848" w:type="dxa"/>
            <w:noWrap w:val="0"/>
            <w:vAlign w:val="center"/>
          </w:tcPr>
          <w:p>
            <w:pPr>
              <w:spacing w:line="260" w:lineRule="exact"/>
              <w:jc w:val="center"/>
              <w:textAlignment w:val="center"/>
              <w:rPr>
                <w:sz w:val="18"/>
                <w:szCs w:val="18"/>
              </w:rPr>
            </w:pPr>
            <w:r>
              <w:rPr>
                <w:rFonts w:ascii="宋体" w:hAnsi="宋体" w:cs="宋体" w:hint="eastAsia"/>
                <w:color w:val="000000"/>
                <w:kern w:val="0"/>
                <w:sz w:val="18"/>
                <w:szCs w:val="18"/>
                <w:lang w:bidi="ar"/>
              </w:rPr>
              <w:t>项目期</w:t>
            </w:r>
          </w:p>
        </w:tc>
        <w:tc>
          <w:tcPr>
            <w:tcW w:w="2380" w:type="dxa"/>
            <w:noWrap w:val="0"/>
            <w:vAlign w:val="center"/>
          </w:tcPr>
          <w:p>
            <w:pPr>
              <w:spacing w:line="260" w:lineRule="exact"/>
              <w:jc w:val="center"/>
              <w:rPr>
                <w:rFonts w:eastAsia="宋体" w:hint="default"/>
                <w:sz w:val="18"/>
                <w:szCs w:val="18"/>
                <w:lang w:val="en-US" w:eastAsia="zh-CN"/>
              </w:rPr>
            </w:pPr>
            <w:r>
              <w:rPr>
                <w:rFonts w:hint="eastAsia"/>
                <w:sz w:val="18"/>
                <w:szCs w:val="18"/>
                <w:lang w:val="en-US" w:eastAsia="zh-CN"/>
              </w:rPr>
              <w:t>2024</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项目资金</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（万元）</w:t>
            </w: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年度资金总额：</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12.14</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其中：财政拨款</w:t>
            </w:r>
          </w:p>
        </w:tc>
        <w:tc>
          <w:tcPr>
            <w:tcW w:w="4228" w:type="dxa"/>
            <w:gridSpan w:val="2"/>
            <w:noWrap w:val="0"/>
            <w:vAlign w:val="center"/>
          </w:tcPr>
          <w:p>
            <w:pPr>
              <w:spacing w:line="260" w:lineRule="exact"/>
              <w:jc w:val="right"/>
              <w:rPr>
                <w:rFonts w:ascii="宋体" w:eastAsia="宋体" w:cs="宋体" w:hint="default"/>
                <w:sz w:val="18"/>
                <w:szCs w:val="18"/>
                <w:lang w:val="en-US" w:eastAsia="zh-CN"/>
              </w:rPr>
            </w:pPr>
            <w:r>
              <w:rPr>
                <w:rFonts w:ascii="宋体" w:cs="宋体" w:hint="eastAsia"/>
                <w:sz w:val="18"/>
                <w:szCs w:val="18"/>
                <w:lang w:val="en-US" w:eastAsia="zh-CN"/>
              </w:rPr>
              <w:t>12.14</w:t>
            </w: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上年结转</w:t>
            </w: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30"/>
        </w:trPr>
        <w:tc>
          <w:tcPr>
            <w:tcW w:w="1443" w:type="dxa"/>
            <w:gridSpan w:val="3"/>
            <w:vMerge/>
            <w:noWrap w:val="0"/>
            <w:vAlign w:val="center"/>
          </w:tcPr>
          <w:p>
            <w:pPr>
              <w:spacing w:line="260" w:lineRule="exact"/>
              <w:jc w:val="center"/>
              <w:rPr>
                <w:rFonts w:ascii="宋体" w:cs="宋体"/>
                <w:sz w:val="18"/>
                <w:szCs w:val="18"/>
              </w:rPr>
            </w:pPr>
          </w:p>
        </w:tc>
        <w:tc>
          <w:tcPr>
            <w:tcW w:w="3349" w:type="dxa"/>
            <w:gridSpan w:val="2"/>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 xml:space="preserve">         其他资金</w:t>
            </w:r>
          </w:p>
        </w:tc>
        <w:tc>
          <w:tcPr>
            <w:tcW w:w="4228" w:type="dxa"/>
            <w:gridSpan w:val="2"/>
            <w:noWrap w:val="0"/>
            <w:vAlign w:val="center"/>
          </w:tcPr>
          <w:p>
            <w:pPr>
              <w:spacing w:line="260" w:lineRule="exact"/>
              <w:jc w:val="right"/>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1015"/>
        </w:trPr>
        <w:tc>
          <w:tcPr>
            <w:tcW w:w="438"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年度</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目标</w:t>
            </w:r>
          </w:p>
        </w:tc>
        <w:tc>
          <w:tcPr>
            <w:tcW w:w="8582" w:type="dxa"/>
            <w:gridSpan w:val="6"/>
            <w:noWrap w:val="0"/>
            <w:vAlign w:val="center"/>
          </w:tcPr>
          <w:p>
            <w:pPr>
              <w:spacing w:line="260" w:lineRule="exact"/>
              <w:jc w:val="left"/>
              <w:rPr>
                <w:rFonts w:ascii="宋体" w:eastAsia="宋体" w:cs="宋体" w:hint="default"/>
                <w:sz w:val="18"/>
                <w:szCs w:val="18"/>
                <w:lang w:val="en-US" w:eastAsia="zh-CN"/>
              </w:rPr>
            </w:pPr>
            <w:r>
              <w:rPr>
                <w:rFonts w:ascii="宋体" w:cs="宋体" w:hint="eastAsia"/>
                <w:sz w:val="18"/>
                <w:szCs w:val="18"/>
                <w:lang w:val="en-US" w:eastAsia="zh-CN"/>
              </w:rPr>
              <w:t>2024</w:t>
            </w:r>
          </w:p>
        </w:tc>
      </w:tr>
      <w:tr>
        <w:tblPrEx>
          <w:tblW w:w="0" w:type="auto"/>
          <w:tblInd w:w="0" w:type="dxa"/>
          <w:tblLayout w:type="fixed"/>
          <w:tblCellMar>
            <w:top w:w="0" w:type="dxa"/>
            <w:left w:w="108" w:type="dxa"/>
            <w:bottom w:w="0" w:type="dxa"/>
            <w:right w:w="108" w:type="dxa"/>
          </w:tblCellMar>
        </w:tblPrEx>
        <w:trPr>
          <w:trHeight w:val="508"/>
        </w:trPr>
        <w:tc>
          <w:tcPr>
            <w:tcW w:w="438"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绩</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效</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标</w:t>
            </w:r>
          </w:p>
        </w:tc>
        <w:tc>
          <w:tcPr>
            <w:tcW w:w="723"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一级</w:t>
            </w:r>
            <w:r>
              <w:rPr>
                <w:rFonts w:ascii="宋体" w:hAnsi="宋体" w:cs="宋体" w:hint="eastAsia"/>
                <w:color w:val="000000"/>
                <w:kern w:val="0"/>
                <w:sz w:val="18"/>
                <w:szCs w:val="18"/>
                <w:lang w:bidi="ar"/>
              </w:rPr>
              <w:br/>
            </w:r>
            <w:r>
              <w:rPr>
                <w:rFonts w:ascii="宋体" w:hAnsi="宋体" w:cs="宋体" w:hint="eastAsia"/>
                <w:color w:val="000000"/>
                <w:kern w:val="0"/>
                <w:sz w:val="18"/>
                <w:szCs w:val="18"/>
                <w:lang w:bidi="ar"/>
              </w:rPr>
              <w:t>指标</w:t>
            </w:r>
          </w:p>
        </w:tc>
        <w:tc>
          <w:tcPr>
            <w:tcW w:w="759"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二级指标</w:t>
            </w:r>
          </w:p>
        </w:tc>
        <w:tc>
          <w:tcPr>
            <w:tcW w:w="2872" w:type="dxa"/>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三级指标</w:t>
            </w:r>
          </w:p>
        </w:tc>
        <w:tc>
          <w:tcPr>
            <w:tcW w:w="4228" w:type="dxa"/>
            <w:gridSpan w:val="2"/>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指标值</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产出指标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数量指标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三年过渡安置数量</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≥4户</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r>
              <w:rPr>
                <w:rFonts w:ascii="汉仪中秀体简" w:eastAsia="汉仪中秀体简" w:hAnsi="汉仪中秀体简" w:cs="汉仪中秀体简" w:hint="eastAsia"/>
                <w:color w:val="000000"/>
                <w:kern w:val="0"/>
                <w:sz w:val="18"/>
                <w:szCs w:val="18"/>
                <w:lang w:bidi="ar"/>
              </w:rPr>
              <w:t>补贴补助对象数量</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≥3户</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质量指标</w:t>
            </w:r>
          </w:p>
        </w:tc>
        <w:tc>
          <w:tcPr>
            <w:tcW w:w="2872" w:type="dxa"/>
            <w:noWrap w:val="0"/>
            <w:vAlign w:val="center"/>
          </w:tcPr>
          <w:p>
            <w:pPr>
              <w:spacing w:line="260" w:lineRule="exact"/>
              <w:jc w:val="left"/>
              <w:textAlignment w:val="center"/>
              <w:rPr>
                <w:rFonts w:ascii="宋体" w:cs="宋体"/>
                <w:sz w:val="18"/>
                <w:szCs w:val="18"/>
              </w:rPr>
            </w:pPr>
            <w:r>
              <w:rPr>
                <w:rFonts w:ascii="宋体" w:cs="宋体" w:hint="eastAsia"/>
                <w:sz w:val="18"/>
                <w:szCs w:val="18"/>
              </w:rPr>
              <w:t>三年过渡安置资金发放率</w:t>
            </w:r>
          </w:p>
        </w:tc>
        <w:tc>
          <w:tcPr>
            <w:tcW w:w="4228" w:type="dxa"/>
            <w:gridSpan w:val="2"/>
            <w:noWrap w:val="0"/>
            <w:vAlign w:val="center"/>
          </w:tcPr>
          <w:p>
            <w:pPr>
              <w:spacing w:line="260" w:lineRule="exact"/>
              <w:jc w:val="center"/>
              <w:rPr>
                <w:rFonts w:ascii="宋体" w:cs="宋体"/>
                <w:b/>
                <w:bCs/>
                <w:sz w:val="18"/>
                <w:szCs w:val="18"/>
              </w:rPr>
            </w:pPr>
            <w:r>
              <w:rPr>
                <w:rFonts w:ascii="宋体" w:cs="宋体" w:hint="eastAsia"/>
                <w:sz w:val="18"/>
                <w:szCs w:val="18"/>
              </w:rPr>
              <w:t>≥100%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时效指标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三年过渡安置资金及时率</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成本指标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项目单位成本</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≦121400元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both"/>
              <w:textAlignment w:val="center"/>
              <w:rPr>
                <w:rFonts w:ascii="宋体" w:cs="宋体"/>
                <w:sz w:val="18"/>
                <w:szCs w:val="18"/>
              </w:rPr>
            </w:pPr>
          </w:p>
        </w:tc>
        <w:tc>
          <w:tcPr>
            <w:tcW w:w="2872" w:type="dxa"/>
            <w:noWrap w:val="0"/>
            <w:vAlign w:val="center"/>
          </w:tcPr>
          <w:p>
            <w:pPr>
              <w:spacing w:line="260" w:lineRule="exact"/>
              <w:jc w:val="left"/>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效益指标</w:t>
            </w: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经济效益指标</w:t>
            </w: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≥121400元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社会效益指标</w:t>
            </w:r>
          </w:p>
        </w:tc>
        <w:tc>
          <w:tcPr>
            <w:tcW w:w="2872" w:type="dxa"/>
            <w:noWrap w:val="0"/>
            <w:vAlign w:val="center"/>
          </w:tcPr>
          <w:p>
            <w:pPr>
              <w:spacing w:line="260" w:lineRule="exact"/>
              <w:jc w:val="left"/>
              <w:textAlignment w:val="center"/>
              <w:rPr>
                <w:rFonts w:ascii="宋体" w:cs="宋体"/>
                <w:sz w:val="18"/>
                <w:szCs w:val="18"/>
              </w:rPr>
            </w:pPr>
            <w:r>
              <w:rPr>
                <w:rFonts w:ascii="宋体" w:cs="宋体" w:hint="eastAsia"/>
                <w:sz w:val="18"/>
                <w:szCs w:val="18"/>
              </w:rPr>
              <w:t>撬动社会资金、发挥财政资金标杆作用金额</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≥121400元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宋体" w:cs="宋体"/>
                <w:sz w:val="18"/>
                <w:szCs w:val="18"/>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textAlignment w:val="center"/>
              <w:rPr>
                <w:rFonts w:ascii="宋体" w:cs="宋体"/>
                <w:sz w:val="18"/>
                <w:szCs w:val="18"/>
              </w:rPr>
            </w:pPr>
            <w:r>
              <w:rPr>
                <w:rFonts w:ascii="宋体" w:hAnsi="宋体" w:cs="宋体" w:hint="eastAsia"/>
                <w:color w:val="000000"/>
                <w:kern w:val="0"/>
                <w:sz w:val="18"/>
                <w:szCs w:val="18"/>
                <w:lang w:bidi="ar"/>
              </w:rPr>
              <w:t>生态效益指标</w:t>
            </w:r>
          </w:p>
        </w:tc>
        <w:tc>
          <w:tcPr>
            <w:tcW w:w="2872" w:type="dxa"/>
            <w:noWrap w:val="0"/>
            <w:vAlign w:val="center"/>
          </w:tcPr>
          <w:p>
            <w:pPr>
              <w:spacing w:line="260" w:lineRule="exact"/>
              <w:jc w:val="left"/>
              <w:textAlignment w:val="center"/>
              <w:rPr>
                <w:rFonts w:ascii="宋体" w:cs="宋体"/>
                <w:sz w:val="18"/>
                <w:szCs w:val="18"/>
              </w:rPr>
            </w:pPr>
            <w:r>
              <w:rPr>
                <w:rFonts w:ascii="宋体" w:hAnsi="宋体" w:cs="宋体" w:hint="eastAsia"/>
                <w:color w:val="000000"/>
                <w:kern w:val="0"/>
                <w:sz w:val="18"/>
                <w:szCs w:val="18"/>
                <w:lang w:bidi="ar"/>
              </w:rPr>
              <w:t>生态系统的良性、高效循环。</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≥121400元</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cs="宋体"/>
                <w:sz w:val="18"/>
                <w:szCs w:val="18"/>
              </w:rPr>
            </w:pPr>
          </w:p>
        </w:tc>
        <w:tc>
          <w:tcPr>
            <w:tcW w:w="2872" w:type="dxa"/>
            <w:noWrap w:val="0"/>
            <w:vAlign w:val="center"/>
          </w:tcPr>
          <w:p>
            <w:pPr>
              <w:spacing w:line="260" w:lineRule="exact"/>
              <w:jc w:val="left"/>
              <w:textAlignment w:val="center"/>
              <w:rPr>
                <w:rFonts w:ascii="汉仪中秀体简" w:eastAsia="汉仪中秀体简" w:hAnsi="汉仪中秀体简" w:cs="汉仪中秀体简" w:hint="eastAsia"/>
                <w:color w:val="000000"/>
                <w:kern w:val="0"/>
                <w:sz w:val="18"/>
                <w:szCs w:val="18"/>
                <w:lang w:bidi="ar"/>
              </w:rPr>
            </w:pPr>
          </w:p>
        </w:tc>
        <w:tc>
          <w:tcPr>
            <w:tcW w:w="4228" w:type="dxa"/>
            <w:gridSpan w:val="2"/>
            <w:noWrap w:val="0"/>
            <w:vAlign w:val="center"/>
          </w:tcPr>
          <w:p>
            <w:pPr>
              <w:spacing w:line="260" w:lineRule="exact"/>
              <w:jc w:val="left"/>
              <w:textAlignment w:val="center"/>
              <w:rPr>
                <w:rFonts w:ascii="汉仪中秀体简" w:eastAsia="汉仪中秀体简" w:hAnsi="汉仪中秀体简" w:cs="汉仪中秀体简"/>
                <w:color w:val="000000"/>
                <w:kern w:val="0"/>
                <w:sz w:val="18"/>
                <w:szCs w:val="18"/>
                <w:lang w:bidi="ar"/>
              </w:rPr>
            </w:pPr>
          </w:p>
        </w:tc>
      </w:tr>
      <w:tr>
        <w:tblPrEx>
          <w:tblW w:w="0" w:type="auto"/>
          <w:tblInd w:w="0" w:type="dxa"/>
          <w:tblLayout w:type="fixed"/>
          <w:tblCellMar>
            <w:top w:w="0" w:type="dxa"/>
            <w:left w:w="108" w:type="dxa"/>
            <w:bottom w:w="0" w:type="dxa"/>
            <w:right w:w="108" w:type="dxa"/>
          </w:tblCellMar>
        </w:tblPrEx>
        <w:trPr>
          <w:trHeight w:val="420"/>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可持续影响指标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三年过渡安置执行时限</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≥1年</w:t>
            </w:r>
          </w:p>
        </w:tc>
      </w:tr>
      <w:tr>
        <w:tblPrEx>
          <w:tblW w:w="0" w:type="auto"/>
          <w:tblInd w:w="0" w:type="dxa"/>
          <w:tblLayout w:type="fixed"/>
          <w:tblCellMar>
            <w:top w:w="0" w:type="dxa"/>
            <w:left w:w="108" w:type="dxa"/>
            <w:bottom w:w="0" w:type="dxa"/>
            <w:right w:w="108" w:type="dxa"/>
          </w:tblCellMar>
        </w:tblPrEx>
        <w:trPr>
          <w:trHeight w:val="444"/>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cs="宋体"/>
                <w:sz w:val="18"/>
                <w:szCs w:val="18"/>
              </w:rPr>
            </w:pPr>
          </w:p>
        </w:tc>
        <w:tc>
          <w:tcPr>
            <w:tcW w:w="759" w:type="dxa"/>
            <w:gridSpan w:val="2"/>
            <w:noWrap w:val="0"/>
            <w:vAlign w:val="center"/>
          </w:tcPr>
          <w:p>
            <w:pPr>
              <w:spacing w:line="260" w:lineRule="exact"/>
              <w:jc w:val="center"/>
              <w:rPr>
                <w:rFonts w:ascii="宋体" w:hAnsi="宋体" w:cs="宋体" w:hint="eastAsia"/>
                <w:sz w:val="18"/>
                <w:szCs w:val="18"/>
              </w:rPr>
            </w:pPr>
            <w:r>
              <w:rPr>
                <w:rFonts w:ascii="宋体" w:hAnsi="宋体" w:cs="宋体" w:hint="eastAsia"/>
                <w:color w:val="000000"/>
                <w:kern w:val="0"/>
                <w:sz w:val="18"/>
                <w:szCs w:val="18"/>
                <w:lang w:bidi="ar"/>
              </w:rPr>
              <w:t>…</w:t>
            </w:r>
          </w:p>
        </w:tc>
        <w:tc>
          <w:tcPr>
            <w:tcW w:w="2872" w:type="dxa"/>
            <w:noWrap w:val="0"/>
            <w:vAlign w:val="center"/>
          </w:tcPr>
          <w:p>
            <w:pPr>
              <w:spacing w:line="260" w:lineRule="exact"/>
              <w:jc w:val="left"/>
              <w:textAlignment w:val="center"/>
              <w:rPr>
                <w:rFonts w:ascii="宋体" w:hAnsi="宋体" w:cs="宋体" w:hint="eastAsia"/>
                <w:color w:val="000000"/>
                <w:kern w:val="0"/>
                <w:sz w:val="18"/>
                <w:szCs w:val="18"/>
                <w:lang w:bidi="ar"/>
              </w:rPr>
            </w:pPr>
          </w:p>
        </w:tc>
        <w:tc>
          <w:tcPr>
            <w:tcW w:w="4228" w:type="dxa"/>
            <w:gridSpan w:val="2"/>
            <w:noWrap w:val="0"/>
            <w:vAlign w:val="center"/>
          </w:tcPr>
          <w:p>
            <w:pPr>
              <w:spacing w:line="260" w:lineRule="exact"/>
              <w:jc w:val="center"/>
              <w:rPr>
                <w:rFonts w:ascii="宋体" w:cs="宋体"/>
                <w:sz w:val="18"/>
                <w:szCs w:val="18"/>
              </w:rPr>
            </w:pP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759" w:type="dxa"/>
            <w:gridSpan w:val="2"/>
            <w:vMerge w:val="restart"/>
            <w:noWrap w:val="0"/>
            <w:vAlign w:val="center"/>
          </w:tcPr>
          <w:p>
            <w:pPr>
              <w:spacing w:line="260" w:lineRule="exact"/>
              <w:jc w:val="center"/>
              <w:rPr>
                <w:rFonts w:ascii="宋体" w:hAnsi="宋体" w:cs="宋体" w:hint="eastAsia"/>
                <w:sz w:val="18"/>
                <w:szCs w:val="18"/>
              </w:rPr>
            </w:pPr>
            <w:r>
              <w:rPr>
                <w:rFonts w:ascii="宋体" w:hAnsi="宋体" w:cs="宋体" w:hint="eastAsia"/>
                <w:sz w:val="18"/>
                <w:szCs w:val="18"/>
              </w:rPr>
              <w:t>满意度指标</w:t>
            </w:r>
          </w:p>
        </w:tc>
        <w:tc>
          <w:tcPr>
            <w:tcW w:w="2872" w:type="dxa"/>
            <w:noWrap w:val="0"/>
            <w:vAlign w:val="center"/>
          </w:tcPr>
          <w:p>
            <w:pPr>
              <w:spacing w:line="260" w:lineRule="exact"/>
              <w:jc w:val="left"/>
              <w:textAlignment w:val="center"/>
              <w:rPr>
                <w:rFonts w:ascii="宋体" w:hAnsi="宋体" w:cs="宋体" w:hint="eastAsia"/>
                <w:sz w:val="18"/>
                <w:szCs w:val="18"/>
              </w:rPr>
            </w:pPr>
            <w:r>
              <w:rPr>
                <w:rFonts w:ascii="宋体" w:hAnsi="宋体" w:cs="宋体" w:hint="eastAsia"/>
                <w:color w:val="000000"/>
                <w:kern w:val="0"/>
                <w:sz w:val="18"/>
                <w:szCs w:val="18"/>
                <w:lang w:bidi="ar"/>
              </w:rPr>
              <w:t>受益对象满意度</w:t>
            </w:r>
          </w:p>
        </w:tc>
        <w:tc>
          <w:tcPr>
            <w:tcW w:w="4228" w:type="dxa"/>
            <w:gridSpan w:val="2"/>
            <w:noWrap w:val="0"/>
            <w:vAlign w:val="center"/>
          </w:tcPr>
          <w:p>
            <w:pPr>
              <w:spacing w:line="260" w:lineRule="exact"/>
              <w:jc w:val="center"/>
              <w:rPr>
                <w:rFonts w:ascii="宋体" w:cs="宋体"/>
                <w:sz w:val="18"/>
                <w:szCs w:val="18"/>
              </w:rPr>
            </w:pPr>
            <w:r>
              <w:rPr>
                <w:rFonts w:ascii="宋体" w:cs="宋体" w:hint="eastAsia"/>
                <w:sz w:val="18"/>
                <w:szCs w:val="18"/>
              </w:rPr>
              <w:t>≥100%</w:t>
            </w:r>
          </w:p>
        </w:tc>
      </w:tr>
      <w:tr>
        <w:tblPrEx>
          <w:tblW w:w="0" w:type="auto"/>
          <w:tblInd w:w="0" w:type="dxa"/>
          <w:tblLayout w:type="fixed"/>
          <w:tblCellMar>
            <w:top w:w="0" w:type="dxa"/>
            <w:left w:w="108" w:type="dxa"/>
            <w:bottom w:w="0" w:type="dxa"/>
            <w:right w:w="108" w:type="dxa"/>
          </w:tblCellMar>
        </w:tblPrEx>
        <w:trPr>
          <w:trHeight w:val="363"/>
        </w:trPr>
        <w:tc>
          <w:tcPr>
            <w:tcW w:w="438" w:type="dxa"/>
            <w:vMerge/>
            <w:noWrap w:val="0"/>
            <w:vAlign w:val="center"/>
          </w:tcPr>
          <w:p>
            <w:pPr>
              <w:spacing w:line="260" w:lineRule="exact"/>
              <w:jc w:val="center"/>
              <w:rPr>
                <w:rFonts w:ascii="宋体" w:cs="宋体"/>
                <w:sz w:val="18"/>
                <w:szCs w:val="18"/>
              </w:rPr>
            </w:pPr>
          </w:p>
        </w:tc>
        <w:tc>
          <w:tcPr>
            <w:tcW w:w="723" w:type="dxa"/>
            <w:vMerge/>
            <w:noWrap w:val="0"/>
            <w:vAlign w:val="center"/>
          </w:tcPr>
          <w:p>
            <w:pPr>
              <w:spacing w:line="260" w:lineRule="exact"/>
              <w:jc w:val="center"/>
              <w:rPr>
                <w:rFonts w:ascii="宋体" w:hAnsi="宋体" w:cs="宋体" w:hint="eastAsia"/>
                <w:sz w:val="18"/>
                <w:szCs w:val="18"/>
              </w:rPr>
            </w:pPr>
          </w:p>
        </w:tc>
        <w:tc>
          <w:tcPr>
            <w:tcW w:w="759" w:type="dxa"/>
            <w:gridSpan w:val="2"/>
            <w:vMerge/>
            <w:noWrap w:val="0"/>
            <w:vAlign w:val="center"/>
          </w:tcPr>
          <w:p>
            <w:pPr>
              <w:spacing w:line="260" w:lineRule="exact"/>
              <w:jc w:val="center"/>
              <w:rPr>
                <w:rFonts w:ascii="宋体" w:hAnsi="宋体" w:cs="宋体" w:hint="eastAsia"/>
                <w:sz w:val="18"/>
                <w:szCs w:val="18"/>
              </w:rPr>
            </w:pPr>
          </w:p>
        </w:tc>
        <w:tc>
          <w:tcPr>
            <w:tcW w:w="2872" w:type="dxa"/>
            <w:noWrap w:val="0"/>
            <w:vAlign w:val="center"/>
          </w:tcPr>
          <w:p>
            <w:pPr>
              <w:spacing w:line="260" w:lineRule="exact"/>
              <w:jc w:val="left"/>
              <w:textAlignment w:val="center"/>
              <w:rPr>
                <w:rFonts w:ascii="宋体" w:hAnsi="宋体" w:cs="宋体" w:hint="eastAsia"/>
                <w:sz w:val="18"/>
                <w:szCs w:val="18"/>
              </w:rPr>
            </w:pPr>
          </w:p>
        </w:tc>
        <w:tc>
          <w:tcPr>
            <w:tcW w:w="4228" w:type="dxa"/>
            <w:gridSpan w:val="2"/>
            <w:noWrap w:val="0"/>
            <w:vAlign w:val="center"/>
          </w:tcPr>
          <w:p>
            <w:pPr>
              <w:spacing w:line="260" w:lineRule="exact"/>
              <w:jc w:val="center"/>
              <w:rPr>
                <w:rFonts w:ascii="宋体" w:cs="宋体"/>
                <w:sz w:val="18"/>
                <w:szCs w:val="18"/>
              </w:rPr>
            </w:pPr>
          </w:p>
        </w:tc>
      </w:tr>
    </w:tbl>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2.“</w:t>
      </w:r>
      <w:r>
        <w:rPr>
          <w:rFonts w:ascii="宋体" w:cs="宋体" w:hint="eastAsia"/>
          <w:sz w:val="32"/>
          <w:szCs w:val="32"/>
          <w:lang w:eastAsia="zh-CN"/>
        </w:rPr>
        <w:t>三年多度安置人员经费</w:t>
      </w:r>
      <w:r>
        <w:rPr>
          <w:rFonts w:ascii="仿宋_GB2312" w:eastAsia="仿宋_GB2312" w:hAnsi="TimesNewRoman" w:cs="TimesNewRoman" w:hint="eastAsia"/>
          <w:b/>
          <w:sz w:val="32"/>
          <w:szCs w:val="32"/>
        </w:rPr>
        <w:t>”项目。</w:t>
      </w:r>
    </w:p>
    <w:p>
      <w:pPr>
        <w:topLinePunct/>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（1）项目概述。</w:t>
      </w:r>
      <w:r>
        <w:rPr>
          <w:rFonts w:ascii="仿宋_GB2312" w:eastAsia="仿宋_GB2312" w:hAnsi="TimesNewRoman" w:cs="TimesNewRoman" w:hint="eastAsia"/>
          <w:sz w:val="32"/>
          <w:szCs w:val="32"/>
          <w:lang w:eastAsia="zh-CN"/>
        </w:rPr>
        <w:t>退休人员保障经费</w:t>
      </w:r>
    </w:p>
    <w:p>
      <w:pPr>
        <w:topLinePunct/>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（2）立项依据。</w:t>
      </w:r>
      <w:r>
        <w:rPr>
          <w:rFonts w:ascii="仿宋_GB2312" w:eastAsia="仿宋_GB2312" w:hAnsi="TimesNewRoman" w:cs="TimesNewRoman" w:hint="eastAsia"/>
          <w:sz w:val="32"/>
          <w:szCs w:val="32"/>
          <w:lang w:eastAsia="zh-CN"/>
        </w:rPr>
        <w:t>退休人员</w:t>
      </w:r>
    </w:p>
    <w:p>
      <w:pPr>
        <w:topLinePunct/>
        <w:spacing w:line="560" w:lineRule="exact"/>
        <w:ind w:firstLine="640" w:firstLineChars="200"/>
        <w:rPr>
          <w:rFonts w:ascii="仿宋_GB2312" w:eastAsia="仿宋_GB2312" w:hAnsi="TimesNewRoman" w:cs="TimesNewRoman" w:hint="eastAsia"/>
          <w:sz w:val="32"/>
          <w:szCs w:val="32"/>
          <w:u w:val="single"/>
          <w:lang w:eastAsia="zh-CN"/>
        </w:rPr>
      </w:pPr>
      <w:r>
        <w:rPr>
          <w:rFonts w:ascii="仿宋_GB2312" w:eastAsia="仿宋_GB2312" w:hAnsi="TimesNewRoman" w:cs="TimesNewRoman" w:hint="eastAsia"/>
          <w:sz w:val="32"/>
          <w:szCs w:val="32"/>
        </w:rPr>
        <w:t>（3）实施主体。</w:t>
      </w:r>
      <w:r>
        <w:rPr>
          <w:rFonts w:ascii="仿宋_GB2312" w:eastAsia="仿宋_GB2312" w:hAnsi="TimesNewRoman" w:cs="TimesNewRoman" w:hint="eastAsia"/>
          <w:sz w:val="32"/>
          <w:szCs w:val="32"/>
          <w:lang w:eastAsia="zh-CN"/>
        </w:rPr>
        <w:t>寿县三觉镇中心卫生院瓦房分院</w:t>
      </w:r>
    </w:p>
    <w:p>
      <w:pPr>
        <w:topLinePunct/>
        <w:spacing w:line="560" w:lineRule="exact"/>
        <w:ind w:firstLine="640" w:firstLineChars="200"/>
        <w:rPr>
          <w:rFonts w:ascii="仿宋_GB2312" w:eastAsia="仿宋_GB2312" w:hAnsi="TimesNewRoman" w:cs="TimesNewRoman" w:hint="eastAsia"/>
          <w:sz w:val="32"/>
          <w:szCs w:val="32"/>
          <w:lang w:val="en-US" w:eastAsia="zh-CN"/>
        </w:rPr>
      </w:pPr>
      <w:r>
        <w:rPr>
          <w:rFonts w:ascii="仿宋_GB2312" w:eastAsia="仿宋_GB2312" w:hAnsi="TimesNewRoman" w:cs="TimesNewRoman" w:hint="eastAsia"/>
          <w:sz w:val="32"/>
          <w:szCs w:val="32"/>
        </w:rPr>
        <w:t>（4）起止时间。</w:t>
      </w:r>
      <w:r>
        <w:rPr>
          <w:rFonts w:ascii="仿宋_GB2312" w:eastAsia="仿宋_GB2312" w:hAnsi="TimesNewRoman" w:cs="TimesNewRoman" w:hint="eastAsia"/>
          <w:sz w:val="32"/>
          <w:szCs w:val="32"/>
          <w:lang w:val="en-US" w:eastAsia="zh-CN"/>
        </w:rPr>
        <w:t>2024.1-2024.12</w:t>
      </w:r>
    </w:p>
    <w:p>
      <w:pPr>
        <w:topLinePunct/>
        <w:adjustRightInd w:val="0"/>
        <w:snapToGrid w:val="0"/>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（5）项目内容。</w:t>
      </w:r>
      <w:r>
        <w:rPr>
          <w:rFonts w:ascii="仿宋_GB2312" w:eastAsia="仿宋_GB2312" w:hAnsi="TimesNewRoman" w:cs="TimesNewRoman" w:hint="eastAsia"/>
          <w:sz w:val="32"/>
          <w:szCs w:val="32"/>
          <w:lang w:eastAsia="zh-CN"/>
        </w:rPr>
        <w:t>三年过度安置人员保障经费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lang w:eastAsia="zh-CN"/>
        </w:rPr>
      </w:pPr>
      <w:r>
        <w:rPr>
          <w:rFonts w:ascii="仿宋_GB2312" w:eastAsia="仿宋_GB2312" w:hAnsi="TimesNewRoman" w:cs="TimesNewRoman" w:hint="eastAsia"/>
          <w:sz w:val="32"/>
          <w:szCs w:val="32"/>
        </w:rPr>
        <w:t>（6）年度预算安排。</w:t>
      </w:r>
      <w:r>
        <w:rPr>
          <w:rFonts w:ascii="仿宋_GB2312" w:eastAsia="仿宋_GB2312" w:hAnsi="TimesNewRoman" w:cs="TimesNewRoman" w:hint="eastAsia"/>
          <w:sz w:val="32"/>
          <w:szCs w:val="32"/>
          <w:lang w:eastAsia="zh-CN"/>
        </w:rPr>
        <w:t>按人员分月发放</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（7）绩效目标。</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（二）机关运行经费。</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为非参照公务员法管理的事业单位，按照部门预算机关运行经费口径，2024年无机关运行经费财政拨款预算。</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（三）政府采购情况。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kern w:val="0"/>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2024年政府采购预算</w:t>
      </w:r>
      <w:r>
        <w:rPr>
          <w:rFonts w:ascii="仿宋_GB2312" w:eastAsia="仿宋_GB2312" w:hAnsi="TimesNewRoman" w:cs="TimesNewRoman" w:hint="eastAsia"/>
          <w:sz w:val="32"/>
          <w:szCs w:val="32"/>
          <w:lang w:val="en-US" w:eastAsia="zh-CN"/>
        </w:rPr>
        <w:t>63.91</w:t>
      </w:r>
      <w:r>
        <w:rPr>
          <w:rFonts w:ascii="仿宋_GB2312" w:eastAsia="仿宋_GB2312" w:hAnsi="TimesNewRoman" w:cs="TimesNewRoman" w:hint="eastAsia"/>
          <w:sz w:val="32"/>
          <w:szCs w:val="32"/>
        </w:rPr>
        <w:t>万元。其中：政府采购货物预算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万元，政府采购工程预算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万元，政府采购服务预算</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（四）国有资产占有使用情况。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截至2023年12月31日，</w:t>
      </w:r>
      <w:r>
        <w:rPr>
          <w:rFonts w:ascii="仿宋_GB2312" w:eastAsia="仿宋_GB2312" w:hAnsi="TimesNewRoman" w:cs="TimesNewRoman" w:hint="eastAsia"/>
          <w:kern w:val="0"/>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rPr>
        <w:t>共有车辆</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辆，其中：副处（县）级及以上领导用车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辆、主要领导干部用车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辆、机要通信用车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辆、应急保障用车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辆、执法执勤用车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辆、离退休干部用车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辆（只列报车辆不为0的车型）。单价50万元以上的通用设备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台（套），单价100万元以上的专用设备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bookmarkStart w:id="0" w:name="_GoBack"/>
      <w:bookmarkEnd w:id="0"/>
      <w:r>
        <w:rPr>
          <w:rFonts w:ascii="仿宋_GB2312" w:eastAsia="仿宋_GB2312" w:hAnsi="TimesNewRoman" w:cs="TimesNewRoman" w:hint="eastAsia"/>
          <w:sz w:val="32"/>
          <w:szCs w:val="32"/>
          <w:u w:val="single"/>
        </w:rPr>
        <w:t>（单位）</w:t>
      </w:r>
      <w:r>
        <w:rPr>
          <w:rFonts w:ascii="仿宋_GB2312" w:eastAsia="仿宋_GB2312" w:hAnsi="TimesNewRoman" w:cs="TimesNewRoman" w:hint="eastAsia"/>
          <w:sz w:val="32"/>
          <w:szCs w:val="32"/>
        </w:rPr>
        <w:t>预算安排购置公务用车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万元，其中：副处（县）级及以上领导用车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辆、主要领导干部用车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辆、机要通信用车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辆、应急保障用车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辆、执法执勤用车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辆、特种专业技术用车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辆、离退休干部用车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辆、其他用车</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辆（只列报车辆不为0的车型）；安排购置单价50万元以上的通用设备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万元；安排购置单价100万元以上专用设备</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台（套），购置费</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ind w:firstLine="640" w:firstLineChars="200"/>
        <w:rPr>
          <w:rFonts w:ascii="仿宋_GB2312" w:eastAsia="仿宋_GB2312" w:hAnsi="TimesNewRoman" w:cs="TimesNewRoman" w:hint="eastAsia"/>
          <w:b/>
          <w:sz w:val="32"/>
          <w:szCs w:val="32"/>
        </w:rPr>
      </w:pPr>
      <w:r>
        <w:rPr>
          <w:rFonts w:ascii="仿宋_GB2312" w:eastAsia="仿宋_GB2312" w:hAnsi="TimesNewRoman" w:cs="TimesNewRoman" w:hint="eastAsia"/>
          <w:b/>
          <w:sz w:val="32"/>
          <w:szCs w:val="32"/>
        </w:rPr>
        <w:t>（五）绩效目标设置情况。</w:t>
      </w:r>
    </w:p>
    <w:p>
      <w:pPr>
        <w:topLinePunct/>
        <w:adjustRightInd w:val="0"/>
        <w:snapToGrid w:val="0"/>
        <w:spacing w:line="560" w:lineRule="exact"/>
        <w:ind w:firstLine="640" w:firstLineChars="200"/>
        <w:rPr>
          <w:rFonts w:ascii="仿宋_GB2312" w:eastAsia="仿宋_GB2312" w:hAnsi="TimesNewRoman" w:cs="TimesNewRoman" w:hint="eastAsia"/>
          <w:sz w:val="32"/>
          <w:szCs w:val="32"/>
        </w:rPr>
      </w:pPr>
      <w:r>
        <w:rPr>
          <w:rFonts w:ascii="仿宋_GB2312" w:eastAsia="仿宋_GB2312" w:hAnsi="TimesNewRoman" w:cs="TimesNewRoman" w:hint="eastAsia"/>
          <w:sz w:val="32"/>
          <w:szCs w:val="32"/>
        </w:rPr>
        <w:t>2024年，</w:t>
      </w:r>
      <w:r>
        <w:rPr>
          <w:rFonts w:ascii="仿宋_GB2312" w:eastAsia="仿宋_GB2312" w:hAnsi="TimesNewRoman" w:cs="TimesNewRoman" w:hint="eastAsia"/>
          <w:kern w:val="0"/>
          <w:sz w:val="32"/>
          <w:szCs w:val="32"/>
        </w:rPr>
        <w:t>寿县</w:t>
      </w:r>
      <w:r>
        <w:rPr>
          <w:rFonts w:ascii="宋体" w:hAnsi="宋体" w:cs="TimesNewRoman" w:hint="eastAsia"/>
          <w:b w:val="0"/>
          <w:bCs w:val="0"/>
          <w:kern w:val="0"/>
          <w:sz w:val="32"/>
          <w:szCs w:val="36"/>
          <w:lang w:eastAsia="zh-CN"/>
        </w:rPr>
        <w:t>三觉镇中心卫生院瓦房分院</w:t>
      </w:r>
      <w:r>
        <w:rPr>
          <w:rFonts w:ascii="仿宋_GB2312" w:eastAsia="仿宋_GB2312" w:hAnsi="TimesNewRoman" w:cs="TimesNewRoman" w:hint="eastAsia"/>
          <w:sz w:val="32"/>
          <w:szCs w:val="32"/>
          <w:lang w:val="en-US" w:eastAsia="zh-CN"/>
        </w:rPr>
        <w:t>1</w:t>
      </w:r>
      <w:r>
        <w:rPr>
          <w:rFonts w:ascii="仿宋_GB2312" w:eastAsia="仿宋_GB2312" w:hAnsi="TimesNewRoman" w:cs="TimesNewRoman" w:hint="eastAsia"/>
          <w:sz w:val="32"/>
          <w:szCs w:val="32"/>
        </w:rPr>
        <w:t>个项目实行了绩效目标管理，涉及一般公共预算当年财政拨款</w:t>
      </w:r>
      <w:r>
        <w:rPr>
          <w:rFonts w:ascii="仿宋_GB2312" w:eastAsia="仿宋_GB2312" w:hAnsi="TimesNewRoman" w:cs="TimesNewRoman" w:hint="eastAsia"/>
          <w:sz w:val="32"/>
          <w:szCs w:val="32"/>
          <w:lang w:val="en-US" w:eastAsia="zh-CN"/>
        </w:rPr>
        <w:t>12.14</w:t>
      </w:r>
      <w:r>
        <w:rPr>
          <w:rFonts w:ascii="仿宋_GB2312" w:eastAsia="仿宋_GB2312" w:hAnsi="TimesNewRoman" w:cs="TimesNewRoman" w:hint="eastAsia"/>
          <w:sz w:val="32"/>
          <w:szCs w:val="32"/>
        </w:rPr>
        <w:t>万元、政府性基金预算当年财政拨款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万元、国有资本经营预算当年财政拨款</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万元、财政专户管理资金当年安排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万元和单位资金当年安排</w:t>
      </w:r>
      <w:r>
        <w:rPr>
          <w:rFonts w:ascii="仿宋_GB2312" w:eastAsia="仿宋_GB2312" w:hAnsi="TimesNewRoman" w:cs="TimesNewRoman" w:hint="eastAsia"/>
          <w:sz w:val="32"/>
          <w:szCs w:val="32"/>
          <w:lang w:val="en-US" w:eastAsia="zh-CN"/>
        </w:rPr>
        <w:t>0</w:t>
      </w:r>
      <w:r>
        <w:rPr>
          <w:rFonts w:ascii="仿宋_GB2312" w:eastAsia="仿宋_GB2312" w:hAnsi="TimesNewRoman" w:cs="TimesNewRoman" w:hint="eastAsia"/>
          <w:sz w:val="32"/>
          <w:szCs w:val="32"/>
        </w:rPr>
        <w:t>万元。</w:t>
      </w:r>
    </w:p>
    <w:p>
      <w:pPr>
        <w:topLinePunct/>
        <w:adjustRightInd w:val="0"/>
        <w:snapToGrid w:val="0"/>
        <w:spacing w:line="560" w:lineRule="exact"/>
        <w:rPr>
          <w:rFonts w:ascii="TimesNewRoman" w:eastAsia="黑体" w:hAnsi="TimesNewRoman" w:cs="TimesNewRoman"/>
          <w:sz w:val="36"/>
          <w:szCs w:val="36"/>
        </w:rPr>
      </w:pPr>
    </w:p>
    <w:p>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 名词解释</w:t>
      </w:r>
    </w:p>
    <w:p>
      <w:pPr>
        <w:topLinePunct/>
        <w:adjustRightInd w:val="0"/>
        <w:snapToGrid w:val="0"/>
        <w:spacing w:line="560" w:lineRule="exact"/>
        <w:rPr>
          <w:rFonts w:ascii="TimesNewRoman" w:eastAsia="黑体" w:hAnsi="TimesNewRoman" w:cs="TimesNewRoman"/>
          <w:szCs w:val="32"/>
        </w:rPr>
      </w:pPr>
    </w:p>
    <w:p>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常维修费、一般设备购置费、办公用房水电费、办公用房取暖费、办公用房物业管理费、公务用车运行维护费以及其他费用。</w:t>
      </w:r>
    </w:p>
    <w:p>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p>
      <w:pPr>
        <w:pStyle w:val="NormalWeb"/>
        <w:topLinePunct/>
        <w:adjustRightInd w:val="0"/>
        <w:snapToGrid w:val="0"/>
        <w:spacing w:beforeAutospacing="0" w:afterAutospacing="0" w:line="560" w:lineRule="exact"/>
        <w:jc w:val="both"/>
        <w:rPr>
          <w:rFonts w:ascii="TimesNewRoman" w:eastAsia="仿宋_GB2312" w:hAnsi="TimesNewRoman" w:cs="TimesNewRoman"/>
          <w:sz w:val="32"/>
          <w:szCs w:val="32"/>
        </w:rPr>
      </w:pPr>
    </w:p>
    <w:p>
      <w:pPr>
        <w:pStyle w:val="NormalWeb"/>
        <w:topLinePunct/>
        <w:spacing w:beforeAutospacing="0" w:afterAutospacing="0" w:line="560" w:lineRule="exact"/>
        <w:ind w:firstLine="480" w:firstLineChars="150"/>
        <w:jc w:val="both"/>
        <w:rPr>
          <w:rStyle w:val="Strong"/>
          <w:rFonts w:ascii="TimesNewRoman" w:eastAsia="楷体_GB2312" w:hAnsi="TimesNewRoman" w:cs="TimesNewRoman"/>
          <w:b w:val="0"/>
          <w:sz w:val="32"/>
          <w:szCs w:val="32"/>
        </w:rPr>
      </w:pPr>
    </w:p>
    <w:p/>
    <w:sectPr>
      <w:footerReference w:type="default" r:id="rId6"/>
      <w:type w:val="oddPage"/>
      <w:pgSz w:w="11907" w:h="16840"/>
      <w:pgMar w:top="2098" w:right="1474" w:bottom="1985" w:left="1588" w:header="851" w:footer="1021"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NewRoman">
    <w:altName w:val="Simplified Arabic"/>
    <w:panose1 w:val="02020603050405020304"/>
    <w:charset w:val="00"/>
    <w:family w:val="auto"/>
    <w:pitch w:val="default"/>
    <w:sig w:usb0="00000000" w:usb1="00000000" w:usb2="00000029" w:usb3="00000000" w:csb0="600001FF" w:csb1="FFFF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中秀体简">
    <w:altName w:val="微软雅黑"/>
    <w:panose1 w:val="00000000000000000000"/>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Simplified Arabic">
    <w:panose1 w:val="02020603050405020304"/>
    <w:charset w:val="00"/>
    <w:family w:val="auto"/>
    <w:pitch w:val="default"/>
    <w:sig w:usb0="00002003" w:usb1="00000000" w:usb2="00000000" w:usb3="00000000" w:csb0="00000041" w:csb1="2008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left="420" w:leftChars="200"/>
      <w:rPr>
        <w:rFonts w:ascii="宋体" w:hAnsi="宋体"/>
        <w:sz w:val="28"/>
        <w:szCs w:val="28"/>
      </w:rPr>
    </w:pPr>
    <w:r>
      <w:rPr>
        <w:rFonts w:ascii="宋体" w:hAnsi="宋体" w:hint="eastAsia"/>
        <w:sz w:val="28"/>
        <w:szCs w:val="28"/>
      </w:rPr>
      <w:t xml:space="preserve">— </w:t>
    </w:r>
    <w:r>
      <w:rPr>
        <w:rFonts w:ascii="宋体" w:hAnsi="宋体" w:hint="eastAsia"/>
        <w:sz w:val="28"/>
        <w:szCs w:val="28"/>
      </w:rPr>
      <w:fldChar w:fldCharType="begin"/>
    </w:r>
    <w:r>
      <w:rPr>
        <w:rFonts w:ascii="宋体" w:hAnsi="宋体" w:hint="eastAsia"/>
        <w:sz w:val="28"/>
        <w:szCs w:val="28"/>
      </w:rPr>
      <w:instrText xml:space="preserve"> PAGE   \* MERGEFORMAT </w:instrText>
    </w:r>
    <w:r>
      <w:rPr>
        <w:rFonts w:ascii="宋体" w:hAnsi="宋体" w:hint="eastAsia"/>
        <w:sz w:val="28"/>
        <w:szCs w:val="28"/>
      </w:rPr>
      <w:fldChar w:fldCharType="separate"/>
    </w:r>
    <w:r>
      <w:rPr>
        <w:rFonts w:ascii="宋体" w:hAnsi="宋体"/>
        <w:sz w:val="28"/>
        <w:szCs w:val="28"/>
        <w:lang w:val="zh-CN"/>
      </w:rPr>
      <w:t>38</w:t>
    </w:r>
    <w:r>
      <w:rPr>
        <w:rFonts w:ascii="宋体" w:hAnsi="宋体" w:hint="eastAsia"/>
        <w:sz w:val="28"/>
        <w:szCs w:val="28"/>
      </w:rPr>
      <w:fldChar w:fldCharType="end"/>
    </w:r>
    <w:r>
      <w:rPr>
        <w:rFonts w:ascii="宋体" w:hAnsi="宋体" w:hint="eastAsia"/>
        <w:sz w:val="28"/>
        <w:szCs w:val="28"/>
      </w:rPr>
      <w:t xml:space="preserve"> —</w:t>
    </w:r>
  </w:p>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180"/>
      <w:jc w:val="right"/>
    </w:pPr>
    <w:r>
      <w:rPr>
        <w:rFonts w:ascii="宋体" w:hAnsi="宋体" w:hint="eastAsia"/>
        <w:sz w:val="28"/>
        <w:szCs w:val="28"/>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37</w:t>
    </w:r>
    <w:r>
      <w:rPr>
        <w:sz w:val="28"/>
        <w:szCs w:val="28"/>
      </w:rPr>
      <w:fldChar w:fldCharType="end"/>
    </w:r>
    <w:r>
      <w:rPr>
        <w:rFonts w:hint="eastAsia"/>
        <w:sz w:val="28"/>
        <w:szCs w:val="28"/>
      </w:rPr>
      <w:t xml:space="preserve"> </w:t>
    </w:r>
    <w:r>
      <w:rPr>
        <w:rFonts w:ascii="宋体" w:hAnsi="宋体" w:hint="eastAsia"/>
        <w:sz w:val="28"/>
        <w:szCs w:val="28"/>
      </w:rPr>
      <w:t xml:space="preserve">— </w:t>
    </w:r>
  </w:p>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F497DBC"/>
    <w:multiLevelType w:val="singleLevel"/>
    <w:tmpl w:val="8F497DBC"/>
    <w:lvl w:ilvl="0">
      <w:start w:val="4"/>
      <w:numFmt w:val="decimal"/>
      <w:lvlText w:val="%1."/>
      <w:lvlJc w:val="left"/>
      <w:pPr>
        <w:tabs>
          <w:tab w:val="left" w:pos="312"/>
        </w:tabs>
      </w:pPr>
    </w:lvl>
  </w:abstractNum>
  <w:abstractNum w:abstractNumId="1">
    <w:nsid w:val="23B08EDD"/>
    <w:multiLevelType w:val="singleLevel"/>
    <w:tmpl w:val="23B08EDD"/>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4C97AC9"/>
    <w:rsid w:val="005917D3"/>
    <w:rsid w:val="0067722F"/>
    <w:rsid w:val="01317F69"/>
    <w:rsid w:val="03B774B0"/>
    <w:rsid w:val="040E5A73"/>
    <w:rsid w:val="04425FE9"/>
    <w:rsid w:val="06587D46"/>
    <w:rsid w:val="06710E08"/>
    <w:rsid w:val="06910548"/>
    <w:rsid w:val="0774295E"/>
    <w:rsid w:val="07E01DA1"/>
    <w:rsid w:val="07F7533D"/>
    <w:rsid w:val="0B9F3D21"/>
    <w:rsid w:val="0D156991"/>
    <w:rsid w:val="0D4C1C87"/>
    <w:rsid w:val="0DA25119"/>
    <w:rsid w:val="11493EB8"/>
    <w:rsid w:val="12C14EC5"/>
    <w:rsid w:val="13154088"/>
    <w:rsid w:val="14072DAB"/>
    <w:rsid w:val="166442B9"/>
    <w:rsid w:val="18484256"/>
    <w:rsid w:val="1AB1576F"/>
    <w:rsid w:val="1B5A7C65"/>
    <w:rsid w:val="1B6F1962"/>
    <w:rsid w:val="1BC11A92"/>
    <w:rsid w:val="1C62632F"/>
    <w:rsid w:val="1CDD28FB"/>
    <w:rsid w:val="1E641526"/>
    <w:rsid w:val="1EC024D4"/>
    <w:rsid w:val="1F2B5BA0"/>
    <w:rsid w:val="1F75506D"/>
    <w:rsid w:val="203171E6"/>
    <w:rsid w:val="20937EA1"/>
    <w:rsid w:val="22097CEF"/>
    <w:rsid w:val="23D96B58"/>
    <w:rsid w:val="25007ACF"/>
    <w:rsid w:val="257162D7"/>
    <w:rsid w:val="26663961"/>
    <w:rsid w:val="286D4C33"/>
    <w:rsid w:val="28CA01D8"/>
    <w:rsid w:val="29283150"/>
    <w:rsid w:val="299D58EC"/>
    <w:rsid w:val="2A455FA3"/>
    <w:rsid w:val="2A6A2DDB"/>
    <w:rsid w:val="2A7C02DB"/>
    <w:rsid w:val="2A81612B"/>
    <w:rsid w:val="2B9652EF"/>
    <w:rsid w:val="2C091017"/>
    <w:rsid w:val="2CE20511"/>
    <w:rsid w:val="2E622189"/>
    <w:rsid w:val="2EA96AE1"/>
    <w:rsid w:val="2EB45143"/>
    <w:rsid w:val="2F2D326E"/>
    <w:rsid w:val="2F3A3BDD"/>
    <w:rsid w:val="2F5C1DA5"/>
    <w:rsid w:val="31964C6B"/>
    <w:rsid w:val="32931F82"/>
    <w:rsid w:val="331F746E"/>
    <w:rsid w:val="336D4581"/>
    <w:rsid w:val="34496375"/>
    <w:rsid w:val="34C13BCB"/>
    <w:rsid w:val="34C97AC9"/>
    <w:rsid w:val="34FA70A0"/>
    <w:rsid w:val="350D601C"/>
    <w:rsid w:val="35423150"/>
    <w:rsid w:val="35D00DF7"/>
    <w:rsid w:val="36AE738B"/>
    <w:rsid w:val="375E101A"/>
    <w:rsid w:val="38606463"/>
    <w:rsid w:val="38F4304F"/>
    <w:rsid w:val="39A53678"/>
    <w:rsid w:val="3BA174BE"/>
    <w:rsid w:val="3BBB7E54"/>
    <w:rsid w:val="3C736EF3"/>
    <w:rsid w:val="3FC27A03"/>
    <w:rsid w:val="408D65BE"/>
    <w:rsid w:val="40FA58B4"/>
    <w:rsid w:val="41AA074E"/>
    <w:rsid w:val="429338D8"/>
    <w:rsid w:val="43811983"/>
    <w:rsid w:val="43E75DBA"/>
    <w:rsid w:val="442D3E53"/>
    <w:rsid w:val="456E01F7"/>
    <w:rsid w:val="46133FF3"/>
    <w:rsid w:val="468E639A"/>
    <w:rsid w:val="473A4323"/>
    <w:rsid w:val="48575D8F"/>
    <w:rsid w:val="48EB0E60"/>
    <w:rsid w:val="4A3F3BEF"/>
    <w:rsid w:val="4B7818BD"/>
    <w:rsid w:val="4CEF795D"/>
    <w:rsid w:val="4D891B60"/>
    <w:rsid w:val="4E994025"/>
    <w:rsid w:val="4F714A10"/>
    <w:rsid w:val="4F7D366A"/>
    <w:rsid w:val="517B5A7B"/>
    <w:rsid w:val="51DF2696"/>
    <w:rsid w:val="53CB1124"/>
    <w:rsid w:val="54596730"/>
    <w:rsid w:val="565431AF"/>
    <w:rsid w:val="56A93273"/>
    <w:rsid w:val="577D5CA2"/>
    <w:rsid w:val="57873A0D"/>
    <w:rsid w:val="587F6EEC"/>
    <w:rsid w:val="59913D84"/>
    <w:rsid w:val="5B9B762E"/>
    <w:rsid w:val="5BE75C5E"/>
    <w:rsid w:val="5C050F4B"/>
    <w:rsid w:val="5C6143FE"/>
    <w:rsid w:val="5C7B745F"/>
    <w:rsid w:val="5CDB3A5A"/>
    <w:rsid w:val="5F1514A5"/>
    <w:rsid w:val="5F78498A"/>
    <w:rsid w:val="614A2BCD"/>
    <w:rsid w:val="621F43E9"/>
    <w:rsid w:val="63556314"/>
    <w:rsid w:val="63BD210C"/>
    <w:rsid w:val="63C95FE5"/>
    <w:rsid w:val="6401024A"/>
    <w:rsid w:val="64265470"/>
    <w:rsid w:val="664A237C"/>
    <w:rsid w:val="66BC030D"/>
    <w:rsid w:val="68582403"/>
    <w:rsid w:val="692C2DC5"/>
    <w:rsid w:val="6A3550F2"/>
    <w:rsid w:val="6B607F4C"/>
    <w:rsid w:val="6C0E5BFA"/>
    <w:rsid w:val="6C1F5711"/>
    <w:rsid w:val="6CF50EC1"/>
    <w:rsid w:val="6D7E46BA"/>
    <w:rsid w:val="6D8D0793"/>
    <w:rsid w:val="6E5A4335"/>
    <w:rsid w:val="6F8561D3"/>
    <w:rsid w:val="6FE949B4"/>
    <w:rsid w:val="70A42B4C"/>
    <w:rsid w:val="70D53670"/>
    <w:rsid w:val="74477EFB"/>
    <w:rsid w:val="76C7193E"/>
    <w:rsid w:val="77440722"/>
    <w:rsid w:val="781C169F"/>
    <w:rsid w:val="78212811"/>
    <w:rsid w:val="78B47B29"/>
    <w:rsid w:val="78C134D4"/>
    <w:rsid w:val="79BF6786"/>
    <w:rsid w:val="7A765096"/>
    <w:rsid w:val="7AFE6E3A"/>
    <w:rsid w:val="7C1F350C"/>
    <w:rsid w:val="7C3A6597"/>
    <w:rsid w:val="7C95557C"/>
    <w:rsid w:val="7CF22163"/>
    <w:rsid w:val="7D250FF6"/>
    <w:rsid w:val="7D43322A"/>
    <w:rsid w:val="7E3A287F"/>
    <w:rsid w:val="7E5F7042"/>
    <w:rsid w:val="7E8D39C8"/>
    <w:rsid w:val="7EA1645A"/>
    <w:rsid w:val="7EC81C39"/>
  </w:rsids>
  <w:docVars>
    <w:docVar w:name="commondata" w:val="eyJoZGlkIjoiYzZhOTY0OGVjMmVhYjkzZTE2Zjg4OGM0NTIzZGZjMz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autoRedefine/>
    <w:semiHidden/>
    <w:qFormat/>
  </w:style>
  <w:style w:type="table" w:default="1" w:styleId="TableNormal">
    <w:name w:val="Normal Table"/>
    <w:autoRedefine/>
    <w:semiHidden/>
    <w:qFormat/>
    <w:tblPr>
      <w:tblCellMar>
        <w:top w:w="0" w:type="dxa"/>
        <w:left w:w="108" w:type="dxa"/>
        <w:bottom w:w="0" w:type="dxa"/>
        <w:right w:w="108" w:type="dxa"/>
      </w:tblCellMar>
    </w:tblPr>
  </w:style>
  <w:style w:type="paragraph" w:styleId="Footer">
    <w:name w:val="footer"/>
    <w:basedOn w:val="Normal"/>
    <w:autoRedefine/>
    <w:qFormat/>
    <w:pPr>
      <w:tabs>
        <w:tab w:val="center" w:pos="4153"/>
        <w:tab w:val="right" w:pos="8306"/>
      </w:tabs>
      <w:snapToGrid w:val="0"/>
      <w:jc w:val="left"/>
    </w:pPr>
    <w:rPr>
      <w:sz w:val="18"/>
      <w:szCs w:val="18"/>
    </w:rPr>
  </w:style>
  <w:style w:type="paragraph" w:styleId="NormalWeb">
    <w:name w:val="Normal (Web)"/>
    <w:basedOn w:val="Normal"/>
    <w:autoRedefine/>
    <w:qFormat/>
    <w:pPr>
      <w:spacing w:beforeAutospacing="1" w:afterAutospacing="1"/>
      <w:jc w:val="left"/>
    </w:pPr>
    <w:rPr>
      <w:rFonts w:ascii="Calibri" w:hAnsi="Calibri"/>
      <w:kern w:val="0"/>
      <w:sz w:val="24"/>
    </w:rPr>
  </w:style>
  <w:style w:type="character" w:styleId="Strong">
    <w:name w:val="Strong"/>
    <w:basedOn w:val="DefaultParagraphFont"/>
    <w:autoRedefine/>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footer" Target="footer3.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14</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二蛋</dc:creator>
  <cp:lastModifiedBy>杨运</cp:lastModifiedBy>
  <cp:revision>1</cp:revision>
  <dcterms:created xsi:type="dcterms:W3CDTF">2024-01-16T02:39:00Z</dcterms:created>
  <dcterms:modified xsi:type="dcterms:W3CDTF">2024-01-25T02:05:04Z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AB12261BCF484B528A5866483B2ED966_11</vt:lpwstr>
  </property>
  <property fmtid="{D5CDD505-2E9C-101B-9397-08002B2CF9AE}" pid="3" name="KSOProductBuildVer">
    <vt:lpwstr>2052-12.1.0.16250</vt:lpwstr>
  </property>
</Properties>
</file>