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正阳关镇中心卫生院建设分院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 部门概况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2.部门预算构成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bCs/>
          <w:sz w:val="32"/>
          <w:szCs w:val="32"/>
        </w:rPr>
        <w:t>）</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正阳关镇中心卫生院建设分院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 部门</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0" w:beforeAutospacing="0" w:after="0" w:afterAutospacing="0" w:line="360" w:lineRule="auto"/>
        <w:ind w:firstLine="480" w:firstLineChars="150"/>
        <w:jc w:val="both"/>
        <w:rPr>
          <w:rFonts w:ascii="仿宋_GB2312" w:eastAsia="仿宋_GB2312" w:hAnsi="仿宋" w:hint="eastAsia"/>
          <w:sz w:val="32"/>
          <w:szCs w:val="32"/>
        </w:rPr>
      </w:pPr>
      <w:r>
        <w:rPr>
          <w:rFonts w:ascii="仿宋_GB2312" w:eastAsia="仿宋_GB2312" w:hAnsi="黑体" w:hint="eastAsia"/>
          <w:bCs/>
          <w:sz w:val="32"/>
          <w:szCs w:val="32"/>
        </w:rPr>
        <w:t>（一）</w:t>
      </w:r>
      <w:r>
        <w:rPr>
          <w:rFonts w:ascii="仿宋_GB2312" w:eastAsia="仿宋_GB2312" w:hAnsi="仿宋" w:hint="eastAsia"/>
          <w:sz w:val="32"/>
          <w:szCs w:val="32"/>
        </w:rPr>
        <w:t>寿县正阳关镇中心卫生院建设分院是乡镇卫生院，是县或乡设立的一种卫生行政兼医疗预防工作的综合性机构。</w:t>
      </w:r>
    </w:p>
    <w:p>
      <w:pPr>
        <w:pStyle w:val="NormalWeb"/>
        <w:adjustRightInd w:val="0"/>
        <w:snapToGrid w:val="0"/>
        <w:spacing w:before="0" w:beforeAutospacing="0" w:after="0" w:afterAutospacing="0" w:line="360" w:lineRule="auto"/>
        <w:ind w:firstLine="480" w:firstLineChars="150"/>
        <w:jc w:val="both"/>
        <w:rPr>
          <w:rFonts w:ascii="仿宋_GB2312" w:eastAsia="仿宋_GB2312" w:hAnsi="黑体"/>
          <w:bCs/>
          <w:color w:val="FF0000"/>
          <w:sz w:val="32"/>
          <w:szCs w:val="32"/>
        </w:rPr>
      </w:pPr>
      <w:r>
        <w:rPr>
          <w:rFonts w:ascii="仿宋_GB2312" w:eastAsia="仿宋_GB2312" w:hAnsi="仿宋" w:hint="eastAsia"/>
          <w:sz w:val="32"/>
          <w:szCs w:val="32"/>
        </w:rPr>
        <w:t>（二）主要承担辖区范围内常见病的诊断、治疗发及部分公共卫生工作。</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w:t>
      </w:r>
      <w:r>
        <w:rPr>
          <w:rFonts w:ascii="仿宋_GB2312" w:eastAsia="仿宋_GB2312" w:hAnsi="仿宋" w:cs="仿宋" w:hint="eastAsia"/>
          <w:bCs/>
          <w:sz w:val="32"/>
          <w:szCs w:val="32"/>
          <w:lang w:val="en-US" w:eastAsia="zh-CN"/>
        </w:rPr>
        <w:t>正阳关镇中心卫生院建设分院</w:t>
      </w:r>
      <w:r>
        <w:rPr>
          <w:rFonts w:ascii="仿宋_GB2312" w:eastAsia="仿宋_GB2312" w:hAnsi="仿宋" w:hint="eastAsia"/>
          <w:sz w:val="32"/>
          <w:szCs w:val="32"/>
        </w:rPr>
        <w:t>2023年度</w:t>
      </w:r>
      <w:r>
        <w:rPr>
          <w:rFonts w:ascii="仿宋" w:eastAsia="仿宋" w:hAnsi="仿宋" w:hint="eastAsia"/>
          <w:sz w:val="32"/>
          <w:szCs w:val="32"/>
        </w:rPr>
        <w:t>部门预算包括本单位预算，没有二级预算单位，纳入部门预算编制范围的单位共1个，具体情况见下表。</w:t>
      </w:r>
    </w:p>
    <w:tbl>
      <w:tblPr>
        <w:tblStyle w:val="TableNormal"/>
        <w:tblW w:w="9108" w:type="dxa"/>
        <w:tblInd w:w="108" w:type="dxa"/>
        <w:tblLayout w:type="fixed"/>
        <w:tblCellMar>
          <w:top w:w="0" w:type="dxa"/>
          <w:left w:w="0" w:type="dxa"/>
          <w:bottom w:w="0" w:type="dxa"/>
          <w:right w:w="0" w:type="dxa"/>
        </w:tblCellMar>
      </w:tblPr>
      <w:tblGrid>
        <w:gridCol w:w="911"/>
        <w:gridCol w:w="3643"/>
        <w:gridCol w:w="4554"/>
      </w:tblGrid>
      <w:tr>
        <w:tblPrEx>
          <w:tblW w:w="9108" w:type="dxa"/>
          <w:tblInd w:w="108" w:type="dxa"/>
          <w:tblLayout w:type="fixed"/>
          <w:tblCellMar>
            <w:top w:w="0" w:type="dxa"/>
            <w:left w:w="0" w:type="dxa"/>
            <w:bottom w:w="0" w:type="dxa"/>
            <w:right w:w="0" w:type="dxa"/>
          </w:tblCellMar>
        </w:tblPrEx>
        <w:trPr>
          <w:trHeight w:val="400"/>
        </w:trPr>
        <w:tc>
          <w:tcPr>
            <w:tcW w:w="911"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序号</w:t>
            </w:r>
          </w:p>
        </w:tc>
        <w:tc>
          <w:tcPr>
            <w:tcW w:w="3643"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单位名称</w:t>
            </w:r>
          </w:p>
        </w:tc>
        <w:tc>
          <w:tcPr>
            <w:tcW w:w="4554" w:type="dxa"/>
            <w:tcBorders>
              <w:top w:val="single" w:sz="8" w:space="0" w:color="auto"/>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单位性质</w:t>
            </w: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1</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eastAsia="宋体" w:hAnsi="TimesNewRoman" w:cs="TimesNewRoman" w:hint="default"/>
                <w:szCs w:val="21"/>
                <w:u w:val="single"/>
                <w:lang w:val="en-US" w:eastAsia="zh-CN"/>
              </w:rPr>
            </w:pPr>
            <w:r>
              <w:rPr>
                <w:rFonts w:ascii="TimesNewRoman" w:hAnsi="TimesNewRoman" w:cs="TimesNewRoman" w:hint="eastAsia"/>
                <w:bCs/>
                <w:szCs w:val="21"/>
                <w:lang w:val="en-US" w:eastAsia="zh-CN"/>
              </w:rPr>
              <w:t>寿县正阳关镇中心卫生院建设分院</w:t>
            </w: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r>
              <w:rPr>
                <w:rFonts w:ascii="TimesNewRoman" w:hAnsi="TimesNewRoman" w:cs="TimesNewRoman"/>
                <w:bCs/>
                <w:szCs w:val="21"/>
              </w:rPr>
              <w:t>公益一类事业单位</w:t>
            </w:r>
          </w:p>
        </w:tc>
      </w:tr>
    </w:tbl>
    <w:p>
      <w:pPr>
        <w:pStyle w:val="NormalWeb"/>
        <w:adjustRightInd w:val="0"/>
        <w:snapToGrid w:val="0"/>
        <w:spacing w:before="0" w:beforeAutospacing="0" w:after="0" w:afterAutospacing="0" w:line="600" w:lineRule="exact"/>
        <w:outlineLvl w:val="0"/>
        <w:rPr>
          <w:rFonts w:ascii="楷体_GB2312" w:eastAsia="楷体_GB2312" w:hAnsi="仿宋" w:cs="Times New Roman" w:hint="eastAsia"/>
          <w:color w:val="FF0000"/>
          <w:kern w:val="2"/>
          <w:sz w:val="32"/>
          <w:szCs w:val="32"/>
        </w:rPr>
      </w:pPr>
      <w:r>
        <w:rPr>
          <w:rFonts w:ascii="仿宋_GB2312" w:eastAsia="仿宋_GB2312" w:hAnsi="仿宋" w:hint="eastAsia"/>
          <w:sz w:val="32"/>
          <w:szCs w:val="32"/>
        </w:rPr>
        <w:t>从预算单位构成看，</w:t>
      </w:r>
      <w:r>
        <w:rPr>
          <w:rFonts w:ascii="仿宋_GB2312" w:eastAsia="仿宋_GB2312" w:hint="eastAsia"/>
          <w:sz w:val="30"/>
          <w:szCs w:val="30"/>
        </w:rPr>
        <w:t>寿县正阳关镇中心卫生院建设分院</w:t>
      </w:r>
      <w:r>
        <w:rPr>
          <w:rFonts w:ascii="仿宋_GB2312" w:eastAsia="仿宋_GB2312" w:hAnsi="仿宋" w:hint="eastAsia"/>
          <w:sz w:val="32"/>
          <w:szCs w:val="32"/>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年度部门预算仅包括本级预算，无其他下属单位预算。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黑体" w:eastAsia="仿宋_GB2312" w:hAnsi="黑体" w:hint="eastAsia"/>
          <w:bCs/>
          <w:sz w:val="32"/>
          <w:szCs w:val="32"/>
        </w:rPr>
      </w:pPr>
      <w:r>
        <w:rPr>
          <w:rFonts w:ascii="仿宋_GB2312" w:eastAsia="仿宋_GB2312" w:hAnsi="黑体" w:hint="eastAsia"/>
          <w:bCs/>
          <w:sz w:val="32"/>
          <w:szCs w:val="32"/>
        </w:rPr>
        <w:t>（一）提供基本医疗服务。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（二）承担公共卫生管理服务。</w:t>
      </w:r>
    </w:p>
    <w:p>
      <w:pPr>
        <w:pStyle w:val="NormalWeb"/>
        <w:adjustRightInd w:val="0"/>
        <w:snapToGrid w:val="0"/>
        <w:spacing w:before="0" w:beforeAutospacing="0" w:after="0" w:afterAutospacing="0" w:line="360" w:lineRule="auto"/>
        <w:ind w:firstLine="640"/>
        <w:jc w:val="both"/>
        <w:rPr>
          <w:rFonts w:ascii="仿宋_GB2312" w:eastAsia="仿宋_GB2312" w:hAnsi="黑体" w:hint="eastAsia"/>
          <w:bCs/>
          <w:sz w:val="32"/>
          <w:szCs w:val="32"/>
        </w:rPr>
      </w:pPr>
      <w:r>
        <w:rPr>
          <w:rFonts w:ascii="仿宋_GB2312" w:eastAsia="仿宋_GB2312" w:hAnsi="黑体" w:hint="eastAsia"/>
          <w:bCs/>
          <w:sz w:val="32"/>
          <w:szCs w:val="32"/>
        </w:rPr>
        <w:t>（三）本级应承担的卫生行政管理工作。</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94.53</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174.04</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6.87</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204.53</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204.53</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204.53</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204.53</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CellMar>
            <w:top w:w="0" w:type="dxa"/>
            <w:left w:w="108" w:type="dxa"/>
            <w:bottom w:w="0" w:type="dxa"/>
            <w:right w:w="108" w:type="dxa"/>
          </w:tblCellMar>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合计</w:t>
            </w:r>
          </w:p>
        </w:tc>
        <w:tc>
          <w:tcPr>
            <w:tcW w:w="53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465"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647"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94.53</w:t>
            </w:r>
          </w:p>
        </w:tc>
        <w:tc>
          <w:tcPr>
            <w:tcW w:w="648"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寿县卫生健康委员会</w:t>
            </w:r>
          </w:p>
        </w:tc>
        <w:tc>
          <w:tcPr>
            <w:tcW w:w="53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465"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64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94.53</w:t>
            </w: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寿县正阳关镇中心卫生院建设分院</w:t>
            </w:r>
          </w:p>
        </w:tc>
        <w:tc>
          <w:tcPr>
            <w:tcW w:w="53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465"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64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94.53</w:t>
            </w: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23.22</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23.22</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事业单位离退休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174.04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63.10</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110.94</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基层医疗卫生机构</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170.09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59.15</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110.94</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乡镇卫生院</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170.09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59.15</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110.94</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2210201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204.53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93.59</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110.94</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94.53</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94.53</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94.53</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64.04</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6.87</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94.53</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94.53</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宋体" w:eastAsia="宋体" w:hAnsi="宋体" w:cs="宋体" w:hint="eastAsia"/>
          <w:b/>
          <w:bCs w:val="0"/>
          <w:sz w:val="28"/>
          <w:szCs w:val="28"/>
          <w:lang w:val="en-US" w:eastAsia="zh-CN"/>
        </w:rPr>
        <w:t>正阳关镇中心卫生院建设分院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23.62</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23.22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23.22</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23.22</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事业单位离退休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64.04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63.10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63.10</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0.94</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基层医疗卫生机构</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60.09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59.15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59.15</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0.94</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乡镇卫生院</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60.09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59.15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59.15</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0.94</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2210201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94.53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93.59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93.59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301</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82.24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82.24</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30101</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35.05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35.05</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30107</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绩效工资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22.22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22.22</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30108</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9.16</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30109</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职业年金缴费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4.58</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30110</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3.95</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30112</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0.40</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30113</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6.87</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303</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11.35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11.35</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30302</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9.47</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30305</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生活补助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1.88</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93.59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93.59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正阳关镇中心卫生院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正阳关镇中心卫生院建设风暖</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三年过渡安置人员补助</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寿县正阳关镇中心卫生院建设分院</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0.94</w:t>
            </w:r>
          </w:p>
        </w:tc>
        <w:tc>
          <w:tcPr>
            <w:tcW w:w="1214"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0.94</w:t>
            </w:r>
          </w:p>
        </w:tc>
        <w:tc>
          <w:tcPr>
            <w:tcW w:w="1214"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寿县正阳关镇中心卫生院建设分院</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110.00</w:t>
            </w: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110.94</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0.94</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宋体" w:eastAsia="宋体" w:hAnsi="宋体" w:cs="宋体" w:hint="eastAsia"/>
                <w:b/>
                <w:bCs w:val="0"/>
                <w:sz w:val="28"/>
                <w:szCs w:val="28"/>
                <w:lang w:val="en-US" w:eastAsia="zh-CN"/>
              </w:rPr>
              <w:t>正阳关镇中心卫生院建设分院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寿县正阳关镇中心卫生院建设分院</w:t>
            </w:r>
          </w:p>
        </w:tc>
        <w:tc>
          <w:tcPr>
            <w:tcW w:w="1827"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寿县正阳关镇中心卫生院建设分院</w:t>
            </w:r>
          </w:p>
        </w:tc>
        <w:tc>
          <w:tcPr>
            <w:tcW w:w="1430"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1.77</w:t>
            </w:r>
          </w:p>
        </w:tc>
        <w:tc>
          <w:tcPr>
            <w:tcW w:w="1643"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88"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1.77</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乡镇卫生院医疗卫生支出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乡镇卫生院医疗卫生支出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1.77</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1.77</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A4 黑白打印机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A4 黑白打印机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0.15</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便携式计算机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便携式计算机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0.50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0.50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空调机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空调机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0.72</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0.72</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台式计算机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台式计算机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0.40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0.40</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1.77</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1.77</w:t>
            </w:r>
            <w:r>
              <w:rPr>
                <w:rFonts w:ascii="TimesNewRoman" w:hAnsi="TimesNewRoman" w:cs="TimesNewRoman"/>
                <w:kern w:val="0"/>
                <w:sz w:val="20"/>
              </w:rPr>
              <w:t>　</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b/>
                <w:bCs/>
                <w:kern w:val="0"/>
                <w:sz w:val="28"/>
                <w:szCs w:val="32"/>
              </w:rPr>
            </w:pPr>
            <w:bookmarkStart w:id="0" w:name="_GoBack"/>
            <w:bookmarkEnd w:id="0"/>
            <w:r>
              <w:rPr>
                <w:rFonts w:ascii="宋体" w:hAnsi="宋体" w:cs="TimesNewRoman" w:hint="eastAsia"/>
                <w:b/>
                <w:bCs/>
                <w:kern w:val="0"/>
                <w:sz w:val="28"/>
                <w:szCs w:val="32"/>
              </w:rPr>
              <w:t>寿县</w:t>
            </w:r>
            <w:r>
              <w:rPr>
                <w:rFonts w:ascii="宋体" w:eastAsia="宋体" w:hAnsi="宋体" w:cs="宋体" w:hint="eastAsia"/>
                <w:b/>
                <w:bCs w:val="0"/>
                <w:sz w:val="28"/>
                <w:szCs w:val="28"/>
                <w:lang w:val="en-US" w:eastAsia="zh-CN"/>
              </w:rPr>
              <w:t>正阳关镇中心卫生院建设分院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hint="eastAsia"/>
          <w:kern w:val="0"/>
          <w:sz w:val="22"/>
          <w:lang w:val="en-US" w:eastAsia="zh-CN"/>
        </w:rPr>
        <w:t>正阳关镇中心卫生院建设分院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adjustRightInd w:val="0"/>
        <w:snapToGrid w:val="0"/>
        <w:spacing w:before="0" w:beforeAutospacing="0" w:after="0" w:afterAutospacing="0" w:line="600" w:lineRule="exact"/>
        <w:ind w:firstLine="640" w:firstLineChars="200"/>
        <w:rPr>
          <w:rFonts w:ascii="仿宋_GB2312" w:eastAsia="仿宋_GB2312" w:hAnsi="仿宋" w:cs="Times New Roman" w:hint="eastAsia"/>
          <w:kern w:val="2"/>
          <w:sz w:val="32"/>
          <w:szCs w:val="32"/>
        </w:rPr>
      </w:pPr>
      <w:r>
        <w:rPr>
          <w:rFonts w:ascii="仿宋_GB2312" w:eastAsia="仿宋_GB2312" w:hAnsi="仿宋" w:cs="Times New Roman" w:hint="eastAsia"/>
          <w:kern w:val="2"/>
          <w:sz w:val="32"/>
          <w:szCs w:val="32"/>
        </w:rPr>
        <w:t>寿县</w:t>
      </w:r>
      <w:r>
        <w:rPr>
          <w:rFonts w:ascii="仿宋_GB2312" w:eastAsia="仿宋_GB2312" w:hAnsi="仿宋" w:cs="Times New Roman" w:hint="eastAsia"/>
          <w:kern w:val="2"/>
          <w:sz w:val="32"/>
          <w:szCs w:val="32"/>
          <w:lang w:val="en-US" w:eastAsia="zh-CN"/>
        </w:rPr>
        <w:t>正阳关镇中心卫生院建设分院</w:t>
      </w:r>
      <w:r>
        <w:rPr>
          <w:rFonts w:ascii="仿宋_GB2312" w:eastAsia="仿宋_GB2312" w:hAnsi="仿宋" w:cs="Times New Roman" w:hint="eastAsia"/>
          <w:kern w:val="2"/>
          <w:sz w:val="32"/>
          <w:szCs w:val="32"/>
        </w:rPr>
        <w:t>202</w:t>
      </w:r>
      <w:r>
        <w:rPr>
          <w:rFonts w:ascii="仿宋_GB2312" w:eastAsia="仿宋_GB2312" w:hAnsi="仿宋" w:cs="Times New Roman" w:hint="eastAsia"/>
          <w:kern w:val="2"/>
          <w:sz w:val="32"/>
          <w:szCs w:val="32"/>
          <w:lang w:val="en-US" w:eastAsia="zh-CN"/>
        </w:rPr>
        <w:t>4</w:t>
      </w:r>
      <w:r>
        <w:rPr>
          <w:rFonts w:ascii="仿宋_GB2312" w:eastAsia="仿宋_GB2312" w:hAnsi="仿宋" w:cs="Times New Roman" w:hint="eastAsia"/>
          <w:kern w:val="2"/>
          <w:sz w:val="32"/>
          <w:szCs w:val="32"/>
        </w:rPr>
        <w:t>年财政拨款收支预算</w:t>
      </w:r>
      <w:r>
        <w:rPr>
          <w:rFonts w:ascii="仿宋_GB2312" w:eastAsia="仿宋_GB2312" w:hAnsi="仿宋" w:cs="Times New Roman" w:hint="eastAsia"/>
          <w:kern w:val="2"/>
          <w:sz w:val="32"/>
          <w:szCs w:val="32"/>
          <w:lang w:val="en-US" w:eastAsia="zh-CN"/>
        </w:rPr>
        <w:t>204.53</w:t>
      </w:r>
      <w:r>
        <w:rPr>
          <w:rFonts w:ascii="仿宋_GB2312" w:eastAsia="仿宋_GB2312" w:hAnsi="仿宋" w:cs="Times New Roman" w:hint="eastAsia"/>
          <w:kern w:val="2"/>
          <w:sz w:val="32"/>
          <w:szCs w:val="32"/>
        </w:rPr>
        <w:t>万元。收入按资金来源分为：一般公共预算拨款</w:t>
      </w:r>
      <w:r>
        <w:rPr>
          <w:rFonts w:ascii="仿宋_GB2312" w:eastAsia="仿宋_GB2312" w:hAnsi="仿宋" w:cs="Times New Roman" w:hint="eastAsia"/>
          <w:kern w:val="2"/>
          <w:sz w:val="32"/>
          <w:szCs w:val="32"/>
          <w:lang w:val="en-US" w:eastAsia="zh-CN"/>
        </w:rPr>
        <w:t>94.53</w:t>
      </w:r>
      <w:r>
        <w:rPr>
          <w:rFonts w:ascii="仿宋_GB2312" w:eastAsia="仿宋_GB2312" w:hAnsi="仿宋" w:cs="Times New Roman" w:hint="eastAsia"/>
          <w:kern w:val="2"/>
          <w:sz w:val="32"/>
          <w:szCs w:val="32"/>
        </w:rPr>
        <w:t>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110万元</w:t>
      </w:r>
      <w:r>
        <w:rPr>
          <w:rFonts w:ascii="仿宋_GB2312" w:eastAsia="仿宋_GB2312" w:hAnsi="TimesNewRoman" w:cs="TimesNewRoman" w:hint="eastAsia"/>
          <w:sz w:val="32"/>
          <w:szCs w:val="32"/>
          <w:lang w:eastAsia="zh-CN"/>
        </w:rPr>
        <w:t>。</w:t>
      </w:r>
      <w:r>
        <w:rPr>
          <w:rFonts w:ascii="仿宋_GB2312" w:eastAsia="仿宋_GB2312" w:hAnsi="仿宋" w:cs="Times New Roman" w:hint="eastAsia"/>
          <w:kern w:val="2"/>
          <w:sz w:val="32"/>
          <w:szCs w:val="32"/>
        </w:rPr>
        <w:t>按资金年度分为：当年财政拨款收入</w:t>
      </w:r>
      <w:r>
        <w:rPr>
          <w:rFonts w:ascii="仿宋_GB2312" w:eastAsia="仿宋_GB2312" w:hAnsi="仿宋" w:cs="Times New Roman" w:hint="eastAsia"/>
          <w:kern w:val="2"/>
          <w:sz w:val="32"/>
          <w:szCs w:val="32"/>
          <w:lang w:val="en-US" w:eastAsia="zh-CN"/>
        </w:rPr>
        <w:t>94.53</w:t>
      </w:r>
      <w:r>
        <w:rPr>
          <w:rFonts w:ascii="仿宋_GB2312" w:eastAsia="仿宋_GB2312" w:hAnsi="仿宋" w:cs="Times New Roman" w:hint="eastAsia"/>
          <w:kern w:val="2"/>
          <w:sz w:val="32"/>
          <w:szCs w:val="32"/>
        </w:rPr>
        <w:t>万元，上年结转</w:t>
      </w:r>
      <w:r>
        <w:rPr>
          <w:rFonts w:ascii="仿宋_GB2312" w:eastAsia="仿宋_GB2312" w:hAnsi="仿宋" w:cs="Times New Roman" w:hint="eastAsia"/>
          <w:kern w:val="2"/>
          <w:sz w:val="32"/>
          <w:szCs w:val="32"/>
          <w:lang w:val="en-US" w:eastAsia="zh-CN"/>
        </w:rPr>
        <w:t>0</w:t>
      </w:r>
      <w:r>
        <w:rPr>
          <w:rFonts w:ascii="仿宋_GB2312" w:eastAsia="仿宋_GB2312" w:hAnsi="仿宋" w:cs="Times New Roman" w:hint="eastAsia"/>
          <w:kern w:val="2"/>
          <w:sz w:val="32"/>
          <w:szCs w:val="32"/>
        </w:rPr>
        <w:t>万元。支出按功能分类分为：社会保障和就业支出</w:t>
      </w:r>
      <w:r>
        <w:rPr>
          <w:rFonts w:ascii="仿宋_GB2312" w:eastAsia="仿宋_GB2312" w:hAnsi="仿宋" w:cs="Times New Roman" w:hint="eastAsia"/>
          <w:kern w:val="2"/>
          <w:sz w:val="32"/>
          <w:szCs w:val="32"/>
          <w:lang w:val="en-US" w:eastAsia="zh-CN"/>
        </w:rPr>
        <w:t>23.62</w:t>
      </w:r>
      <w:r>
        <w:rPr>
          <w:rFonts w:ascii="仿宋_GB2312" w:eastAsia="仿宋_GB2312" w:hAnsi="仿宋" w:cs="Times New Roman" w:hint="eastAsia"/>
          <w:kern w:val="2"/>
          <w:sz w:val="32"/>
          <w:szCs w:val="32"/>
        </w:rPr>
        <w:t>万元，占</w:t>
      </w:r>
      <w:r>
        <w:rPr>
          <w:rFonts w:ascii="仿宋_GB2312" w:eastAsia="仿宋_GB2312" w:hAnsi="仿宋" w:cs="Times New Roman" w:hint="eastAsia"/>
          <w:kern w:val="2"/>
          <w:sz w:val="32"/>
          <w:szCs w:val="32"/>
          <w:lang w:val="en-US" w:eastAsia="zh-CN"/>
        </w:rPr>
        <w:t>11.55</w:t>
      </w:r>
      <w:r>
        <w:rPr>
          <w:rFonts w:ascii="仿宋_GB2312" w:eastAsia="仿宋_GB2312" w:hAnsi="仿宋" w:cs="Times New Roman" w:hint="eastAsia"/>
          <w:kern w:val="2"/>
          <w:sz w:val="32"/>
          <w:szCs w:val="32"/>
        </w:rPr>
        <w:t>%；卫生健康支出</w:t>
      </w:r>
      <w:r>
        <w:rPr>
          <w:rFonts w:ascii="仿宋_GB2312" w:eastAsia="仿宋_GB2312" w:hAnsi="仿宋" w:cs="Times New Roman" w:hint="eastAsia"/>
          <w:kern w:val="2"/>
          <w:sz w:val="32"/>
          <w:szCs w:val="32"/>
          <w:lang w:val="en-US" w:eastAsia="zh-CN"/>
        </w:rPr>
        <w:t>174.04</w:t>
      </w:r>
      <w:r>
        <w:rPr>
          <w:rFonts w:ascii="仿宋_GB2312" w:eastAsia="仿宋_GB2312" w:hAnsi="仿宋" w:cs="Times New Roman" w:hint="eastAsia"/>
          <w:kern w:val="2"/>
          <w:sz w:val="32"/>
          <w:szCs w:val="32"/>
        </w:rPr>
        <w:t>万元，占</w:t>
      </w:r>
      <w:r>
        <w:rPr>
          <w:rFonts w:ascii="仿宋_GB2312" w:eastAsia="仿宋_GB2312" w:hAnsi="仿宋" w:cs="Times New Roman" w:hint="eastAsia"/>
          <w:kern w:val="2"/>
          <w:sz w:val="32"/>
          <w:szCs w:val="32"/>
          <w:lang w:val="en-US" w:eastAsia="zh-CN"/>
        </w:rPr>
        <w:t>85.09</w:t>
      </w:r>
      <w:r>
        <w:rPr>
          <w:rFonts w:ascii="仿宋_GB2312" w:eastAsia="仿宋_GB2312" w:hAnsi="仿宋" w:cs="Times New Roman" w:hint="eastAsia"/>
          <w:kern w:val="2"/>
          <w:sz w:val="32"/>
          <w:szCs w:val="32"/>
        </w:rPr>
        <w:t>%；住房保障支出</w:t>
      </w:r>
      <w:r>
        <w:rPr>
          <w:rFonts w:ascii="仿宋_GB2312" w:eastAsia="仿宋_GB2312" w:hAnsi="仿宋" w:cs="Times New Roman" w:hint="eastAsia"/>
          <w:kern w:val="2"/>
          <w:sz w:val="32"/>
          <w:szCs w:val="32"/>
          <w:lang w:val="en-US" w:eastAsia="zh-CN"/>
        </w:rPr>
        <w:t>6.87</w:t>
      </w:r>
      <w:r>
        <w:rPr>
          <w:rFonts w:ascii="仿宋_GB2312" w:eastAsia="仿宋_GB2312" w:hAnsi="仿宋" w:cs="Times New Roman" w:hint="eastAsia"/>
          <w:kern w:val="2"/>
          <w:sz w:val="32"/>
          <w:szCs w:val="32"/>
        </w:rPr>
        <w:t>万元，占</w:t>
      </w:r>
      <w:r>
        <w:rPr>
          <w:rFonts w:ascii="仿宋_GB2312" w:eastAsia="仿宋_GB2312" w:hAnsi="仿宋" w:cs="Times New Roman" w:hint="eastAsia"/>
          <w:kern w:val="2"/>
          <w:sz w:val="32"/>
          <w:szCs w:val="32"/>
          <w:lang w:val="en-US" w:eastAsia="zh-CN"/>
        </w:rPr>
        <w:t>3.36</w:t>
      </w:r>
      <w:r>
        <w:rPr>
          <w:rFonts w:ascii="仿宋_GB2312" w:eastAsia="仿宋_GB2312" w:hAnsi="仿宋" w:cs="Times New Roman" w:hint="eastAsia"/>
          <w:kern w:val="2"/>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仿宋" w:cs="Times New Roman" w:hint="eastAsia"/>
          <w:kern w:val="2"/>
          <w:sz w:val="32"/>
          <w:szCs w:val="32"/>
          <w:lang w:val="en-US" w:eastAsia="zh-CN"/>
        </w:rPr>
        <w:t>正阳关镇中心卫生院建设分院</w:t>
      </w:r>
      <w:r>
        <w:rPr>
          <w:rFonts w:ascii="仿宋_GB2312" w:eastAsia="仿宋_GB2312" w:hAnsi="TimesNewRoman" w:cs="TimesNewRoman" w:hint="eastAsia"/>
          <w:sz w:val="32"/>
          <w:szCs w:val="32"/>
        </w:rPr>
        <w:t>2024年收入预算</w:t>
      </w:r>
      <w:r>
        <w:rPr>
          <w:rFonts w:ascii="仿宋_GB2312" w:eastAsia="仿宋_GB2312" w:hAnsi="仿宋" w:cs="Times New Roman" w:hint="eastAsia"/>
          <w:kern w:val="2"/>
          <w:sz w:val="32"/>
          <w:szCs w:val="32"/>
          <w:lang w:val="en-US" w:eastAsia="zh-CN"/>
        </w:rPr>
        <w:t>204.53</w:t>
      </w:r>
      <w:r>
        <w:rPr>
          <w:rFonts w:ascii="仿宋_GB2312" w:eastAsia="仿宋_GB2312" w:hAnsi="TimesNewRoman" w:cs="TimesNewRoman" w:hint="eastAsia"/>
          <w:sz w:val="32"/>
          <w:szCs w:val="32"/>
        </w:rPr>
        <w:t>万元，其中，本年收入</w:t>
      </w:r>
      <w:r>
        <w:rPr>
          <w:rFonts w:ascii="仿宋_GB2312" w:eastAsia="仿宋_GB2312" w:hAnsi="仿宋" w:cs="Times New Roman" w:hint="eastAsia"/>
          <w:kern w:val="2"/>
          <w:sz w:val="32"/>
          <w:szCs w:val="32"/>
          <w:lang w:val="en-US" w:eastAsia="zh-CN"/>
        </w:rPr>
        <w:t>204.53</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仿宋" w:cs="Times New Roman" w:hint="default"/>
          <w:kern w:val="2"/>
          <w:sz w:val="32"/>
          <w:szCs w:val="32"/>
          <w:lang w:val="en-US" w:eastAsia="zh-CN"/>
        </w:rPr>
      </w:pPr>
      <w:r>
        <w:rPr>
          <w:rFonts w:ascii="仿宋_GB2312" w:eastAsia="仿宋_GB2312" w:hAnsi="TimesNewRoman" w:cs="TimesNewRoman" w:hint="eastAsia"/>
          <w:sz w:val="32"/>
          <w:szCs w:val="32"/>
        </w:rPr>
        <w:t>（一）本年收入</w:t>
      </w:r>
      <w:r>
        <w:rPr>
          <w:rFonts w:ascii="仿宋_GB2312" w:eastAsia="仿宋_GB2312" w:hAnsi="仿宋" w:cs="Times New Roman" w:hint="eastAsia"/>
          <w:kern w:val="2"/>
          <w:sz w:val="32"/>
          <w:szCs w:val="32"/>
          <w:lang w:val="en-US" w:eastAsia="zh-CN"/>
        </w:rPr>
        <w:t>204.53</w:t>
      </w:r>
      <w:r>
        <w:rPr>
          <w:rFonts w:ascii="仿宋_GB2312" w:eastAsia="仿宋_GB2312" w:hAnsi="TimesNewRoman" w:cs="TimesNewRoman" w:hint="eastAsia"/>
          <w:sz w:val="32"/>
          <w:szCs w:val="32"/>
        </w:rPr>
        <w:t>万元，主要包括：一般公共预算拨款收入</w:t>
      </w:r>
      <w:r>
        <w:rPr>
          <w:rFonts w:ascii="仿宋_GB2312" w:eastAsia="仿宋_GB2312" w:hAnsi="仿宋" w:cs="Times New Roman" w:hint="eastAsia"/>
          <w:kern w:val="2"/>
          <w:sz w:val="32"/>
          <w:szCs w:val="32"/>
          <w:lang w:val="en-US" w:eastAsia="zh-CN"/>
        </w:rPr>
        <w:t>94.53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46.22</w:t>
      </w:r>
      <w:r>
        <w:rPr>
          <w:rFonts w:ascii="仿宋_GB2312" w:eastAsia="仿宋_GB2312" w:hAnsi="TimesNewRoman" w:cs="TimesNewRoman" w:hint="eastAsia"/>
          <w:sz w:val="32"/>
          <w:szCs w:val="32"/>
        </w:rPr>
        <w:t>%，比2023年预算</w:t>
      </w:r>
      <w:r>
        <w:rPr>
          <w:rFonts w:ascii="仿宋_GB2312" w:eastAsia="仿宋_GB2312" w:hAnsi="TimesNewRoman" w:cs="TimesNewRoman" w:hint="eastAsia"/>
          <w:sz w:val="32"/>
          <w:szCs w:val="32"/>
          <w:lang w:val="en-US" w:eastAsia="zh-CN"/>
        </w:rPr>
        <w:t>增加2.36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在编人元工资及社保福利</w:t>
      </w:r>
      <w:r>
        <w:rPr>
          <w:rFonts w:ascii="仿宋" w:eastAsia="仿宋" w:hAnsi="仿宋" w:cs="Times New Roman" w:hint="eastAsia"/>
          <w:kern w:val="2"/>
          <w:sz w:val="32"/>
          <w:szCs w:val="32"/>
          <w:lang w:val="en-US" w:eastAsia="zh-CN"/>
        </w:rPr>
        <w:t>及退休人员生活补助</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53.78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与</w:t>
      </w:r>
      <w:r>
        <w:rPr>
          <w:rFonts w:ascii="仿宋_GB2312" w:eastAsia="仿宋_GB2312" w:hAnsi="TimesNewRoman" w:cs="TimesNewRoman" w:hint="eastAsia"/>
          <w:sz w:val="32"/>
          <w:szCs w:val="32"/>
        </w:rPr>
        <w:t>2023年预算</w:t>
      </w:r>
      <w:r>
        <w:rPr>
          <w:rFonts w:ascii="仿宋_GB2312" w:eastAsia="仿宋_GB2312" w:hAnsi="TimesNewRoman" w:cs="TimesNewRoman" w:hint="eastAsia"/>
          <w:sz w:val="32"/>
          <w:szCs w:val="32"/>
          <w:lang w:val="en-US" w:eastAsia="zh-CN"/>
        </w:rPr>
        <w:t>增加了40万，增长原因主要是增收住院病人</w:t>
      </w:r>
      <w:r>
        <w:rPr>
          <w:rFonts w:ascii="仿宋_GB2312" w:eastAsia="仿宋_GB2312" w:hAnsi="TimesNewRoman" w:cs="TimesNewRoman" w:hint="eastAsia"/>
          <w:sz w:val="32"/>
          <w:szCs w:val="32"/>
        </w:rPr>
        <w:t>。</w:t>
      </w:r>
    </w:p>
    <w:p>
      <w:pPr>
        <w:pStyle w:val="NormalWeb"/>
        <w:numPr>
          <w:ilvl w:val="0"/>
          <w:numId w:val="1"/>
        </w:numPr>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pStyle w:val="NormalWeb"/>
        <w:numPr>
          <w:numId w:val="0"/>
        </w:numPr>
        <w:topLinePunct/>
        <w:adjustRightInd w:val="0"/>
        <w:snapToGrid w:val="0"/>
        <w:spacing w:beforeAutospacing="0" w:afterAutospacing="0" w:line="580" w:lineRule="exact"/>
        <w:ind w:firstLine="320" w:firstLineChars="1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仿宋" w:cs="Times New Roman" w:hint="eastAsia"/>
          <w:kern w:val="2"/>
          <w:sz w:val="32"/>
          <w:szCs w:val="32"/>
          <w:lang w:val="en-US" w:eastAsia="zh-CN"/>
        </w:rPr>
        <w:t>正阳关镇中心卫生院建设分院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204.53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42.36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32.05</w:t>
      </w:r>
      <w:r>
        <w:rPr>
          <w:rFonts w:ascii="仿宋_GB2312" w:eastAsia="仿宋_GB2312" w:hAnsi="TimesNewRoman" w:cs="TimesNewRoman" w:hint="eastAsia"/>
          <w:sz w:val="32"/>
          <w:szCs w:val="32"/>
        </w:rPr>
        <w:t>%，增长原因主要是</w:t>
      </w:r>
      <w:r>
        <w:rPr>
          <w:rFonts w:ascii="仿宋" w:eastAsia="仿宋" w:hAnsi="仿宋" w:cs="Times New Roman" w:hint="eastAsia"/>
          <w:kern w:val="2"/>
          <w:sz w:val="32"/>
          <w:szCs w:val="32"/>
          <w:lang w:val="en-US" w:eastAsia="zh-CN"/>
        </w:rPr>
        <w:t>事业收入增加及人员工资和社保福利增加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46.22</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53.78</w:t>
      </w:r>
      <w:r>
        <w:rPr>
          <w:rFonts w:ascii="仿宋_GB2312" w:eastAsia="仿宋_GB2312" w:hAnsi="TimesNewRoman" w:cs="TimesNewRoman" w:hint="eastAsia"/>
          <w:sz w:val="32"/>
          <w:szCs w:val="32"/>
        </w:rPr>
        <w:t>%，主要用于保障机构日常运转、完成日常工作任务</w:t>
      </w:r>
      <w:r>
        <w:rPr>
          <w:rFonts w:ascii="仿宋_GB2312" w:eastAsia="仿宋_GB2312" w:hAnsi="TimesNewRoman" w:cs="TimesNewRoman" w:hint="eastAsia"/>
          <w:sz w:val="32"/>
          <w:szCs w:val="32"/>
          <w:lang w:val="en-US" w:eastAsia="zh-CN"/>
        </w:rPr>
        <w:t>等</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仿宋" w:cs="Times New Roman" w:hint="eastAsia"/>
          <w:kern w:val="2"/>
          <w:sz w:val="32"/>
          <w:szCs w:val="32"/>
          <w:lang w:val="en-US" w:eastAsia="zh-CN"/>
        </w:rPr>
        <w:t>正阳关镇中心卫生院建设分院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万元。收入按资金来源分：全部为一般公共预算拨款</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万元；按资金年度分：全部为当年财政拨款收入</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万元。支出按功能分类分为：社会保障和就业支出</w:t>
      </w:r>
      <w:r>
        <w:rPr>
          <w:rFonts w:ascii="仿宋_GB2312" w:eastAsia="仿宋_GB2312" w:hAnsi="仿宋" w:cs="Times New Roman" w:hint="eastAsia"/>
          <w:kern w:val="2"/>
          <w:sz w:val="32"/>
          <w:szCs w:val="32"/>
          <w:lang w:val="en-US" w:eastAsia="zh-CN"/>
        </w:rPr>
        <w:t>23.62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24.99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6</w:t>
      </w:r>
      <w:r>
        <w:rPr>
          <w:rFonts w:ascii="仿宋_GB2312" w:eastAsia="仿宋_GB2312" w:hAnsi="仿宋" w:cs="Times New Roman" w:hint="eastAsia"/>
          <w:kern w:val="2"/>
          <w:sz w:val="32"/>
          <w:szCs w:val="32"/>
          <w:lang w:val="en-US" w:eastAsia="zh-CN"/>
        </w:rPr>
        <w:t>4.04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67.75</w:t>
      </w:r>
      <w:r>
        <w:rPr>
          <w:rFonts w:ascii="仿宋_GB2312" w:eastAsia="仿宋_GB2312" w:hAnsi="TimesNewRoman" w:cs="TimesNewRoman" w:hint="eastAsia"/>
          <w:sz w:val="32"/>
          <w:szCs w:val="32"/>
        </w:rPr>
        <w:t>%；住房保障支出</w:t>
      </w:r>
      <w:r>
        <w:rPr>
          <w:rFonts w:ascii="仿宋_GB2312" w:eastAsia="仿宋_GB2312" w:hAnsi="仿宋" w:cs="Times New Roman" w:hint="eastAsia"/>
          <w:kern w:val="2"/>
          <w:sz w:val="32"/>
          <w:szCs w:val="32"/>
          <w:lang w:val="en-US" w:eastAsia="zh-CN"/>
        </w:rPr>
        <w:t>6.87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7.26</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仿宋" w:cs="Times New Roman" w:hint="eastAsia"/>
          <w:kern w:val="2"/>
          <w:sz w:val="32"/>
          <w:szCs w:val="32"/>
          <w:lang w:val="en-US" w:eastAsia="zh-CN"/>
        </w:rPr>
        <w:t>正阳关镇中心卫生院建设分院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2.36</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2.56</w:t>
      </w:r>
      <w:r>
        <w:rPr>
          <w:rFonts w:ascii="仿宋_GB2312" w:eastAsia="仿宋_GB2312" w:hAnsi="TimesNewRoman" w:cs="TimesNewRoman" w:hint="eastAsia"/>
          <w:sz w:val="32"/>
          <w:szCs w:val="32"/>
        </w:rPr>
        <w:t>%，主要原因：</w:t>
      </w:r>
      <w:r>
        <w:rPr>
          <w:rFonts w:ascii="仿宋" w:eastAsia="仿宋" w:hAnsi="仿宋" w:cs="Times New Roman" w:hint="eastAsia"/>
          <w:kern w:val="2"/>
          <w:sz w:val="32"/>
          <w:szCs w:val="32"/>
          <w:lang w:val="en-US" w:eastAsia="zh-CN"/>
        </w:rPr>
        <w:t>职工工资晋升晋级和社保福利增加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一般公共服务支出</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%；社会保障和就业支出</w:t>
      </w:r>
      <w:r>
        <w:rPr>
          <w:rFonts w:ascii="仿宋_GB2312" w:eastAsia="仿宋_GB2312" w:hAnsi="仿宋" w:cs="Times New Roman" w:hint="eastAsia"/>
          <w:kern w:val="2"/>
          <w:sz w:val="32"/>
          <w:szCs w:val="32"/>
          <w:lang w:val="en-US" w:eastAsia="zh-CN"/>
        </w:rPr>
        <w:t>23.62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24.99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6</w:t>
      </w:r>
      <w:r>
        <w:rPr>
          <w:rFonts w:ascii="仿宋_GB2312" w:eastAsia="仿宋_GB2312" w:hAnsi="仿宋" w:cs="Times New Roman" w:hint="eastAsia"/>
          <w:kern w:val="2"/>
          <w:sz w:val="32"/>
          <w:szCs w:val="32"/>
          <w:lang w:val="en-US" w:eastAsia="zh-CN"/>
        </w:rPr>
        <w:t>4.04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67.75</w:t>
      </w:r>
      <w:r>
        <w:rPr>
          <w:rFonts w:ascii="仿宋_GB2312" w:eastAsia="仿宋_GB2312" w:hAnsi="TimesNewRoman" w:cs="TimesNewRoman" w:hint="eastAsia"/>
          <w:sz w:val="32"/>
          <w:szCs w:val="32"/>
        </w:rPr>
        <w:t>%；住房保障支出</w:t>
      </w:r>
      <w:r>
        <w:rPr>
          <w:rFonts w:ascii="仿宋_GB2312" w:eastAsia="仿宋_GB2312" w:hAnsi="仿宋" w:cs="Times New Roman" w:hint="eastAsia"/>
          <w:kern w:val="2"/>
          <w:sz w:val="32"/>
          <w:szCs w:val="32"/>
          <w:lang w:val="en-US" w:eastAsia="zh-CN"/>
        </w:rPr>
        <w:t>6.87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7.26</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rPr>
        <w:t>1.社会保障和就业支出（类）行政事业单位养老支出（款）机关事业单位基本养老保险缴费支出（项）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sz w:val="32"/>
          <w:szCs w:val="32"/>
        </w:rPr>
        <w:t>9.</w:t>
      </w:r>
      <w:r>
        <w:rPr>
          <w:rFonts w:ascii="仿宋_GB2312" w:eastAsia="仿宋_GB2312" w:hAnsi="仿宋" w:hint="eastAsia"/>
          <w:sz w:val="32"/>
          <w:szCs w:val="32"/>
          <w:lang w:val="en-US" w:eastAsia="zh-CN"/>
        </w:rPr>
        <w:t>16</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减少0.72</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下降7.28</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原因主要是在编人员</w:t>
      </w:r>
      <w:r>
        <w:rPr>
          <w:rFonts w:ascii="仿宋_GB2312" w:eastAsia="仿宋_GB2312" w:hAnsi="仿宋" w:hint="eastAsia"/>
          <w:sz w:val="32"/>
          <w:szCs w:val="32"/>
          <w:lang w:val="en-US" w:eastAsia="zh-CN"/>
        </w:rPr>
        <w:t>减少</w:t>
      </w:r>
      <w:r>
        <w:rPr>
          <w:rFonts w:ascii="仿宋_GB2312" w:eastAsia="仿宋_GB2312" w:hAnsi="仿宋" w:hint="eastAsia"/>
          <w:sz w:val="32"/>
          <w:szCs w:val="32"/>
        </w:rPr>
        <w:t>，机关事业基本养老保险费年初预算</w:t>
      </w:r>
      <w:r>
        <w:rPr>
          <w:rFonts w:ascii="仿宋_GB2312" w:eastAsia="仿宋_GB2312" w:hAnsi="仿宋" w:hint="eastAsia"/>
          <w:sz w:val="32"/>
          <w:szCs w:val="32"/>
          <w:lang w:val="en-US" w:eastAsia="zh-CN"/>
        </w:rPr>
        <w:t>减少</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rPr>
        <w:t>2.社会保障和就业支出（类）行政事业单位养老支出（款）机关事业单位职业年金缴费支出（项）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sz w:val="32"/>
          <w:szCs w:val="32"/>
        </w:rPr>
        <w:t>4.</w:t>
      </w:r>
      <w:r>
        <w:rPr>
          <w:rFonts w:ascii="仿宋_GB2312" w:eastAsia="仿宋_GB2312" w:hAnsi="仿宋" w:hint="eastAsia"/>
          <w:sz w:val="32"/>
          <w:szCs w:val="32"/>
          <w:lang w:val="en-US" w:eastAsia="zh-CN"/>
        </w:rPr>
        <w:t>58</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w:t>
      </w:r>
      <w:r>
        <w:rPr>
          <w:rFonts w:ascii="仿宋_GB2312" w:eastAsia="仿宋_GB2312" w:hAnsi="仿宋" w:hint="eastAsia"/>
          <w:sz w:val="32"/>
          <w:szCs w:val="32"/>
        </w:rPr>
        <w:t>0.</w:t>
      </w:r>
      <w:r>
        <w:rPr>
          <w:rFonts w:ascii="仿宋_GB2312" w:eastAsia="仿宋_GB2312" w:hAnsi="仿宋" w:hint="eastAsia"/>
          <w:sz w:val="32"/>
          <w:szCs w:val="32"/>
          <w:lang w:val="en-US" w:eastAsia="zh-CN"/>
        </w:rPr>
        <w:t>36</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下降7.28</w:t>
      </w:r>
      <w:r>
        <w:rPr>
          <w:rFonts w:ascii="仿宋_GB2312" w:eastAsia="仿宋_GB2312" w:hAnsi="仿宋" w:hint="eastAsia"/>
          <w:sz w:val="32"/>
          <w:szCs w:val="32"/>
        </w:rPr>
        <w:t>%，</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原因主要是机关事业单位职业年金年初预算</w:t>
      </w:r>
      <w:r>
        <w:rPr>
          <w:rFonts w:ascii="仿宋_GB2312" w:eastAsia="仿宋_GB2312" w:hAnsi="仿宋" w:hint="eastAsia"/>
          <w:sz w:val="32"/>
          <w:szCs w:val="32"/>
          <w:lang w:val="en-US" w:eastAsia="zh-CN"/>
        </w:rPr>
        <w:t>减少</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b/>
          <w:sz w:val="32"/>
          <w:szCs w:val="32"/>
        </w:rPr>
        <w:t>3.卫生健康支出（类）基层卫生医疗机构（款）乡镇卫生院（项）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64.04</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下降5.9</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8.4</w:t>
      </w:r>
      <w:r>
        <w:rPr>
          <w:rFonts w:ascii="仿宋_GB2312" w:eastAsia="仿宋_GB2312" w:hAnsi="仿宋" w:hint="eastAsia"/>
          <w:sz w:val="32"/>
          <w:szCs w:val="32"/>
        </w:rPr>
        <w:t>%，增长原因主要是年初预算基本工资</w:t>
      </w:r>
      <w:r>
        <w:rPr>
          <w:rFonts w:ascii="仿宋_GB2312" w:eastAsia="仿宋_GB2312" w:hAnsi="仿宋" w:hint="eastAsia"/>
          <w:sz w:val="32"/>
          <w:szCs w:val="32"/>
          <w:lang w:val="en-US" w:eastAsia="zh-CN"/>
        </w:rPr>
        <w:t>下降</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rPr>
        <w:t>4.住房保障支出（类）住房改革支出（款）住房公积金（项）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6.82</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减少</w:t>
      </w:r>
      <w:r>
        <w:rPr>
          <w:rFonts w:ascii="仿宋_GB2312" w:eastAsia="仿宋_GB2312" w:hAnsi="仿宋" w:hint="eastAsia"/>
          <w:sz w:val="32"/>
          <w:szCs w:val="32"/>
        </w:rPr>
        <w:t>0.</w:t>
      </w:r>
      <w:r>
        <w:rPr>
          <w:rFonts w:ascii="仿宋_GB2312" w:eastAsia="仿宋_GB2312" w:hAnsi="仿宋" w:hint="eastAsia"/>
          <w:sz w:val="32"/>
          <w:szCs w:val="32"/>
          <w:lang w:val="en-US" w:eastAsia="zh-CN"/>
        </w:rPr>
        <w:t>59</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下降7.96</w:t>
      </w:r>
      <w:r>
        <w:rPr>
          <w:rFonts w:ascii="仿宋_GB2312" w:eastAsia="仿宋_GB2312" w:hAnsi="仿宋" w:hint="eastAsia"/>
          <w:sz w:val="32"/>
          <w:szCs w:val="32"/>
        </w:rPr>
        <w:t>%，增长原因主要是公积金年初预算</w:t>
      </w:r>
      <w:r>
        <w:rPr>
          <w:rFonts w:ascii="仿宋_GB2312" w:eastAsia="仿宋_GB2312" w:hAnsi="仿宋" w:hint="eastAsia"/>
          <w:sz w:val="32"/>
          <w:szCs w:val="32"/>
          <w:lang w:val="en-US" w:eastAsia="zh-CN"/>
        </w:rPr>
        <w:t>减少</w:t>
      </w:r>
      <w:r>
        <w:rPr>
          <w:rFonts w:ascii="仿宋_GB2312" w:eastAsia="仿宋_GB2312" w:hAnsi="仿宋" w:hint="eastAsia"/>
          <w:sz w:val="32"/>
          <w:szCs w:val="32"/>
        </w:rPr>
        <w:t>。</w:t>
      </w:r>
    </w:p>
    <w:p>
      <w:pPr>
        <w:topLinePunct/>
        <w:adjustRightInd w:val="0"/>
        <w:snapToGrid w:val="0"/>
        <w:spacing w:line="58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lang w:val="en-US" w:eastAsia="zh-CN"/>
        </w:rPr>
        <w:t>5</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事业单位离退休</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9.47</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 w:eastAsia="仿宋" w:hAnsi="仿宋" w:cs="仿宋" w:hint="eastAsia"/>
          <w:sz w:val="32"/>
          <w:szCs w:val="32"/>
          <w:lang w:val="en-US" w:eastAsia="zh-CN"/>
        </w:rPr>
        <w:t>0</w:t>
      </w:r>
      <w:r>
        <w:rPr>
          <w:rFonts w:ascii="仿宋_GB2312" w:eastAsia="仿宋_GB2312" w:hAnsi="仿宋" w:hint="eastAsia"/>
          <w:sz w:val="32"/>
          <w:szCs w:val="32"/>
        </w:rPr>
        <w:t>万元，增长</w:t>
      </w:r>
      <w:r>
        <w:rPr>
          <w:rFonts w:ascii="仿宋" w:eastAsia="仿宋" w:hAnsi="仿宋" w:cs="仿宋" w:hint="eastAsia"/>
          <w:sz w:val="32"/>
          <w:szCs w:val="32"/>
          <w:lang w:val="en-US" w:eastAsia="zh-CN"/>
        </w:rPr>
        <w:t>100</w:t>
      </w:r>
      <w:r>
        <w:rPr>
          <w:rFonts w:ascii="仿宋" w:eastAsia="仿宋" w:hAnsi="仿宋" w:cs="仿宋" w:hint="eastAsia"/>
          <w:sz w:val="32"/>
          <w:szCs w:val="32"/>
        </w:rPr>
        <w:t>%，</w:t>
      </w:r>
      <w:r>
        <w:rPr>
          <w:rFonts w:ascii="仿宋_GB2312" w:eastAsia="仿宋_GB2312" w:hAnsi="仿宋" w:hint="eastAsia"/>
          <w:sz w:val="32"/>
          <w:szCs w:val="32"/>
        </w:rPr>
        <w:t>增长原因主要是</w:t>
      </w:r>
      <w:r>
        <w:rPr>
          <w:rFonts w:ascii="仿宋" w:eastAsia="仿宋" w:hAnsi="仿宋" w:cs="仿宋" w:hint="eastAsia"/>
          <w:sz w:val="32"/>
          <w:szCs w:val="32"/>
          <w:lang w:val="en-US" w:eastAsia="zh-CN"/>
        </w:rPr>
        <w:t>2024</w:t>
      </w:r>
      <w:r>
        <w:rPr>
          <w:rFonts w:ascii="Arial" w:eastAsia="仿宋_GB2312" w:hAnsi="Arial" w:cs="Arial" w:hint="eastAsia"/>
          <w:sz w:val="32"/>
          <w:szCs w:val="32"/>
          <w:lang w:val="en-US" w:eastAsia="zh-CN"/>
        </w:rPr>
        <w:t>年退休人员增发补贴列入年初预算</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仿宋" w:hint="eastAsia"/>
          <w:sz w:val="32"/>
          <w:szCs w:val="32"/>
          <w:lang w:eastAsia="zh-CN"/>
        </w:rPr>
      </w:pPr>
      <w:r>
        <w:rPr>
          <w:rFonts w:ascii="仿宋_GB2312" w:eastAsia="仿宋_GB2312" w:hAnsi="仿宋" w:hint="eastAsia"/>
          <w:sz w:val="32"/>
          <w:szCs w:val="32"/>
          <w:lang w:val="en-US" w:eastAsia="zh-CN"/>
        </w:rPr>
        <w:t>6.</w:t>
      </w:r>
      <w:r>
        <w:rPr>
          <w:rFonts w:ascii="仿宋_GB2312" w:eastAsia="仿宋_GB2312" w:hAnsi="仿宋" w:hint="eastAsia"/>
          <w:b/>
          <w:sz w:val="32"/>
          <w:szCs w:val="32"/>
        </w:rPr>
        <w:t>社会保障和就业支出（类）</w:t>
      </w:r>
      <w:r>
        <w:rPr>
          <w:rFonts w:ascii="仿宋_GB2312" w:eastAsia="仿宋_GB2312" w:hAnsi="仿宋" w:hint="eastAsia"/>
          <w:b/>
          <w:sz w:val="32"/>
          <w:szCs w:val="32"/>
          <w:lang w:val="en-US" w:eastAsia="zh-CN"/>
        </w:rPr>
        <w:t>其他社会保障和就业支出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其他社会保障和就业支出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0.4</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 w:eastAsia="仿宋" w:hAnsi="仿宋" w:cs="仿宋" w:hint="eastAsia"/>
          <w:sz w:val="32"/>
          <w:szCs w:val="32"/>
          <w:lang w:val="en-US" w:eastAsia="zh-CN"/>
        </w:rPr>
        <w:t>0.4</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100</w:t>
      </w:r>
      <w:r>
        <w:rPr>
          <w:rFonts w:ascii="仿宋_GB2312" w:eastAsia="仿宋_GB2312" w:hAnsi="仿宋" w:hint="eastAsia"/>
          <w:sz w:val="32"/>
          <w:szCs w:val="32"/>
        </w:rPr>
        <w:t>%，增长原因主要</w:t>
      </w:r>
      <w:r>
        <w:rPr>
          <w:rFonts w:ascii="仿宋_GB2312" w:eastAsia="仿宋_GB2312" w:hAnsi="仿宋" w:hint="eastAsia"/>
          <w:sz w:val="32"/>
          <w:szCs w:val="32"/>
          <w:lang w:val="en-US" w:eastAsia="zh-CN"/>
        </w:rPr>
        <w:t>其他社会保障和就业支出列入年初预算</w:t>
      </w:r>
      <w:r>
        <w:rPr>
          <w:rFonts w:ascii="仿宋_GB2312" w:eastAsia="仿宋_GB2312" w:hAnsi="仿宋" w:hint="eastAsia"/>
          <w:sz w:val="32"/>
          <w:szCs w:val="32"/>
          <w:lang w:eastAsia="zh-CN"/>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b/>
          <w:bCs/>
          <w:sz w:val="32"/>
          <w:szCs w:val="32"/>
          <w:lang w:val="en-US" w:eastAsia="zh-CN"/>
        </w:rPr>
        <w:t>4</w:t>
      </w:r>
      <w:r>
        <w:rPr>
          <w:rFonts w:ascii="仿宋_GB2312" w:eastAsia="仿宋_GB2312" w:hAnsi="仿宋" w:hint="eastAsia"/>
          <w:sz w:val="32"/>
          <w:szCs w:val="32"/>
          <w:lang w:val="en-US" w:eastAsia="zh-CN"/>
        </w:rPr>
        <w:t>.</w:t>
      </w:r>
      <w:r>
        <w:rPr>
          <w:rFonts w:ascii="仿宋_GB2312" w:eastAsia="仿宋_GB2312" w:hAnsi="仿宋" w:hint="eastAsia"/>
          <w:b/>
          <w:sz w:val="32"/>
          <w:szCs w:val="32"/>
          <w:lang w:val="en-US" w:eastAsia="zh-CN"/>
        </w:rPr>
        <w:t>卫生健康支出</w:t>
      </w:r>
      <w:r>
        <w:rPr>
          <w:rFonts w:ascii="仿宋_GB2312" w:eastAsia="仿宋_GB2312" w:hAnsi="仿宋" w:hint="eastAsia"/>
          <w:b/>
          <w:sz w:val="32"/>
          <w:szCs w:val="32"/>
        </w:rPr>
        <w:t>（类）</w:t>
      </w:r>
      <w:r>
        <w:rPr>
          <w:rFonts w:ascii="仿宋_GB2312" w:eastAsia="仿宋_GB2312" w:hAnsi="仿宋" w:hint="eastAsia"/>
          <w:b/>
          <w:sz w:val="32"/>
          <w:szCs w:val="32"/>
          <w:lang w:val="en-US" w:eastAsia="zh-CN"/>
        </w:rPr>
        <w:t>行政事业单位医疗</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事业单位医疗</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3.95</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下降0.31</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下降7.27</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在职人员退休，人员减少</w:t>
      </w:r>
      <w:r>
        <w:rPr>
          <w:rFonts w:ascii="仿宋" w:eastAsia="仿宋" w:hAnsi="仿宋" w:cs="Times New Roman" w:hint="eastAsia"/>
          <w:kern w:val="2"/>
          <w:sz w:val="32"/>
          <w:szCs w:val="32"/>
          <w:lang w:val="en-US" w:eastAsia="zh-CN"/>
        </w:rPr>
        <w:t>。</w:t>
      </w:r>
    </w:p>
    <w:p>
      <w:pPr>
        <w:topLinePunct/>
        <w:adjustRightInd w:val="0"/>
        <w:snapToGrid w:val="0"/>
        <w:spacing w:line="580" w:lineRule="exact"/>
        <w:ind w:firstLine="640" w:firstLineChars="200"/>
        <w:rPr>
          <w:rFonts w:ascii="仿宋_GB2312" w:eastAsia="仿宋_GB2312" w:hAnsi="仿宋"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numPr>
          <w:ilvl w:val="0"/>
          <w:numId w:val="2"/>
        </w:numPr>
        <w:topLinePunct/>
        <w:spacing w:line="580" w:lineRule="exact"/>
        <w:ind w:firstLine="640" w:firstLineChars="200"/>
        <w:rPr>
          <w:rFonts w:ascii="仿宋_GB2312" w:eastAsia="仿宋_GB2312" w:hAnsi="TimesNewRoman" w:cs="TimesNewRoman" w:hint="eastAsia"/>
          <w:sz w:val="32"/>
          <w:szCs w:val="32"/>
          <w:u w:val="single"/>
        </w:rPr>
      </w:pPr>
      <w:r>
        <w:rPr>
          <w:rFonts w:ascii="仿宋_GB2312" w:eastAsia="仿宋_GB2312" w:hAnsi="TimesNewRoman" w:cs="TimesNewRoman" w:hint="eastAsia"/>
          <w:sz w:val="32"/>
          <w:szCs w:val="32"/>
        </w:rPr>
        <w:t>人员经费</w:t>
      </w:r>
      <w:r>
        <w:rPr>
          <w:rFonts w:ascii="仿宋_GB2312" w:eastAsia="仿宋_GB2312" w:hAnsi="TimesNewRoman" w:cs="TimesNewRoman" w:hint="eastAsia"/>
          <w:sz w:val="32"/>
          <w:szCs w:val="32"/>
          <w:lang w:val="en-US" w:eastAsia="zh-CN"/>
        </w:rPr>
        <w:t>94.53</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w:t>
      </w:r>
      <w:r>
        <w:rPr>
          <w:rFonts w:ascii="仿宋_GB2312" w:eastAsia="仿宋_GB2312" w:hAnsi="TimesNewRoman" w:cs="TimesNewRoman" w:hint="eastAsia"/>
          <w:sz w:val="32"/>
          <w:szCs w:val="32"/>
          <w:u w:val="single"/>
          <w:lang w:val="en-US" w:eastAsia="zh-CN"/>
        </w:rPr>
        <w:t>35.99万元</w:t>
      </w:r>
      <w:r>
        <w:rPr>
          <w:rFonts w:ascii="仿宋_GB2312" w:eastAsia="仿宋_GB2312" w:hAnsi="TimesNewRoman" w:cs="TimesNewRoman" w:hint="eastAsia"/>
          <w:sz w:val="32"/>
          <w:szCs w:val="32"/>
          <w:u w:val="single"/>
        </w:rPr>
        <w:t>、绩效工资</w:t>
      </w:r>
      <w:r>
        <w:rPr>
          <w:rFonts w:ascii="仿宋_GB2312" w:eastAsia="仿宋_GB2312" w:hAnsi="TimesNewRoman" w:cs="TimesNewRoman" w:hint="eastAsia"/>
          <w:sz w:val="32"/>
          <w:szCs w:val="32"/>
          <w:u w:val="single"/>
          <w:lang w:val="en-US" w:eastAsia="zh-CN"/>
        </w:rPr>
        <w:t>22.23万元</w:t>
      </w:r>
      <w:r>
        <w:rPr>
          <w:rFonts w:ascii="仿宋_GB2312" w:eastAsia="仿宋_GB2312" w:hAnsi="TimesNewRoman" w:cs="TimesNewRoman" w:hint="eastAsia"/>
          <w:sz w:val="32"/>
          <w:szCs w:val="32"/>
          <w:u w:val="single"/>
        </w:rPr>
        <w:t>、机关事业单位基本养老保险费</w:t>
      </w:r>
      <w:r>
        <w:rPr>
          <w:rFonts w:ascii="仿宋_GB2312" w:eastAsia="仿宋_GB2312" w:hAnsi="TimesNewRoman" w:cs="TimesNewRoman" w:hint="eastAsia"/>
          <w:sz w:val="32"/>
          <w:szCs w:val="32"/>
          <w:u w:val="single"/>
          <w:lang w:val="en-US" w:eastAsia="zh-CN"/>
        </w:rPr>
        <w:t>9.16万元</w:t>
      </w:r>
      <w:r>
        <w:rPr>
          <w:rFonts w:ascii="仿宋_GB2312" w:eastAsia="仿宋_GB2312" w:hAnsi="TimesNewRoman" w:cs="TimesNewRoman" w:hint="eastAsia"/>
          <w:sz w:val="32"/>
          <w:szCs w:val="32"/>
          <w:u w:val="single"/>
        </w:rPr>
        <w:t>、职业年金缴费</w:t>
      </w:r>
      <w:r>
        <w:rPr>
          <w:rFonts w:ascii="仿宋_GB2312" w:eastAsia="仿宋_GB2312" w:hAnsi="TimesNewRoman" w:cs="TimesNewRoman" w:hint="eastAsia"/>
          <w:sz w:val="32"/>
          <w:szCs w:val="32"/>
          <w:u w:val="single"/>
          <w:lang w:val="en-US" w:eastAsia="zh-CN"/>
        </w:rPr>
        <w:t>4.58万元</w:t>
      </w:r>
      <w:r>
        <w:rPr>
          <w:rFonts w:ascii="仿宋_GB2312" w:eastAsia="仿宋_GB2312" w:hAnsi="TimesNewRoman" w:cs="TimesNewRoman" w:hint="eastAsia"/>
          <w:sz w:val="32"/>
          <w:szCs w:val="32"/>
          <w:u w:val="single"/>
        </w:rPr>
        <w:t>、职工基本医疗保险缴费</w:t>
      </w:r>
      <w:r>
        <w:rPr>
          <w:rFonts w:ascii="仿宋_GB2312" w:eastAsia="仿宋_GB2312" w:hAnsi="TimesNewRoman" w:cs="TimesNewRoman" w:hint="eastAsia"/>
          <w:sz w:val="32"/>
          <w:szCs w:val="32"/>
          <w:u w:val="single"/>
          <w:lang w:val="en-US" w:eastAsia="zh-CN"/>
        </w:rPr>
        <w:t>3.95万元</w:t>
      </w:r>
      <w:r>
        <w:rPr>
          <w:rFonts w:ascii="仿宋_GB2312" w:eastAsia="仿宋_GB2312" w:hAnsi="TimesNewRoman" w:cs="TimesNewRoman" w:hint="eastAsia"/>
          <w:sz w:val="32"/>
          <w:szCs w:val="32"/>
          <w:u w:val="single"/>
        </w:rPr>
        <w:t>、其他社会保障缴费</w:t>
      </w:r>
      <w:r>
        <w:rPr>
          <w:rFonts w:ascii="仿宋_GB2312" w:eastAsia="仿宋_GB2312" w:hAnsi="TimesNewRoman" w:cs="TimesNewRoman" w:hint="eastAsia"/>
          <w:sz w:val="32"/>
          <w:szCs w:val="32"/>
          <w:u w:val="single"/>
          <w:lang w:val="en-US" w:eastAsia="zh-CN"/>
        </w:rPr>
        <w:t>0.4万元</w:t>
      </w:r>
      <w:r>
        <w:rPr>
          <w:rFonts w:ascii="仿宋_GB2312" w:eastAsia="仿宋_GB2312" w:hAnsi="TimesNewRoman" w:cs="TimesNewRoman" w:hint="eastAsia"/>
          <w:sz w:val="32"/>
          <w:szCs w:val="32"/>
          <w:u w:val="single"/>
        </w:rPr>
        <w:t>、住房公积金</w:t>
      </w:r>
      <w:r>
        <w:rPr>
          <w:rFonts w:ascii="仿宋_GB2312" w:eastAsia="仿宋_GB2312" w:hAnsi="TimesNewRoman" w:cs="TimesNewRoman" w:hint="eastAsia"/>
          <w:sz w:val="32"/>
          <w:szCs w:val="32"/>
          <w:u w:val="single"/>
          <w:lang w:val="en-US" w:eastAsia="zh-CN"/>
        </w:rPr>
        <w:t>6.87万元</w:t>
      </w:r>
      <w:r>
        <w:rPr>
          <w:rFonts w:ascii="仿宋_GB2312" w:eastAsia="仿宋_GB2312" w:hAnsi="TimesNewRoman" w:cs="TimesNewRoman" w:hint="eastAsia"/>
          <w:sz w:val="32"/>
          <w:szCs w:val="32"/>
          <w:u w:val="single"/>
        </w:rPr>
        <w:t>、其他工资福利支出</w:t>
      </w:r>
      <w:r>
        <w:rPr>
          <w:rFonts w:ascii="仿宋_GB2312" w:eastAsia="仿宋_GB2312" w:hAnsi="TimesNewRoman" w:cs="TimesNewRoman" w:hint="eastAsia"/>
          <w:sz w:val="32"/>
          <w:szCs w:val="32"/>
          <w:u w:val="single"/>
          <w:lang w:val="en-US" w:eastAsia="zh-CN"/>
        </w:rPr>
        <w:t>0万元</w:t>
      </w:r>
      <w:r>
        <w:rPr>
          <w:rFonts w:ascii="仿宋_GB2312" w:eastAsia="仿宋_GB2312" w:hAnsi="TimesNewRoman" w:cs="TimesNewRoman" w:hint="eastAsia"/>
          <w:sz w:val="32"/>
          <w:szCs w:val="32"/>
          <w:u w:val="single"/>
        </w:rPr>
        <w:t>、退休费</w:t>
      </w:r>
      <w:r>
        <w:rPr>
          <w:rFonts w:ascii="仿宋_GB2312" w:eastAsia="仿宋_GB2312" w:hAnsi="TimesNewRoman" w:cs="TimesNewRoman" w:hint="eastAsia"/>
          <w:sz w:val="32"/>
          <w:szCs w:val="32"/>
          <w:u w:val="single"/>
          <w:lang w:val="en-US" w:eastAsia="zh-CN"/>
        </w:rPr>
        <w:t>9.47万元</w:t>
      </w:r>
      <w:r>
        <w:rPr>
          <w:rFonts w:ascii="仿宋_GB2312" w:eastAsia="仿宋_GB2312" w:hAnsi="TimesNewRoman" w:cs="TimesNewRoman" w:hint="eastAsia"/>
          <w:sz w:val="32"/>
          <w:szCs w:val="32"/>
          <w:u w:val="single"/>
        </w:rPr>
        <w:t>、生活补助</w:t>
      </w:r>
      <w:r>
        <w:rPr>
          <w:rFonts w:ascii="仿宋_GB2312" w:eastAsia="仿宋_GB2312" w:hAnsi="TimesNewRoman" w:cs="TimesNewRoman" w:hint="eastAsia"/>
          <w:sz w:val="32"/>
          <w:szCs w:val="32"/>
          <w:u w:val="single"/>
          <w:lang w:val="en-US" w:eastAsia="zh-CN"/>
        </w:rPr>
        <w:t>1.88万元</w:t>
      </w:r>
      <w:r>
        <w:rPr>
          <w:rFonts w:ascii="仿宋_GB2312" w:eastAsia="仿宋_GB2312" w:hAnsi="TimesNewRoman" w:cs="TimesNewRoman" w:hint="eastAsia"/>
          <w:sz w:val="32"/>
          <w:szCs w:val="32"/>
          <w:u w:val="single"/>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keepNext w:val="0"/>
        <w:keepLines w:val="0"/>
        <w:pageBreakBefore w:val="0"/>
        <w:widowControl w:val="0"/>
        <w:kinsoku/>
        <w:wordWrap/>
        <w:overflowPunct/>
        <w:topLinePunct/>
        <w:autoSpaceDE/>
        <w:autoSpaceDN/>
        <w:bidi w:val="0"/>
        <w:adjustRightInd w:val="0"/>
        <w:snapToGrid w:val="0"/>
        <w:spacing w:beforeAutospacing="0" w:afterAutospacing="0" w:line="580" w:lineRule="exact"/>
        <w:ind w:firstLine="640" w:firstLineChars="200"/>
        <w:jc w:val="both"/>
        <w:textAlignment w:val="auto"/>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36.36</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本年准备增收住院病人及开展医疗辅助科室</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1.77</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减少10.39</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减少85.44</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较少</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减少采购项目及数量</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1.77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1.“乡镇卫生院医疗卫生支出”项目。</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（1）项目概述。主要用于履行医疗卫生服务职能，发挥基层医疗卫生枢纽作用，做好医疗卫生服务，推动基层医疗卫生事业发展。</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（2）立项依据。寿县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楷体" w:hint="eastAsia"/>
          <w:sz w:val="32"/>
          <w:szCs w:val="32"/>
        </w:rPr>
        <w:t>为基层医疗卫生机构，依据其工作职责和工作任务。</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w:t>
      </w:r>
      <w:r>
        <w:rPr>
          <w:rFonts w:ascii="仿宋_GB2312" w:eastAsia="仿宋_GB2312" w:hAnsi="楷体" w:hint="eastAsia"/>
          <w:sz w:val="32"/>
          <w:szCs w:val="32"/>
        </w:rPr>
        <w:t>寿县</w:t>
      </w:r>
      <w:r>
        <w:rPr>
          <w:rFonts w:ascii="仿宋_GB2312" w:eastAsia="仿宋_GB2312" w:hAnsi="TimesNewRoman" w:cs="TimesNewRoman" w:hint="eastAsia"/>
          <w:sz w:val="32"/>
          <w:szCs w:val="32"/>
          <w:lang w:val="en-US" w:eastAsia="zh-CN"/>
        </w:rPr>
        <w:t>正阳关镇中心卫生院建设分院</w:t>
      </w:r>
      <w:r>
        <w:rPr>
          <w:rFonts w:ascii="仿宋_GB2312" w:eastAsia="仿宋_GB2312" w:hAnsi="楷体" w:hint="eastAsia"/>
          <w:sz w:val="32"/>
          <w:szCs w:val="32"/>
        </w:rPr>
        <w:t>。</w:t>
      </w:r>
    </w:p>
    <w:p>
      <w:pPr>
        <w:spacing w:line="600" w:lineRule="exact"/>
        <w:ind w:firstLine="586" w:firstLineChars="183"/>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楷体" w:hint="eastAsia"/>
          <w:sz w:val="32"/>
          <w:szCs w:val="32"/>
        </w:rPr>
        <w:t>起止时间</w:t>
      </w:r>
      <w:r>
        <w:rPr>
          <w:rFonts w:ascii="仿宋_GB2312" w:eastAsia="仿宋_GB2312" w:hAnsi="楷体" w:hint="eastAsia"/>
          <w:sz w:val="32"/>
          <w:szCs w:val="32"/>
          <w:lang w:val="en-US" w:eastAsia="zh-CN"/>
        </w:rPr>
        <w:t>:</w:t>
      </w:r>
      <w:r>
        <w:rPr>
          <w:rFonts w:ascii="仿宋_GB2312" w:eastAsia="仿宋_GB2312" w:hAnsi="楷体" w:hint="eastAsia"/>
          <w:sz w:val="32"/>
          <w:szCs w:val="32"/>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楷体" w:hint="eastAsia"/>
          <w:sz w:val="32"/>
          <w:szCs w:val="32"/>
        </w:rPr>
        <w:t>支付本单位发生的办公及印刷费、电费、专用材料费、维修费等；发放聘用人员工资福利、社保费用。</w:t>
      </w:r>
    </w:p>
    <w:p>
      <w:pPr>
        <w:topLinePunct/>
        <w:adjustRightInd w:val="0"/>
        <w:snapToGrid w:val="0"/>
        <w:spacing w:line="58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110</w:t>
      </w:r>
      <w:r>
        <w:rPr>
          <w:rFonts w:ascii="仿宋_GB2312" w:eastAsia="仿宋_GB2312" w:hAnsi="楷体"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寿县建设分院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sz w:val="18"/>
                <w:szCs w:val="18"/>
              </w:rPr>
            </w:pPr>
            <w:r>
              <w:rPr>
                <w:rFonts w:hint="eastAsia"/>
                <w:sz w:val="18"/>
                <w:szCs w:val="18"/>
                <w:lang w:val="en-US" w:eastAsia="zh-CN"/>
              </w:rPr>
              <w:t>2024.01-2024.12</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110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110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rPr>
                <w:rFonts w:hint="eastAsia"/>
                <w:sz w:val="20"/>
                <w:szCs w:val="20"/>
              </w:rPr>
            </w:pPr>
            <w:r>
              <w:rPr>
                <w:rFonts w:hint="eastAsia"/>
                <w:sz w:val="20"/>
                <w:szCs w:val="20"/>
              </w:rPr>
              <w:t>目标</w:t>
            </w:r>
            <w:r>
              <w:rPr>
                <w:rFonts w:hint="eastAsia"/>
                <w:sz w:val="20"/>
                <w:szCs w:val="20"/>
                <w:lang w:val="en-US" w:eastAsia="zh-CN"/>
              </w:rPr>
              <w:t>1</w:t>
            </w:r>
            <w:r>
              <w:rPr>
                <w:rFonts w:hint="eastAsia"/>
                <w:sz w:val="20"/>
                <w:szCs w:val="20"/>
              </w:rPr>
              <w:t xml:space="preserve">：提供基本医疗服务，开展常见病多发病的诊治与护理； </w:t>
            </w:r>
          </w:p>
          <w:p>
            <w:pPr>
              <w:rPr>
                <w:rFonts w:hint="eastAsia"/>
                <w:sz w:val="20"/>
                <w:szCs w:val="20"/>
              </w:rPr>
            </w:pPr>
            <w:r>
              <w:rPr>
                <w:rFonts w:hint="eastAsia"/>
                <w:sz w:val="20"/>
                <w:szCs w:val="20"/>
              </w:rPr>
              <w:t>目标</w:t>
            </w:r>
            <w:r>
              <w:rPr>
                <w:rFonts w:hint="eastAsia"/>
                <w:sz w:val="20"/>
                <w:szCs w:val="20"/>
                <w:lang w:val="en-US" w:eastAsia="zh-CN"/>
              </w:rPr>
              <w:t>2</w:t>
            </w:r>
            <w:r>
              <w:rPr>
                <w:rFonts w:hint="eastAsia"/>
                <w:sz w:val="20"/>
                <w:szCs w:val="20"/>
              </w:rPr>
              <w:t>：继续稳步推进国家基本公共卫生服务；</w:t>
            </w:r>
          </w:p>
          <w:p>
            <w:pPr>
              <w:spacing w:line="260" w:lineRule="exact"/>
              <w:jc w:val="left"/>
              <w:rPr>
                <w:rFonts w:ascii="宋体" w:cs="宋体"/>
                <w:sz w:val="18"/>
                <w:szCs w:val="18"/>
              </w:rPr>
            </w:pPr>
            <w:r>
              <w:rPr>
                <w:rFonts w:hint="eastAsia"/>
                <w:sz w:val="20"/>
                <w:szCs w:val="20"/>
              </w:rPr>
              <w:t>目标</w:t>
            </w:r>
            <w:r>
              <w:rPr>
                <w:rFonts w:hint="eastAsia"/>
                <w:sz w:val="20"/>
                <w:szCs w:val="20"/>
                <w:lang w:val="en-US" w:eastAsia="zh-CN"/>
              </w:rPr>
              <w:t>3</w:t>
            </w:r>
            <w:r>
              <w:rPr>
                <w:rFonts w:hint="eastAsia"/>
                <w:sz w:val="20"/>
                <w:szCs w:val="20"/>
              </w:rPr>
              <w:t>：.进一步完善医疗卫生基础设施，满足人民群众需求。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cs="宋体"/>
                <w:sz w:val="18"/>
                <w:szCs w:val="18"/>
              </w:rPr>
            </w:pPr>
            <w:r>
              <w:rPr>
                <w:rFonts w:ascii="宋体" w:eastAsia="宋体" w:hAnsi="宋体" w:cs="宋体" w:hint="eastAsia"/>
                <w:sz w:val="18"/>
                <w:szCs w:val="18"/>
              </w:rPr>
              <w:t>院内感染事件发生数</w:t>
            </w:r>
          </w:p>
        </w:tc>
        <w:tc>
          <w:tcPr>
            <w:tcW w:w="4228" w:type="dxa"/>
            <w:gridSpan w:val="2"/>
            <w:noWrap w:val="0"/>
            <w:vAlign w:val="center"/>
          </w:tcPr>
          <w:p>
            <w:pPr>
              <w:keepNext w:val="0"/>
              <w:keepLines w:val="0"/>
              <w:suppressLineNumbers w:val="0"/>
              <w:spacing w:before="0" w:beforeAutospacing="0" w:after="0" w:afterAutospacing="0"/>
              <w:ind w:left="0" w:right="0" w:leftChars="0" w:rightChars="0"/>
              <w:rPr>
                <w:rFonts w:ascii="宋体" w:cs="宋体"/>
                <w:sz w:val="18"/>
                <w:szCs w:val="18"/>
              </w:rPr>
            </w:pPr>
            <w:r>
              <w:rPr>
                <w:rFonts w:ascii="宋体" w:eastAsia="宋体" w:hAnsi="宋体" w:cs="宋体" w:hint="eastAsia"/>
                <w:sz w:val="18"/>
                <w:szCs w:val="18"/>
              </w:rPr>
              <w:t>　0次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cs="宋体"/>
                <w:sz w:val="18"/>
                <w:szCs w:val="18"/>
              </w:rPr>
            </w:pPr>
            <w:r>
              <w:rPr>
                <w:rFonts w:ascii="宋体" w:eastAsia="宋体" w:hAnsi="宋体" w:cs="宋体" w:hint="eastAsia"/>
                <w:sz w:val="18"/>
                <w:szCs w:val="18"/>
              </w:rPr>
              <w:t xml:space="preserve"> 门诊诊疗数量</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w:t>
            </w:r>
            <w:r>
              <w:rPr>
                <w:rFonts w:ascii="宋体" w:hAnsi="宋体" w:cs="宋体" w:hint="eastAsia"/>
                <w:sz w:val="18"/>
                <w:szCs w:val="18"/>
                <w:lang w:val="en-US" w:eastAsia="zh-CN"/>
              </w:rPr>
              <w:t>2</w:t>
            </w:r>
            <w:r>
              <w:rPr>
                <w:rFonts w:ascii="宋体" w:eastAsia="宋体" w:hAnsi="宋体" w:cs="宋体" w:hint="eastAsia"/>
                <w:sz w:val="18"/>
                <w:szCs w:val="18"/>
              </w:rPr>
              <w:t>万人次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rPr>
                <w:rFonts w:ascii="宋体" w:cs="宋体"/>
                <w:sz w:val="18"/>
                <w:szCs w:val="18"/>
              </w:rPr>
            </w:pPr>
            <w:r>
              <w:rPr>
                <w:rFonts w:ascii="宋体" w:eastAsia="宋体" w:hAnsi="宋体" w:cs="宋体" w:hint="eastAsia"/>
                <w:sz w:val="18"/>
                <w:szCs w:val="18"/>
              </w:rPr>
              <w:t>好转率/治愈率</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≥9</w:t>
            </w:r>
            <w:r>
              <w:rPr>
                <w:rFonts w:ascii="宋体" w:eastAsia="宋体" w:hAnsi="宋体" w:cs="宋体" w:hint="eastAsia"/>
                <w:sz w:val="18"/>
                <w:szCs w:val="18"/>
                <w:lang w:val="en-US" w:eastAsia="zh-CN"/>
              </w:rPr>
              <w:t>8</w:t>
            </w:r>
            <w:r>
              <w:rPr>
                <w:rFonts w:ascii="宋体" w:eastAsia="宋体" w:hAnsi="宋体" w:cs="宋体" w:hint="eastAsia"/>
                <w:sz w:val="18"/>
                <w:szCs w:val="18"/>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r>
              <w:rPr>
                <w:rFonts w:ascii="宋体" w:eastAsia="宋体" w:hAnsi="宋体" w:cs="宋体" w:hint="eastAsia"/>
                <w:sz w:val="18"/>
                <w:szCs w:val="18"/>
              </w:rPr>
              <w:t>药品合格率</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rPr>
                <w:rFonts w:ascii="宋体" w:cs="宋体"/>
                <w:sz w:val="18"/>
                <w:szCs w:val="18"/>
              </w:rPr>
            </w:pPr>
            <w:r>
              <w:rPr>
                <w:rFonts w:ascii="宋体" w:eastAsia="宋体" w:hAnsi="宋体" w:cs="宋体" w:hint="eastAsia"/>
                <w:sz w:val="18"/>
                <w:szCs w:val="18"/>
              </w:rPr>
              <w:t>满足病人快速就诊</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　及时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r>
              <w:rPr>
                <w:rFonts w:ascii="宋体" w:eastAsia="宋体" w:hAnsi="宋体" w:cs="宋体" w:hint="eastAsia"/>
                <w:sz w:val="18"/>
                <w:szCs w:val="18"/>
              </w:rPr>
              <w:t>项目完成及时性</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　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rPr>
                <w:rFonts w:ascii="宋体" w:cs="宋体"/>
                <w:sz w:val="18"/>
                <w:szCs w:val="18"/>
              </w:rPr>
            </w:pPr>
            <w:r>
              <w:rPr>
                <w:rFonts w:ascii="宋体" w:eastAsia="宋体" w:hAnsi="宋体" w:cs="宋体" w:hint="eastAsia"/>
                <w:sz w:val="18"/>
                <w:szCs w:val="18"/>
              </w:rPr>
              <w:t>降低门诊次均费用</w:t>
            </w:r>
          </w:p>
        </w:tc>
        <w:tc>
          <w:tcPr>
            <w:tcW w:w="4228" w:type="dxa"/>
            <w:gridSpan w:val="2"/>
            <w:noWrap w:val="0"/>
            <w:vAlign w:val="center"/>
          </w:tcPr>
          <w:p>
            <w:pPr>
              <w:widowControl/>
              <w:jc w:val="both"/>
              <w:textAlignment w:val="center"/>
              <w:rPr>
                <w:rFonts w:ascii="宋体" w:cs="宋体"/>
                <w:sz w:val="18"/>
                <w:szCs w:val="18"/>
              </w:rPr>
            </w:pPr>
            <w:r>
              <w:rPr>
                <w:rStyle w:val="font11"/>
                <w:rFonts w:ascii="宋体" w:eastAsia="宋体" w:hAnsi="宋体" w:cs="宋体" w:hint="eastAsia"/>
                <w:sz w:val="18"/>
                <w:szCs w:val="18"/>
                <w:lang w:bidi="ar"/>
              </w:rPr>
              <w:t>≤50</w:t>
            </w:r>
            <w:r>
              <w:rPr>
                <w:rStyle w:val="font31"/>
                <w:rFonts w:ascii="宋体" w:eastAsia="宋体" w:hAnsi="宋体" w:cs="宋体" w:hint="eastAsia"/>
                <w:sz w:val="18"/>
                <w:szCs w:val="18"/>
                <w:lang w:bidi="ar"/>
              </w:rPr>
              <w:t>元</w:t>
            </w:r>
            <w:r>
              <w:rPr>
                <w:rStyle w:val="font11"/>
                <w:rFonts w:ascii="宋体" w:eastAsia="宋体" w:hAnsi="宋体" w:cs="宋体" w:hint="eastAsia"/>
                <w:sz w:val="18"/>
                <w:szCs w:val="18"/>
                <w:lang w:bidi="ar"/>
              </w:rPr>
              <w:t>/</w:t>
            </w:r>
            <w:r>
              <w:rPr>
                <w:rStyle w:val="font31"/>
                <w:rFonts w:ascii="宋体" w:eastAsia="宋体" w:hAnsi="宋体" w:cs="宋体" w:hint="eastAsia"/>
                <w:sz w:val="18"/>
                <w:szCs w:val="18"/>
                <w:lang w:bidi="ar"/>
              </w:rPr>
              <w:t>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r>
              <w:rPr>
                <w:rFonts w:ascii="宋体" w:eastAsia="宋体" w:hAnsi="宋体" w:cs="宋体" w:hint="eastAsia"/>
                <w:sz w:val="18"/>
                <w:szCs w:val="18"/>
              </w:rPr>
              <w:t>项目支出控制额</w:t>
            </w:r>
          </w:p>
        </w:tc>
        <w:tc>
          <w:tcPr>
            <w:tcW w:w="4228" w:type="dxa"/>
            <w:gridSpan w:val="2"/>
            <w:noWrap w:val="0"/>
            <w:vAlign w:val="center"/>
          </w:tcPr>
          <w:p>
            <w:pPr>
              <w:widowControl/>
              <w:jc w:val="both"/>
              <w:textAlignment w:val="center"/>
              <w:rPr>
                <w:rFonts w:ascii="宋体" w:cs="宋体"/>
                <w:sz w:val="18"/>
                <w:szCs w:val="18"/>
              </w:rPr>
            </w:pPr>
            <w:r>
              <w:rPr>
                <w:rFonts w:ascii="宋体" w:eastAsia="宋体" w:hAnsi="宋体" w:cs="宋体" w:hint="eastAsia"/>
                <w:color w:val="000000"/>
                <w:kern w:val="0"/>
                <w:sz w:val="18"/>
                <w:szCs w:val="18"/>
                <w:lang w:bidi="ar"/>
              </w:rPr>
              <w:t>≤</w:t>
            </w:r>
            <w:r>
              <w:rPr>
                <w:rFonts w:ascii="宋体" w:hAnsi="宋体" w:cs="宋体" w:hint="eastAsia"/>
                <w:color w:val="000000"/>
                <w:kern w:val="0"/>
                <w:sz w:val="18"/>
                <w:szCs w:val="18"/>
                <w:lang w:val="en-US" w:eastAsia="zh-CN" w:bidi="ar"/>
              </w:rPr>
              <w:t>110</w:t>
            </w:r>
            <w:r>
              <w:rPr>
                <w:rFonts w:ascii="宋体" w:eastAsia="宋体" w:hAnsi="宋体" w:cs="宋体" w:hint="eastAsia"/>
                <w:color w:val="000000"/>
                <w:kern w:val="0"/>
                <w:sz w:val="18"/>
                <w:szCs w:val="18"/>
                <w:lang w:bidi="ar"/>
              </w:rPr>
              <w:t>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jc w:val="left"/>
              <w:rPr>
                <w:rFonts w:ascii="宋体" w:cs="宋体"/>
                <w:sz w:val="18"/>
                <w:szCs w:val="18"/>
              </w:rPr>
            </w:pPr>
            <w:r>
              <w:rPr>
                <w:rFonts w:ascii="宋体" w:eastAsia="宋体" w:hAnsi="宋体" w:cs="宋体" w:hint="eastAsia"/>
                <w:sz w:val="18"/>
                <w:szCs w:val="18"/>
              </w:rPr>
              <w:t>降低经费开支</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降低</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both"/>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r>
              <w:rPr>
                <w:rFonts w:ascii="宋体" w:eastAsia="宋体" w:hAnsi="宋体" w:cs="宋体" w:hint="eastAsia"/>
                <w:sz w:val="18"/>
                <w:szCs w:val="18"/>
              </w:rPr>
              <w:t>卫生健康知识知晓度</w:t>
            </w:r>
          </w:p>
        </w:tc>
        <w:tc>
          <w:tcPr>
            <w:tcW w:w="4228" w:type="dxa"/>
            <w:gridSpan w:val="2"/>
            <w:noWrap w:val="0"/>
            <w:vAlign w:val="center"/>
          </w:tcPr>
          <w:p>
            <w:pPr>
              <w:jc w:val="both"/>
              <w:rPr>
                <w:rFonts w:ascii="宋体" w:cs="宋体"/>
                <w:sz w:val="18"/>
                <w:szCs w:val="18"/>
              </w:rPr>
            </w:pPr>
            <w:r>
              <w:rPr>
                <w:rFonts w:ascii="宋体" w:eastAsia="宋体" w:hAnsi="宋体" w:cs="宋体" w:hint="eastAsia"/>
                <w:sz w:val="18"/>
                <w:szCs w:val="18"/>
              </w:rPr>
              <w:t>　</w:t>
            </w:r>
            <w:r>
              <w:rPr>
                <w:rFonts w:ascii="宋体" w:eastAsia="宋体" w:hAnsi="宋体" w:cs="宋体" w:hint="eastAsia"/>
                <w:color w:val="000000"/>
                <w:kern w:val="0"/>
                <w:sz w:val="18"/>
                <w:szCs w:val="18"/>
                <w:lang w:bidi="ar"/>
              </w:rPr>
              <w:t>≤9</w:t>
            </w:r>
            <w:r>
              <w:rPr>
                <w:rFonts w:ascii="宋体" w:eastAsia="宋体" w:hAnsi="宋体" w:cs="宋体" w:hint="eastAsia"/>
                <w:color w:val="000000"/>
                <w:kern w:val="0"/>
                <w:sz w:val="18"/>
                <w:szCs w:val="18"/>
                <w:lang w:val="en-US" w:eastAsia="zh-CN" w:bidi="ar"/>
              </w:rPr>
              <w:t>0</w:t>
            </w:r>
            <w:r>
              <w:rPr>
                <w:rFonts w:ascii="宋体" w:eastAsia="宋体" w:hAnsi="宋体" w:cs="宋体" w:hint="eastAsia"/>
                <w:color w:val="000000"/>
                <w:kern w:val="0"/>
                <w:sz w:val="18"/>
                <w:szCs w:val="18"/>
                <w:lang w:bidi="ar"/>
              </w:rPr>
              <w:t>%</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rPr>
                <w:rFonts w:ascii="宋体" w:cs="宋体"/>
                <w:sz w:val="18"/>
                <w:szCs w:val="18"/>
              </w:rPr>
            </w:pPr>
          </w:p>
        </w:tc>
        <w:tc>
          <w:tcPr>
            <w:tcW w:w="4228" w:type="dxa"/>
            <w:gridSpan w:val="2"/>
            <w:noWrap w:val="0"/>
            <w:vAlign w:val="center"/>
          </w:tcPr>
          <w:p>
            <w:pPr>
              <w:jc w:val="both"/>
              <w:rPr>
                <w:rFonts w:ascii="宋体" w:cs="宋体"/>
                <w:sz w:val="18"/>
                <w:szCs w:val="18"/>
              </w:rPr>
            </w:pPr>
            <w:r>
              <w:rPr>
                <w:rFonts w:ascii="宋体" w:eastAsia="宋体" w:hAnsi="宋体" w:cs="宋体" w:hint="eastAsia"/>
                <w:sz w:val="18"/>
                <w:szCs w:val="18"/>
              </w:rPr>
              <w:t>　</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r>
              <w:rPr>
                <w:rFonts w:ascii="宋体" w:eastAsia="宋体" w:hAnsi="宋体" w:cs="宋体" w:hint="eastAsia"/>
                <w:sz w:val="18"/>
                <w:szCs w:val="18"/>
              </w:rPr>
              <w:t>医疗废物规范转运</w:t>
            </w:r>
          </w:p>
        </w:tc>
        <w:tc>
          <w:tcPr>
            <w:tcW w:w="4228" w:type="dxa"/>
            <w:gridSpan w:val="2"/>
            <w:noWrap w:val="0"/>
            <w:vAlign w:val="center"/>
          </w:tcPr>
          <w:p>
            <w:pPr>
              <w:jc w:val="both"/>
              <w:rPr>
                <w:rFonts w:ascii="宋体" w:cs="宋体"/>
                <w:sz w:val="18"/>
                <w:szCs w:val="18"/>
              </w:rPr>
            </w:pPr>
            <w:r>
              <w:rPr>
                <w:rFonts w:ascii="宋体" w:eastAsia="宋体" w:hAnsi="宋体" w:cs="宋体" w:hint="eastAsia"/>
                <w:sz w:val="18"/>
                <w:szCs w:val="18"/>
              </w:rPr>
              <w:t>　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both"/>
              <w:textAlignment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汉仪中秀体简" w:eastAsia="汉仪中秀体简" w:hAnsi="汉仪中秀体简" w:cs="汉仪中秀体简" w:hint="eastAsia"/>
                <w:color w:val="000000"/>
                <w:kern w:val="0"/>
                <w:sz w:val="18"/>
                <w:szCs w:val="18"/>
                <w:lang w:bidi="ar"/>
              </w:rPr>
            </w:pPr>
            <w:r>
              <w:rPr>
                <w:rFonts w:ascii="宋体" w:eastAsia="宋体" w:hAnsi="宋体" w:cs="宋体" w:hint="eastAsia"/>
                <w:sz w:val="18"/>
                <w:szCs w:val="18"/>
              </w:rPr>
              <w:t>医疗卫生服务能力</w:t>
            </w:r>
          </w:p>
        </w:tc>
        <w:tc>
          <w:tcPr>
            <w:tcW w:w="4228" w:type="dxa"/>
            <w:gridSpan w:val="2"/>
            <w:noWrap w:val="0"/>
            <w:vAlign w:val="center"/>
          </w:tcPr>
          <w:p>
            <w:pPr>
              <w:jc w:val="both"/>
              <w:rPr>
                <w:rFonts w:ascii="汉仪中秀体简" w:eastAsia="汉仪中秀体简" w:hAnsi="汉仪中秀体简" w:cs="汉仪中秀体简"/>
                <w:color w:val="000000"/>
                <w:kern w:val="0"/>
                <w:sz w:val="18"/>
                <w:szCs w:val="18"/>
                <w:lang w:bidi="ar"/>
              </w:rPr>
            </w:pPr>
            <w:r>
              <w:rPr>
                <w:rFonts w:ascii="宋体" w:eastAsia="宋体" w:hAnsi="宋体" w:cs="宋体" w:hint="eastAsia"/>
                <w:sz w:val="18"/>
                <w:szCs w:val="18"/>
              </w:rPr>
              <w:t>有效提升</w:t>
            </w: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rPr>
                <w:rFonts w:ascii="宋体" w:hAnsi="宋体" w:cs="宋体" w:hint="eastAsia"/>
                <w:sz w:val="18"/>
                <w:szCs w:val="18"/>
              </w:rPr>
            </w:pPr>
            <w:r>
              <w:rPr>
                <w:rFonts w:ascii="宋体" w:eastAsia="宋体" w:hAnsi="宋体" w:cs="宋体" w:hint="eastAsia"/>
                <w:sz w:val="18"/>
                <w:szCs w:val="18"/>
              </w:rPr>
              <w:t>长效管理机制</w:t>
            </w:r>
          </w:p>
        </w:tc>
        <w:tc>
          <w:tcPr>
            <w:tcW w:w="4228" w:type="dxa"/>
            <w:gridSpan w:val="2"/>
            <w:noWrap w:val="0"/>
            <w:vAlign w:val="center"/>
          </w:tcPr>
          <w:p>
            <w:pPr>
              <w:jc w:val="both"/>
              <w:rPr>
                <w:rFonts w:ascii="宋体" w:cs="宋体"/>
                <w:sz w:val="18"/>
                <w:szCs w:val="18"/>
              </w:rPr>
            </w:pPr>
            <w:r>
              <w:rPr>
                <w:rFonts w:ascii="宋体" w:eastAsia="宋体" w:hAnsi="宋体" w:cs="宋体" w:hint="eastAsia"/>
                <w:sz w:val="18"/>
                <w:szCs w:val="18"/>
              </w:rPr>
              <w:t>建立健全</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rPr>
                <w:rFonts w:ascii="宋体" w:hAnsi="宋体" w:cs="宋体" w:hint="eastAsia"/>
                <w:color w:val="000000"/>
                <w:kern w:val="0"/>
                <w:sz w:val="18"/>
                <w:szCs w:val="18"/>
                <w:lang w:bidi="ar"/>
              </w:rPr>
            </w:pPr>
            <w:r>
              <w:rPr>
                <w:rFonts w:ascii="宋体" w:eastAsia="宋体" w:hAnsi="宋体" w:cs="宋体" w:hint="eastAsia"/>
                <w:sz w:val="18"/>
                <w:szCs w:val="18"/>
              </w:rPr>
              <w:t>社会公众/服务对象</w:t>
            </w:r>
          </w:p>
        </w:tc>
        <w:tc>
          <w:tcPr>
            <w:tcW w:w="4228" w:type="dxa"/>
            <w:gridSpan w:val="2"/>
            <w:noWrap w:val="0"/>
            <w:vAlign w:val="center"/>
          </w:tcPr>
          <w:p>
            <w:pPr>
              <w:jc w:val="both"/>
              <w:rPr>
                <w:rFonts w:ascii="宋体" w:cs="宋体"/>
                <w:sz w:val="18"/>
                <w:szCs w:val="18"/>
              </w:rPr>
            </w:pPr>
            <w:r>
              <w:rPr>
                <w:rFonts w:ascii="宋体" w:eastAsia="宋体" w:hAnsi="宋体" w:cs="宋体" w:hint="eastAsia"/>
                <w:color w:val="000000"/>
                <w:kern w:val="0"/>
                <w:sz w:val="18"/>
                <w:szCs w:val="18"/>
                <w:lang w:bidi="ar"/>
              </w:rPr>
              <w:t>≤9</w:t>
            </w:r>
            <w:r>
              <w:rPr>
                <w:rFonts w:ascii="宋体" w:eastAsia="宋体" w:hAnsi="宋体" w:cs="宋体" w:hint="eastAsia"/>
                <w:color w:val="000000"/>
                <w:kern w:val="0"/>
                <w:sz w:val="18"/>
                <w:szCs w:val="18"/>
                <w:lang w:val="en-US" w:eastAsia="zh-CN" w:bidi="ar"/>
              </w:rPr>
              <w:t>5</w:t>
            </w:r>
            <w:r>
              <w:rPr>
                <w:rFonts w:ascii="宋体" w:eastAsia="宋体" w:hAnsi="宋体" w:cs="宋体" w:hint="eastAsia"/>
                <w:color w:val="000000"/>
                <w:kern w:val="0"/>
                <w:sz w:val="18"/>
                <w:szCs w:val="18"/>
                <w:lang w:bidi="ar"/>
              </w:rPr>
              <w:t>%</w:t>
            </w:r>
            <w:r>
              <w:rPr>
                <w:rFonts w:ascii="宋体" w:eastAsia="宋体" w:hAnsi="宋体" w:cs="宋体" w:hint="eastAsia"/>
                <w:sz w:val="18"/>
                <w:szCs w:val="18"/>
              </w:rPr>
              <w:t>　</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hAnsi="宋体" w:cs="宋体" w:hint="eastAsia"/>
                <w:sz w:val="18"/>
                <w:szCs w:val="18"/>
              </w:rPr>
            </w:pPr>
            <w:r>
              <w:rPr>
                <w:rFonts w:ascii="宋体" w:eastAsia="宋体" w:hAnsi="宋体" w:cs="宋体" w:hint="eastAsia"/>
                <w:sz w:val="18"/>
                <w:szCs w:val="18"/>
              </w:rPr>
              <w:t>院内感染事件发生数</w:t>
            </w:r>
          </w:p>
        </w:tc>
        <w:tc>
          <w:tcPr>
            <w:tcW w:w="4228" w:type="dxa"/>
            <w:gridSpan w:val="2"/>
            <w:noWrap w:val="0"/>
            <w:vAlign w:val="center"/>
          </w:tcPr>
          <w:p>
            <w:pPr>
              <w:keepNext w:val="0"/>
              <w:keepLines w:val="0"/>
              <w:suppressLineNumbers w:val="0"/>
              <w:spacing w:before="0" w:beforeAutospacing="0" w:after="0" w:afterAutospacing="0"/>
              <w:ind w:left="0" w:right="0" w:leftChars="0" w:rightChars="0"/>
              <w:rPr>
                <w:rFonts w:ascii="宋体" w:cs="宋体"/>
                <w:sz w:val="18"/>
                <w:szCs w:val="18"/>
              </w:rPr>
            </w:pPr>
            <w:r>
              <w:rPr>
                <w:rFonts w:ascii="宋体" w:eastAsia="宋体" w:hAnsi="宋体" w:cs="宋体" w:hint="eastAsia"/>
                <w:sz w:val="18"/>
                <w:szCs w:val="18"/>
              </w:rPr>
              <w:t>　0次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hAnsi="宋体" w:cs="宋体" w:hint="eastAsia"/>
                <w:sz w:val="18"/>
                <w:szCs w:val="18"/>
              </w:rPr>
            </w:pPr>
            <w:r>
              <w:rPr>
                <w:rFonts w:ascii="宋体" w:eastAsia="宋体" w:hAnsi="宋体" w:cs="宋体" w:hint="eastAsia"/>
                <w:sz w:val="18"/>
                <w:szCs w:val="18"/>
              </w:rPr>
              <w:t xml:space="preserve"> 门诊诊疗数量</w:t>
            </w:r>
          </w:p>
        </w:tc>
        <w:tc>
          <w:tcPr>
            <w:tcW w:w="4228" w:type="dxa"/>
            <w:gridSpan w:val="2"/>
            <w:noWrap w:val="0"/>
            <w:vAlign w:val="center"/>
          </w:tcPr>
          <w:p>
            <w:pPr>
              <w:rPr>
                <w:rFonts w:ascii="宋体" w:cs="宋体"/>
                <w:sz w:val="18"/>
                <w:szCs w:val="18"/>
              </w:rPr>
            </w:pPr>
            <w:r>
              <w:rPr>
                <w:rFonts w:ascii="宋体" w:eastAsia="宋体" w:hAnsi="宋体" w:cs="宋体" w:hint="eastAsia"/>
                <w:sz w:val="18"/>
                <w:szCs w:val="18"/>
              </w:rPr>
              <w:t>≥</w:t>
            </w:r>
            <w:r>
              <w:rPr>
                <w:rFonts w:ascii="宋体" w:hAnsi="宋体" w:cs="宋体" w:hint="eastAsia"/>
                <w:sz w:val="18"/>
                <w:szCs w:val="18"/>
                <w:lang w:val="en-US" w:eastAsia="zh-CN"/>
              </w:rPr>
              <w:t>2</w:t>
            </w:r>
            <w:r>
              <w:rPr>
                <w:rFonts w:ascii="宋体" w:eastAsia="宋体" w:hAnsi="宋体" w:cs="宋体" w:hint="eastAsia"/>
                <w:sz w:val="18"/>
                <w:szCs w:val="18"/>
              </w:rPr>
              <w:t>万人次</w:t>
            </w: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建设分院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建设</w:t>
      </w:r>
      <w:r>
        <w:rPr>
          <w:rFonts w:ascii="仿宋_GB2312" w:eastAsia="仿宋_GB2312" w:hAnsi="TimesNewRoman" w:cs="TimesNewRoman" w:hint="eastAsia"/>
          <w:sz w:val="32"/>
          <w:szCs w:val="32"/>
          <w:lang w:val="en-US" w:eastAsia="zh-CN"/>
        </w:rPr>
        <w:t>分院</w:t>
      </w:r>
      <w:r>
        <w:rPr>
          <w:rFonts w:ascii="仿宋_GB2312" w:eastAsia="仿宋_GB2312" w:hAnsi="TimesNewRoman" w:cs="TimesNewRoman" w:hint="eastAsia"/>
          <w:sz w:val="32"/>
          <w:szCs w:val="32"/>
        </w:rPr>
        <w:t>2024年</w:t>
      </w:r>
      <w:r>
        <w:rPr>
          <w:rFonts w:ascii="仿宋_GB2312" w:eastAsia="仿宋_GB2312" w:hAnsi="仿宋" w:cs="宋体" w:hint="eastAsia"/>
          <w:kern w:val="0"/>
          <w:sz w:val="32"/>
          <w:szCs w:val="32"/>
          <w:lang w:val="en-US" w:eastAsia="zh-CN"/>
        </w:rPr>
        <w:t>度无政府采购支出，</w:t>
      </w:r>
      <w:r>
        <w:rPr>
          <w:rFonts w:ascii="仿宋_GB2312" w:eastAsia="仿宋_GB2312" w:hAnsi="TimesNewRoman" w:cs="TimesNewRoman" w:hint="eastAsia"/>
          <w:sz w:val="32"/>
          <w:szCs w:val="32"/>
        </w:rPr>
        <w:t>政府采购预算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建设</w:t>
      </w:r>
      <w:r>
        <w:rPr>
          <w:rFonts w:ascii="仿宋_GB2312" w:eastAsia="仿宋_GB2312" w:hAnsi="TimesNewRoman" w:cs="TimesNewRoman" w:hint="eastAsia"/>
          <w:sz w:val="32"/>
          <w:szCs w:val="32"/>
          <w:lang w:val="en-US" w:eastAsia="zh-CN"/>
        </w:rPr>
        <w:t>分院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辆，其中：其他用车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jc w:val="center"/>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建设分院1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w:t>
      </w: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8E3B336"/>
    <w:multiLevelType w:val="singleLevel"/>
    <w:tmpl w:val="C8E3B336"/>
    <w:lvl w:ilvl="0">
      <w:start w:val="2"/>
      <w:numFmt w:val="chineseCounting"/>
      <w:suff w:val="nothing"/>
      <w:lvlText w:val="（%1）"/>
      <w:lvlJc w:val="left"/>
      <w:rPr>
        <w:rFonts w:hint="eastAsia"/>
      </w:rPr>
    </w:lvl>
  </w:abstractNum>
  <w:abstractNum w:abstractNumId="1">
    <w:nsid w:val="EB4EB124"/>
    <w:multiLevelType w:val="singleLevel"/>
    <w:tmpl w:val="EB4EB124"/>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CAB2DC4"/>
    <w:rsid w:val="1F3F7BF6"/>
    <w:rsid w:val="34C97AC9"/>
    <w:rsid w:val="60F20EED"/>
    <w:rsid w:val="66BD766A"/>
  </w:rsids>
  <w:docVars>
    <w:docVar w:name="commondata" w:val="eyJoZGlkIjoiM2JiNGUwZmRiY2U1ZWQ2OTZjMGVjN2UzNzQ0NzA0Yj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 w:type="character" w:customStyle="1" w:styleId="font11">
    <w:name w:val="font11"/>
    <w:basedOn w:val="DefaultParagraphFont"/>
    <w:autoRedefine/>
    <w:qFormat/>
    <w:rPr>
      <w:rFonts w:ascii="Arial" w:hAnsi="Arial" w:cs="Arial" w:hint="default"/>
      <w:color w:val="000000"/>
      <w:sz w:val="20"/>
      <w:szCs w:val="20"/>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动感光波biubiubiu!</cp:lastModifiedBy>
  <cp:revision>1</cp:revision>
  <dcterms:created xsi:type="dcterms:W3CDTF">2024-01-16T02:39:00Z</dcterms:created>
  <dcterms:modified xsi:type="dcterms:W3CDTF">2024-01-23T03:07:14Z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