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刘岗镇卫生院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bookmarkStart w:id="0" w:name="_GoBack"/>
      <w:bookmarkEnd w:id="0"/>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val="en-US" w:eastAsia="zh-CN"/>
        </w:rPr>
        <w:t>寿县刘岗镇卫生院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val="en-US" w:eastAsia="zh-CN"/>
        </w:rPr>
        <w:t>寿县刘岗镇卫生院</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寿县刘岗镇卫生院</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刘岗镇卫生院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刘岗镇卫生院</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val="en-US" w:eastAsia="zh-CN"/>
        </w:rPr>
        <w:t>寿县刘岗镇卫生院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ind w:firstLine="640" w:firstLineChars="200"/>
        <w:rPr>
          <w:rFonts w:ascii="仿宋_GB2312" w:eastAsia="仿宋_GB2312" w:hAnsi="仿宋_GB2312" w:cs="仿宋_GB2312" w:hint="eastAsia"/>
          <w:bCs/>
          <w:sz w:val="32"/>
          <w:szCs w:val="32"/>
          <w:lang w:eastAsia="zh-CN"/>
        </w:rPr>
      </w:pPr>
      <w:r>
        <w:rPr>
          <w:rFonts w:ascii="仿宋_GB2312" w:eastAsia="仿宋_GB2312" w:hAnsi="仿宋_GB2312" w:cs="仿宋_GB2312" w:hint="eastAsia"/>
          <w:bCs/>
          <w:sz w:val="32"/>
          <w:szCs w:val="32"/>
        </w:rPr>
        <w:t>（一）</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lang w:eastAsia="zh-CN"/>
        </w:rPr>
        <w:t>刘岗镇</w:t>
      </w:r>
      <w:r>
        <w:rPr>
          <w:rFonts w:ascii="仿宋_GB2312" w:eastAsia="仿宋_GB2312" w:hAnsi="仿宋_GB2312" w:cs="仿宋_GB2312" w:hint="eastAsia"/>
          <w:sz w:val="32"/>
          <w:szCs w:val="32"/>
        </w:rPr>
        <w:t>镇辖区农村人口基本医疗和基本公共卫生服务工作</w:t>
      </w:r>
      <w:r>
        <w:rPr>
          <w:rFonts w:ascii="仿宋_GB2312" w:eastAsia="仿宋_GB2312" w:hAnsi="仿宋_GB2312" w:cs="仿宋_GB2312"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val="en-US" w:eastAsia="zh-CN"/>
        </w:rPr>
        <w:t>寿县刘岗镇卫生院</w:t>
      </w:r>
      <w:r>
        <w:rPr>
          <w:rFonts w:ascii="楷体_GB2312" w:eastAsia="楷体_GB2312" w:hAnsi="TimesNewRoman" w:cs="TimesNewRoman"/>
          <w:b/>
          <w:bCs/>
          <w:sz w:val="32"/>
          <w:szCs w:val="32"/>
        </w:rPr>
        <w:t>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寿县刘岗镇卫生院2024年度单位预算仅包括本单位预算，无其他下属单位预算。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（一）</w:t>
      </w:r>
      <w:r>
        <w:rPr>
          <w:rFonts w:ascii="仿宋_GB2312" w:eastAsia="仿宋_GB2312" w:hAnsi="仿宋_GB2312" w:cs="仿宋_GB2312" w:hint="eastAsia"/>
          <w:sz w:val="32"/>
          <w:szCs w:val="32"/>
        </w:rPr>
        <w:t>公共卫生服务体系：进一步提高居民健康档案、健康教育、免疫规划、传染病防治、儿童保健、孕产妇保健、老年人保健、慢性病管理、重性精神病患者管理、家庭医生签约服务等13类国家基本公共卫生服务项目服务水平。</w:t>
      </w: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sz w:val="32"/>
          <w:szCs w:val="32"/>
        </w:rPr>
      </w:pPr>
      <w:r>
        <w:rPr>
          <w:rFonts w:ascii="仿宋_GB2312" w:eastAsia="仿宋_GB2312" w:hAnsi="仿宋_GB2312" w:cs="仿宋_GB2312" w:hint="eastAsia"/>
          <w:bCs/>
          <w:sz w:val="32"/>
          <w:szCs w:val="32"/>
        </w:rPr>
        <w:t>（二）</w:t>
      </w:r>
      <w:r>
        <w:rPr>
          <w:rFonts w:ascii="仿宋_GB2312" w:eastAsia="仿宋_GB2312" w:hAnsi="仿宋_GB2312" w:cs="仿宋_GB2312" w:hint="eastAsia"/>
          <w:sz w:val="32"/>
          <w:szCs w:val="32"/>
        </w:rPr>
        <w:t>医疗服务体系：加强医院基础设施建设，努力达到医院标准化水平，使医院发挥最大效益，做到功能突出、流程合理，优化就医环境。创建群众满意的卫生院。</w:t>
      </w: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sz w:val="32"/>
          <w:szCs w:val="32"/>
        </w:rPr>
      </w:pP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sz w:val="32"/>
          <w:szCs w:val="32"/>
        </w:rPr>
      </w:pP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sz w:val="32"/>
          <w:szCs w:val="32"/>
        </w:rPr>
      </w:pP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sz w:val="32"/>
          <w:szCs w:val="32"/>
        </w:rPr>
      </w:pP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sz w:val="32"/>
          <w:szCs w:val="32"/>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寿县刘岗镇卫生院</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3456"/>
        <w:gridCol w:w="759"/>
        <w:gridCol w:w="3954"/>
        <w:gridCol w:w="890"/>
      </w:tblGrid>
      <w:tr>
        <w:tblPrEx>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90"/>
        </w:trPr>
        <w:tc>
          <w:tcPr>
            <w:tcW w:w="212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 xml:space="preserve">收            入 </w:t>
            </w:r>
          </w:p>
        </w:tc>
        <w:tc>
          <w:tcPr>
            <w:tcW w:w="2879"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支                          出</w:t>
            </w:r>
          </w:p>
        </w:tc>
      </w:tr>
      <w:tr>
        <w:tblPrEx>
          <w:tblW w:w="4999" w:type="pct"/>
          <w:tblInd w:w="0" w:type="dxa"/>
          <w:shd w:val="clear" w:color="auto" w:fill="auto"/>
          <w:tblCellMar>
            <w:top w:w="0" w:type="dxa"/>
            <w:left w:w="108" w:type="dxa"/>
            <w:bottom w:w="0" w:type="dxa"/>
            <w:right w:w="108" w:type="dxa"/>
          </w:tblCellMar>
        </w:tblPrEx>
        <w:trPr>
          <w:trHeight w:val="39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收入项目</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预算数</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支出功能分类科目</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预算数</w:t>
            </w: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一、一般公共预算拨款收入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185.64</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一、一般公共服务支出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其中：财政拨款</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185.64</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二、外交支出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纳入国库管理的非税收入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三、国防支出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二、政府性基金预算拨款收入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四、公共安全支出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三、国有资本经营预算拨款收入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五、教育支出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六、科学技术支出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bottom"/>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七、文化旅游体育传媒支出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四、财政专户管理资金收入（教育收费）</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八、社会保障和就业支出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51.04</w:t>
            </w: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五、单位资金收入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360.00</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九、卫生健康支出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481.84</w:t>
            </w: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其中：事业收入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360.00</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十、节能环保支出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事业单位经营收入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十一、城乡社区支出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上级补助收入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十二、农林水支出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附属单位上缴收入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十三、交通运输支出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其他收入</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十四、资源勘探信息等支出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bottom"/>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十五、商业服务业等支出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十六、金融支出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十七、援助其他地区支出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十八、自然资源海洋气象等支出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十九、住房保障支出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13.20</w:t>
            </w: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二十、粮油物资储备支出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二十一、国有资本经营预算支出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二十二、灾害防治及应急管理支出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二十三、预备费</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nil"/>
              <w:left w:val="nil"/>
              <w:bottom w:val="nil"/>
              <w:right w:val="nil"/>
            </w:tcBorders>
            <w:shd w:val="clear" w:color="auto" w:fill="auto"/>
            <w:noWrap/>
            <w:vAlign w:val="bottom"/>
          </w:tcPr>
          <w:p>
            <w:pPr>
              <w:rPr>
                <w:rFonts w:ascii="Calibri" w:hAnsi="Calibri" w:cs="Calibri" w:hint="eastAsia"/>
                <w:i w:val="0"/>
                <w:iCs w:val="0"/>
                <w:color w:val="000000"/>
                <w:sz w:val="22"/>
                <w:szCs w:val="22"/>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二十四、其他支出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二十五、转移性支出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二十六、债务还本支出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二十七、债务付息支出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二十八、债务发行费用支出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二十九、抗疫特别国债安排的支出</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本年收入小计</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545.64</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本年支出小计</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546.08</w:t>
            </w: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上年结转数</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结转下年</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一般公共预算</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一般公共预算</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政府性基金预算</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政府性基金预算</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国有资本经营预算</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国有资本经营预算</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财政专户管理资金</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财政专户管理资金</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单位资金</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单位资金</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4999" w:type="pct"/>
          <w:tblInd w:w="0" w:type="dxa"/>
          <w:shd w:val="clear" w:color="auto" w:fill="auto"/>
          <w:tblCellMar>
            <w:top w:w="0" w:type="dxa"/>
            <w:left w:w="108" w:type="dxa"/>
            <w:bottom w:w="0" w:type="dxa"/>
            <w:right w:w="108" w:type="dxa"/>
          </w:tblCellMar>
        </w:tblPrEx>
        <w:trPr>
          <w:trHeight w:val="360"/>
        </w:trPr>
        <w:tc>
          <w:tcPr>
            <w:tcW w:w="17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收入总计</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545.64</w:t>
            </w:r>
          </w:p>
        </w:tc>
        <w:tc>
          <w:tcPr>
            <w:tcW w:w="2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支出总计</w:t>
            </w:r>
          </w:p>
        </w:tc>
        <w:tc>
          <w:tcPr>
            <w:tcW w:w="5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546.08</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527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1116"/>
        <w:gridCol w:w="3165"/>
        <w:gridCol w:w="867"/>
        <w:gridCol w:w="899"/>
        <w:gridCol w:w="912"/>
        <w:gridCol w:w="403"/>
        <w:gridCol w:w="373"/>
        <w:gridCol w:w="433"/>
        <w:gridCol w:w="899"/>
        <w:gridCol w:w="838"/>
        <w:gridCol w:w="342"/>
        <w:gridCol w:w="342"/>
        <w:gridCol w:w="373"/>
        <w:gridCol w:w="351"/>
        <w:gridCol w:w="373"/>
        <w:gridCol w:w="359"/>
        <w:gridCol w:w="419"/>
        <w:gridCol w:w="373"/>
        <w:gridCol w:w="449"/>
        <w:gridCol w:w="411"/>
      </w:tblGrid>
      <w:tr>
        <w:tblPrEx>
          <w:tblW w:w="527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20"/>
        </w:trPr>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15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316" w:type="pct"/>
            <w:vMerge w:val="restart"/>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2250"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本年收入</w:t>
            </w:r>
          </w:p>
        </w:tc>
        <w:tc>
          <w:tcPr>
            <w:tcW w:w="87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上年结转结余</w:t>
            </w:r>
          </w:p>
        </w:tc>
      </w:tr>
      <w:tr>
        <w:tblPrEx>
          <w:tblW w:w="5279" w:type="pct"/>
          <w:tblInd w:w="0" w:type="dxa"/>
          <w:shd w:val="clear" w:color="auto" w:fill="auto"/>
          <w:tblLayout w:type="fixed"/>
          <w:tblCellMar>
            <w:top w:w="0" w:type="dxa"/>
            <w:left w:w="108" w:type="dxa"/>
            <w:bottom w:w="0" w:type="dxa"/>
            <w:right w:w="108" w:type="dxa"/>
          </w:tblCellMar>
        </w:tblPrEx>
        <w:trPr>
          <w:trHeight w:val="420"/>
        </w:trPr>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15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16" w:type="pct"/>
            <w:vMerge/>
            <w:tcBorders>
              <w:top w:val="single" w:sz="4" w:space="0" w:color="000000"/>
              <w:left w:val="nil"/>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2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1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1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1144"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c>
          <w:tcPr>
            <w:tcW w:w="1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1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1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1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16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1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r>
      <w:tr>
        <w:tblPrEx>
          <w:tblW w:w="5279" w:type="pct"/>
          <w:tblInd w:w="0" w:type="dxa"/>
          <w:shd w:val="clear" w:color="auto" w:fill="auto"/>
          <w:tblLayout w:type="fixed"/>
          <w:tblCellMar>
            <w:top w:w="0" w:type="dxa"/>
            <w:left w:w="108" w:type="dxa"/>
            <w:bottom w:w="0" w:type="dxa"/>
            <w:right w:w="108" w:type="dxa"/>
          </w:tblCellMar>
        </w:tblPrEx>
        <w:trPr>
          <w:trHeight w:val="825"/>
        </w:trPr>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15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16" w:type="pct"/>
            <w:vMerge/>
            <w:tcBorders>
              <w:top w:val="single" w:sz="4" w:space="0" w:color="000000"/>
              <w:left w:val="nil"/>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事业收入</w:t>
            </w:r>
          </w:p>
        </w:tc>
        <w:tc>
          <w:tcPr>
            <w:tcW w:w="125"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事业单位经营收入</w:t>
            </w:r>
          </w:p>
        </w:tc>
        <w:tc>
          <w:tcPr>
            <w:tcW w:w="125"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上级补助收入</w:t>
            </w:r>
          </w:p>
        </w:tc>
        <w:tc>
          <w:tcPr>
            <w:tcW w:w="136"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附属单位上缴收入</w:t>
            </w:r>
          </w:p>
        </w:tc>
        <w:tc>
          <w:tcPr>
            <w:tcW w:w="120"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其他收入</w:t>
            </w:r>
          </w:p>
        </w:tc>
        <w:tc>
          <w:tcPr>
            <w:tcW w:w="1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6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546.08</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546.08</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2080502</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事业单位离退休</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481.84</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481.84</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121.39</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474.25</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474.25</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113.80</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474.25</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474.25</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113.80</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279" w:type="pct"/>
          <w:tblInd w:w="0" w:type="dxa"/>
          <w:shd w:val="clear" w:color="auto" w:fill="auto"/>
          <w:tblLayout w:type="fixed"/>
          <w:tblCellMar>
            <w:top w:w="0" w:type="dxa"/>
            <w:left w:w="108" w:type="dxa"/>
            <w:bottom w:w="0" w:type="dxa"/>
            <w:right w:w="108" w:type="dxa"/>
          </w:tblCellMar>
        </w:tblPrEx>
        <w:trPr>
          <w:trHeight w:val="555"/>
        </w:trPr>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31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794"/>
        <w:gridCol w:w="3816"/>
        <w:gridCol w:w="2159"/>
        <w:gridCol w:w="2159"/>
        <w:gridCol w:w="2159"/>
        <w:gridCol w:w="2159"/>
      </w:tblGrid>
      <w:tr>
        <w:tblPrEx>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50"/>
        </w:trPr>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基本支出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备注</w:t>
            </w: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546.08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183.76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362.33</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事业单位离退休</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481.84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119.51</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362.33</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474.25</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111.92</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362.33</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474.25</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111.92</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362.33</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5645"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2235"/>
        <w:gridCol w:w="930"/>
        <w:gridCol w:w="2242"/>
        <w:gridCol w:w="831"/>
        <w:gridCol w:w="1230"/>
        <w:gridCol w:w="1365"/>
        <w:gridCol w:w="1397"/>
      </w:tblGrid>
      <w:tr>
        <w:tblPrEx>
          <w:tblW w:w="5645"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75"/>
        </w:trPr>
        <w:tc>
          <w:tcPr>
            <w:tcW w:w="1546"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 xml:space="preserve">          收            入             </w:t>
            </w:r>
          </w:p>
        </w:tc>
        <w:tc>
          <w:tcPr>
            <w:tcW w:w="3453"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支          出</w:t>
            </w: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 xml:space="preserve"> 项目</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预算数</w:t>
            </w: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支出功能分类科目</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一般公共预算拨款</w:t>
            </w: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政府性基金预算拨款</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国有资本经营预算拨款</w:t>
            </w: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一、本年收入</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一、本年支出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（一）一般公共预算拨款</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（一）一般公共服务支出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（二）政府性基金预算拨款</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（二）外交支出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（三）国有资本经营预算拨款</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（三）国防支出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（四）公共安全支出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二、上年结转</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（五）教育支出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（一）一般公共预算拨款</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（六）科学技术支出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（二）政府性基金预算拨款</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（七）文化旅游体育与传媒支出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（三）国有资本经营预算拨款</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（八）社会保障和就业支出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FFFFFF"/>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（九）卫生健康支出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121.39</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121.39</w:t>
            </w: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（十）节能环保支出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（十一）城乡社区支出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（十二）农林水支出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（十三）交通运输支出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（十四）资源勘探信息等事务支出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（十五）商业服务业等事务支出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（十六）金融支出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（十七）援助其他地区支出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（十八）自然资源海洋气象等支出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（十九）住房保障支出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（二十）粮油物资储备支出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（二十一）国有资本经营预算安排的支出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9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（二十二）灾害防治及应急管理支出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（二十三）预备费</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（二十四）其他支出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（二十五）转移性支出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nil"/>
              <w:left w:val="nil"/>
              <w:bottom w:val="nil"/>
              <w:right w:val="nil"/>
            </w:tcBorders>
            <w:shd w:val="clear" w:color="auto" w:fill="auto"/>
            <w:noWrap/>
            <w:vAlign w:val="center"/>
          </w:tcPr>
          <w:p>
            <w:pP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（二十六）债务还本支出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（二十七）债务付息支出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（二十八）债务发行费用支出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FFFFFF"/>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（二十九）抗疫特别国债安排的支出</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二、年终结转结余</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5645" w:type="pct"/>
          <w:tblInd w:w="-896" w:type="dxa"/>
          <w:shd w:val="clear" w:color="auto" w:fill="auto"/>
          <w:tblLayout w:type="fixed"/>
          <w:tblCellMar>
            <w:top w:w="0" w:type="dxa"/>
            <w:left w:w="108" w:type="dxa"/>
            <w:bottom w:w="0" w:type="dxa"/>
            <w:right w:w="108" w:type="dxa"/>
          </w:tblCellMar>
        </w:tblPrEx>
        <w:trPr>
          <w:trHeight w:val="375"/>
        </w:trPr>
        <w:tc>
          <w:tcPr>
            <w:tcW w:w="10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收   入   总   计</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支　出  总　计</w:t>
            </w: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6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刘岗镇卫生院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429"/>
        <w:gridCol w:w="3938"/>
        <w:gridCol w:w="1718"/>
        <w:gridCol w:w="1718"/>
        <w:gridCol w:w="1718"/>
        <w:gridCol w:w="1720"/>
        <w:gridCol w:w="1718"/>
      </w:tblGrid>
      <w:tr>
        <w:tblPrEx>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75"/>
        </w:trPr>
        <w:tc>
          <w:tcPr>
            <w:tcW w:w="512"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410"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6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184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基本支出</w:t>
            </w:r>
          </w:p>
        </w:tc>
        <w:tc>
          <w:tcPr>
            <w:tcW w:w="615"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项目支出</w:t>
            </w:r>
          </w:p>
        </w:tc>
      </w:tr>
      <w:tr>
        <w:tblPrEx>
          <w:tblW w:w="4998" w:type="pct"/>
          <w:tblInd w:w="0" w:type="dxa"/>
          <w:shd w:val="clear" w:color="auto" w:fill="auto"/>
          <w:tblCellMar>
            <w:top w:w="0" w:type="dxa"/>
            <w:left w:w="108" w:type="dxa"/>
            <w:bottom w:w="0" w:type="dxa"/>
            <w:right w:w="108" w:type="dxa"/>
          </w:tblCellMar>
        </w:tblPrEx>
        <w:trPr>
          <w:trHeight w:val="375"/>
        </w:trPr>
        <w:tc>
          <w:tcPr>
            <w:tcW w:w="512"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410"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6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人员经费</w:t>
            </w: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公用经费</w:t>
            </w:r>
          </w:p>
        </w:tc>
        <w:tc>
          <w:tcPr>
            <w:tcW w:w="615"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185.64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183.76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183.76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51.04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50.27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事业单位离退休</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121.39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119.51</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119.51</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113.80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111.92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111.92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113.80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111.92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111.92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600"/>
        <w:gridCol w:w="4709"/>
        <w:gridCol w:w="2075"/>
        <w:gridCol w:w="2787"/>
        <w:gridCol w:w="2791"/>
      </w:tblGrid>
      <w:tr>
        <w:tblPrEx>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2259"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单位预算支出经济分类科目</w:t>
            </w:r>
          </w:p>
        </w:tc>
        <w:tc>
          <w:tcPr>
            <w:tcW w:w="2740"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本年一般公共预算基本支出</w:t>
            </w:r>
          </w:p>
        </w:tc>
      </w:tr>
      <w:tr>
        <w:tblPrEx>
          <w:tblW w:w="4999" w:type="pct"/>
          <w:tblInd w:w="0" w:type="dxa"/>
          <w:shd w:val="clear" w:color="auto" w:fill="auto"/>
          <w:tblCellMar>
            <w:top w:w="0" w:type="dxa"/>
            <w:left w:w="108" w:type="dxa"/>
            <w:bottom w:w="0" w:type="dxa"/>
            <w:right w:w="108" w:type="dxa"/>
          </w:tblCellMar>
        </w:tblPrEx>
        <w:trPr>
          <w:trHeight w:val="420"/>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人员经费</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公用经费</w:t>
            </w: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183.76</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183.76</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301</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工资福利支出</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158.01</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158.01</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30101</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基本工资</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71.79</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71.79</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30107</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绩效工资</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38.23</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38.23</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30108</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17.61</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30109</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职业年金缴费</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8.80</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30110</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7.59</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30112</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其他社会保障缴费</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0.77</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30113</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13.20</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30199</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其他工资福利支出</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0.02</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0.02</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303</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25.74</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25.74</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30302</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退休费</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23.86</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30305</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生活补助</w:t>
            </w:r>
          </w:p>
        </w:tc>
        <w:tc>
          <w:tcPr>
            <w:tcW w:w="7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科学技术</w:t>
            </w:r>
            <w:r>
              <w:rPr>
                <w:rFonts w:ascii="TimesNewRoman" w:hAnsi="TimesNewRoman" w:cs="TimesNewRoman"/>
                <w:kern w:val="0"/>
                <w:sz w:val="18"/>
                <w:szCs w:val="18"/>
              </w:rPr>
              <w:t>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w:t>
            </w: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核电站乏燃料处理处置基金支出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61001</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r>
              <w:rPr>
                <w:rFonts w:ascii="TimesNewRoman" w:hAnsi="TimesNewRoman" w:cs="TimesNewRoman"/>
                <w:kern w:val="0"/>
                <w:sz w:val="18"/>
                <w:szCs w:val="18"/>
              </w:rPr>
              <w:t>乏燃料运输</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eastAsia="zh-CN"/>
        </w:rPr>
        <w:t>刘岗镇卫生院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hint="eastAsia"/>
          <w:sz w:val="20"/>
          <w:szCs w:val="20"/>
          <w:lang w:eastAsia="zh-CN"/>
        </w:rPr>
        <w:t>单位</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223</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国有资本经营预算支出</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解决历史遗留问题及改革成本支出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2230101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r>
              <w:rPr>
                <w:rFonts w:ascii="TimesNewRoman" w:hAnsi="TimesNewRoman" w:cs="TimesNewRoman"/>
                <w:kern w:val="0"/>
                <w:sz w:val="18"/>
                <w:szCs w:val="18"/>
              </w:rPr>
              <w:t>厂办大集体改革支出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eastAsia="zh-CN"/>
              </w:rPr>
              <w:t>刘岗镇卫生院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216"/>
        <w:gridCol w:w="3045"/>
        <w:gridCol w:w="1816"/>
        <w:gridCol w:w="875"/>
        <w:gridCol w:w="875"/>
        <w:gridCol w:w="875"/>
        <w:gridCol w:w="877"/>
        <w:gridCol w:w="875"/>
        <w:gridCol w:w="875"/>
        <w:gridCol w:w="878"/>
        <w:gridCol w:w="876"/>
        <w:gridCol w:w="876"/>
      </w:tblGrid>
      <w:tr>
        <w:tblPrEx>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75"/>
        </w:trPr>
        <w:tc>
          <w:tcPr>
            <w:tcW w:w="3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类型</w:t>
            </w:r>
          </w:p>
        </w:tc>
        <w:tc>
          <w:tcPr>
            <w:tcW w:w="1119"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项目名称</w:t>
            </w:r>
          </w:p>
        </w:tc>
        <w:tc>
          <w:tcPr>
            <w:tcW w:w="4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项目单位</w:t>
            </w:r>
          </w:p>
        </w:tc>
        <w:tc>
          <w:tcPr>
            <w:tcW w:w="3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102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本年财政拨款</w:t>
            </w:r>
          </w:p>
        </w:tc>
        <w:tc>
          <w:tcPr>
            <w:tcW w:w="102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财政拨款结转结余</w:t>
            </w:r>
          </w:p>
        </w:tc>
        <w:tc>
          <w:tcPr>
            <w:tcW w:w="3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3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r>
      <w:tr>
        <w:tblPrEx>
          <w:tblW w:w="4998" w:type="pct"/>
          <w:tblInd w:w="0" w:type="dxa"/>
          <w:shd w:val="clear" w:color="auto" w:fill="auto"/>
          <w:tblCellMar>
            <w:top w:w="0" w:type="dxa"/>
            <w:left w:w="108" w:type="dxa"/>
            <w:bottom w:w="0" w:type="dxa"/>
            <w:right w:w="108" w:type="dxa"/>
          </w:tblCellMar>
        </w:tblPrEx>
        <w:trPr>
          <w:trHeight w:val="750"/>
        </w:trPr>
        <w:tc>
          <w:tcPr>
            <w:tcW w:w="30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119"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4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42"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342"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342"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342"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342"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342"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3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4998" w:type="pct"/>
          <w:tblInd w:w="0" w:type="dxa"/>
          <w:shd w:val="clear" w:color="auto" w:fill="auto"/>
          <w:tblCellMar>
            <w:top w:w="0" w:type="dxa"/>
            <w:left w:w="108" w:type="dxa"/>
            <w:bottom w:w="0" w:type="dxa"/>
            <w:right w:w="108" w:type="dxa"/>
          </w:tblCellMar>
        </w:tblPrEx>
        <w:trPr>
          <w:trHeight w:val="375"/>
        </w:trPr>
        <w:tc>
          <w:tcPr>
            <w:tcW w:w="3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1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4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361.88</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r>
      <w:tr>
        <w:tblPrEx>
          <w:tblW w:w="4998" w:type="pct"/>
          <w:tblInd w:w="0" w:type="dxa"/>
          <w:shd w:val="clear" w:color="auto" w:fill="auto"/>
          <w:tblCellMar>
            <w:top w:w="0" w:type="dxa"/>
            <w:left w:w="108" w:type="dxa"/>
            <w:bottom w:w="0" w:type="dxa"/>
            <w:right w:w="108" w:type="dxa"/>
          </w:tblCellMar>
        </w:tblPrEx>
        <w:trPr>
          <w:trHeight w:val="375"/>
        </w:trPr>
        <w:tc>
          <w:tcPr>
            <w:tcW w:w="3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特定目标类</w:t>
            </w:r>
          </w:p>
        </w:tc>
        <w:tc>
          <w:tcPr>
            <w:tcW w:w="11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三年过渡安置人员经费</w:t>
            </w:r>
          </w:p>
        </w:tc>
        <w:tc>
          <w:tcPr>
            <w:tcW w:w="4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寿县刘岗镇卫生院</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1.88</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375"/>
        </w:trPr>
        <w:tc>
          <w:tcPr>
            <w:tcW w:w="3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其他运转类</w:t>
            </w:r>
          </w:p>
        </w:tc>
        <w:tc>
          <w:tcPr>
            <w:tcW w:w="11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4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寿县刘岗镇卫生院</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360.00</w:t>
            </w:r>
          </w:p>
        </w:tc>
      </w:tr>
    </w:tbl>
    <w:p>
      <w:pPr>
        <w:pStyle w:val="NormalWeb"/>
        <w:wordWrap w:val="0"/>
        <w:adjustRightInd w:val="0"/>
        <w:snapToGrid w:val="0"/>
        <w:spacing w:after="156" w:afterLines="50" w:line="560" w:lineRule="exact"/>
        <w:jc w:val="center"/>
        <w:rPr>
          <w:rFonts w:ascii="TimesNewRoman" w:hAnsi="TimesNewRoman" w:cs="TimesNewRoman" w:hint="eastAsia"/>
          <w:sz w:val="20"/>
          <w:szCs w:val="20"/>
        </w:rPr>
      </w:pPr>
    </w:p>
    <w:p>
      <w:pPr>
        <w:pStyle w:val="NormalWeb"/>
        <w:wordWrap w:val="0"/>
        <w:adjustRightInd w:val="0"/>
        <w:snapToGrid w:val="0"/>
        <w:spacing w:after="156" w:afterLines="50" w:line="560" w:lineRule="exact"/>
        <w:jc w:val="center"/>
        <w:rPr>
          <w:rFonts w:ascii="TimesNewRoman" w:hAnsi="TimesNewRoman" w:cs="TimesNewRoman" w:hint="eastAsia"/>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单位</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6113" w:type="dxa"/>
        <w:tblInd w:w="0" w:type="dxa"/>
        <w:tblLayout w:type="fixed"/>
        <w:tblCellMar>
          <w:top w:w="0" w:type="dxa"/>
          <w:left w:w="108" w:type="dxa"/>
          <w:bottom w:w="0" w:type="dxa"/>
          <w:right w:w="108" w:type="dxa"/>
        </w:tblCellMar>
      </w:tblPr>
      <w:tblGrid>
        <w:gridCol w:w="4553"/>
        <w:gridCol w:w="1568"/>
        <w:gridCol w:w="1568"/>
        <w:gridCol w:w="1568"/>
        <w:gridCol w:w="1568"/>
        <w:gridCol w:w="1568"/>
        <w:gridCol w:w="1569"/>
        <w:gridCol w:w="147"/>
      </w:tblGrid>
      <w:tr>
        <w:tblPrEx>
          <w:tblW w:w="16113"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刘岗镇卫生院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810"/>
        </w:trPr>
        <w:tc>
          <w:tcPr>
            <w:tcW w:w="162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单位名称/支出项目/政府采购品目</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8.90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8.90</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寿县刘岗镇卫生院</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8.90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8.90</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乡镇卫生院医疗卫生支出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8.90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8.90</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台式计算机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6.80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6.80</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便携式计算机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0.50</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投影仪</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1.00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1.00</w:t>
            </w:r>
          </w:p>
        </w:tc>
      </w:tr>
      <w:tr>
        <w:tblPrEx>
          <w:tblW w:w="1611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gridAfter w:val="1"/>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多功能一体机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0.60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0.60</w:t>
            </w:r>
          </w:p>
        </w:tc>
      </w:tr>
    </w:tbl>
    <w:p>
      <w:pPr>
        <w:spacing w:line="560" w:lineRule="exact"/>
        <w:rPr>
          <w:rFonts w:ascii="TimesNewRoman" w:hAnsi="TimesNewRoman" w:cs="TimesNewRoman"/>
        </w:rPr>
      </w:pPr>
    </w:p>
    <w:p>
      <w:pPr>
        <w:spacing w:line="560" w:lineRule="exact"/>
        <w:rPr>
          <w:rFonts w:ascii="TimesNewRoman" w:hAnsi="TimesNewRoman" w:cs="TimesNewRoman"/>
        </w:rPr>
      </w:pPr>
    </w:p>
    <w:p>
      <w:pPr>
        <w:spacing w:line="560" w:lineRule="exact"/>
        <w:rPr>
          <w:rFonts w:ascii="TimesNewRoman" w:hAnsi="TimesNewRoman" w:cs="TimesNewRoman"/>
        </w:rPr>
      </w:pP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单位</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刘岗镇卫生院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hint="eastAsia"/>
          <w:kern w:val="0"/>
          <w:sz w:val="22"/>
          <w:lang w:eastAsia="zh-CN"/>
        </w:rPr>
        <w:t>刘岗镇卫生院</w:t>
      </w:r>
      <w:r>
        <w:rPr>
          <w:rFonts w:ascii="TimesNewRoman" w:hAnsi="TimesNewRoman" w:cs="TimesNewRoman"/>
          <w:kern w:val="0"/>
          <w:sz w:val="22"/>
        </w:rPr>
        <w:t>没有安排政府购买服务支出，故本表无数据。</w:t>
      </w:r>
    </w:p>
    <w:p>
      <w:pPr>
        <w:pStyle w:val="NormalWeb"/>
        <w:topLinePunct/>
        <w:adjustRightInd w:val="0"/>
        <w:snapToGrid w:val="0"/>
        <w:spacing w:beforeAutospacing="0" w:afterAutospacing="0" w:line="560" w:lineRule="exact"/>
        <w:jc w:val="both"/>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寿县刘岗镇卫生院</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lang w:val="en-US" w:eastAsia="zh-CN"/>
        </w:rPr>
        <w:t>寿县刘岗镇卫生院</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545.64</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185.64万元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360万元</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lang w:val="en-US" w:eastAsia="zh-CN"/>
        </w:rPr>
        <w:t>51.04万元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481.84万元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13.2万元</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刘岗镇卫生院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545.64</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545.64</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545.64</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185.64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34.02</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25.78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13.88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退休职工退休补贴2024年纳入年初预算</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360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65.98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与2023年预算持平</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545.64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25.78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4.72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退休职工退休补贴纳入2024年年初预算</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183.76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33.68</w:t>
      </w:r>
      <w:r>
        <w:rPr>
          <w:rFonts w:ascii="仿宋_GB2312" w:eastAsia="仿宋_GB2312" w:hAnsi="TimesNewRoman" w:cs="TimesNewRoman" w:hint="eastAsia"/>
          <w:sz w:val="32"/>
          <w:szCs w:val="32"/>
        </w:rPr>
        <w:t>%，主要用于保障机构日常运转、保障医疗人员工资待遇；项目支出</w:t>
      </w:r>
      <w:r>
        <w:rPr>
          <w:rFonts w:ascii="仿宋_GB2312" w:eastAsia="仿宋_GB2312" w:hAnsi="TimesNewRoman" w:cs="TimesNewRoman" w:hint="eastAsia"/>
          <w:sz w:val="32"/>
          <w:szCs w:val="32"/>
          <w:lang w:val="en-US" w:eastAsia="zh-CN"/>
        </w:rPr>
        <w:t>362.33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66.32</w:t>
      </w:r>
      <w:r>
        <w:rPr>
          <w:rFonts w:ascii="仿宋_GB2312" w:eastAsia="仿宋_GB2312" w:hAnsi="TimesNewRoman" w:cs="TimesNewRoman" w:hint="eastAsia"/>
          <w:sz w:val="32"/>
          <w:szCs w:val="32"/>
        </w:rPr>
        <w:t>%，主要用于主要用于保障机构日常运转、完成日常医疗工作任务。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185.64</w:t>
      </w:r>
      <w:r>
        <w:rPr>
          <w:rFonts w:ascii="仿宋_GB2312" w:eastAsia="仿宋_GB2312" w:hAnsi="TimesNewRoman" w:cs="TimesNewRoman" w:hint="eastAsia"/>
          <w:sz w:val="32"/>
          <w:szCs w:val="32"/>
        </w:rPr>
        <w:t>万元。收入按资金来源分为：</w:t>
      </w:r>
      <w:r>
        <w:rPr>
          <w:rFonts w:ascii="仿宋_GB2312" w:eastAsia="仿宋_GB2312" w:hAnsi="TimesNewRoman" w:cs="TimesNewRoman" w:hint="eastAsia"/>
          <w:sz w:val="32"/>
          <w:szCs w:val="32"/>
          <w:lang w:val="en-US" w:eastAsia="zh-CN"/>
        </w:rPr>
        <w:t>全部为</w:t>
      </w:r>
      <w:r>
        <w:rPr>
          <w:rFonts w:ascii="仿宋_GB2312" w:eastAsia="仿宋_GB2312" w:hAnsi="TimesNewRoman" w:cs="TimesNewRoman" w:hint="eastAsia"/>
          <w:sz w:val="32"/>
          <w:szCs w:val="32"/>
        </w:rPr>
        <w:t>一般公共预算拨款</w:t>
      </w:r>
      <w:r>
        <w:rPr>
          <w:rFonts w:ascii="仿宋_GB2312" w:eastAsia="仿宋_GB2312" w:hAnsi="TimesNewRoman" w:cs="TimesNewRoman" w:hint="eastAsia"/>
          <w:sz w:val="32"/>
          <w:szCs w:val="32"/>
          <w:lang w:val="en-US" w:eastAsia="zh-CN"/>
        </w:rPr>
        <w:t>185.64</w:t>
      </w:r>
      <w:r>
        <w:rPr>
          <w:rFonts w:ascii="仿宋_GB2312" w:eastAsia="仿宋_GB2312" w:hAnsi="TimesNewRoman" w:cs="TimesNewRoman" w:hint="eastAsia"/>
          <w:sz w:val="32"/>
          <w:szCs w:val="32"/>
        </w:rPr>
        <w:t>万元；按资金年度分为：</w:t>
      </w:r>
      <w:r>
        <w:rPr>
          <w:rFonts w:ascii="仿宋_GB2312" w:eastAsia="仿宋_GB2312" w:hAnsi="TimesNewRoman" w:cs="TimesNewRoman" w:hint="eastAsia"/>
          <w:sz w:val="32"/>
          <w:szCs w:val="32"/>
          <w:lang w:val="en-US" w:eastAsia="zh-CN"/>
        </w:rPr>
        <w:t>全部为</w:t>
      </w:r>
      <w:r>
        <w:rPr>
          <w:rFonts w:ascii="仿宋_GB2312" w:eastAsia="仿宋_GB2312" w:hAnsi="TimesNewRoman" w:cs="TimesNewRoman" w:hint="eastAsia"/>
          <w:sz w:val="32"/>
          <w:szCs w:val="32"/>
        </w:rPr>
        <w:t>本年财政拨款收入</w:t>
      </w:r>
      <w:r>
        <w:rPr>
          <w:rFonts w:ascii="仿宋_GB2312" w:eastAsia="仿宋_GB2312" w:hAnsi="TimesNewRoman" w:cs="TimesNewRoman" w:hint="eastAsia"/>
          <w:sz w:val="32"/>
          <w:szCs w:val="32"/>
          <w:lang w:val="en-US" w:eastAsia="zh-CN"/>
        </w:rPr>
        <w:t>185.64</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51.04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27.49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121.39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65.39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13.2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7.12</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寿县刘岗镇卫生院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185.64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25.78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13.89</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val="en-US" w:eastAsia="zh-CN"/>
        </w:rPr>
        <w:t>退休人员退休补贴纳入2024年预算</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51.04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27.49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121.39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65.39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13.2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7.12</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b/>
          <w:sz w:val="32"/>
          <w:szCs w:val="32"/>
          <w:lang w:val="en-US" w:eastAsia="zh-CN"/>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事业单位离退休</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23.86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23.86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2024年将退休人员退休补贴项目纳入年初预算</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2.</w:t>
      </w:r>
      <w:r>
        <w:rPr>
          <w:rFonts w:ascii="仿宋_GB2312" w:eastAsia="仿宋_GB2312" w:hAnsi="TimesNewRoman" w:cs="TimesNewRoman" w:hint="eastAsia"/>
          <w:b/>
          <w:sz w:val="32"/>
          <w:szCs w:val="32"/>
          <w:lang w:val="en-US" w:eastAsia="zh-CN"/>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17.61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0.38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2.16</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人员岗位变动，工资上涨，养老保险基数增长</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w:t>
      </w:r>
      <w:r>
        <w:rPr>
          <w:rFonts w:ascii="仿宋_GB2312" w:eastAsia="仿宋_GB2312" w:hAnsi="TimesNewRoman" w:cs="TimesNewRoman" w:hint="eastAsia"/>
          <w:b/>
          <w:sz w:val="32"/>
          <w:szCs w:val="32"/>
          <w:lang w:val="en-US" w:eastAsia="zh-CN"/>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8.8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0.18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2.05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职业年金缴存基数增长</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4.卫生健康支出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基层医疗卫生机构</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113.8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0.89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0.78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部分人员岗位变工，工资增加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13.2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5.77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43.71</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人员工资变动，基数增加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185.64</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183.76</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183.76</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none"/>
        </w:rPr>
        <w:t>基本工资、津贴补贴、奖金、伙食补助费、绩效工资、机关事业单位基本养老保险费、职业年金缴费、职工基本医疗保险缴费、其他社会保障缴费、住房公积金、医疗费、其他工资福利支出、退休费、生活补助、医疗费补助、对其他个人和家庭的补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361.88</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22.72</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5.92</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公共服务支出项目减少</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1.88</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1.88</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360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35.6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17.8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办公设备老旧计划进行更换</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35.6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val="en-US" w:eastAsia="zh-CN"/>
        </w:rPr>
        <w:t>乡镇卫生院医疗卫生支出</w:t>
      </w:r>
      <w:r>
        <w:rPr>
          <w:rFonts w:ascii="仿宋_GB2312" w:eastAsia="仿宋_GB2312" w:hAnsi="TimesNewRoman" w:cs="TimesNewRoman" w:hint="eastAsia"/>
          <w:b/>
          <w:sz w:val="32"/>
          <w:szCs w:val="32"/>
        </w:rPr>
        <w:t>”项目。</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_GB2312" w:eastAsia="仿宋_GB2312" w:hAnsi="楷体" w:hint="eastAsia"/>
          <w:b w:val="0"/>
          <w:bCs w:val="0"/>
          <w:sz w:val="32"/>
          <w:szCs w:val="32"/>
        </w:rPr>
        <w:t>1.加快我院的发展，提高我院的医疗安全质量，为患者提供一个安全放心的就医场所；2.保障我院日常开支，确保日常后勤工作顺利开展。</w:t>
      </w:r>
      <w:r>
        <w:rPr>
          <w:rFonts w:ascii="仿宋_GB2312" w:eastAsia="仿宋_GB2312" w:hAnsi="仿宋" w:hint="eastAsia"/>
          <w:sz w:val="32"/>
          <w:szCs w:val="32"/>
        </w:rPr>
        <w:t>内容</w:t>
      </w:r>
      <w:r>
        <w:rPr>
          <w:rFonts w:ascii="仿宋_GB2312" w:eastAsia="仿宋_GB2312" w:hAnsi="仿宋" w:hint="eastAsia"/>
          <w:sz w:val="32"/>
          <w:szCs w:val="32"/>
          <w:lang w:eastAsia="zh-CN"/>
        </w:rPr>
        <w:t>：</w:t>
      </w:r>
      <w:r>
        <w:rPr>
          <w:rFonts w:ascii="仿宋_GB2312" w:eastAsia="仿宋_GB2312" w:hAnsi="楷体" w:hint="eastAsia"/>
          <w:sz w:val="32"/>
          <w:szCs w:val="32"/>
        </w:rPr>
        <w:t>为人民身体健康提供医疗保健服务，常病多发病诊治与护理、卫生防疫、妇幼保健、计划免疫、乡村医生业务培训、卫生员业务培训、接生员业务培训与技术指导、初级卫生保健规划实施。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_GB2312" w:eastAsia="仿宋_GB2312" w:hAnsi="楷体" w:hint="eastAsia"/>
          <w:b w:val="0"/>
          <w:bCs w:val="0"/>
          <w:sz w:val="32"/>
          <w:szCs w:val="32"/>
        </w:rPr>
        <w:t>为人民身体健康提供医疗保健服务，常见病多发病诊治与护理、卫生防疫、妇幼保健、计划免疫、乡村医生业务培训、卫生员业务培训、接生员业务培训与技术指导、初级卫生保健规划实施。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_GB2312" w:eastAsia="仿宋_GB2312" w:hAnsi="楷体"/>
          <w:b w:val="0"/>
          <w:bCs w:val="0"/>
          <w:sz w:val="32"/>
          <w:szCs w:val="32"/>
        </w:rPr>
        <w:t>寿县</w:t>
      </w:r>
      <w:r>
        <w:rPr>
          <w:rFonts w:ascii="仿宋_GB2312" w:eastAsia="仿宋_GB2312" w:hAnsi="楷体" w:hint="eastAsia"/>
          <w:b w:val="0"/>
          <w:bCs w:val="0"/>
          <w:sz w:val="32"/>
          <w:szCs w:val="32"/>
          <w:lang w:eastAsia="zh-CN"/>
        </w:rPr>
        <w:t>刘岗</w:t>
      </w:r>
      <w:r>
        <w:rPr>
          <w:rFonts w:ascii="仿宋_GB2312" w:eastAsia="仿宋_GB2312" w:hAnsi="楷体"/>
          <w:b w:val="0"/>
          <w:bCs w:val="0"/>
          <w:sz w:val="32"/>
          <w:szCs w:val="32"/>
        </w:rPr>
        <w:t>镇卫生院</w:t>
      </w:r>
    </w:p>
    <w:p>
      <w:pPr>
        <w:numPr>
          <w:ilvl w:val="0"/>
          <w:numId w:val="0"/>
        </w:numPr>
        <w:adjustRightInd w:val="0"/>
        <w:snapToGrid w:val="0"/>
        <w:spacing w:line="600" w:lineRule="exact"/>
        <w:ind w:firstLine="640" w:firstLineChars="200"/>
        <w:rPr>
          <w:rFonts w:ascii="仿宋_GB2312" w:eastAsia="仿宋_GB2312" w:hAnsi="楷体" w:hint="eastAsia"/>
          <w:b w:val="0"/>
          <w:bCs w:val="0"/>
          <w:sz w:val="32"/>
          <w:szCs w:val="32"/>
          <w:lang w:val="en-US" w:eastAsia="zh-CN"/>
        </w:rPr>
      </w:pPr>
      <w:r>
        <w:rPr>
          <w:rFonts w:ascii="仿宋_GB2312" w:eastAsia="仿宋_GB2312" w:hAnsi="TimesNewRoman" w:cs="TimesNewRoman" w:hint="eastAsia"/>
          <w:sz w:val="32"/>
          <w:szCs w:val="32"/>
        </w:rPr>
        <w:t>（4）起止时间</w:t>
      </w:r>
      <w:r>
        <w:rPr>
          <w:rFonts w:ascii="仿宋_GB2312" w:eastAsia="仿宋_GB2312" w:hAnsi="楷体" w:hint="eastAsia"/>
          <w:b w:val="0"/>
          <w:bCs w:val="0"/>
          <w:sz w:val="32"/>
          <w:szCs w:val="32"/>
          <w:lang w:val="en-US" w:eastAsia="zh-CN"/>
        </w:rPr>
        <w:t>：</w:t>
      </w:r>
      <w:r>
        <w:rPr>
          <w:rFonts w:ascii="仿宋_GB2312" w:eastAsia="仿宋_GB2312" w:hAnsi="楷体" w:hint="eastAsia"/>
          <w:b w:val="0"/>
          <w:bCs w:val="0"/>
          <w:sz w:val="32"/>
          <w:szCs w:val="32"/>
        </w:rPr>
        <w:t>202</w:t>
      </w:r>
      <w:r>
        <w:rPr>
          <w:rFonts w:ascii="仿宋_GB2312" w:eastAsia="仿宋_GB2312" w:hAnsi="楷体" w:hint="eastAsia"/>
          <w:b w:val="0"/>
          <w:bCs w:val="0"/>
          <w:sz w:val="32"/>
          <w:szCs w:val="32"/>
          <w:lang w:val="en-US" w:eastAsia="zh-CN"/>
        </w:rPr>
        <w:t>4</w:t>
      </w:r>
      <w:r>
        <w:rPr>
          <w:rFonts w:ascii="仿宋_GB2312" w:eastAsia="仿宋_GB2312" w:hAnsi="楷体" w:hint="eastAsia"/>
          <w:b w:val="0"/>
          <w:bCs w:val="0"/>
          <w:sz w:val="32"/>
          <w:szCs w:val="32"/>
        </w:rPr>
        <w:t>年</w:t>
      </w:r>
      <w:r>
        <w:rPr>
          <w:rFonts w:ascii="仿宋_GB2312" w:eastAsia="仿宋_GB2312" w:hAnsi="楷体" w:hint="eastAsia"/>
          <w:sz w:val="32"/>
          <w:szCs w:val="32"/>
        </w:rPr>
        <w:t>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r>
        <w:rPr>
          <w:rFonts w:ascii="仿宋_GB2312" w:eastAsia="仿宋_GB2312" w:hAnsi="仿宋"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_GB2312" w:eastAsia="仿宋_GB2312" w:hAnsi="楷体" w:hint="eastAsia"/>
          <w:sz w:val="32"/>
          <w:szCs w:val="32"/>
        </w:rPr>
        <w:t>为人民身体健康提供医疗保健服务，常见病多发病诊治与护理、卫生防疫、妇幼保健、计划免疫、乡村医生业务培训、卫生员业务培训、接生员业务培训与技术指导、初级卫生保健规划实施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360万元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ign w:val="center"/>
          </w:tcPr>
          <w:p>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w:t>
            </w:r>
            <w:r>
              <w:rPr>
                <w:rFonts w:ascii="宋体" w:hAnsi="宋体" w:cs="宋体" w:hint="eastAsia"/>
                <w:color w:val="000000"/>
                <w:kern w:val="0"/>
                <w:sz w:val="18"/>
                <w:szCs w:val="18"/>
                <w:lang w:eastAsia="zh-CN"/>
              </w:rPr>
              <w:t>单位</w:t>
            </w:r>
            <w:r>
              <w:rPr>
                <w:rFonts w:ascii="宋体" w:hAnsi="宋体" w:cs="宋体" w:hint="eastAsia"/>
                <w:color w:val="000000"/>
                <w:kern w:val="0"/>
                <w:sz w:val="18"/>
                <w:szCs w:val="18"/>
              </w:rPr>
              <w:t xml:space="preserve">   及代码</w:t>
            </w:r>
          </w:p>
        </w:tc>
        <w:tc>
          <w:tcPr>
            <w:tcW w:w="3349" w:type="dxa"/>
            <w:gridSpan w:val="2"/>
            <w:noWrap/>
            <w:vAlign w:val="center"/>
          </w:tcPr>
          <w:p>
            <w:pPr>
              <w:spacing w:line="260" w:lineRule="exact"/>
              <w:jc w:val="center"/>
              <w:rPr>
                <w:rFonts w:ascii="宋体" w:cs="宋体"/>
                <w:sz w:val="18"/>
                <w:szCs w:val="18"/>
              </w:rPr>
            </w:pPr>
            <w:r>
              <w:rPr>
                <w:rFonts w:ascii="宋体" w:cs="宋体"/>
                <w:sz w:val="18"/>
                <w:szCs w:val="18"/>
              </w:rPr>
              <w:t>寿县卫生健康委员会</w:t>
            </w:r>
          </w:p>
        </w:tc>
        <w:tc>
          <w:tcPr>
            <w:tcW w:w="1848" w:type="dxa"/>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pPr>
              <w:spacing w:line="260" w:lineRule="exact"/>
              <w:jc w:val="center"/>
              <w:rPr>
                <w:rFonts w:hint="default"/>
                <w:sz w:val="18"/>
                <w:szCs w:val="18"/>
                <w:lang w:val="en-US"/>
              </w:rPr>
            </w:pPr>
            <w:r>
              <w:rPr>
                <w:rFonts w:ascii="仿宋_GB2312" w:eastAsia="仿宋_GB2312" w:hAnsi="TimesNewRoman" w:cs="TimesNewRoman" w:hint="eastAsia"/>
                <w:bCs/>
                <w:sz w:val="18"/>
                <w:szCs w:val="18"/>
              </w:rPr>
              <w:t>寿县</w:t>
            </w:r>
            <w:r>
              <w:rPr>
                <w:rFonts w:ascii="仿宋_GB2312" w:eastAsia="仿宋_GB2312" w:hAnsi="TimesNewRoman" w:cs="TimesNewRoman" w:hint="eastAsia"/>
                <w:bCs/>
                <w:sz w:val="18"/>
                <w:szCs w:val="18"/>
                <w:lang w:val="en-US" w:eastAsia="zh-CN"/>
              </w:rPr>
              <w:t>刘岗镇卫生院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pPr>
              <w:spacing w:line="260" w:lineRule="exact"/>
              <w:jc w:val="center"/>
              <w:rPr>
                <w:rFonts w:ascii="宋体" w:cs="宋体"/>
                <w:sz w:val="18"/>
                <w:szCs w:val="18"/>
              </w:rPr>
            </w:pPr>
            <w:r>
              <w:rPr>
                <w:rFonts w:ascii="宋体" w:cs="宋体"/>
                <w:sz w:val="18"/>
                <w:szCs w:val="18"/>
              </w:rPr>
              <w:t>单位自主申报</w:t>
            </w:r>
          </w:p>
        </w:tc>
        <w:tc>
          <w:tcPr>
            <w:tcW w:w="1848" w:type="dxa"/>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pPr>
              <w:spacing w:line="260" w:lineRule="exact"/>
              <w:jc w:val="center"/>
              <w:rPr>
                <w:sz w:val="18"/>
                <w:szCs w:val="18"/>
              </w:rPr>
            </w:pPr>
            <w:r>
              <w:rPr>
                <w:rFonts w:hint="eastAsia"/>
                <w:sz w:val="18"/>
                <w:szCs w:val="18"/>
              </w:rPr>
              <w:t>2024年度</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r>
            <w:r>
              <w:rPr>
                <w:rFonts w:ascii="宋体" w:hAnsi="宋体" w:cs="宋体" w:hint="eastAsia"/>
                <w:color w:val="000000"/>
                <w:kern w:val="0"/>
                <w:sz w:val="18"/>
                <w:szCs w:val="18"/>
              </w:rPr>
              <w:t>（万元）</w:t>
            </w: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360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360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r>
            <w:r>
              <w:rPr>
                <w:rFonts w:ascii="宋体" w:hAnsi="宋体" w:cs="宋体" w:hint="eastAsia"/>
                <w:color w:val="000000"/>
                <w:kern w:val="0"/>
                <w:sz w:val="18"/>
                <w:szCs w:val="18"/>
              </w:rPr>
              <w:t>目标</w:t>
            </w:r>
          </w:p>
        </w:tc>
        <w:tc>
          <w:tcPr>
            <w:tcW w:w="8582" w:type="dxa"/>
            <w:gridSpan w:val="6"/>
            <w:noWrap/>
            <w:vAlign w:val="center"/>
          </w:tcPr>
          <w:p>
            <w:pPr>
              <w:rPr>
                <w:rFonts w:ascii="宋体" w:hAnsi="宋体" w:cs="宋体"/>
                <w:sz w:val="20"/>
                <w:szCs w:val="20"/>
              </w:rPr>
            </w:pPr>
            <w:r>
              <w:rPr>
                <w:rFonts w:hint="eastAsia"/>
                <w:sz w:val="20"/>
                <w:szCs w:val="20"/>
              </w:rPr>
              <w:t>1．提供基本医疗服务，开展常见病多发病诊治与护理2．医疗资源合理配置，提升医疗服务水平，为病人创建舒适放心的就医环境，保障各项工作顺利开展3．做好防疫宣传工作，为辖区人民群众提供更好的健康保健服务。</w:t>
            </w:r>
          </w:p>
          <w:p>
            <w:pPr>
              <w:spacing w:line="260" w:lineRule="exact"/>
              <w:jc w:val="lef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r>
            <w:r>
              <w:rPr>
                <w:rFonts w:ascii="宋体" w:hAnsi="宋体" w:cs="宋体" w:hint="eastAsia"/>
                <w:color w:val="000000"/>
                <w:kern w:val="0"/>
                <w:sz w:val="18"/>
                <w:szCs w:val="18"/>
              </w:rPr>
              <w:t>效</w:t>
            </w:r>
            <w:r>
              <w:rPr>
                <w:rFonts w:ascii="宋体" w:hAnsi="宋体" w:cs="宋体" w:hint="eastAsia"/>
                <w:color w:val="000000"/>
                <w:kern w:val="0"/>
                <w:sz w:val="18"/>
                <w:szCs w:val="18"/>
              </w:rPr>
              <w:br/>
            </w:r>
            <w:r>
              <w:rPr>
                <w:rFonts w:ascii="宋体" w:hAnsi="宋体" w:cs="宋体" w:hint="eastAsia"/>
                <w:color w:val="000000"/>
                <w:kern w:val="0"/>
                <w:sz w:val="18"/>
                <w:szCs w:val="18"/>
              </w:rPr>
              <w:t>指</w:t>
            </w:r>
            <w:r>
              <w:rPr>
                <w:rFonts w:ascii="宋体" w:hAnsi="宋体" w:cs="宋体" w:hint="eastAsia"/>
                <w:color w:val="000000"/>
                <w:kern w:val="0"/>
                <w:sz w:val="18"/>
                <w:szCs w:val="18"/>
              </w:rPr>
              <w:br/>
            </w:r>
            <w:r>
              <w:rPr>
                <w:rFonts w:ascii="宋体" w:hAnsi="宋体" w:cs="宋体" w:hint="eastAsia"/>
                <w:color w:val="000000"/>
                <w:kern w:val="0"/>
                <w:sz w:val="18"/>
                <w:szCs w:val="18"/>
              </w:rPr>
              <w:t>标</w:t>
            </w:r>
          </w:p>
        </w:tc>
        <w:tc>
          <w:tcPr>
            <w:tcW w:w="723"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r>
            <w:r>
              <w:rPr>
                <w:rFonts w:ascii="宋体" w:hAnsi="宋体" w:cs="宋体" w:hint="eastAsia"/>
                <w:color w:val="000000"/>
                <w:kern w:val="0"/>
                <w:sz w:val="18"/>
                <w:szCs w:val="18"/>
              </w:rPr>
              <w:t>指标</w:t>
            </w:r>
          </w:p>
        </w:tc>
        <w:tc>
          <w:tcPr>
            <w:tcW w:w="759"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pPr>
              <w:rPr>
                <w:rFonts w:ascii="宋体" w:hAnsi="宋体" w:cs="宋体"/>
                <w:sz w:val="20"/>
                <w:szCs w:val="20"/>
              </w:rPr>
            </w:pPr>
            <w:r>
              <w:rPr>
                <w:rFonts w:ascii="宋体" w:hAnsi="宋体" w:cs="宋体"/>
                <w:sz w:val="20"/>
                <w:szCs w:val="20"/>
              </w:rPr>
              <w:t>就诊病人</w:t>
            </w:r>
          </w:p>
        </w:tc>
        <w:tc>
          <w:tcPr>
            <w:tcW w:w="4228" w:type="dxa"/>
            <w:gridSpan w:val="2"/>
            <w:noWrap/>
            <w:vAlign w:val="center"/>
          </w:tcPr>
          <w:p>
            <w:pPr>
              <w:rPr>
                <w:rFonts w:ascii="宋体" w:hAnsi="宋体" w:cs="宋体"/>
                <w:sz w:val="20"/>
                <w:szCs w:val="20"/>
              </w:rPr>
            </w:pPr>
            <w:r>
              <w:rPr>
                <w:rFonts w:ascii="宋体" w:hAnsi="宋体" w:hint="eastAsia"/>
                <w:sz w:val="20"/>
                <w:szCs w:val="20"/>
              </w:rPr>
              <w:t>≧</w:t>
            </w:r>
            <w:r>
              <w:rPr>
                <w:rFonts w:hint="eastAsia"/>
                <w:sz w:val="20"/>
                <w:szCs w:val="20"/>
                <w:lang w:val="en-US" w:eastAsia="zh-CN"/>
              </w:rPr>
              <w:t>50000</w:t>
            </w:r>
            <w:r>
              <w:rPr>
                <w:rFonts w:hint="eastAsia"/>
                <w:sz w:val="20"/>
                <w:szCs w:val="20"/>
              </w:rPr>
              <w:t>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rPr>
                <w:rFonts w:ascii="宋体" w:hAnsi="宋体" w:cs="宋体"/>
                <w:sz w:val="20"/>
                <w:szCs w:val="20"/>
              </w:rPr>
            </w:pPr>
            <w:r>
              <w:rPr>
                <w:rFonts w:ascii="宋体" w:hAnsi="宋体" w:cs="宋体"/>
                <w:sz w:val="20"/>
                <w:szCs w:val="20"/>
              </w:rPr>
              <w:t>医疗收入</w:t>
            </w:r>
          </w:p>
        </w:tc>
        <w:tc>
          <w:tcPr>
            <w:tcW w:w="4228" w:type="dxa"/>
            <w:gridSpan w:val="2"/>
            <w:noWrap/>
            <w:vAlign w:val="center"/>
          </w:tcPr>
          <w:p>
            <w:pPr>
              <w:rPr>
                <w:rFonts w:ascii="宋体" w:hAnsi="宋体" w:cs="宋体"/>
                <w:sz w:val="20"/>
                <w:szCs w:val="20"/>
              </w:rPr>
            </w:pPr>
            <w:r>
              <w:rPr>
                <w:rFonts w:hint="eastAsia"/>
                <w:sz w:val="20"/>
                <w:szCs w:val="20"/>
                <w:lang w:val="en-US" w:eastAsia="zh-CN"/>
              </w:rPr>
              <w:t>360</w:t>
            </w:r>
            <w:r>
              <w:rPr>
                <w:rFonts w:hint="eastAsia"/>
                <w:sz w:val="20"/>
                <w:szCs w:val="20"/>
              </w:rPr>
              <w:t>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pPr>
              <w:rPr>
                <w:rFonts w:ascii="宋体" w:hAnsi="宋体" w:cs="宋体"/>
                <w:sz w:val="20"/>
                <w:szCs w:val="20"/>
              </w:rPr>
            </w:pPr>
            <w:r>
              <w:rPr>
                <w:rFonts w:hint="eastAsia"/>
                <w:sz w:val="20"/>
                <w:szCs w:val="20"/>
              </w:rPr>
              <w:t>病人治愈率</w:t>
            </w:r>
          </w:p>
        </w:tc>
        <w:tc>
          <w:tcPr>
            <w:tcW w:w="4228" w:type="dxa"/>
            <w:gridSpan w:val="2"/>
            <w:noWrap/>
            <w:vAlign w:val="center"/>
          </w:tcPr>
          <w:p>
            <w:pPr>
              <w:rPr>
                <w:rFonts w:ascii="宋体" w:hAnsi="宋体" w:cs="宋体"/>
                <w:sz w:val="20"/>
                <w:szCs w:val="20"/>
              </w:rPr>
            </w:pPr>
            <w:r>
              <w:rPr>
                <w:rFonts w:hint="eastAsia"/>
                <w:sz w:val="20"/>
                <w:szCs w:val="20"/>
              </w:rPr>
              <w:t>基本完成疾病治愈　</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pPr>
              <w:rPr>
                <w:rFonts w:ascii="宋体" w:hAnsi="宋体" w:cs="宋体"/>
                <w:sz w:val="20"/>
                <w:szCs w:val="20"/>
              </w:rPr>
            </w:pPr>
            <w:r>
              <w:rPr>
                <w:rFonts w:ascii="宋体" w:hAnsi="宋体" w:cs="宋体"/>
                <w:sz w:val="20"/>
                <w:szCs w:val="20"/>
              </w:rPr>
              <w:t>满足区域病人快速就诊</w:t>
            </w:r>
          </w:p>
        </w:tc>
        <w:tc>
          <w:tcPr>
            <w:tcW w:w="4228" w:type="dxa"/>
            <w:gridSpan w:val="2"/>
            <w:noWrap/>
            <w:vAlign w:val="center"/>
          </w:tcPr>
          <w:p>
            <w:pPr>
              <w:rPr>
                <w:rFonts w:ascii="宋体" w:hAnsi="宋体" w:cs="宋体"/>
                <w:sz w:val="20"/>
                <w:szCs w:val="20"/>
              </w:rPr>
            </w:pPr>
            <w:r>
              <w:rPr>
                <w:rFonts w:ascii="宋体" w:hAnsi="宋体" w:hint="eastAsia"/>
                <w:sz w:val="20"/>
                <w:szCs w:val="20"/>
              </w:rPr>
              <w:t>≤</w:t>
            </w:r>
            <w:r>
              <w:rPr>
                <w:rFonts w:hint="eastAsia"/>
                <w:sz w:val="20"/>
                <w:szCs w:val="20"/>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pPr>
              <w:rPr>
                <w:rFonts w:ascii="宋体" w:hAnsi="宋体" w:cs="宋体"/>
                <w:sz w:val="20"/>
                <w:szCs w:val="20"/>
              </w:rPr>
            </w:pPr>
            <w:r>
              <w:rPr>
                <w:rFonts w:ascii="宋体" w:hAnsi="宋体" w:cs="宋体"/>
                <w:sz w:val="20"/>
                <w:szCs w:val="20"/>
              </w:rPr>
              <w:t>减少病人费用</w:t>
            </w:r>
          </w:p>
        </w:tc>
        <w:tc>
          <w:tcPr>
            <w:tcW w:w="4228" w:type="dxa"/>
            <w:gridSpan w:val="2"/>
            <w:noWrap/>
            <w:vAlign w:val="center"/>
          </w:tcPr>
          <w:p>
            <w:pPr>
              <w:rPr>
                <w:rFonts w:ascii="宋体" w:hAnsi="宋体" w:cs="宋体"/>
                <w:sz w:val="20"/>
                <w:szCs w:val="20"/>
              </w:rPr>
            </w:pPr>
            <w:r>
              <w:rPr>
                <w:rFonts w:hint="eastAsia"/>
                <w:sz w:val="20"/>
                <w:szCs w:val="20"/>
              </w:rPr>
              <w:t>减少病人费用</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noWrap/>
            <w:vAlign w:val="center"/>
          </w:tcPr>
          <w:p>
            <w:pPr>
              <w:spacing w:line="260" w:lineRule="exact"/>
              <w:textAlignment w:val="center"/>
              <w:rPr>
                <w:rFonts w:ascii="宋体" w:cs="宋体"/>
                <w:sz w:val="18"/>
                <w:szCs w:val="18"/>
              </w:rPr>
            </w:pPr>
          </w:p>
        </w:tc>
        <w:tc>
          <w:tcPr>
            <w:tcW w:w="2872" w:type="dxa"/>
            <w:noWrap/>
            <w:vAlign w:val="center"/>
          </w:tcPr>
          <w:p>
            <w:pPr>
              <w:spacing w:line="260" w:lineRule="exact"/>
              <w:jc w:val="left"/>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pPr>
              <w:rPr>
                <w:rFonts w:ascii="宋体" w:hAnsi="宋体" w:cs="宋体"/>
                <w:sz w:val="20"/>
                <w:szCs w:val="20"/>
              </w:rPr>
            </w:pPr>
            <w:r>
              <w:rPr>
                <w:rFonts w:hint="eastAsia"/>
                <w:sz w:val="20"/>
                <w:szCs w:val="20"/>
              </w:rPr>
              <w:t xml:space="preserve"> 减少病人就诊距离</w:t>
            </w:r>
          </w:p>
        </w:tc>
        <w:tc>
          <w:tcPr>
            <w:tcW w:w="4228" w:type="dxa"/>
            <w:gridSpan w:val="2"/>
            <w:noWrap/>
            <w:vAlign w:val="center"/>
          </w:tcPr>
          <w:p>
            <w:pPr>
              <w:rPr>
                <w:rFonts w:ascii="宋体" w:hAnsi="宋体" w:cs="宋体"/>
                <w:sz w:val="20"/>
                <w:szCs w:val="20"/>
              </w:rPr>
            </w:pPr>
            <w:r>
              <w:rPr>
                <w:rFonts w:hint="eastAsia"/>
                <w:sz w:val="20"/>
                <w:szCs w:val="20"/>
              </w:rPr>
              <w:t>　</w:t>
            </w:r>
            <w:r>
              <w:rPr>
                <w:rFonts w:ascii="宋体" w:hAnsi="宋体" w:hint="eastAsia"/>
                <w:sz w:val="20"/>
                <w:szCs w:val="20"/>
              </w:rPr>
              <w:t>≤</w:t>
            </w:r>
            <w:r>
              <w:rPr>
                <w:rFonts w:hint="eastAsia"/>
                <w:sz w:val="20"/>
                <w:szCs w:val="20"/>
              </w:rPr>
              <w:t>4公里</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pPr>
              <w:rPr>
                <w:sz w:val="20"/>
                <w:szCs w:val="20"/>
              </w:rPr>
            </w:pPr>
            <w:r>
              <w:rPr>
                <w:rFonts w:hint="eastAsia"/>
                <w:sz w:val="20"/>
                <w:szCs w:val="20"/>
              </w:rPr>
              <w:t>满足区域病人就诊需求</w:t>
            </w:r>
          </w:p>
          <w:p>
            <w:pPr>
              <w:rPr>
                <w:rFonts w:ascii="宋体" w:hAnsi="宋体" w:cs="宋体"/>
                <w:sz w:val="20"/>
                <w:szCs w:val="20"/>
              </w:rPr>
            </w:pPr>
          </w:p>
        </w:tc>
        <w:tc>
          <w:tcPr>
            <w:tcW w:w="4228" w:type="dxa"/>
            <w:gridSpan w:val="2"/>
            <w:noWrap/>
            <w:vAlign w:val="center"/>
          </w:tcPr>
          <w:p>
            <w:pPr>
              <w:rPr>
                <w:rFonts w:ascii="宋体" w:hAnsi="宋体" w:cs="宋体"/>
                <w:sz w:val="20"/>
                <w:szCs w:val="20"/>
              </w:rPr>
            </w:pPr>
            <w:r>
              <w:rPr>
                <w:rFonts w:ascii="宋体" w:hAnsi="宋体" w:cs="宋体" w:hint="eastAsia"/>
                <w:sz w:val="20"/>
                <w:szCs w:val="20"/>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pPr>
              <w:rPr>
                <w:rFonts w:ascii="宋体" w:hAnsi="宋体" w:cs="宋体"/>
                <w:sz w:val="20"/>
                <w:szCs w:val="20"/>
              </w:rPr>
            </w:pPr>
            <w:r>
              <w:rPr>
                <w:rFonts w:ascii="宋体" w:hAnsi="宋体" w:cs="宋体"/>
                <w:sz w:val="20"/>
                <w:szCs w:val="20"/>
              </w:rPr>
              <w:t>基层卫生预防保健工作</w:t>
            </w:r>
          </w:p>
        </w:tc>
        <w:tc>
          <w:tcPr>
            <w:tcW w:w="4228" w:type="dxa"/>
            <w:gridSpan w:val="2"/>
            <w:noWrap/>
            <w:vAlign w:val="center"/>
          </w:tcPr>
          <w:p>
            <w:pPr>
              <w:rPr>
                <w:rFonts w:ascii="宋体" w:hAnsi="宋体" w:cs="宋体"/>
                <w:sz w:val="20"/>
                <w:szCs w:val="20"/>
              </w:rPr>
            </w:pPr>
            <w:r>
              <w:rPr>
                <w:rFonts w:hint="eastAsia"/>
                <w:sz w:val="20"/>
                <w:szCs w:val="20"/>
              </w:rPr>
              <w:t>　</w:t>
            </w:r>
            <w:r>
              <w:rPr>
                <w:rFonts w:ascii="宋体" w:hAnsi="宋体" w:hint="eastAsia"/>
                <w:sz w:val="20"/>
                <w:szCs w:val="20"/>
              </w:rPr>
              <w:t>定性</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c>
          <w:tcPr>
            <w:tcW w:w="4228"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人力资源配置合理性</w:t>
            </w:r>
          </w:p>
        </w:tc>
        <w:tc>
          <w:tcPr>
            <w:tcW w:w="4228" w:type="dxa"/>
            <w:gridSpan w:val="2"/>
            <w:noWrap/>
            <w:vAlign w:val="center"/>
          </w:tcPr>
          <w:p>
            <w:pPr>
              <w:spacing w:line="260" w:lineRule="exact"/>
              <w:jc w:val="center"/>
              <w:rPr>
                <w:rFonts w:ascii="宋体" w:cs="宋体"/>
                <w:sz w:val="18"/>
                <w:szCs w:val="18"/>
              </w:rPr>
            </w:pPr>
            <w:r>
              <w:rPr>
                <w:rFonts w:ascii="宋体" w:cs="宋体"/>
                <w:sz w:val="18"/>
                <w:szCs w:val="18"/>
              </w:rPr>
              <w:t>定性</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hAnsi="宋体" w:cs="宋体"/>
                <w:sz w:val="18"/>
                <w:szCs w:val="18"/>
              </w:rPr>
            </w:pPr>
          </w:p>
        </w:tc>
        <w:tc>
          <w:tcPr>
            <w:tcW w:w="2872" w:type="dxa"/>
            <w:noWrap/>
            <w:vAlign w:val="center"/>
          </w:tcPr>
          <w:p>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noWrap/>
            <w:vAlign w:val="center"/>
          </w:tcPr>
          <w:p>
            <w:pPr>
              <w:spacing w:line="260" w:lineRule="exact"/>
              <w:jc w:val="center"/>
              <w:rPr>
                <w:rFonts w:ascii="宋体" w:hAnsi="宋体" w:cs="宋体"/>
                <w:sz w:val="18"/>
                <w:szCs w:val="18"/>
              </w:rPr>
            </w:pPr>
          </w:p>
        </w:tc>
        <w:tc>
          <w:tcPr>
            <w:tcW w:w="2872" w:type="dxa"/>
            <w:noWrap/>
            <w:vAlign w:val="center"/>
          </w:tcPr>
          <w:p>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pPr>
              <w:rPr>
                <w:rFonts w:ascii="宋体" w:hAnsi="宋体" w:cs="宋体"/>
                <w:sz w:val="20"/>
                <w:szCs w:val="20"/>
              </w:rPr>
            </w:pPr>
            <w:r>
              <w:rPr>
                <w:rFonts w:ascii="宋体" w:hAnsi="宋体" w:cs="宋体"/>
                <w:sz w:val="20"/>
                <w:szCs w:val="20"/>
              </w:rPr>
              <w:t>群众满意度</w:t>
            </w:r>
          </w:p>
        </w:tc>
        <w:tc>
          <w:tcPr>
            <w:tcW w:w="4228" w:type="dxa"/>
            <w:gridSpan w:val="2"/>
            <w:noWrap/>
            <w:vAlign w:val="center"/>
          </w:tcPr>
          <w:p>
            <w:pPr>
              <w:jc w:val="center"/>
              <w:rPr>
                <w:rFonts w:ascii="宋体" w:hAnsi="宋体" w:cs="宋体"/>
                <w:sz w:val="20"/>
                <w:szCs w:val="20"/>
              </w:rPr>
            </w:pPr>
            <w:r>
              <w:rPr>
                <w:rFonts w:ascii="宋体" w:hAnsi="宋体" w:cs="宋体" w:hint="eastAsia"/>
                <w:sz w:val="20"/>
                <w:szCs w:val="20"/>
              </w:rPr>
              <w:t>≧92%</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hAnsi="宋体" w:cs="宋体"/>
                <w:sz w:val="18"/>
                <w:szCs w:val="18"/>
              </w:rPr>
            </w:pPr>
          </w:p>
        </w:tc>
        <w:tc>
          <w:tcPr>
            <w:tcW w:w="759" w:type="dxa"/>
            <w:gridSpan w:val="2"/>
            <w:vMerge/>
            <w:noWrap/>
            <w:vAlign w:val="center"/>
          </w:tcPr>
          <w:p>
            <w:pPr>
              <w:spacing w:line="260" w:lineRule="exact"/>
              <w:jc w:val="center"/>
              <w:rPr>
                <w:rFonts w:ascii="宋体" w:hAnsi="宋体" w:cs="宋体"/>
                <w:sz w:val="18"/>
                <w:szCs w:val="18"/>
              </w:rPr>
            </w:pPr>
          </w:p>
        </w:tc>
        <w:tc>
          <w:tcPr>
            <w:tcW w:w="2872" w:type="dxa"/>
            <w:noWrap/>
            <w:vAlign w:val="center"/>
          </w:tcPr>
          <w:p>
            <w:pPr>
              <w:spacing w:line="260" w:lineRule="exact"/>
              <w:jc w:val="left"/>
              <w:textAlignment w:val="center"/>
              <w:rPr>
                <w:rFonts w:ascii="宋体" w:hAnsi="宋体" w:cs="宋体"/>
                <w:sz w:val="18"/>
                <w:szCs w:val="18"/>
              </w:rPr>
            </w:pPr>
            <w:r>
              <w:rPr>
                <w:rFonts w:ascii="宋体" w:hAnsi="宋体" w:cs="宋体"/>
                <w:sz w:val="18"/>
                <w:szCs w:val="18"/>
              </w:rPr>
              <w:t>职工满意度</w:t>
            </w:r>
          </w:p>
        </w:tc>
        <w:tc>
          <w:tcPr>
            <w:tcW w:w="4228" w:type="dxa"/>
            <w:gridSpan w:val="2"/>
            <w:noWrap/>
            <w:vAlign w:val="center"/>
          </w:tcPr>
          <w:p>
            <w:pPr>
              <w:spacing w:line="260" w:lineRule="exact"/>
              <w:jc w:val="center"/>
              <w:rPr>
                <w:rFonts w:ascii="宋体" w:cs="宋体"/>
                <w:sz w:val="18"/>
                <w:szCs w:val="18"/>
              </w:rPr>
            </w:pPr>
            <w:r>
              <w:rPr>
                <w:rFonts w:ascii="宋体" w:hAnsi="宋体" w:cs="宋体" w:hint="eastAsia"/>
                <w:sz w:val="20"/>
                <w:szCs w:val="20"/>
              </w:rPr>
              <w:t>≧95%</w:t>
            </w:r>
          </w:p>
        </w:tc>
      </w:tr>
    </w:tbl>
    <w:p>
      <w:pPr>
        <w:topLinePunct/>
        <w:adjustRightInd w:val="0"/>
        <w:snapToGrid w:val="0"/>
        <w:spacing w:line="560" w:lineRule="exact"/>
        <w:ind w:firstLine="640" w:firstLineChars="200"/>
        <w:rPr>
          <w:rFonts w:ascii="仿宋_GB2312" w:eastAsia="仿宋_GB2312" w:hAnsi="TimesNewRoman" w:cs="TimesNewRoman" w:hint="eastAsia"/>
          <w:sz w:val="32"/>
          <w:szCs w:val="32"/>
        </w:rPr>
      </w:pP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刘岗镇卫生院</w:t>
      </w:r>
      <w:r>
        <w:rPr>
          <w:rFonts w:ascii="仿宋_GB2312" w:eastAsia="仿宋_GB2312" w:hAnsi="TimesNewRoman" w:cs="TimesNewRoman" w:hint="eastAsia"/>
          <w:sz w:val="32"/>
          <w:szCs w:val="32"/>
        </w:rPr>
        <w:t>为非参照公务员法管理的事业单位，按照</w:t>
      </w:r>
      <w:r>
        <w:rPr>
          <w:rFonts w:ascii="仿宋_GB2312" w:eastAsia="仿宋_GB2312" w:hAnsi="TimesNewRoman" w:cs="TimesNewRoman" w:hint="eastAsia"/>
          <w:sz w:val="32"/>
          <w:szCs w:val="32"/>
          <w:lang w:eastAsia="zh-CN"/>
        </w:rPr>
        <w:t>单位</w:t>
      </w:r>
      <w:r>
        <w:rPr>
          <w:rFonts w:ascii="仿宋_GB2312" w:eastAsia="仿宋_GB2312" w:hAnsi="TimesNewRoman" w:cs="TimesNewRoman" w:hint="eastAsia"/>
          <w:sz w:val="32"/>
          <w:szCs w:val="32"/>
        </w:rPr>
        <w:t>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刘岗镇卫生院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35.6</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35.6</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刘岗镇卫生院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辆，</w:t>
      </w:r>
      <w:r>
        <w:rPr>
          <w:rFonts w:ascii="仿宋_GB2312" w:eastAsia="仿宋_GB2312" w:hAnsi="仿宋" w:hint="eastAsia"/>
          <w:sz w:val="32"/>
          <w:szCs w:val="32"/>
        </w:rPr>
        <w:t>其中</w:t>
      </w:r>
      <w:r>
        <w:rPr>
          <w:rFonts w:ascii="仿宋_GB2312" w:eastAsia="仿宋_GB2312" w:hAnsi="仿宋" w:hint="eastAsia"/>
          <w:sz w:val="32"/>
          <w:szCs w:val="32"/>
          <w:lang w:eastAsia="zh-CN"/>
        </w:rPr>
        <w:t>：</w:t>
      </w:r>
      <w:r>
        <w:rPr>
          <w:rFonts w:ascii="仿宋_GB2312" w:eastAsia="仿宋_GB2312" w:hAnsi="仿宋" w:hint="eastAsia"/>
          <w:sz w:val="32"/>
          <w:szCs w:val="32"/>
        </w:rPr>
        <w:t>特种专业技术用车</w:t>
      </w:r>
      <w:r>
        <w:rPr>
          <w:rFonts w:ascii="仿宋_GB2312" w:eastAsia="仿宋_GB2312" w:hAnsi="仿宋" w:hint="eastAsia"/>
          <w:sz w:val="32"/>
          <w:szCs w:val="32"/>
          <w:lang w:val="en-US" w:eastAsia="zh-CN"/>
        </w:rPr>
        <w:t>3</w:t>
      </w:r>
      <w:r>
        <w:rPr>
          <w:rFonts w:ascii="仿宋_GB2312" w:eastAsia="仿宋_GB2312" w:hAnsi="仿宋" w:hint="eastAsia"/>
          <w:sz w:val="32"/>
          <w:szCs w:val="32"/>
        </w:rPr>
        <w:t>辆、其他用车</w:t>
      </w:r>
      <w:r>
        <w:rPr>
          <w:rFonts w:ascii="仿宋_GB2312" w:eastAsia="仿宋_GB2312" w:hAnsi="仿宋" w:hint="eastAsia"/>
          <w:sz w:val="32"/>
          <w:szCs w:val="32"/>
          <w:lang w:val="en-US" w:eastAsia="zh-CN"/>
        </w:rPr>
        <w:t>1</w:t>
      </w:r>
      <w:r>
        <w:rPr>
          <w:rFonts w:ascii="仿宋_GB2312" w:eastAsia="仿宋_GB2312" w:hAnsi="仿宋" w:hint="eastAsia"/>
          <w:sz w:val="32"/>
          <w:szCs w:val="32"/>
        </w:rPr>
        <w:t>辆</w:t>
      </w: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没有</w:t>
      </w:r>
      <w:r>
        <w:rPr>
          <w:rFonts w:ascii="仿宋_GB2312" w:eastAsia="仿宋_GB2312" w:hAnsi="仿宋" w:hint="eastAsia"/>
          <w:sz w:val="32"/>
          <w:szCs w:val="32"/>
        </w:rPr>
        <w:t>单位价值50万元以上的通用设备，</w:t>
      </w:r>
      <w:r>
        <w:rPr>
          <w:rFonts w:ascii="仿宋_GB2312" w:eastAsia="仿宋_GB2312" w:hAnsi="仿宋" w:hint="eastAsia"/>
          <w:sz w:val="32"/>
          <w:szCs w:val="32"/>
          <w:lang w:val="en-US" w:eastAsia="zh-CN"/>
        </w:rPr>
        <w:t>没有</w:t>
      </w:r>
      <w:r>
        <w:rPr>
          <w:rFonts w:ascii="仿宋_GB2312" w:eastAsia="仿宋_GB2312" w:hAnsi="仿宋" w:hint="eastAsia"/>
          <w:sz w:val="32"/>
          <w:szCs w:val="32"/>
        </w:rPr>
        <w:t>单位价值100万元以上的专用设备</w:t>
      </w: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2023年</w:t>
      </w:r>
      <w:r>
        <w:rPr>
          <w:rFonts w:ascii="仿宋_GB2312" w:eastAsia="仿宋_GB2312" w:hAnsi="楷体" w:hint="eastAsia"/>
          <w:sz w:val="32"/>
          <w:szCs w:val="32"/>
        </w:rPr>
        <w:t>也没有安排相关购置预算。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刘岗镇卫生院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360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w:t>
      </w:r>
      <w:r>
        <w:rPr>
          <w:rFonts w:ascii="TimesNewRoman" w:hAnsi="TimesNewRoman" w:cs="TimesNewRoman" w:hint="eastAsia"/>
          <w:sz w:val="32"/>
          <w:szCs w:val="32"/>
          <w:lang w:eastAsia="zh-CN"/>
        </w:rPr>
        <w:t>单位</w:t>
      </w:r>
      <w:r>
        <w:rPr>
          <w:rFonts w:ascii="TimesNewRoman" w:hAnsi="TimesNewRoman" w:cs="TimesNewRoman"/>
          <w:sz w:val="32"/>
          <w:szCs w:val="32"/>
        </w:rPr>
        <w:t>或单位从同级财政</w:t>
      </w:r>
      <w:r>
        <w:rPr>
          <w:rFonts w:ascii="TimesNewRoman" w:hAnsi="TimesNewRoman" w:cs="TimesNewRoman" w:hint="eastAsia"/>
          <w:sz w:val="32"/>
          <w:szCs w:val="32"/>
          <w:lang w:eastAsia="zh-CN"/>
        </w:rPr>
        <w:t>单位</w:t>
      </w:r>
      <w:r>
        <w:rPr>
          <w:rFonts w:ascii="TimesNewRoman" w:hAnsi="TimesNewRoman" w:cs="TimesNewRoman"/>
          <w:sz w:val="32"/>
          <w:szCs w:val="32"/>
        </w:rPr>
        <w:t>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w:t>
      </w:r>
      <w:r>
        <w:rPr>
          <w:rFonts w:ascii="TimesNewRoman" w:eastAsia="楷体_GB2312" w:hAnsi="TimesNewRoman" w:cs="TimesNewRoman" w:hint="eastAsia"/>
          <w:sz w:val="32"/>
          <w:szCs w:val="32"/>
          <w:lang w:eastAsia="zh-CN"/>
        </w:rPr>
        <w:t>单位</w:t>
      </w:r>
      <w:r>
        <w:rPr>
          <w:rFonts w:ascii="TimesNewRoman" w:eastAsia="楷体_GB2312" w:hAnsi="TimesNewRoman" w:cs="TimesNewRoman"/>
          <w:sz w:val="32"/>
          <w:szCs w:val="32"/>
        </w:rPr>
        <w:t>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footerReference w:type="default" r:id="rId6"/>
          <w:pgSz w:w="11907" w:h="16840"/>
          <w:pgMar w:top="2098" w:right="1474" w:bottom="1985" w:left="1588" w:header="851" w:footer="1021" w:gutter="0"/>
          <w:pgBorders>
            <w:top w:val="none" w:sz="0" w:space="0" w:color="auto"/>
            <w:left w:val="none" w:sz="0" w:space="0" w:color="auto"/>
            <w:bottom w:val="none" w:sz="0" w:space="0" w:color="auto"/>
            <w:right w:val="none" w:sz="0" w:space="0" w:color="auto"/>
          </w:pgBorders>
          <w:cols w:num="1" w:space="425"/>
          <w:docGrid w:type="lines" w:linePitch="312" w:charSpace="0"/>
        </w:sectPr>
      </w:pPr>
      <w:r>
        <w:rPr>
          <w:rFonts w:ascii="TimesNewRoman" w:eastAsia="楷体_GB2312" w:hAnsi="TimesNewRoman" w:cs="TimesNewRoman"/>
          <w:sz w:val="32"/>
          <w:szCs w:val="32"/>
        </w:rPr>
        <w:t>（各</w:t>
      </w:r>
      <w:r>
        <w:rPr>
          <w:rFonts w:ascii="TimesNewRoman" w:eastAsia="楷体_GB2312" w:hAnsi="TimesNewRoman" w:cs="TimesNewRoman" w:hint="eastAsia"/>
          <w:sz w:val="32"/>
          <w:szCs w:val="32"/>
          <w:lang w:eastAsia="zh-CN"/>
        </w:rPr>
        <w:t>单位</w:t>
      </w:r>
      <w:r>
        <w:rPr>
          <w:rFonts w:ascii="TimesNewRoman" w:eastAsia="楷体_GB2312" w:hAnsi="TimesNewRoman" w:cs="TimesNewRoman"/>
          <w:sz w:val="32"/>
          <w:szCs w:val="32"/>
        </w:rPr>
        <w:t>、单位均应公开名词解释，并可根据实际情况增减）</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7"/>
      <w:type w:val="oddPage"/>
      <w:pgSz w:w="11907" w:h="16840"/>
      <w:pgMar w:top="2098" w:right="1474" w:bottom="1985" w:left="1588" w:header="851" w:footer="1021" w:gutter="0"/>
      <w:pgBorders>
        <w:top w:val="none" w:sz="0" w:space="0" w:color="auto"/>
        <w:left w:val="none" w:sz="0" w:space="0" w:color="auto"/>
        <w:bottom w:val="none" w:sz="0" w:space="0" w:color="auto"/>
        <w:right w:val="none" w:sz="0" w:space="0" w:color="auto"/>
      </w:pgBorders>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1A17B6B"/>
    <w:rsid w:val="0D391C81"/>
    <w:rsid w:val="34C97AC9"/>
    <w:rsid w:val="380E10FE"/>
    <w:rsid w:val="45057FCB"/>
    <w:rsid w:val="48A327D7"/>
    <w:rsid w:val="4F864EC5"/>
    <w:rsid w:val="61344619"/>
  </w:rsids>
  <w:docVars>
    <w:docVar w:name="commondata" w:val="eyJoZGlkIjoiYzU0MjY1NmQ3MzViYTE0MmVkMGNlMWZkNTUwNGE5YW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footer" Target="footer4.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Administrator</cp:lastModifiedBy>
  <cp:revision>1</cp:revision>
  <dcterms:created xsi:type="dcterms:W3CDTF">2024-01-16T02:39:00Z</dcterms:created>
  <dcterms:modified xsi:type="dcterms:W3CDTF">2024-01-25T01:02:31Z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2052-12.1.0.15712</vt:lpwstr>
  </property>
</Properties>
</file>