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pPr>
        <w:spacing w:line="560" w:lineRule="exact"/>
        <w:rPr>
          <w:rFonts w:ascii="TimesNewRoman" w:eastAsia="黑体" w:hAnsi="TimesNewRoman" w:cs="TimesNewRoman"/>
          <w:szCs w:val="32"/>
        </w:rPr>
      </w:pPr>
    </w:p>
    <w:p>
      <w:pPr>
        <w:spacing w:line="560" w:lineRule="exact"/>
        <w:jc w:val="center"/>
        <w:rPr>
          <w:rFonts w:ascii="方正小标宋_GBK" w:eastAsia="方正小标宋_GBK" w:hAnsi="TimesNewRoman" w:cs="TimesNewRoman"/>
          <w:szCs w:val="32"/>
        </w:rPr>
      </w:pP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寿县安丰塘镇卫生院苏王分院2024年单位</w:t>
      </w: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rPr>
          <w:rFonts w:ascii="TimesNewRoman" w:eastAsia="楷体_GB2312" w:hAnsi="TimesNewRoman" w:cs="TimesNewRoman"/>
          <w:sz w:val="32"/>
          <w:szCs w:val="32"/>
        </w:rPr>
      </w:pPr>
    </w:p>
    <w:p>
      <w:pPr>
        <w:pStyle w:val="NormalWeb"/>
        <w:adjustRightInd w:val="0"/>
        <w:snapToGrid w:val="0"/>
        <w:spacing w:line="560" w:lineRule="exact"/>
        <w:jc w:val="center"/>
        <w:rPr>
          <w:rFonts w:ascii="TimesNewRoman" w:eastAsia="楷体_GB2312" w:hAnsi="TimesNewRoman" w:cs="TimesNewRoman"/>
          <w:sz w:val="32"/>
          <w:szCs w:val="32"/>
        </w:rPr>
      </w:pPr>
    </w:p>
    <w:p>
      <w:pPr>
        <w:pStyle w:val="NormalWeb"/>
        <w:adjustRightInd w:val="0"/>
        <w:snapToGrid w:val="0"/>
        <w:spacing w:line="560" w:lineRule="exact"/>
        <w:jc w:val="center"/>
        <w:rPr>
          <w:rFonts w:ascii="仿宋_GB2312" w:eastAsia="仿宋_GB2312"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2024年1月</w:t>
      </w:r>
    </w:p>
    <w:p>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b/>
          <w:sz w:val="32"/>
          <w:szCs w:val="32"/>
        </w:rPr>
      </w:pPr>
      <w:r>
        <w:rPr>
          <w:rFonts w:ascii="黑体" w:eastAsia="黑体" w:hAnsi="黑体" w:cs="TimesNewRoman"/>
          <w:b/>
          <w:sz w:val="32"/>
          <w:szCs w:val="32"/>
        </w:rPr>
        <w:t>第一部分 单位概况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2.单位预算构成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b/>
          <w:sz w:val="32"/>
          <w:szCs w:val="32"/>
        </w:rPr>
      </w:pPr>
      <w:r>
        <w:rPr>
          <w:rFonts w:ascii="黑体" w:eastAsia="黑体" w:hAnsi="黑体" w:cs="TimesNewRoman"/>
          <w:b/>
          <w:sz w:val="32"/>
          <w:szCs w:val="32"/>
        </w:rPr>
        <w:t xml:space="preserve">第二部分 </w:t>
      </w:r>
      <w:r>
        <w:rPr>
          <w:rFonts w:ascii="黑体" w:eastAsia="黑体" w:hAnsi="黑体" w:cs="TimesNewRoman" w:hint="eastAsia"/>
          <w:b/>
          <w:sz w:val="32"/>
          <w:szCs w:val="32"/>
        </w:rPr>
        <w:t>2024</w:t>
      </w:r>
      <w:r>
        <w:rPr>
          <w:rFonts w:ascii="黑体" w:eastAsia="黑体" w:hAnsi="黑体" w:cs="TimesNewRoman"/>
          <w:b/>
          <w:sz w:val="32"/>
          <w:szCs w:val="32"/>
        </w:rPr>
        <w:t>年单位预算表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.寿县安丰塘镇卫生院苏王分院</w:t>
      </w:r>
      <w:r>
        <w:rPr>
          <w:rFonts w:ascii="仿宋_GB2312" w:eastAsia="仿宋_GB2312" w:hAnsi="TimesNewRoman" w:cs="TimesNewRoman"/>
          <w:bCs/>
          <w:sz w:val="32"/>
          <w:szCs w:val="32"/>
        </w:rPr>
        <w:t>.</w:t>
      </w:r>
      <w:r>
        <w:rPr>
          <w:rFonts w:ascii="仿宋_GB2312" w:eastAsia="仿宋_GB2312" w:hAnsi="TimesNewRoman" w:cs="TimesNewRoman" w:hint="eastAsia"/>
          <w:bCs/>
          <w:sz w:val="32"/>
          <w:szCs w:val="32"/>
        </w:rPr>
        <w:t xml:space="preserve"> 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 xml:space="preserve"> 寿县安丰塘镇卫生院苏王分院2024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b/>
          <w:sz w:val="32"/>
          <w:szCs w:val="32"/>
        </w:rPr>
      </w:pPr>
      <w:r>
        <w:rPr>
          <w:rFonts w:ascii="黑体" w:eastAsia="黑体" w:hAnsi="黑体" w:cs="TimesNewRoman"/>
          <w:b/>
          <w:sz w:val="32"/>
          <w:szCs w:val="32"/>
        </w:rPr>
        <w:t xml:space="preserve">第三部分 </w:t>
      </w:r>
      <w:r>
        <w:rPr>
          <w:rFonts w:ascii="黑体" w:eastAsia="黑体" w:hAnsi="黑体" w:cs="TimesNewRoman" w:hint="eastAsia"/>
          <w:b/>
          <w:sz w:val="32"/>
          <w:szCs w:val="32"/>
        </w:rPr>
        <w:t>2024</w:t>
      </w:r>
      <w:r>
        <w:rPr>
          <w:rFonts w:ascii="黑体" w:eastAsia="黑体" w:hAnsi="黑体" w:cs="TimesNewRoman"/>
          <w:b/>
          <w:sz w:val="32"/>
          <w:szCs w:val="32"/>
        </w:rPr>
        <w:t>年单位预算情况说明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 单位概况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pPr>
        <w:pStyle w:val="NormalWeb"/>
        <w:adjustRightInd w:val="0"/>
        <w:snapToGrid w:val="0"/>
        <w:spacing w:beforeAutospacing="0" w:afterAutospacing="0" w:line="560" w:lineRule="exact"/>
        <w:ind w:firstLine="480" w:firstLineChars="150"/>
        <w:jc w:val="both"/>
        <w:rPr>
          <w:rFonts w:ascii="仿宋_GB2312" w:eastAsia="仿宋_GB2312" w:hAnsi="仿宋"/>
          <w:sz w:val="32"/>
          <w:szCs w:val="32"/>
        </w:rPr>
      </w:pPr>
      <w:r>
        <w:rPr>
          <w:rFonts w:ascii="仿宋_GB2312" w:eastAsia="仿宋_GB2312" w:hAnsi="黑体" w:hint="eastAsia"/>
          <w:bCs/>
          <w:sz w:val="32"/>
          <w:szCs w:val="32"/>
        </w:rPr>
        <w:t>（一）</w:t>
      </w:r>
      <w:r>
        <w:rPr>
          <w:rFonts w:ascii="仿宋_GB2312" w:eastAsia="仿宋_GB2312" w:hAnsi="仿宋" w:hint="eastAsia"/>
          <w:sz w:val="32"/>
          <w:szCs w:val="32"/>
        </w:rPr>
        <w:t>寿县安丰塘镇卫生苏王分院是乡镇卫生院，是县或乡设立的一种卫生行政兼医疗预防工作的综合性机构</w:t>
      </w:r>
      <w:r>
        <w:rPr>
          <w:rFonts w:ascii="仿宋_GB2312" w:eastAsia="仿宋_GB2312" w:hAnsi="黑体" w:hint="eastAsia"/>
          <w:bCs/>
          <w:sz w:val="32"/>
          <w:szCs w:val="32"/>
        </w:rPr>
        <w:t>。</w:t>
      </w:r>
    </w:p>
    <w:p>
      <w:pPr>
        <w:pStyle w:val="NormalWeb"/>
        <w:adjustRightInd w:val="0"/>
        <w:snapToGrid w:val="0"/>
        <w:spacing w:beforeAutospacing="0" w:afterAutospacing="0" w:line="560" w:lineRule="exact"/>
        <w:ind w:firstLine="480" w:firstLineChars="150"/>
        <w:jc w:val="both"/>
        <w:rPr>
          <w:rFonts w:ascii="仿宋_GB2312" w:eastAsia="仿宋_GB2312" w:hAnsi="仿宋"/>
          <w:sz w:val="32"/>
          <w:szCs w:val="32"/>
        </w:rPr>
      </w:pPr>
      <w:r>
        <w:rPr>
          <w:rFonts w:ascii="仿宋_GB2312" w:eastAsia="仿宋_GB2312" w:hAnsi="黑体" w:hint="eastAsia"/>
          <w:bCs/>
          <w:sz w:val="32"/>
          <w:szCs w:val="32"/>
        </w:rPr>
        <w:t>（二）</w:t>
      </w:r>
      <w:r>
        <w:rPr>
          <w:rFonts w:ascii="仿宋_GB2312" w:eastAsia="仿宋_GB2312" w:hAnsi="仿宋" w:hint="eastAsia"/>
          <w:sz w:val="32"/>
          <w:szCs w:val="32"/>
        </w:rPr>
        <w:t>主要承担辖区范围内常见病的诊断、治疗发及部分公共卫生工作</w:t>
      </w:r>
    </w:p>
    <w:p>
      <w:pPr>
        <w:pStyle w:val="NormalWeb"/>
        <w:topLinePunct/>
        <w:adjustRightInd w:val="0"/>
        <w:snapToGrid w:val="0"/>
        <w:spacing w:beforeAutospacing="0" w:afterAutospacing="0" w:line="56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仿宋"/>
          <w:sz w:val="32"/>
          <w:szCs w:val="32"/>
        </w:rPr>
      </w:pPr>
      <w:r>
        <w:rPr>
          <w:rFonts w:ascii="仿宋_GB2312" w:eastAsia="仿宋_GB2312" w:hAnsi="仿宋" w:hint="eastAsia"/>
          <w:sz w:val="32"/>
          <w:szCs w:val="32"/>
        </w:rPr>
        <w:t>从预算单位构成看，</w:t>
      </w:r>
      <w:r>
        <w:rPr>
          <w:rFonts w:ascii="仿宋_GB2312" w:eastAsia="仿宋_GB2312" w:hAnsi="仿宋" w:cs="仿宋" w:hint="eastAsia"/>
          <w:bCs/>
          <w:sz w:val="32"/>
          <w:szCs w:val="32"/>
        </w:rPr>
        <w:t>寿县安丰塘镇卫生院苏王分院</w:t>
      </w:r>
      <w:r>
        <w:rPr>
          <w:rFonts w:ascii="仿宋_GB2312" w:eastAsia="仿宋_GB2312" w:hAnsi="仿宋" w:hint="eastAsia"/>
          <w:sz w:val="32"/>
          <w:szCs w:val="32"/>
        </w:rPr>
        <w:t>2024年度单位预算仅包括局本级预算,无其他下属单位预算。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pPr>
        <w:pStyle w:val="NormalWeb"/>
        <w:spacing w:beforeAutospacing="0" w:afterAutospacing="0" w:line="580" w:lineRule="atLeast"/>
        <w:ind w:firstLine="640"/>
        <w:jc w:val="both"/>
        <w:rPr>
          <w:rFonts w:ascii="仿宋_GB2312" w:eastAsia="仿宋_GB2312" w:hAnsi="Times New Roman"/>
          <w:sz w:val="32"/>
          <w:szCs w:val="32"/>
        </w:rPr>
      </w:pPr>
      <w:r>
        <w:rPr>
          <w:rFonts w:ascii="仿宋_GB2312" w:eastAsia="仿宋_GB2312" w:hAnsi="仿宋" w:cs="仿宋" w:hint="eastAsia"/>
          <w:color w:val="333333"/>
          <w:sz w:val="32"/>
          <w:szCs w:val="32"/>
          <w:shd w:val="clear" w:color="auto" w:fill="FFFFFF"/>
        </w:rPr>
        <w:t>（一）加强医护质量管理，保障医疗安全,提供基本医疗服务，开展常见病多发病的诊治与护理;</w:t>
      </w:r>
    </w:p>
    <w:p>
      <w:pPr>
        <w:pStyle w:val="NormalWeb"/>
        <w:spacing w:beforeAutospacing="0" w:afterAutospacing="0" w:line="580" w:lineRule="atLeast"/>
        <w:ind w:firstLine="640"/>
        <w:jc w:val="both"/>
        <w:rPr>
          <w:rFonts w:ascii="仿宋_GB2312" w:eastAsia="仿宋_GB2312" w:hAnsi="Times New Roman"/>
          <w:sz w:val="32"/>
          <w:szCs w:val="32"/>
        </w:rPr>
      </w:pPr>
      <w:r>
        <w:rPr>
          <w:rFonts w:ascii="仿宋_GB2312" w:eastAsia="仿宋_GB2312" w:hAnsi="仿宋" w:cs="仿宋" w:hint="eastAsia"/>
          <w:color w:val="333333"/>
          <w:sz w:val="32"/>
          <w:szCs w:val="32"/>
          <w:shd w:val="clear" w:color="auto" w:fill="FFFFFF"/>
        </w:rPr>
        <w:t>（二）着力做好重大疾病预防控制工作,继续稳步推进国家基本公共卫生服务;</w:t>
      </w:r>
    </w:p>
    <w:p>
      <w:pPr>
        <w:pStyle w:val="NormalWeb"/>
        <w:spacing w:beforeAutospacing="0" w:afterAutospacing="0" w:line="580" w:lineRule="atLeast"/>
        <w:ind w:firstLine="640" w:firstLineChars="200"/>
        <w:jc w:val="both"/>
        <w:rPr>
          <w:rFonts w:ascii="仿宋_GB2312" w:eastAsia="仿宋_GB2312" w:hAnsi="Times New Roman"/>
          <w:sz w:val="32"/>
          <w:szCs w:val="32"/>
        </w:rPr>
      </w:pPr>
      <w:r>
        <w:rPr>
          <w:rFonts w:ascii="仿宋_GB2312" w:eastAsia="仿宋_GB2312" w:hAnsi="仿宋" w:cs="仿宋" w:hint="eastAsia"/>
          <w:color w:val="333333"/>
          <w:sz w:val="32"/>
          <w:szCs w:val="32"/>
          <w:shd w:val="clear" w:color="auto" w:fill="FFFFFF"/>
        </w:rPr>
        <w:t>（三）做好本单位医保结算工作；</w:t>
      </w:r>
    </w:p>
    <w:p>
      <w:pPr>
        <w:pStyle w:val="NormalWeb"/>
        <w:spacing w:beforeAutospacing="0" w:afterAutospacing="0" w:line="580" w:lineRule="atLeast"/>
        <w:ind w:firstLine="640"/>
        <w:jc w:val="both"/>
        <w:rPr>
          <w:rFonts w:ascii="仿宋_GB2312" w:eastAsia="仿宋_GB2312" w:hAnsi="Times New Roman"/>
          <w:sz w:val="32"/>
          <w:szCs w:val="32"/>
        </w:rPr>
      </w:pPr>
      <w:r>
        <w:rPr>
          <w:rFonts w:ascii="仿宋_GB2312" w:eastAsia="仿宋_GB2312" w:hAnsi="仿宋" w:cs="仿宋" w:hint="eastAsia"/>
          <w:color w:val="333333"/>
          <w:sz w:val="32"/>
          <w:szCs w:val="32"/>
          <w:shd w:val="clear" w:color="auto" w:fill="FFFFFF"/>
        </w:rPr>
        <w:t>（四）加强党风及行风建设工作；</w:t>
      </w:r>
    </w:p>
    <w:p>
      <w:pPr>
        <w:pStyle w:val="NormalWeb"/>
        <w:spacing w:beforeAutospacing="0" w:afterAutospacing="0" w:line="580" w:lineRule="atLeast"/>
        <w:ind w:firstLine="640"/>
        <w:jc w:val="both"/>
        <w:rPr>
          <w:rFonts w:ascii="仿宋_GB2312" w:eastAsia="仿宋_GB2312" w:hAnsi="Times New Roman"/>
          <w:sz w:val="32"/>
          <w:szCs w:val="32"/>
        </w:rPr>
      </w:pPr>
      <w:r>
        <w:rPr>
          <w:rFonts w:ascii="仿宋_GB2312" w:eastAsia="仿宋_GB2312" w:hAnsi="仿宋" w:cs="仿宋" w:hint="eastAsia"/>
          <w:color w:val="333333"/>
          <w:sz w:val="32"/>
          <w:szCs w:val="32"/>
          <w:shd w:val="clear" w:color="auto" w:fill="FFFFFF"/>
        </w:rPr>
        <w:t>（五）加强财务管理工作；</w:t>
      </w:r>
    </w:p>
    <w:p>
      <w:pPr>
        <w:pStyle w:val="NormalWeb"/>
        <w:spacing w:beforeAutospacing="0" w:afterAutospacing="0" w:line="580" w:lineRule="atLeast"/>
        <w:ind w:firstLine="640"/>
        <w:jc w:val="both"/>
        <w:rPr>
          <w:rFonts w:ascii="仿宋_GB2312" w:eastAsia="仿宋_GB2312" w:hAnsi="黑体"/>
          <w:bCs/>
          <w:sz w:val="32"/>
          <w:szCs w:val="32"/>
        </w:rPr>
        <w:sectPr>
          <w:footerReference w:type="even" r:id="rId4"/>
          <w:footerReference w:type="default" r:id="rId5"/>
          <w:pgSz w:w="11907" w:h="16840"/>
          <w:pgMar w:top="1531" w:right="1474" w:bottom="1560" w:left="1588" w:header="851" w:footer="1021" w:gutter="0"/>
          <w:cols w:num="1" w:space="425"/>
          <w:docGrid w:type="linesAndChars" w:linePitch="312" w:charSpace="0"/>
        </w:sectPr>
      </w:pPr>
      <w:r>
        <w:rPr>
          <w:rFonts w:ascii="仿宋_GB2312" w:eastAsia="仿宋_GB2312" w:hAnsi="仿宋" w:cs="仿宋" w:hint="eastAsia"/>
          <w:color w:val="333333"/>
          <w:sz w:val="32"/>
          <w:szCs w:val="32"/>
          <w:shd w:val="clear" w:color="auto" w:fill="FFFFFF"/>
        </w:rPr>
        <w:t>（六）全面统筹抓好其他工作。</w:t>
      </w: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寿县安丰塘镇卫生院苏王分院2024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20.72</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459.94</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390.00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390.00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7.75</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488.40</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488.40</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488.40</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488.40</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6"/>
          <w:footerReference w:type="default" r:id="rId7"/>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寿县安丰塘镇卫生院苏王分院2024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PrEx>
        <w:trPr>
          <w:trHeight w:val="424"/>
        </w:trPr>
        <w:tc>
          <w:tcPr>
            <w:tcW w:w="1700"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PrEx>
        <w:trPr>
          <w:trHeight w:val="429"/>
        </w:trPr>
        <w:tc>
          <w:tcPr>
            <w:tcW w:w="1700"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寿县卫生健康委员会</w:t>
            </w:r>
          </w:p>
        </w:tc>
        <w:tc>
          <w:tcPr>
            <w:tcW w:w="53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488.40</w:t>
            </w:r>
            <w:r>
              <w:rPr>
                <w:rFonts w:ascii="TimesNewRoman" w:hAnsi="TimesNewRoman" w:cs="TimesNewRoman"/>
                <w:kern w:val="0"/>
                <w:sz w:val="18"/>
                <w:szCs w:val="18"/>
              </w:rPr>
              <w:t>　</w:t>
            </w:r>
          </w:p>
        </w:tc>
        <w:tc>
          <w:tcPr>
            <w:tcW w:w="465"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c>
          <w:tcPr>
            <w:tcW w:w="64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700"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寿县安丰塘镇卫生院苏王分院</w:t>
            </w:r>
          </w:p>
        </w:tc>
        <w:tc>
          <w:tcPr>
            <w:tcW w:w="53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488.40</w:t>
            </w: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700"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700"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700"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寿县安丰塘镇卫生院苏王分院2024</w:t>
      </w:r>
      <w:r>
        <w:rPr>
          <w:rFonts w:ascii="宋体" w:hAnsi="宋体" w:cs="TimesNewRoman"/>
          <w:b/>
          <w:bCs/>
          <w:kern w:val="0"/>
          <w:sz w:val="28"/>
          <w:szCs w:val="32"/>
        </w:rPr>
        <w:t xml:space="preserve">年支出总表                 </w:t>
      </w:r>
    </w:p>
    <w:p>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208</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社会保障和就业支出</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20.72</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20.72</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20805</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行政事业单位养老支出</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20.26</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20.26</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2080502</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事业单位离退休</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4.77</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4.77</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2080505</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机关事业单位基本养老保险缴费支出</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10.33</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10.33</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2080506</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机关事业单位职业年金缴费支出</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5.16</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5.16</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20899</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其他社会保障和就业支出</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0.45</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0.45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2089999</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其他社会保障和就业支出</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0.45</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0.45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210</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卫生健康支出</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459.94</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69.94</w:t>
            </w:r>
          </w:p>
        </w:tc>
        <w:tc>
          <w:tcPr>
            <w:tcW w:w="1150"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390.00</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21003</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基层医疗卫生机构</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455.49</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65.49</w:t>
            </w:r>
          </w:p>
        </w:tc>
        <w:tc>
          <w:tcPr>
            <w:tcW w:w="1150"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390.00</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2100302</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乡镇卫生院</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455.49</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65.49</w:t>
            </w:r>
          </w:p>
        </w:tc>
        <w:tc>
          <w:tcPr>
            <w:tcW w:w="1150"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390.00</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21011</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行政事业单位医疗</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4.45</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4.45</w:t>
            </w:r>
          </w:p>
        </w:tc>
        <w:tc>
          <w:tcPr>
            <w:tcW w:w="1150"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2101102</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事业单位医疗</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4.45</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4.45</w:t>
            </w:r>
          </w:p>
        </w:tc>
        <w:tc>
          <w:tcPr>
            <w:tcW w:w="1150"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221</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住房保障支出</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7.75</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7.75</w:t>
            </w:r>
          </w:p>
        </w:tc>
        <w:tc>
          <w:tcPr>
            <w:tcW w:w="1150"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22102</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住房改革支出</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7.75</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7.75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2210201</w:t>
            </w:r>
          </w:p>
        </w:tc>
        <w:tc>
          <w:tcPr>
            <w:tcW w:w="4495" w:type="dxa"/>
            <w:tcBorders>
              <w:top w:val="nil"/>
              <w:left w:val="nil"/>
              <w:bottom w:val="single" w:sz="4" w:space="0" w:color="auto"/>
              <w:right w:val="single" w:sz="4" w:space="0" w:color="auto"/>
            </w:tcBorders>
            <w:noWrap/>
            <w:vAlign w:val="center"/>
          </w:tcPr>
          <w:p>
            <w:pPr>
              <w:rPr>
                <w:rFonts w:ascii="宋体" w:hAnsi="宋体" w:cs="Arial"/>
                <w:color w:val="000000"/>
                <w:sz w:val="18"/>
                <w:szCs w:val="18"/>
              </w:rPr>
            </w:pPr>
            <w:r>
              <w:rPr>
                <w:rFonts w:cs="Arial" w:hint="eastAsia"/>
                <w:color w:val="000000"/>
                <w:sz w:val="18"/>
                <w:szCs w:val="18"/>
              </w:rPr>
              <w:t>　　住房公积金</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7.75</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18"/>
                <w:szCs w:val="18"/>
              </w:rPr>
            </w:pPr>
            <w:r>
              <w:rPr>
                <w:rFonts w:cs="Arial" w:hint="eastAsia"/>
                <w:color w:val="000000"/>
                <w:sz w:val="18"/>
                <w:szCs w:val="18"/>
              </w:rPr>
              <w:t>7.75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6134" w:type="dxa"/>
            <w:gridSpan w:val="2"/>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ign w:val="center"/>
          </w:tcPr>
          <w:p>
            <w:pPr>
              <w:jc w:val="right"/>
              <w:rPr>
                <w:rFonts w:ascii="宋体" w:hAnsi="宋体" w:cs="Arial"/>
                <w:color w:val="000000"/>
                <w:sz w:val="20"/>
                <w:szCs w:val="20"/>
              </w:rPr>
            </w:pPr>
            <w:r>
              <w:rPr>
                <w:rFonts w:cs="Arial" w:hint="eastAsia"/>
                <w:color w:val="000000"/>
                <w:sz w:val="20"/>
                <w:szCs w:val="20"/>
              </w:rPr>
              <w:t>488.40</w:t>
            </w:r>
          </w:p>
        </w:tc>
        <w:tc>
          <w:tcPr>
            <w:tcW w:w="1181" w:type="dxa"/>
            <w:tcBorders>
              <w:top w:val="nil"/>
              <w:left w:val="nil"/>
              <w:bottom w:val="single" w:sz="4" w:space="0" w:color="auto"/>
              <w:right w:val="single" w:sz="4" w:space="0" w:color="auto"/>
            </w:tcBorders>
            <w:noWrap/>
            <w:vAlign w:val="center"/>
          </w:tcPr>
          <w:p>
            <w:pPr>
              <w:jc w:val="right"/>
              <w:rPr>
                <w:rFonts w:ascii="宋体" w:hAnsi="宋体" w:cs="Arial"/>
                <w:color w:val="000000"/>
                <w:sz w:val="20"/>
                <w:szCs w:val="20"/>
              </w:rPr>
            </w:pPr>
            <w:r>
              <w:rPr>
                <w:rFonts w:cs="Arial" w:hint="eastAsia"/>
                <w:color w:val="000000"/>
                <w:sz w:val="20"/>
                <w:szCs w:val="20"/>
              </w:rPr>
              <w:t>98.40</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390.00</w:t>
            </w: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0"/>
        </w:rPr>
        <w:sectPr>
          <w:pgSz w:w="16840" w:h="11907" w:orient="landscape"/>
          <w:pgMar w:top="1418" w:right="1389" w:bottom="1474" w:left="1247"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寿县安丰塘镇卫生院苏王分院2024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20.72</w:t>
            </w: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69.94</w:t>
            </w: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7.75</w:t>
            </w: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98.40</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98.40</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华文中宋" w:eastAsia="华文中宋" w:hAnsi="华文中宋" w:cs="TimesNewRoman" w:hint="eastAsia"/>
          <w:b/>
          <w:bCs/>
          <w:kern w:val="0"/>
          <w:sz w:val="30"/>
          <w:szCs w:val="30"/>
        </w:rPr>
        <w:t>寿县安丰塘镇卫生院苏王分院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PrEx>
        <w:trPr>
          <w:trHeight w:val="383"/>
        </w:trPr>
        <w:tc>
          <w:tcPr>
            <w:tcW w:w="160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PrEx>
        <w:trPr>
          <w:trHeight w:val="383"/>
        </w:trPr>
        <w:tc>
          <w:tcPr>
            <w:tcW w:w="1603" w:type="dxa"/>
            <w:tcBorders>
              <w:top w:val="single" w:sz="4" w:space="0" w:color="auto"/>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208</w:t>
            </w:r>
          </w:p>
        </w:tc>
        <w:tc>
          <w:tcPr>
            <w:tcW w:w="4482" w:type="dxa"/>
            <w:tcBorders>
              <w:top w:val="single" w:sz="4" w:space="0" w:color="auto"/>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社会保障和就业支出</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20.72</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20.72</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20.72</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c>
          <w:tcPr>
            <w:tcW w:w="1707"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20805</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行政事业单位养老支出</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20.26</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20.26</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20.26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2080502</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事业单位离退休</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4.77</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4.77</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4.77</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2080505</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机关事业单位基本养老保险缴费支出</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10.33</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10.33</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10.33</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2080506</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机关事业单位职业年金缴费支出</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5.16</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5.16</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5.16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r>
      <w:tr>
        <w:tblPrEx>
          <w:tblW w:w="13840" w:type="dxa"/>
          <w:tblInd w:w="0" w:type="dxa"/>
          <w:tblLayout w:type="fixed"/>
        </w:tblPrEx>
        <w:trPr>
          <w:trHeight w:val="347"/>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20899</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其他社会保障和就业支出</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0.45</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0.45</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0.45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r>
      <w:tr>
        <w:tblPrEx>
          <w:tblW w:w="13840" w:type="dxa"/>
          <w:tblInd w:w="0" w:type="dxa"/>
          <w:tblLayout w:type="fixed"/>
        </w:tblPrEx>
        <w:trPr>
          <w:trHeight w:val="239"/>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2089999</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其他社会保障和就业支出</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0.45</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0.45</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0.45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r>
      <w:tr>
        <w:tblPrEx>
          <w:tblW w:w="13840" w:type="dxa"/>
          <w:tblInd w:w="0" w:type="dxa"/>
          <w:tblLayout w:type="fixed"/>
        </w:tblPrEx>
        <w:trPr>
          <w:trHeight w:val="272"/>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210</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卫生健康支出</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69.94</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69.94</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69.94</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r>
      <w:tr>
        <w:tblPrEx>
          <w:tblW w:w="13840" w:type="dxa"/>
          <w:tblInd w:w="0" w:type="dxa"/>
          <w:tblLayout w:type="fixed"/>
        </w:tblPrEx>
        <w:trPr>
          <w:trHeight w:val="235"/>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21003</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基层医疗卫生机构</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65.49</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65.49</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65.49</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r>
      <w:tr>
        <w:tblPrEx>
          <w:tblW w:w="13840" w:type="dxa"/>
          <w:tblInd w:w="0" w:type="dxa"/>
          <w:tblLayout w:type="fixed"/>
        </w:tblPrEx>
        <w:trPr>
          <w:trHeight w:val="341"/>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2100302</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乡镇卫生院</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65.49</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65.49</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65.49</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r>
      <w:tr>
        <w:tblPrEx>
          <w:tblW w:w="13840" w:type="dxa"/>
          <w:tblInd w:w="0" w:type="dxa"/>
          <w:tblLayout w:type="fixed"/>
        </w:tblPrEx>
        <w:trPr>
          <w:trHeight w:val="219"/>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21011</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行政事业单位医疗</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4.45</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4.45</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4.45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r>
      <w:tr>
        <w:tblPrEx>
          <w:tblW w:w="13840" w:type="dxa"/>
          <w:tblInd w:w="0" w:type="dxa"/>
          <w:tblLayout w:type="fixed"/>
        </w:tblPrEx>
        <w:trPr>
          <w:trHeight w:val="252"/>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2101102</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事业单位医疗</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4.45</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4.45</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4.45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r>
      <w:tr>
        <w:tblPrEx>
          <w:tblW w:w="13840" w:type="dxa"/>
          <w:tblInd w:w="0" w:type="dxa"/>
          <w:tblLayout w:type="fixed"/>
        </w:tblPrEx>
        <w:trPr>
          <w:trHeight w:val="301"/>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221</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住房保障支出</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r>
      <w:tr>
        <w:tblPrEx>
          <w:tblW w:w="13840" w:type="dxa"/>
          <w:tblInd w:w="0" w:type="dxa"/>
          <w:tblLayout w:type="fixed"/>
        </w:tblPrEx>
        <w:trPr>
          <w:trHeight w:val="321"/>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22102</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住房改革支出</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p>
        </w:tc>
      </w:tr>
      <w:tr>
        <w:tblPrEx>
          <w:tblW w:w="13840" w:type="dxa"/>
          <w:tblInd w:w="0" w:type="dxa"/>
          <w:tblLayout w:type="fixed"/>
        </w:tblPrEx>
        <w:trPr>
          <w:trHeight w:val="212"/>
        </w:trPr>
        <w:tc>
          <w:tcPr>
            <w:tcW w:w="1603"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2210201</w:t>
            </w:r>
          </w:p>
        </w:tc>
        <w:tc>
          <w:tcPr>
            <w:tcW w:w="4482"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住房公积金</w:t>
            </w:r>
          </w:p>
        </w:tc>
        <w:tc>
          <w:tcPr>
            <w:tcW w:w="1303"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1287"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1752"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Cs w:val="21"/>
              </w:rPr>
            </w:pPr>
            <w:r>
              <w:rPr>
                <w:rFonts w:ascii="TimesNewRoman" w:hAnsi="TimesNewRoman" w:cs="TimesNewRoman"/>
                <w:kern w:val="0"/>
                <w:szCs w:val="21"/>
              </w:rPr>
              <w:t>　</w:t>
            </w:r>
          </w:p>
        </w:tc>
      </w:tr>
      <w:tr>
        <w:tblPrEx>
          <w:tblW w:w="13840" w:type="dxa"/>
          <w:tblInd w:w="0" w:type="dxa"/>
          <w:tblLayout w:type="fixed"/>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heme="minorEastAsia" w:eastAsiaTheme="minorEastAsia" w:hAnsiTheme="minorEastAsia" w:cs="TimesNewRoman"/>
                <w:b/>
                <w:bCs/>
                <w:kern w:val="0"/>
                <w:sz w:val="18"/>
                <w:szCs w:val="18"/>
              </w:rPr>
            </w:pPr>
            <w:r>
              <w:rPr>
                <w:rFonts w:asciiTheme="minorEastAsia" w:eastAsiaTheme="minorEastAsia" w:hAnsiTheme="minorEastAsia" w:cs="TimesNewRoman" w:hint="eastAsia"/>
                <w:b/>
                <w:bCs/>
                <w:kern w:val="0"/>
                <w:sz w:val="18"/>
                <w:szCs w:val="18"/>
              </w:rPr>
              <w:t>总</w:t>
            </w:r>
            <w:r>
              <w:rPr>
                <w:rFonts w:asciiTheme="minorEastAsia" w:eastAsiaTheme="minorEastAsia" w:hAnsiTheme="minorEastAsia"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heme="minorEastAsia" w:eastAsiaTheme="minorEastAsia" w:hAnsiTheme="minorEastAsia" w:cs="TimesNewRoman"/>
                <w:b/>
                <w:bCs/>
                <w:kern w:val="0"/>
                <w:sz w:val="18"/>
                <w:szCs w:val="18"/>
              </w:rPr>
            </w:pPr>
            <w:r>
              <w:rPr>
                <w:rFonts w:asciiTheme="minorEastAsia" w:eastAsiaTheme="minorEastAsia" w:hAnsiTheme="minorEastAsia" w:cs="TimesNewRoman" w:hint="eastAsia"/>
                <w:b/>
                <w:bCs/>
                <w:kern w:val="0"/>
                <w:sz w:val="18"/>
                <w:szCs w:val="18"/>
              </w:rPr>
              <w:t>98.40</w:t>
            </w:r>
            <w:r>
              <w:rPr>
                <w:rFonts w:asciiTheme="minorEastAsia" w:eastAsiaTheme="minorEastAsia" w:hAnsiTheme="minorEastAsia" w:cs="TimesNewRoman"/>
                <w:b/>
                <w:bCs/>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heme="minorEastAsia" w:eastAsiaTheme="minorEastAsia" w:hAnsiTheme="minorEastAsia" w:cs="TimesNewRoman"/>
                <w:b/>
                <w:bCs/>
                <w:kern w:val="0"/>
                <w:sz w:val="18"/>
                <w:szCs w:val="18"/>
              </w:rPr>
            </w:pPr>
            <w:r>
              <w:rPr>
                <w:rFonts w:asciiTheme="minorEastAsia" w:eastAsiaTheme="minorEastAsia" w:hAnsiTheme="minorEastAsia" w:cs="TimesNewRoman" w:hint="eastAsia"/>
                <w:b/>
                <w:bCs/>
                <w:kern w:val="0"/>
                <w:sz w:val="18"/>
                <w:szCs w:val="18"/>
              </w:rPr>
              <w:t>98.40</w:t>
            </w:r>
            <w:r>
              <w:rPr>
                <w:rFonts w:asciiTheme="minorEastAsia" w:eastAsiaTheme="minorEastAsia" w:hAnsiTheme="minorEastAsia" w:cs="TimesNewRoman"/>
                <w:b/>
                <w:bCs/>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heme="minorEastAsia" w:eastAsiaTheme="minorEastAsia" w:hAnsiTheme="minorEastAsia" w:cs="TimesNewRoman"/>
                <w:b/>
                <w:bCs/>
                <w:kern w:val="0"/>
                <w:sz w:val="18"/>
                <w:szCs w:val="18"/>
              </w:rPr>
            </w:pPr>
            <w:r>
              <w:rPr>
                <w:rFonts w:asciiTheme="minorEastAsia" w:eastAsiaTheme="minorEastAsia" w:hAnsiTheme="minorEastAsia" w:cs="TimesNewRoman" w:hint="eastAsia"/>
                <w:b/>
                <w:bCs/>
                <w:kern w:val="0"/>
                <w:sz w:val="18"/>
                <w:szCs w:val="18"/>
              </w:rPr>
              <w:t>98.40</w:t>
            </w:r>
            <w:r>
              <w:rPr>
                <w:rFonts w:asciiTheme="minorEastAsia" w:eastAsiaTheme="minorEastAsia" w:hAnsiTheme="minorEastAsia" w:cs="TimesNewRoman"/>
                <w:b/>
                <w:bCs/>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Cs w:val="21"/>
              </w:rPr>
            </w:pPr>
            <w:r>
              <w:rPr>
                <w:rFonts w:ascii="TimesNewRoman" w:hAnsi="TimesNewRoman" w:cs="TimesNewRoman"/>
                <w:b/>
                <w:bCs/>
                <w:kern w:val="0"/>
                <w:szCs w:val="21"/>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Cs w:val="21"/>
              </w:rPr>
            </w:pPr>
            <w:r>
              <w:rPr>
                <w:rFonts w:ascii="TimesNewRoman" w:hAnsi="TimesNewRoman" w:cs="TimesNewRoman"/>
                <w:b/>
                <w:bCs/>
                <w:kern w:val="0"/>
                <w:szCs w:val="21"/>
              </w:rPr>
              <w:t>　</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hint="eastAsia"/>
          <w:kern w:val="0"/>
          <w:sz w:val="20"/>
          <w:u w:val="single"/>
          <w:lang w:eastAsia="zh-CN"/>
        </w:rPr>
        <w:t>（</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寿县安丰塘镇卫生院苏王分院2024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301</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工资福利支出</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92.69</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92.69</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30101</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基本工资</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39.80</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39.80</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30107</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绩效工资</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24.74</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24.74</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30108</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机关事业单位基本养老保险缴费</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10.33</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10.33</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30109</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职业年金缴费</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5.16</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5.16</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30110</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职工基本医疗保险缴费</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4.45</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4.45</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30112</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其他社会保障缴费</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0.45</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0.45</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30113</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住房公积金</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7.75</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30199</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其他工资福利支出</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0.01</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0.01</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303</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对个人和家庭的补助</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5.71</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5.71</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30302</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退休费</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4.77</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4.77</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30305</w:t>
            </w:r>
          </w:p>
        </w:tc>
        <w:tc>
          <w:tcPr>
            <w:tcW w:w="4350" w:type="dxa"/>
            <w:tcBorders>
              <w:top w:val="nil"/>
              <w:left w:val="nil"/>
              <w:bottom w:val="single" w:sz="4" w:space="0" w:color="auto"/>
              <w:right w:val="single" w:sz="4" w:space="0" w:color="auto"/>
            </w:tcBorders>
            <w:noWrap/>
            <w:vAlign w:val="center"/>
          </w:tcPr>
          <w:p>
            <w:pPr>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　生活补助</w:t>
            </w:r>
          </w:p>
        </w:tc>
        <w:tc>
          <w:tcPr>
            <w:tcW w:w="1530"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0.94</w:t>
            </w:r>
          </w:p>
        </w:tc>
        <w:tc>
          <w:tcPr>
            <w:tcW w:w="2631" w:type="dxa"/>
            <w:tcBorders>
              <w:top w:val="nil"/>
              <w:left w:val="nil"/>
              <w:bottom w:val="single" w:sz="4" w:space="0" w:color="auto"/>
              <w:right w:val="single" w:sz="4" w:space="0" w:color="auto"/>
            </w:tcBorders>
            <w:noWrap/>
            <w:vAlign w:val="center"/>
          </w:tcPr>
          <w:p>
            <w:pPr>
              <w:jc w:val="right"/>
              <w:rPr>
                <w:rFonts w:asciiTheme="minorEastAsia" w:eastAsiaTheme="minorEastAsia" w:hAnsiTheme="minorEastAsia" w:cs="Arial"/>
                <w:color w:val="000000"/>
                <w:sz w:val="18"/>
                <w:szCs w:val="18"/>
              </w:rPr>
            </w:pPr>
            <w:r>
              <w:rPr>
                <w:rFonts w:asciiTheme="minorEastAsia" w:eastAsiaTheme="minorEastAsia" w:hAnsiTheme="minorEastAsia" w:cs="Arial" w:hint="eastAsia"/>
                <w:color w:val="000000"/>
                <w:sz w:val="18"/>
                <w:szCs w:val="18"/>
              </w:rPr>
              <w:t>0.94</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heme="minorEastAsia" w:eastAsiaTheme="minorEastAsia" w:hAnsiTheme="minorEastAsia" w:cs="TimesNewRoman"/>
                <w:kern w:val="0"/>
                <w:sz w:val="18"/>
                <w:szCs w:val="18"/>
              </w:rPr>
            </w:pPr>
            <w:r>
              <w:rPr>
                <w:rFonts w:asciiTheme="minorEastAsia" w:eastAsiaTheme="minorEastAsia" w:hAnsiTheme="minorEastAsia"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20"/>
                <w:szCs w:val="20"/>
              </w:rPr>
            </w:pPr>
          </w:p>
        </w:tc>
        <w:tc>
          <w:tcPr>
            <w:tcW w:w="4350" w:type="dxa"/>
            <w:tcBorders>
              <w:top w:val="nil"/>
              <w:left w:val="nil"/>
              <w:bottom w:val="single" w:sz="4" w:space="0" w:color="auto"/>
              <w:right w:val="single" w:sz="4" w:space="0" w:color="auto"/>
            </w:tcBorders>
            <w:noWrap/>
            <w:vAlign w:val="center"/>
          </w:tcPr>
          <w:p>
            <w:pPr>
              <w:rPr>
                <w:rFonts w:ascii="宋体" w:hAnsi="宋体" w:cs="Arial"/>
                <w:color w:val="000000"/>
                <w:sz w:val="20"/>
                <w:szCs w:val="20"/>
              </w:rPr>
            </w:pPr>
          </w:p>
        </w:tc>
        <w:tc>
          <w:tcPr>
            <w:tcW w:w="1530" w:type="dxa"/>
            <w:tcBorders>
              <w:top w:val="nil"/>
              <w:left w:val="nil"/>
              <w:bottom w:val="single" w:sz="4" w:space="0" w:color="auto"/>
              <w:right w:val="single" w:sz="4" w:space="0" w:color="auto"/>
            </w:tcBorders>
            <w:noWrap/>
            <w:vAlign w:val="center"/>
          </w:tcPr>
          <w:p>
            <w:pPr>
              <w:jc w:val="right"/>
              <w:rPr>
                <w:rFonts w:ascii="宋体" w:hAnsi="宋体" w:cs="Arial"/>
                <w:color w:val="000000"/>
                <w:sz w:val="20"/>
                <w:szCs w:val="20"/>
              </w:rPr>
            </w:pP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ign w:val="center"/>
          </w:tcPr>
          <w:p>
            <w:pPr>
              <w:widowControl/>
              <w:spacing w:line="280" w:lineRule="exact"/>
              <w:ind w:firstLine="88" w:firstLineChars="49"/>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98.40</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98.40</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bookmarkStart w:id="0" w:name="_GoBack"/>
      <w:bookmarkEnd w:id="0"/>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寿县安丰塘镇卫生院苏王分院2024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576"/>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951" w:type="dxa"/>
          <w:tblInd w:w="0" w:type="dxa"/>
          <w:tblLayout w:type="fixed"/>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pStyle w:val="NormalWeb"/>
        <w:adjustRightInd w:val="0"/>
        <w:snapToGrid w:val="0"/>
        <w:spacing w:after="156" w:afterLines="50" w:line="560" w:lineRule="exact"/>
        <w:ind w:right="582"/>
        <w:rPr>
          <w:rFonts w:ascii="TimesNewRoman" w:hAnsi="TimesNewRoman" w:cs="TimesNewRoman"/>
        </w:rPr>
      </w:pPr>
      <w:r>
        <w:rPr>
          <w:rFonts w:ascii="TimesNewRoman" w:hAnsi="TimesNewRoman" w:cs="TimesNewRoman" w:hint="eastAsia"/>
        </w:rPr>
        <w:t>注：苏王分院没有政府性基金预算拨款收入，也没有政府性基金预算拨款安排的支出，故本表无数据。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仿宋_GB2312" w:hAnsi="TimesNewRoman" w:cs="TimesNewRoman"/>
          <w:sz w:val="20"/>
          <w:szCs w:val="20"/>
        </w:rPr>
      </w:pPr>
    </w:p>
    <w:p>
      <w:pPr>
        <w:pStyle w:val="NormalWeb"/>
        <w:adjustRightInd w:val="0"/>
        <w:snapToGrid w:val="0"/>
        <w:spacing w:after="156" w:afterLines="50" w:line="560" w:lineRule="exact"/>
        <w:ind w:right="102"/>
        <w:jc w:val="right"/>
        <w:rPr>
          <w:rFonts w:ascii="TimesNewRoman" w:eastAsia="仿宋_GB2312" w:hAnsi="TimesNewRoman" w:cs="TimesNewRoman"/>
          <w:sz w:val="20"/>
          <w:szCs w:val="20"/>
        </w:rPr>
      </w:pP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PrEx>
        <w:trPr>
          <w:gridAfter w:val="2"/>
          <w:wAfter w:w="683" w:type="dxa"/>
          <w:trHeight w:val="441"/>
        </w:trPr>
        <w:tc>
          <w:tcPr>
            <w:tcW w:w="13193" w:type="dxa"/>
            <w:gridSpan w:val="9"/>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寿县安丰塘镇卫生院苏王分院2024</w:t>
            </w:r>
            <w:r>
              <w:rPr>
                <w:rFonts w:ascii="宋体" w:hAnsi="宋体" w:cs="TimesNewRoman"/>
                <w:b/>
                <w:bCs/>
                <w:kern w:val="0"/>
                <w:sz w:val="28"/>
                <w:szCs w:val="32"/>
              </w:rPr>
              <w:t>年国有资本经营预算支出表</w:t>
            </w:r>
          </w:p>
        </w:tc>
      </w:tr>
      <w:tr>
        <w:tblPrEx>
          <w:tblW w:w="13876" w:type="dxa"/>
          <w:tblInd w:w="0" w:type="dxa"/>
          <w:tblLayout w:type="fixed"/>
        </w:tblPrEx>
        <w:trPr>
          <w:trHeight w:val="299"/>
        </w:trPr>
        <w:tc>
          <w:tcPr>
            <w:tcW w:w="711"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4" w:type="dxa"/>
          <w:trHeight w:val="633"/>
        </w:trPr>
        <w:tc>
          <w:tcPr>
            <w:tcW w:w="13752" w:type="dxa"/>
            <w:gridSpan w:val="10"/>
            <w:tcBorders>
              <w:top w:val="single" w:sz="4" w:space="0" w:color="auto"/>
              <w:left w:val="nil"/>
              <w:bottom w:val="nil"/>
              <w:right w:val="nil"/>
            </w:tcBorders>
            <w:noWrap/>
            <w:vAlign w:val="center"/>
          </w:tcPr>
          <w:p>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rPr>
              <w:t>注：苏王分院没有国有资本经营预算拨款收入，也没有国有资本经营预算拨款安排的支出，故本表无数据。</w:t>
            </w:r>
          </w:p>
          <w:p>
            <w:pPr>
              <w:widowControl/>
              <w:spacing w:line="560" w:lineRule="exact"/>
              <w:jc w:val="left"/>
              <w:rPr>
                <w:rFonts w:ascii="TimesNewRoman" w:hAnsi="TimesNewRoman" w:cs="TimesNewRoman"/>
                <w:kern w:val="0"/>
                <w:sz w:val="24"/>
              </w:rPr>
            </w:pPr>
          </w:p>
        </w:tc>
      </w:tr>
    </w:tbl>
    <w:p>
      <w:pPr>
        <w:spacing w:line="560" w:lineRule="exact"/>
        <w:jc w:val="center"/>
        <w:rPr>
          <w:rFonts w:ascii="TimesNewRoman" w:hAnsi="TimesNewRoman" w:cs="TimesNewRoman"/>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u w:val="single"/>
        </w:rPr>
        <w:t>（</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寿县安丰塘镇卫生院苏王分院2024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ign w:val="center"/>
          </w:tcPr>
          <w:p>
            <w:pPr>
              <w:rPr>
                <w:rFonts w:ascii="宋体" w:hAnsi="宋体" w:cs="Arial"/>
                <w:color w:val="000000"/>
                <w:sz w:val="20"/>
                <w:szCs w:val="20"/>
              </w:rPr>
            </w:pPr>
            <w:r>
              <w:rPr>
                <w:rFonts w:cs="Arial" w:hint="eastAsia"/>
                <w:color w:val="000000"/>
                <w:sz w:val="20"/>
                <w:szCs w:val="20"/>
              </w:rPr>
              <w:t>其他运转类</w:t>
            </w:r>
          </w:p>
        </w:tc>
        <w:tc>
          <w:tcPr>
            <w:tcW w:w="1433" w:type="dxa"/>
            <w:tcBorders>
              <w:top w:val="single" w:sz="4" w:space="0" w:color="auto"/>
              <w:left w:val="nil"/>
              <w:bottom w:val="single" w:sz="4" w:space="0" w:color="auto"/>
              <w:right w:val="single" w:sz="4" w:space="0" w:color="auto"/>
            </w:tcBorders>
            <w:noWrap/>
            <w:vAlign w:val="center"/>
          </w:tcPr>
          <w:p>
            <w:pPr>
              <w:rPr>
                <w:rFonts w:ascii="宋体" w:hAnsi="宋体" w:cs="Arial"/>
                <w:color w:val="000000"/>
                <w:sz w:val="20"/>
                <w:szCs w:val="20"/>
              </w:rPr>
            </w:pPr>
            <w:r>
              <w:rPr>
                <w:rFonts w:cs="Arial" w:hint="eastAsia"/>
                <w:color w:val="000000"/>
                <w:sz w:val="20"/>
                <w:szCs w:val="20"/>
              </w:rPr>
              <w:t>乡镇卫生院医疗卫生支出</w:t>
            </w:r>
          </w:p>
        </w:tc>
        <w:tc>
          <w:tcPr>
            <w:tcW w:w="1353" w:type="dxa"/>
            <w:tcBorders>
              <w:top w:val="nil"/>
              <w:left w:val="nil"/>
              <w:bottom w:val="single" w:sz="4" w:space="0" w:color="auto"/>
              <w:right w:val="single" w:sz="4" w:space="0" w:color="auto"/>
            </w:tcBorders>
            <w:noWrap/>
            <w:vAlign w:val="center"/>
          </w:tcPr>
          <w:p>
            <w:pPr>
              <w:rPr>
                <w:rFonts w:ascii="宋体" w:hAnsi="宋体" w:cs="Arial"/>
                <w:color w:val="000000"/>
                <w:sz w:val="20"/>
                <w:szCs w:val="20"/>
              </w:rPr>
            </w:pPr>
            <w:r>
              <w:rPr>
                <w:rFonts w:cs="Arial" w:hint="eastAsia"/>
                <w:color w:val="000000"/>
                <w:sz w:val="20"/>
                <w:szCs w:val="20"/>
              </w:rPr>
              <w:t>寿县安丰塘镇卫生院苏王分院</w:t>
            </w:r>
          </w:p>
        </w:tc>
        <w:tc>
          <w:tcPr>
            <w:tcW w:w="916" w:type="dxa"/>
            <w:tcBorders>
              <w:top w:val="nil"/>
              <w:left w:val="nil"/>
              <w:bottom w:val="single" w:sz="4" w:space="0" w:color="auto"/>
              <w:right w:val="single" w:sz="4" w:space="0" w:color="auto"/>
            </w:tcBorders>
            <w:noWrap/>
            <w:vAlign w:val="center"/>
          </w:tcPr>
          <w:p>
            <w:pPr>
              <w:jc w:val="right"/>
              <w:rPr>
                <w:rFonts w:ascii="宋体" w:hAnsi="宋体" w:cs="Arial"/>
                <w:color w:val="000000"/>
                <w:sz w:val="20"/>
                <w:szCs w:val="20"/>
              </w:rPr>
            </w:pPr>
            <w:r>
              <w:rPr>
                <w:rFonts w:cs="Arial" w:hint="eastAsia"/>
                <w:color w:val="000000"/>
                <w:sz w:val="20"/>
                <w:szCs w:val="20"/>
              </w:rPr>
              <w:t>390.00</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390.00</w:t>
            </w:r>
            <w:r>
              <w:rPr>
                <w:rFonts w:ascii="TimesNewRoman" w:hAnsi="TimesNewRoman" w:cs="TimesNewRoman"/>
                <w:b/>
                <w:bCs/>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390.00</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390.00</w:t>
            </w:r>
            <w:r>
              <w:rPr>
                <w:rFonts w:ascii="TimesNewRoman" w:hAnsi="TimesNewRoman" w:cs="TimesNewRoman"/>
                <w:b/>
                <w:bCs/>
                <w:kern w:val="0"/>
                <w:sz w:val="18"/>
                <w:szCs w:val="18"/>
              </w:rPr>
              <w:t>　</w:t>
            </w:r>
          </w:p>
        </w:tc>
      </w:tr>
    </w:tbl>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PrEx>
        <w:trPr>
          <w:trHeight w:val="482"/>
        </w:trPr>
        <w:tc>
          <w:tcPr>
            <w:tcW w:w="14109" w:type="dxa"/>
            <w:gridSpan w:val="8"/>
            <w:tcBorders>
              <w:top w:val="nil"/>
              <w:left w:val="nil"/>
              <w:bottom w:val="nil"/>
              <w:right w:val="nil"/>
            </w:tcBorders>
            <w:noWrap/>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寿县安丰塘镇卫生院苏王分院2024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PrEx>
        <w:trPr>
          <w:trHeight w:val="800"/>
        </w:trPr>
        <w:tc>
          <w:tcPr>
            <w:tcW w:w="1907" w:type="dxa"/>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苏王分院院</w:t>
      </w:r>
      <w:r>
        <w:rPr>
          <w:rFonts w:ascii="TimesNewRoman" w:hAnsi="TimesNewRoman" w:cs="TimesNewRoman"/>
          <w:kern w:val="0"/>
          <w:sz w:val="22"/>
        </w:rPr>
        <w:t>没有使用一般公共预算拨款款和单位资金安排的政府采购支出，故本表无数据。</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PrEx>
        <w:trPr>
          <w:gridAfter w:val="1"/>
          <w:wAfter w:w="17" w:type="dxa"/>
          <w:trHeight w:val="673"/>
          <w:jc w:val="center"/>
        </w:trPr>
        <w:tc>
          <w:tcPr>
            <w:tcW w:w="13692" w:type="dxa"/>
            <w:gridSpan w:val="7"/>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寿县安丰塘镇卫生院苏王分院2024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bl>
    <w:p>
      <w:pPr>
        <w:pStyle w:val="NormalWeb"/>
        <w:adjustRightInd w:val="0"/>
        <w:snapToGrid w:val="0"/>
        <w:spacing w:before="100" w:after="100" w:line="560" w:lineRule="exact"/>
        <w:ind w:firstLine="4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r>
        <w:rPr>
          <w:rFonts w:ascii="TimesNewRoman" w:hAnsi="TimesNewRoman" w:cs="TimesNewRoman" w:hint="eastAsia"/>
          <w:sz w:val="22"/>
        </w:rPr>
        <w:t>注：苏王分院院没有使用一般公共预算拨款款和单位资金安排的政府采购支出，故本表无数据。</w:t>
      </w:r>
    </w:p>
    <w:p>
      <w:pPr>
        <w:pStyle w:val="NormalWeb"/>
        <w:topLinePunct/>
        <w:adjustRightInd w:val="0"/>
        <w:snapToGrid w:val="0"/>
        <w:spacing w:beforeAutospacing="0" w:afterAutospacing="0"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rPr>
        <w:t>单位</w:t>
      </w:r>
      <w:r>
        <w:rPr>
          <w:rFonts w:ascii="TimesNewRoman" w:eastAsia="黑体" w:hAnsi="TimesNewRoman" w:cs="TimesNewRoman"/>
          <w:bCs/>
          <w:sz w:val="36"/>
          <w:szCs w:val="36"/>
        </w:rPr>
        <w:t>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安丰塘镇卫生院苏王分院所有收入和支出均纳入部门预算管理。寿县安丰塘镇卫生院苏王分院2024年收支总预算488.40万元，收入包括一般公共预算拨款收入、事业收入，支出包括：社会保障和就业支出、卫生健康支出、住房保障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寿县安丰塘镇卫生院苏王分院2024年收入预算488.4万元，其中，本年收入488.4万元。</w:t>
      </w:r>
    </w:p>
    <w:p>
      <w:pPr>
        <w:pStyle w:val="NormalWeb"/>
        <w:adjustRightInd w:val="0"/>
        <w:snapToGrid w:val="0"/>
        <w:spacing w:beforeAutospacing="0" w:afterAutospacing="0" w:line="600" w:lineRule="exact"/>
        <w:ind w:firstLine="627" w:firstLineChars="196"/>
        <w:rPr>
          <w:rFonts w:ascii="仿宋_GB2312" w:eastAsia="仿宋_GB2312" w:hAnsi="仿宋"/>
          <w:kern w:val="2"/>
          <w:sz w:val="32"/>
          <w:szCs w:val="32"/>
        </w:rPr>
      </w:pPr>
      <w:r>
        <w:rPr>
          <w:rFonts w:ascii="仿宋_GB2312" w:eastAsia="仿宋_GB2312" w:hAnsi="TimesNewRoman" w:cs="TimesNewRoman" w:hint="eastAsia"/>
          <w:sz w:val="32"/>
          <w:szCs w:val="32"/>
        </w:rPr>
        <w:t>（一）本年收入488.4万元，主要包括：一般公共预算拨款收入98.4万元，占20.15%，比2023年预算增加14.8万元，增长17.7%，增长原因：</w:t>
      </w:r>
      <w:r>
        <w:rPr>
          <w:rFonts w:ascii="仿宋_GB2312" w:eastAsia="仿宋_GB2312" w:hAnsi="仿宋" w:hint="eastAsia"/>
          <w:kern w:val="2"/>
          <w:sz w:val="32"/>
          <w:szCs w:val="32"/>
        </w:rPr>
        <w:t>一是增加在编人员1人，二是人员工资晋级等增加；三是机关养老保险、住房公积金等缴费基数上调。</w:t>
      </w:r>
      <w:r>
        <w:rPr>
          <w:rFonts w:ascii="仿宋_GB2312" w:eastAsia="仿宋_GB2312" w:hAnsi="仿宋" w:hint="eastAsia"/>
          <w:sz w:val="32"/>
          <w:szCs w:val="32"/>
        </w:rPr>
        <w:t>事业资金收入390万能元，占79.85%，比2023年预算增加30万元，增长8.3%，增长原</w:t>
      </w:r>
      <w:r>
        <w:rPr>
          <w:rFonts w:ascii="仿宋_GB2312" w:eastAsia="仿宋_GB2312" w:hAnsi="仿宋" w:hint="eastAsia"/>
          <w:kern w:val="2"/>
          <w:sz w:val="32"/>
          <w:szCs w:val="32"/>
        </w:rPr>
        <w:t>因</w:t>
      </w:r>
      <w:r>
        <w:rPr>
          <w:rFonts w:ascii="仿宋_GB2312" w:eastAsia="仿宋_GB2312" w:hAnsi="仿宋" w:hint="eastAsia"/>
          <w:sz w:val="32"/>
          <w:szCs w:val="32"/>
        </w:rPr>
        <w:t>就诊环境变好、医疗设备增加，会给群众提供就诊便利，所以预算今年医疗业务会增加。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TimesNewRoman" w:cs="TimesNewRoman" w:hint="eastAsia"/>
          <w:sz w:val="32"/>
          <w:szCs w:val="32"/>
        </w:rPr>
        <w:t>寿县安丰塘镇卫生院苏王分院2024年支出预算488.4万元，比2023年预算增加44.8万元，增长10.1%，增长</w:t>
      </w:r>
      <w:r>
        <w:rPr>
          <w:rFonts w:ascii="仿宋_GB2312" w:eastAsia="仿宋_GB2312" w:hAnsi="仿宋" w:hint="eastAsia"/>
          <w:sz w:val="32"/>
          <w:szCs w:val="32"/>
        </w:rPr>
        <w:t>是职工工资增加和养老保险基数、公积金基数增加，和预算事业收入增加。</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TimesNewRoman" w:cs="TimesNewRoman" w:hint="eastAsia"/>
          <w:sz w:val="32"/>
          <w:szCs w:val="32"/>
        </w:rPr>
        <w:t>其中，基本支出98.4万元，占20.15%，主要用于保障机构日常运转、完成日常工作任务；项目支出390万元，占79.85%，主要用于</w:t>
      </w:r>
      <w:r>
        <w:rPr>
          <w:rFonts w:ascii="仿宋_GB2312" w:eastAsia="仿宋_GB2312" w:hAnsi="仿宋" w:hint="eastAsia"/>
          <w:sz w:val="32"/>
          <w:szCs w:val="32"/>
        </w:rPr>
        <w:t>保障机构日常运转、完成日常工作任务。</w:t>
      </w:r>
    </w:p>
    <w:p>
      <w:pPr>
        <w:topLinePunct/>
        <w:adjustRightInd w:val="0"/>
        <w:snapToGrid w:val="0"/>
        <w:spacing w:line="580" w:lineRule="exact"/>
        <w:ind w:firstLine="640" w:firstLineChars="200"/>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安丰塘镇卫生院苏王分院2024年财政拨款收支预算98.4万元。收入按资金来源分为：一般公共预算拨款98.4万元；按资金年度分为：本年财政拨款收入98.4万元，支出按功能分类分为：社会保障和就业支出20.72万元，占21.05%；卫生健康支出69.94万元，占71.08%；住房保障支出7.75万元，占7.87%。</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仿宋"/>
          <w:kern w:val="2"/>
          <w:sz w:val="32"/>
          <w:szCs w:val="32"/>
        </w:rPr>
      </w:pPr>
      <w:r>
        <w:rPr>
          <w:rFonts w:ascii="仿宋_GB2312" w:eastAsia="仿宋_GB2312" w:hAnsi="TimesNewRoman" w:cs="TimesNewRoman" w:hint="eastAsia"/>
          <w:sz w:val="32"/>
          <w:szCs w:val="32"/>
        </w:rPr>
        <w:t>寿县安丰塘镇卫生院苏王分院2024年一般公共预算支出98.4万元，比2023年预算增加14.8万元，增长17.7%，</w:t>
      </w:r>
      <w:r>
        <w:rPr>
          <w:rFonts w:ascii="仿宋_GB2312" w:eastAsia="仿宋_GB2312" w:hAnsi="仿宋" w:hint="eastAsia"/>
          <w:kern w:val="2"/>
          <w:sz w:val="32"/>
          <w:szCs w:val="32"/>
        </w:rPr>
        <w:t>一是增加在编人员1人，二是人员工资晋级等增加；三是机关养老保险、住房公积金等缴费基数上调。</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卫生健康支出69.94万元，占71.08%；社会保障和就业支出20.72万元，占21.05%； 住房保障支出7.75万元，占7.87%。</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b/>
          <w:sz w:val="32"/>
          <w:szCs w:val="32"/>
        </w:rPr>
        <w:t>1.</w:t>
      </w:r>
      <w:r>
        <w:rPr>
          <w:rFonts w:ascii="仿宋_GB2312" w:hAnsi="仿宋" w:hint="eastAsia"/>
          <w:b/>
          <w:szCs w:val="32"/>
        </w:rPr>
        <w:t xml:space="preserve"> </w:t>
      </w:r>
      <w:r>
        <w:rPr>
          <w:rFonts w:ascii="仿宋_GB2312" w:eastAsia="仿宋_GB2312" w:hAnsi="仿宋" w:hint="eastAsia"/>
          <w:b/>
          <w:sz w:val="32"/>
          <w:szCs w:val="32"/>
        </w:rPr>
        <w:t>卫生健康支出（类）基层医疗卫生机构（款）乡镇卫生院（项）</w:t>
      </w:r>
      <w:r>
        <w:rPr>
          <w:rFonts w:ascii="仿宋_GB2312" w:eastAsia="仿宋_GB2312" w:hAnsi="仿宋" w:hint="eastAsia"/>
          <w:sz w:val="32"/>
          <w:szCs w:val="32"/>
        </w:rPr>
        <w:t>2023年预算98.4万元，比2022年预算增加14.8万元，增长17.70%，增长原因主要是增加在编人员，人员工资晋级等。</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b/>
          <w:sz w:val="32"/>
          <w:szCs w:val="32"/>
        </w:rPr>
        <w:t>2.卫生健康支出（类）基层卫生医疗机构（款）乡镇卫生院（项）</w:t>
      </w:r>
      <w:r>
        <w:rPr>
          <w:rFonts w:ascii="仿宋_GB2312" w:eastAsia="仿宋_GB2312" w:hAnsi="仿宋" w:hint="eastAsia"/>
          <w:sz w:val="32"/>
          <w:szCs w:val="32"/>
        </w:rPr>
        <w:t>2024年预算69.94万元，比2023年预算增加7.48万元，增长11.97%，增长原因主要是增加在编人员，人员职称晋级、养老保险基数上调等。</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b/>
          <w:sz w:val="32"/>
          <w:szCs w:val="32"/>
        </w:rPr>
        <w:t>3.</w:t>
      </w:r>
      <w:r>
        <w:rPr>
          <w:rFonts w:ascii="仿宋_GB2312" w:hAnsi="仿宋" w:hint="eastAsia"/>
          <w:b/>
          <w:szCs w:val="32"/>
        </w:rPr>
        <w:t xml:space="preserve"> </w:t>
      </w:r>
      <w:r>
        <w:rPr>
          <w:rFonts w:ascii="仿宋_GB2312" w:eastAsia="仿宋_GB2312" w:hAnsi="仿宋" w:hint="eastAsia"/>
          <w:b/>
          <w:sz w:val="32"/>
          <w:szCs w:val="32"/>
        </w:rPr>
        <w:t>社会保障和就业</w:t>
      </w:r>
      <w:r>
        <w:rPr>
          <w:rFonts w:ascii="仿宋_GB2312" w:eastAsia="仿宋_GB2312" w:hAnsi="仿宋" w:hint="eastAsia"/>
          <w:b/>
          <w:sz w:val="32"/>
          <w:szCs w:val="32"/>
        </w:rPr>
        <w:t>支出（类）行政事业单位养老支出（款）机关事业单位基本养老保险缴费支出（项）</w:t>
      </w:r>
      <w:r>
        <w:rPr>
          <w:rFonts w:ascii="仿宋_GB2312" w:eastAsia="仿宋_GB2312" w:hAnsi="仿宋" w:hint="eastAsia"/>
          <w:sz w:val="32"/>
          <w:szCs w:val="32"/>
        </w:rPr>
        <w:t>2024年预算20.72万元，比2023年预算增加6.49万元，增长45.61%，增长原因主要是在增加编人员，养老保险及职业年金缴费基数上调。</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b/>
          <w:sz w:val="32"/>
          <w:szCs w:val="32"/>
        </w:rPr>
        <w:t>4.住房保障支出（类）住房改革支出（款）住房公积金（项）</w:t>
      </w:r>
      <w:r>
        <w:rPr>
          <w:rFonts w:ascii="仿宋_GB2312" w:eastAsia="仿宋_GB2312" w:hAnsi="仿宋" w:hint="eastAsia"/>
          <w:sz w:val="32"/>
          <w:szCs w:val="32"/>
        </w:rPr>
        <w:t>2023年预算7.75万元，比2022年预算增加0.6万元，增长8.6%，增长原因主要是增加在编人员及公积金基数上调。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寿县安丰塘镇卫生院苏王分院2024年一般公共预算基本支出98.4万元，其中，人员经费98.4万元。</w:t>
      </w:r>
    </w:p>
    <w:p>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（一）人员经费98.4万元，主要包括: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基本工资、绩效工资、机关事业单位基本养老保险费、职业年金缴费、职工基本医疗保险缴费、其他社会保障缴费、住房公积金、其他工资福利支出、退休费、生活补助。</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pPr>
        <w:pStyle w:val="NormalWeb"/>
        <w:adjustRightInd w:val="0"/>
        <w:snapToGrid w:val="0"/>
        <w:spacing w:beforeAutospacing="0" w:afterAutospacing="0" w:line="600" w:lineRule="exact"/>
        <w:ind w:firstLine="640" w:firstLineChars="200"/>
        <w:rPr>
          <w:rFonts w:ascii="仿宋_GB2312" w:eastAsia="仿宋_GB2312" w:hAnsi="仿宋"/>
          <w:sz w:val="32"/>
          <w:szCs w:val="32"/>
        </w:rPr>
      </w:pPr>
      <w:r>
        <w:rPr>
          <w:rFonts w:ascii="仿宋_GB2312" w:eastAsia="仿宋_GB2312" w:hAnsi="仿宋" w:hint="eastAsia"/>
          <w:kern w:val="2"/>
          <w:sz w:val="32"/>
          <w:szCs w:val="32"/>
        </w:rPr>
        <w:t>寿县安丰塘镇卫生院苏王分院2024</w:t>
      </w:r>
      <w:r>
        <w:rPr>
          <w:rFonts w:ascii="仿宋_GB2312" w:eastAsia="仿宋_GB2312" w:hAnsi="仿宋" w:hint="eastAsia"/>
          <w:sz w:val="32"/>
          <w:szCs w:val="32"/>
        </w:rPr>
        <w:t>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adjustRightInd w:val="0"/>
        <w:snapToGrid w:val="0"/>
        <w:spacing w:beforeAutospacing="0" w:afterAutospacing="0" w:line="600" w:lineRule="exact"/>
        <w:ind w:firstLine="640" w:firstLineChars="200"/>
        <w:rPr>
          <w:rFonts w:ascii="仿宋_GB2312" w:eastAsia="仿宋_GB2312" w:hAnsi="仿宋"/>
          <w:sz w:val="32"/>
          <w:szCs w:val="32"/>
        </w:rPr>
      </w:pPr>
      <w:r>
        <w:rPr>
          <w:rFonts w:ascii="仿宋_GB2312" w:eastAsia="仿宋_GB2312" w:hAnsi="仿宋" w:hint="eastAsia"/>
          <w:kern w:val="2"/>
          <w:sz w:val="32"/>
          <w:szCs w:val="32"/>
        </w:rPr>
        <w:t>寿县安丰塘镇卫生院苏王分院2024</w:t>
      </w:r>
      <w:r>
        <w:rPr>
          <w:rFonts w:ascii="仿宋_GB2312" w:eastAsia="仿宋_GB2312" w:hAnsi="仿宋" w:hint="eastAsia"/>
          <w:sz w:val="32"/>
          <w:szCs w:val="32"/>
        </w:rPr>
        <w:t>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pPr>
        <w:pStyle w:val="NormalWeb"/>
        <w:adjustRightInd w:val="0"/>
        <w:snapToGrid w:val="0"/>
        <w:spacing w:beforeAutospacing="0" w:afterAutospacing="0" w:line="600" w:lineRule="exact"/>
        <w:ind w:firstLine="627" w:firstLineChars="196"/>
        <w:rPr>
          <w:rFonts w:ascii="仿宋_GB2312" w:eastAsia="仿宋_GB2312" w:hAnsi="仿宋"/>
          <w:kern w:val="2"/>
          <w:sz w:val="32"/>
          <w:szCs w:val="32"/>
        </w:rPr>
      </w:pPr>
      <w:r>
        <w:rPr>
          <w:rFonts w:ascii="仿宋_GB2312" w:eastAsia="仿宋_GB2312" w:hAnsi="仿宋" w:hint="eastAsia"/>
          <w:sz w:val="32"/>
          <w:szCs w:val="32"/>
        </w:rPr>
        <w:t>寿县安丰塘镇卫生院苏王分院2024年预算共安排项目支出390万元，比2023年预算减少30万元，增长8.33%，</w:t>
      </w:r>
      <w:r>
        <w:rPr>
          <w:rFonts w:ascii="仿宋_GB2312" w:eastAsia="仿宋_GB2312" w:hAnsi="仿宋" w:hint="eastAsia"/>
          <w:kern w:val="2"/>
          <w:sz w:val="32"/>
          <w:szCs w:val="32"/>
        </w:rPr>
        <w:t>增加原因</w:t>
      </w:r>
      <w:r>
        <w:rPr>
          <w:rFonts w:ascii="仿宋_GB2312" w:eastAsia="仿宋_GB2312" w:hAnsi="仿宋" w:hint="eastAsia"/>
          <w:sz w:val="32"/>
          <w:szCs w:val="32"/>
        </w:rPr>
        <w:t>就诊环境变好、医疗设备增加，会给群众提供就诊便利，所以预算今年医疗业务会增加。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仿宋" w:hint="eastAsia"/>
          <w:sz w:val="32"/>
          <w:szCs w:val="32"/>
        </w:rPr>
        <w:t>寿县安丰塘镇卫生院苏王分院</w:t>
      </w:r>
      <w:r>
        <w:rPr>
          <w:rFonts w:ascii="仿宋_GB2312" w:eastAsia="仿宋_GB2312" w:hAnsi="TimesNewRoman" w:cs="TimesNewRoman" w:hint="eastAsia"/>
          <w:sz w:val="32"/>
          <w:szCs w:val="32"/>
        </w:rPr>
        <w:t>2024年没有安排使用一般公共预算拨款、政府性基金预算拨款、国有资本经营预算拨款、财政专户管理资金和单位资金的政府采购支出。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pPr>
        <w:pStyle w:val="NormalWeb"/>
        <w:adjustRightInd w:val="0"/>
        <w:snapToGrid w:val="0"/>
        <w:spacing w:beforeAutospacing="0" w:afterAutospacing="0" w:line="600" w:lineRule="exact"/>
        <w:ind w:firstLine="640" w:firstLineChars="200"/>
        <w:outlineLvl w:val="0"/>
        <w:rPr>
          <w:rFonts w:ascii="仿宋_GB2312" w:eastAsia="仿宋_GB2312" w:hAnsi="仿宋"/>
          <w:sz w:val="32"/>
          <w:szCs w:val="32"/>
        </w:rPr>
      </w:pPr>
      <w:r>
        <w:rPr>
          <w:rFonts w:ascii="仿宋_GB2312" w:eastAsia="仿宋_GB2312" w:hAnsi="仿宋" w:hint="eastAsia"/>
          <w:sz w:val="32"/>
          <w:szCs w:val="32"/>
        </w:rPr>
        <w:t>寿县安丰塘镇卫生院苏王分院2024年没有安排政府购买服务支出。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仿宋"/>
          <w:sz w:val="32"/>
          <w:szCs w:val="32"/>
        </w:rPr>
      </w:pPr>
      <w:r>
        <w:rPr>
          <w:rFonts w:ascii="仿宋_GB2312" w:eastAsia="仿宋_GB2312" w:hAnsi="仿宋" w:hint="eastAsia"/>
          <w:sz w:val="32"/>
          <w:szCs w:val="32"/>
        </w:rPr>
        <w:t>无</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pPr>
        <w:adjustRightInd w:val="0"/>
        <w:snapToGrid w:val="0"/>
        <w:spacing w:line="600" w:lineRule="exact"/>
        <w:ind w:firstLine="800" w:firstLineChars="250"/>
        <w:rPr>
          <w:rFonts w:ascii="仿宋_GB2312" w:eastAsia="仿宋_GB2312" w:hAnsi="楷体"/>
          <w:b/>
          <w:sz w:val="32"/>
          <w:szCs w:val="32"/>
        </w:rPr>
      </w:pPr>
      <w:r>
        <w:rPr>
          <w:rFonts w:ascii="仿宋_GB2312" w:eastAsia="仿宋_GB2312" w:hAnsi="楷体" w:hint="eastAsia"/>
          <w:b/>
          <w:sz w:val="32"/>
          <w:szCs w:val="32"/>
        </w:rPr>
        <w:t>1.“乡镇卫生院医疗支出”项目。</w:t>
      </w:r>
    </w:p>
    <w:p>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（1）项目概述：1.加快我院的发展，提高我院的医疗安全质量，为患者提供一个安全放心的就医场所；2.保障我院日常开支，确保日常后勤工作顺利开展。</w:t>
      </w:r>
    </w:p>
    <w:p>
      <w:pPr>
        <w:spacing w:line="600" w:lineRule="exact"/>
        <w:ind w:firstLine="586" w:firstLineChars="183"/>
        <w:rPr>
          <w:rFonts w:ascii="仿宋_GB2312" w:eastAsia="仿宋_GB2312" w:hAnsi="楷体"/>
          <w:sz w:val="32"/>
          <w:szCs w:val="32"/>
        </w:rPr>
      </w:pPr>
      <w:r>
        <w:rPr>
          <w:rFonts w:ascii="仿宋_GB2312" w:eastAsia="仿宋_GB2312" w:hAnsi="楷体" w:hint="eastAsia"/>
          <w:sz w:val="32"/>
          <w:szCs w:val="32"/>
        </w:rPr>
        <w:t>（2）立项依据：为人民身体健康提供医疗保健服务，常见病多发病诊治与护理、卫生防疫、妇幼保健、计划免疫、乡村医生业务培训、卫生员业务培训、接生员业务培训与技术指导、初级卫生保健规划实施。</w:t>
      </w:r>
    </w:p>
    <w:p>
      <w:pPr>
        <w:spacing w:line="600" w:lineRule="exact"/>
        <w:ind w:firstLine="586" w:firstLineChars="183"/>
        <w:rPr>
          <w:rFonts w:ascii="仿宋_GB2312" w:eastAsia="仿宋_GB2312" w:hAnsi="楷体"/>
          <w:sz w:val="32"/>
          <w:szCs w:val="32"/>
          <w:u w:val="single"/>
        </w:rPr>
      </w:pPr>
      <w:r>
        <w:rPr>
          <w:rFonts w:ascii="仿宋_GB2312" w:eastAsia="仿宋_GB2312" w:hAnsi="楷体" w:hint="eastAsia"/>
          <w:sz w:val="32"/>
          <w:szCs w:val="32"/>
        </w:rPr>
        <w:t>（3）实施主体：寿县安丰塘镇卫生院苏王分院</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楷体" w:hint="eastAsia"/>
          <w:sz w:val="32"/>
          <w:szCs w:val="32"/>
        </w:rPr>
        <w:t>（4）起止时间：2024年1月1日至2024年12月31日</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楷体" w:hint="eastAsia"/>
          <w:sz w:val="32"/>
          <w:szCs w:val="32"/>
        </w:rPr>
        <w:t>（5）项目内容。为人民身体健康提供医疗保健服务，常见病多发病诊治与护理、卫生防疫、妇幼保健、计划免疫、乡村医生业务培训、卫生员业务培训、接生员业务培训与技术指导、初级卫生保健规划实施。</w:t>
      </w:r>
    </w:p>
    <w:p>
      <w:pPr>
        <w:spacing w:line="600" w:lineRule="exact"/>
        <w:ind w:firstLine="642"/>
        <w:rPr>
          <w:rFonts w:ascii="仿宋_GB2312" w:eastAsia="仿宋_GB2312" w:hAnsi="仿宋"/>
          <w:sz w:val="32"/>
          <w:szCs w:val="32"/>
        </w:rPr>
      </w:pPr>
      <w:r>
        <w:rPr>
          <w:rFonts w:ascii="仿宋_GB2312" w:eastAsia="仿宋_GB2312" w:hAnsi="楷体" w:hint="eastAsia"/>
          <w:sz w:val="32"/>
          <w:szCs w:val="32"/>
        </w:rPr>
        <w:t>（6）年度预算安排：390万元。</w:t>
      </w:r>
    </w:p>
    <w:p>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（7）绩效目标。</w:t>
      </w:r>
    </w:p>
    <w:tbl>
      <w:tblPr>
        <w:tblStyle w:val="TableNormal"/>
        <w:tblW w:w="861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278"/>
        <w:gridCol w:w="1570"/>
        <w:gridCol w:w="1973"/>
      </w:tblGrid>
      <w:tr>
        <w:tblPrEx>
          <w:tblW w:w="8613" w:type="dxa"/>
          <w:tblInd w:w="0" w:type="dxa"/>
          <w:tblLayout w:type="fixed"/>
        </w:tblPrEx>
        <w:trPr>
          <w:trHeight w:val="253"/>
        </w:trPr>
        <w:tc>
          <w:tcPr>
            <w:tcW w:w="8613" w:type="dxa"/>
            <w:gridSpan w:val="8"/>
            <w:tcBorders>
              <w:top w:val="nil"/>
              <w:left w:val="nil"/>
              <w:bottom w:val="nil"/>
              <w:right w:val="nil"/>
            </w:tcBorders>
            <w:noWrap/>
            <w:vAlign w:val="center"/>
          </w:tcPr>
          <w:p>
            <w:pPr>
              <w:widowControl/>
              <w:jc w:val="center"/>
              <w:textAlignment w:val="center"/>
              <w:rPr>
                <w:rFonts w:ascii="宋体" w:hAnsi="宋体" w:cs="宋体"/>
                <w:b/>
                <w:color w:val="000000"/>
                <w:kern w:val="0"/>
                <w:sz w:val="28"/>
                <w:szCs w:val="28"/>
              </w:rPr>
            </w:pPr>
          </w:p>
          <w:p>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8613" w:type="dxa"/>
          <w:tblInd w:w="0" w:type="dxa"/>
          <w:tblLayout w:type="fixed"/>
        </w:tblPrEx>
        <w:trPr>
          <w:trHeight w:val="270"/>
        </w:trPr>
        <w:tc>
          <w:tcPr>
            <w:tcW w:w="8613" w:type="dxa"/>
            <w:gridSpan w:val="8"/>
            <w:tcBorders>
              <w:top w:val="nil"/>
              <w:left w:val="nil"/>
              <w:right w:val="nil"/>
            </w:tcBorders>
            <w:noWrap/>
            <w:vAlign w:val="center"/>
          </w:tcPr>
          <w:p>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8613" w:type="dxa"/>
          <w:tblInd w:w="0" w:type="dxa"/>
          <w:tblLayout w:type="fixed"/>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170" w:type="dxa"/>
            <w:gridSpan w:val="5"/>
            <w:noWrap/>
            <w:vAlign w:val="center"/>
          </w:tcPr>
          <w:p>
            <w:pPr>
              <w:spacing w:line="260" w:lineRule="exact"/>
              <w:jc w:val="center"/>
              <w:rPr>
                <w:rFonts w:ascii="宋体" w:cs="宋体"/>
                <w:sz w:val="18"/>
                <w:szCs w:val="18"/>
              </w:rPr>
            </w:pPr>
            <w:r>
              <w:rPr>
                <w:rFonts w:ascii="宋体" w:hAnsi="宋体" w:cs="宋体" w:hint="eastAsia"/>
                <w:color w:val="000000"/>
                <w:kern w:val="0"/>
                <w:sz w:val="20"/>
                <w:szCs w:val="20"/>
              </w:rPr>
              <w:t>乡镇卫生院医疗卫生支出</w:t>
            </w:r>
          </w:p>
        </w:tc>
      </w:tr>
      <w:tr>
        <w:tblPrEx>
          <w:tblW w:w="8613" w:type="dxa"/>
          <w:tblInd w:w="0" w:type="dxa"/>
          <w:tblLayout w:type="fixed"/>
        </w:tblPrEx>
        <w:trPr>
          <w:trHeight w:val="491"/>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pPr>
              <w:spacing w:line="260" w:lineRule="exact"/>
              <w:jc w:val="center"/>
              <w:rPr>
                <w:rFonts w:ascii="宋体" w:cs="宋体"/>
                <w:sz w:val="18"/>
                <w:szCs w:val="18"/>
              </w:rPr>
            </w:pPr>
            <w:r>
              <w:rPr>
                <w:rFonts w:ascii="宋体" w:hAnsi="宋体" w:cs="宋体" w:hint="eastAsia"/>
                <w:color w:val="000000"/>
                <w:kern w:val="0"/>
                <w:sz w:val="20"/>
                <w:szCs w:val="20"/>
              </w:rPr>
              <w:t>寿县卫生健康委员会</w:t>
            </w:r>
          </w:p>
        </w:tc>
        <w:tc>
          <w:tcPr>
            <w:tcW w:w="1848" w:type="dxa"/>
            <w:gridSpan w:val="2"/>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1973" w:type="dxa"/>
            <w:noWrap/>
            <w:vAlign w:val="center"/>
          </w:tcPr>
          <w:p>
            <w:pPr>
              <w:spacing w:line="260" w:lineRule="exact"/>
              <w:jc w:val="center"/>
              <w:rPr>
                <w:sz w:val="18"/>
                <w:szCs w:val="18"/>
              </w:rPr>
            </w:pPr>
            <w:r>
              <w:rPr>
                <w:rFonts w:ascii="宋体" w:hAnsi="宋体" w:hint="eastAsia"/>
                <w:color w:val="000000"/>
                <w:kern w:val="0"/>
                <w:sz w:val="20"/>
                <w:szCs w:val="20"/>
              </w:rPr>
              <w:t>寿县安丰塘镇卫生院</w:t>
            </w:r>
            <w:r>
              <w:rPr>
                <w:color w:val="000000"/>
                <w:kern w:val="0"/>
                <w:sz w:val="20"/>
                <w:szCs w:val="20"/>
              </w:rPr>
              <w:t xml:space="preserve">  </w:t>
            </w:r>
            <w:r>
              <w:rPr>
                <w:rFonts w:ascii="宋体" w:hAnsi="宋体" w:hint="eastAsia"/>
                <w:color w:val="000000"/>
                <w:kern w:val="0"/>
                <w:sz w:val="20"/>
                <w:szCs w:val="20"/>
              </w:rPr>
              <w:t>苏王分院</w:t>
            </w:r>
          </w:p>
        </w:tc>
      </w:tr>
      <w:tr>
        <w:tblPrEx>
          <w:tblW w:w="8613" w:type="dxa"/>
          <w:tblInd w:w="0" w:type="dxa"/>
          <w:tblLayout w:type="fixed"/>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pPr>
              <w:spacing w:line="260" w:lineRule="exact"/>
              <w:jc w:val="center"/>
              <w:rPr>
                <w:rFonts w:ascii="宋体" w:cs="宋体"/>
                <w:sz w:val="18"/>
                <w:szCs w:val="18"/>
              </w:rPr>
            </w:pPr>
            <w:r>
              <w:rPr>
                <w:rFonts w:ascii="宋体" w:hAnsi="宋体" w:cs="宋体" w:hint="eastAsia"/>
                <w:color w:val="000000"/>
                <w:kern w:val="0"/>
                <w:sz w:val="20"/>
                <w:szCs w:val="20"/>
              </w:rPr>
              <w:t>事业收入</w:t>
            </w:r>
          </w:p>
        </w:tc>
        <w:tc>
          <w:tcPr>
            <w:tcW w:w="1848" w:type="dxa"/>
            <w:gridSpan w:val="2"/>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1973" w:type="dxa"/>
            <w:noWrap/>
            <w:vAlign w:val="center"/>
          </w:tcPr>
          <w:p>
            <w:pPr>
              <w:spacing w:line="260" w:lineRule="exact"/>
              <w:jc w:val="center"/>
              <w:rPr>
                <w:sz w:val="18"/>
                <w:szCs w:val="18"/>
              </w:rPr>
            </w:pPr>
            <w:r>
              <w:rPr>
                <w:color w:val="000000"/>
                <w:kern w:val="0"/>
                <w:sz w:val="20"/>
                <w:szCs w:val="20"/>
              </w:rPr>
              <w:t>2024</w:t>
            </w:r>
            <w:r>
              <w:rPr>
                <w:rFonts w:ascii="宋体" w:hAnsi="宋体" w:hint="eastAsia"/>
                <w:color w:val="000000"/>
                <w:kern w:val="0"/>
                <w:sz w:val="20"/>
                <w:szCs w:val="20"/>
              </w:rPr>
              <w:t>年度</w:t>
            </w:r>
          </w:p>
        </w:tc>
      </w:tr>
      <w:tr>
        <w:tblPrEx>
          <w:tblW w:w="8613" w:type="dxa"/>
          <w:tblInd w:w="0" w:type="dxa"/>
          <w:tblLayout w:type="fixed"/>
        </w:tblPrEx>
        <w:trPr>
          <w:trHeight w:val="330"/>
        </w:trPr>
        <w:tc>
          <w:tcPr>
            <w:tcW w:w="1443" w:type="dxa"/>
            <w:gridSpan w:val="3"/>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r>
            <w:r>
              <w:rPr>
                <w:rFonts w:ascii="宋体" w:hAnsi="宋体" w:cs="宋体" w:hint="eastAsia"/>
                <w:color w:val="000000"/>
                <w:kern w:val="0"/>
                <w:sz w:val="18"/>
                <w:szCs w:val="18"/>
              </w:rPr>
              <w:t>（万元）</w:t>
            </w: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3821" w:type="dxa"/>
            <w:gridSpan w:val="3"/>
            <w:noWrap/>
            <w:vAlign w:val="center"/>
          </w:tcPr>
          <w:p>
            <w:pPr>
              <w:spacing w:line="260" w:lineRule="exact"/>
              <w:ind w:right="360" w:firstLine="1620" w:firstLineChars="900"/>
              <w:rPr>
                <w:rFonts w:ascii="宋体" w:cs="宋体"/>
                <w:sz w:val="18"/>
                <w:szCs w:val="18"/>
              </w:rPr>
            </w:pPr>
            <w:r>
              <w:rPr>
                <w:rFonts w:ascii="宋体" w:cs="宋体" w:hint="eastAsia"/>
                <w:sz w:val="18"/>
                <w:szCs w:val="18"/>
              </w:rPr>
              <w:t>390</w:t>
            </w:r>
          </w:p>
        </w:tc>
      </w:tr>
      <w:tr>
        <w:tblPrEx>
          <w:tblW w:w="8613" w:type="dxa"/>
          <w:tblInd w:w="0" w:type="dxa"/>
          <w:tblLayout w:type="fixed"/>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3821" w:type="dxa"/>
            <w:gridSpan w:val="3"/>
            <w:noWrap/>
            <w:vAlign w:val="center"/>
          </w:tcPr>
          <w:p>
            <w:pPr>
              <w:spacing w:line="260" w:lineRule="exact"/>
              <w:jc w:val="right"/>
              <w:rPr>
                <w:rFonts w:ascii="宋体" w:cs="宋体"/>
                <w:sz w:val="18"/>
                <w:szCs w:val="18"/>
              </w:rPr>
            </w:pPr>
          </w:p>
        </w:tc>
      </w:tr>
      <w:tr>
        <w:tblPrEx>
          <w:tblW w:w="8613" w:type="dxa"/>
          <w:tblInd w:w="0" w:type="dxa"/>
          <w:tblLayout w:type="fixed"/>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3821" w:type="dxa"/>
            <w:gridSpan w:val="3"/>
            <w:noWrap/>
            <w:vAlign w:val="center"/>
          </w:tcPr>
          <w:p>
            <w:pPr>
              <w:spacing w:line="260" w:lineRule="exact"/>
              <w:jc w:val="center"/>
              <w:rPr>
                <w:rFonts w:ascii="宋体" w:cs="宋体"/>
                <w:sz w:val="18"/>
                <w:szCs w:val="18"/>
              </w:rPr>
            </w:pPr>
          </w:p>
        </w:tc>
      </w:tr>
      <w:tr>
        <w:tblPrEx>
          <w:tblW w:w="8613" w:type="dxa"/>
          <w:tblInd w:w="0" w:type="dxa"/>
          <w:tblLayout w:type="fixed"/>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3821" w:type="dxa"/>
            <w:gridSpan w:val="3"/>
            <w:noWrap/>
            <w:vAlign w:val="center"/>
          </w:tcPr>
          <w:p>
            <w:pPr>
              <w:spacing w:line="260" w:lineRule="exact"/>
              <w:ind w:right="360" w:firstLine="1620" w:firstLineChars="900"/>
              <w:rPr>
                <w:rFonts w:ascii="宋体" w:cs="宋体"/>
                <w:sz w:val="18"/>
                <w:szCs w:val="18"/>
              </w:rPr>
            </w:pPr>
            <w:r>
              <w:rPr>
                <w:rFonts w:ascii="宋体" w:cs="宋体" w:hint="eastAsia"/>
                <w:sz w:val="18"/>
                <w:szCs w:val="18"/>
              </w:rPr>
              <w:t>390</w:t>
            </w:r>
          </w:p>
        </w:tc>
      </w:tr>
      <w:tr>
        <w:tblPrEx>
          <w:tblW w:w="8613" w:type="dxa"/>
          <w:tblInd w:w="0" w:type="dxa"/>
          <w:tblLayout w:type="fixed"/>
        </w:tblPrEx>
        <w:trPr>
          <w:trHeight w:val="1015"/>
        </w:trPr>
        <w:tc>
          <w:tcPr>
            <w:tcW w:w="438"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r>
            <w:r>
              <w:rPr>
                <w:rFonts w:ascii="宋体" w:hAnsi="宋体" w:cs="宋体" w:hint="eastAsia"/>
                <w:color w:val="000000"/>
                <w:kern w:val="0"/>
                <w:sz w:val="18"/>
                <w:szCs w:val="18"/>
              </w:rPr>
              <w:t>目标</w:t>
            </w:r>
          </w:p>
        </w:tc>
        <w:tc>
          <w:tcPr>
            <w:tcW w:w="8175" w:type="dxa"/>
            <w:gridSpan w:val="7"/>
            <w:noWrap/>
            <w:vAlign w:val="center"/>
          </w:tcPr>
          <w:p>
            <w:pPr>
              <w:spacing w:line="260" w:lineRule="exact"/>
              <w:ind w:firstLine="300" w:firstLineChars="150"/>
              <w:jc w:val="left"/>
              <w:rPr>
                <w:rFonts w:ascii="宋体" w:cs="宋体"/>
                <w:sz w:val="18"/>
                <w:szCs w:val="18"/>
              </w:rPr>
            </w:pPr>
            <w:r>
              <w:rPr>
                <w:rFonts w:ascii="宋体" w:hAnsi="宋体" w:cs="宋体" w:hint="eastAsia"/>
                <w:color w:val="000000"/>
                <w:kern w:val="0"/>
                <w:sz w:val="20"/>
                <w:szCs w:val="20"/>
              </w:rPr>
              <w:t>寿县安丰塘镇卫生院苏王分院为寿县卫生健康委员会下属卫生院，为人民身体健康提供医疗保健服务。觉见病多发病诊治与护理，卫生防疫，幼儿保健、计划免疫，乡村医生业务培训，卫生员业务培训，初级卫生保健规划实施1.提供基本医疗服务，开展常见病多发病的诊治与护理；2.继续稳步推进国家基本公共卫生服务；3.进一步完善医疗卫生基础设施，满足人民群众需求。</w:t>
            </w:r>
          </w:p>
        </w:tc>
      </w:tr>
      <w:tr>
        <w:tblPrEx>
          <w:tblW w:w="8613" w:type="dxa"/>
          <w:tblInd w:w="0" w:type="dxa"/>
          <w:tblLayout w:type="fixed"/>
        </w:tblPrEx>
        <w:trPr>
          <w:trHeight w:val="508"/>
        </w:trPr>
        <w:tc>
          <w:tcPr>
            <w:tcW w:w="438"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r>
            <w:r>
              <w:rPr>
                <w:rFonts w:ascii="宋体" w:hAnsi="宋体" w:cs="宋体" w:hint="eastAsia"/>
                <w:color w:val="000000"/>
                <w:kern w:val="0"/>
                <w:sz w:val="18"/>
                <w:szCs w:val="18"/>
              </w:rPr>
              <w:t>效</w:t>
            </w:r>
            <w:r>
              <w:rPr>
                <w:rFonts w:ascii="宋体" w:hAnsi="宋体" w:cs="宋体" w:hint="eastAsia"/>
                <w:color w:val="000000"/>
                <w:kern w:val="0"/>
                <w:sz w:val="18"/>
                <w:szCs w:val="18"/>
              </w:rPr>
              <w:br/>
            </w:r>
            <w:r>
              <w:rPr>
                <w:rFonts w:ascii="宋体" w:hAnsi="宋体" w:cs="宋体" w:hint="eastAsia"/>
                <w:color w:val="000000"/>
                <w:kern w:val="0"/>
                <w:sz w:val="18"/>
                <w:szCs w:val="18"/>
              </w:rPr>
              <w:t>指</w:t>
            </w:r>
            <w:r>
              <w:rPr>
                <w:rFonts w:ascii="宋体" w:hAnsi="宋体" w:cs="宋体" w:hint="eastAsia"/>
                <w:color w:val="000000"/>
                <w:kern w:val="0"/>
                <w:sz w:val="18"/>
                <w:szCs w:val="18"/>
              </w:rPr>
              <w:br/>
            </w:r>
            <w:r>
              <w:rPr>
                <w:rFonts w:ascii="宋体" w:hAnsi="宋体" w:cs="宋体" w:hint="eastAsia"/>
                <w:color w:val="000000"/>
                <w:kern w:val="0"/>
                <w:sz w:val="18"/>
                <w:szCs w:val="18"/>
              </w:rPr>
              <w:t>标</w:t>
            </w:r>
          </w:p>
        </w:tc>
        <w:tc>
          <w:tcPr>
            <w:tcW w:w="723"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r>
            <w:r>
              <w:rPr>
                <w:rFonts w:ascii="宋体" w:hAnsi="宋体" w:cs="宋体" w:hint="eastAsia"/>
                <w:color w:val="000000"/>
                <w:kern w:val="0"/>
                <w:sz w:val="18"/>
                <w:szCs w:val="18"/>
              </w:rPr>
              <w:t>指标</w:t>
            </w:r>
          </w:p>
        </w:tc>
        <w:tc>
          <w:tcPr>
            <w:tcW w:w="759"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3150"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3543"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3150" w:type="dxa"/>
            <w:gridSpan w:val="2"/>
            <w:noWrap/>
            <w:vAlign w:val="center"/>
          </w:tcPr>
          <w:p>
            <w:pPr>
              <w:widowControl/>
              <w:jc w:val="left"/>
              <w:rPr>
                <w:rFonts w:ascii="宋体" w:hAnsi="宋体" w:cs="宋体"/>
                <w:color w:val="000000"/>
                <w:kern w:val="0"/>
                <w:sz w:val="20"/>
                <w:szCs w:val="20"/>
              </w:rPr>
            </w:pPr>
            <w:r>
              <w:rPr>
                <w:rFonts w:ascii="宋体" w:hAnsi="宋体" w:cs="宋体" w:hint="eastAsia"/>
                <w:color w:val="000000"/>
                <w:kern w:val="0"/>
                <w:sz w:val="20"/>
                <w:szCs w:val="20"/>
              </w:rPr>
              <w:t>全年接诊人次数</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≥3.05万人次</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3150" w:type="dxa"/>
            <w:gridSpan w:val="2"/>
            <w:noWrap/>
            <w:vAlign w:val="center"/>
          </w:tcPr>
          <w:p>
            <w:pPr>
              <w:spacing w:line="260" w:lineRule="exact"/>
              <w:jc w:val="left"/>
              <w:textAlignment w:val="center"/>
              <w:rPr>
                <w:rFonts w:ascii="宋体" w:cs="宋体"/>
                <w:sz w:val="18"/>
                <w:szCs w:val="18"/>
              </w:rPr>
            </w:pPr>
          </w:p>
        </w:tc>
        <w:tc>
          <w:tcPr>
            <w:tcW w:w="3543" w:type="dxa"/>
            <w:gridSpan w:val="2"/>
            <w:noWrap/>
            <w:vAlign w:val="center"/>
          </w:tcPr>
          <w:p>
            <w:pPr>
              <w:spacing w:line="260" w:lineRule="exact"/>
              <w:jc w:val="center"/>
              <w:rPr>
                <w:rFonts w:ascii="宋体" w:cs="宋体"/>
                <w:sz w:val="18"/>
                <w:szCs w:val="18"/>
              </w:rPr>
            </w:pP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3150" w:type="dxa"/>
            <w:gridSpan w:val="2"/>
            <w:noWrap/>
            <w:vAlign w:val="center"/>
          </w:tcPr>
          <w:p>
            <w:pPr>
              <w:widowControl/>
              <w:jc w:val="left"/>
              <w:rPr>
                <w:rFonts w:ascii="宋体" w:hAnsi="宋体" w:cs="宋体"/>
                <w:color w:val="000000"/>
                <w:kern w:val="0"/>
                <w:sz w:val="20"/>
                <w:szCs w:val="20"/>
              </w:rPr>
            </w:pPr>
            <w:r>
              <w:rPr>
                <w:rFonts w:ascii="宋体" w:hAnsi="宋体" w:cs="宋体" w:hint="eastAsia"/>
                <w:color w:val="000000"/>
                <w:kern w:val="0"/>
                <w:sz w:val="20"/>
                <w:szCs w:val="20"/>
              </w:rPr>
              <w:t>一般诊疗好转率/治愈率</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3150" w:type="dxa"/>
            <w:gridSpan w:val="2"/>
            <w:noWrap/>
            <w:vAlign w:val="center"/>
          </w:tcPr>
          <w:p>
            <w:pPr>
              <w:spacing w:line="260" w:lineRule="exact"/>
              <w:jc w:val="left"/>
              <w:textAlignment w:val="center"/>
              <w:rPr>
                <w:rFonts w:ascii="宋体" w:cs="宋体"/>
                <w:sz w:val="18"/>
                <w:szCs w:val="18"/>
              </w:rPr>
            </w:pPr>
          </w:p>
        </w:tc>
        <w:tc>
          <w:tcPr>
            <w:tcW w:w="3543" w:type="dxa"/>
            <w:gridSpan w:val="2"/>
            <w:noWrap/>
            <w:vAlign w:val="center"/>
          </w:tcPr>
          <w:p>
            <w:pPr>
              <w:spacing w:line="260" w:lineRule="exact"/>
              <w:jc w:val="center"/>
              <w:rPr>
                <w:rFonts w:ascii="宋体" w:cs="宋体"/>
                <w:sz w:val="18"/>
                <w:szCs w:val="18"/>
              </w:rPr>
            </w:pP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3150" w:type="dxa"/>
            <w:gridSpan w:val="2"/>
            <w:noWrap/>
            <w:vAlign w:val="center"/>
          </w:tcPr>
          <w:p>
            <w:pPr>
              <w:widowControl/>
              <w:jc w:val="left"/>
              <w:rPr>
                <w:rFonts w:ascii="宋体" w:hAnsi="宋体" w:cs="宋体"/>
                <w:color w:val="000000"/>
                <w:kern w:val="0"/>
                <w:sz w:val="20"/>
                <w:szCs w:val="20"/>
              </w:rPr>
            </w:pPr>
            <w:r>
              <w:rPr>
                <w:rFonts w:ascii="宋体" w:hAnsi="宋体" w:cs="宋体" w:hint="eastAsia"/>
                <w:color w:val="000000"/>
                <w:kern w:val="0"/>
                <w:sz w:val="20"/>
                <w:szCs w:val="20"/>
              </w:rPr>
              <w:t>满足区域病人快速就诊</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≤1小时</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3150" w:type="dxa"/>
            <w:gridSpan w:val="2"/>
            <w:noWrap/>
            <w:vAlign w:val="center"/>
          </w:tcPr>
          <w:p>
            <w:pPr>
              <w:widowControl/>
              <w:jc w:val="left"/>
              <w:rPr>
                <w:rFonts w:ascii="汉仪中秀体简" w:hAnsi="汉仪中秀体简" w:cs="宋体"/>
                <w:color w:val="000000"/>
                <w:kern w:val="0"/>
                <w:sz w:val="20"/>
                <w:szCs w:val="20"/>
              </w:rPr>
            </w:pPr>
            <w:r>
              <w:rPr>
                <w:rFonts w:ascii="汉仪中秀体简" w:hAnsi="汉仪中秀体简" w:cs="宋体"/>
                <w:color w:val="000000"/>
                <w:kern w:val="0"/>
                <w:sz w:val="20"/>
                <w:szCs w:val="20"/>
              </w:rPr>
              <w:t>及时支付率</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3150" w:type="dxa"/>
            <w:gridSpan w:val="2"/>
            <w:noWrap/>
            <w:vAlign w:val="center"/>
          </w:tcPr>
          <w:p>
            <w:pPr>
              <w:widowControl/>
              <w:jc w:val="left"/>
              <w:rPr>
                <w:rFonts w:ascii="宋体" w:hAnsi="宋体" w:cs="宋体"/>
                <w:color w:val="000000"/>
                <w:kern w:val="0"/>
                <w:sz w:val="20"/>
                <w:szCs w:val="20"/>
              </w:rPr>
            </w:pPr>
            <w:r>
              <w:rPr>
                <w:rFonts w:ascii="宋体" w:hAnsi="宋体" w:cs="宋体" w:hint="eastAsia"/>
                <w:color w:val="000000"/>
                <w:kern w:val="0"/>
                <w:sz w:val="20"/>
                <w:szCs w:val="20"/>
              </w:rPr>
              <w:t>降低门诊次均费用</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≤50元/人次</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3150" w:type="dxa"/>
            <w:gridSpan w:val="2"/>
            <w:noWrap/>
            <w:vAlign w:val="center"/>
          </w:tcPr>
          <w:p>
            <w:pPr>
              <w:widowControl/>
              <w:jc w:val="left"/>
              <w:rPr>
                <w:rFonts w:ascii="汉仪中秀体简" w:hAnsi="汉仪中秀体简" w:cs="宋体"/>
                <w:color w:val="000000"/>
                <w:kern w:val="0"/>
                <w:sz w:val="20"/>
                <w:szCs w:val="20"/>
              </w:rPr>
            </w:pPr>
            <w:r>
              <w:rPr>
                <w:rFonts w:ascii="汉仪中秀体简" w:hAnsi="汉仪中秀体简" w:cs="宋体"/>
                <w:color w:val="000000"/>
                <w:kern w:val="0"/>
                <w:sz w:val="20"/>
                <w:szCs w:val="20"/>
              </w:rPr>
              <w:t>项目支出控制额</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≤390万元</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noWrap/>
            <w:vAlign w:val="center"/>
          </w:tcPr>
          <w:p>
            <w:pPr>
              <w:spacing w:line="260" w:lineRule="exact"/>
              <w:jc w:val="center"/>
              <w:textAlignment w:val="center"/>
              <w:rPr>
                <w:rFonts w:ascii="宋体" w:cs="宋体"/>
                <w:sz w:val="18"/>
                <w:szCs w:val="18"/>
              </w:rPr>
            </w:pPr>
          </w:p>
        </w:tc>
        <w:tc>
          <w:tcPr>
            <w:tcW w:w="3150" w:type="dxa"/>
            <w:gridSpan w:val="2"/>
            <w:noWrap/>
            <w:vAlign w:val="center"/>
          </w:tcPr>
          <w:p>
            <w:pPr>
              <w:spacing w:line="260" w:lineRule="exact"/>
              <w:jc w:val="left"/>
              <w:rPr>
                <w:rFonts w:ascii="宋体" w:cs="宋体"/>
                <w:sz w:val="18"/>
                <w:szCs w:val="18"/>
              </w:rPr>
            </w:pPr>
          </w:p>
        </w:tc>
        <w:tc>
          <w:tcPr>
            <w:tcW w:w="3543" w:type="dxa"/>
            <w:gridSpan w:val="2"/>
            <w:noWrap/>
            <w:vAlign w:val="center"/>
          </w:tcPr>
          <w:p>
            <w:pPr>
              <w:spacing w:line="260" w:lineRule="exact"/>
              <w:jc w:val="center"/>
              <w:rPr>
                <w:rFonts w:ascii="宋体" w:cs="宋体"/>
                <w:sz w:val="18"/>
                <w:szCs w:val="18"/>
              </w:rPr>
            </w:pP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3150" w:type="dxa"/>
            <w:gridSpan w:val="2"/>
            <w:noWrap/>
            <w:vAlign w:val="center"/>
          </w:tcPr>
          <w:p>
            <w:pPr>
              <w:widowControl/>
              <w:jc w:val="left"/>
              <w:rPr>
                <w:rFonts w:ascii="宋体" w:hAnsi="宋体" w:cs="宋体"/>
                <w:color w:val="000000"/>
                <w:kern w:val="0"/>
                <w:sz w:val="20"/>
                <w:szCs w:val="20"/>
              </w:rPr>
            </w:pPr>
            <w:r>
              <w:rPr>
                <w:rFonts w:ascii="宋体" w:hAnsi="宋体" w:cs="宋体" w:hint="eastAsia"/>
                <w:color w:val="000000"/>
                <w:kern w:val="0"/>
                <w:sz w:val="20"/>
                <w:szCs w:val="20"/>
              </w:rPr>
              <w:t>节省开支</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定性/节省非生产性开支</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3150" w:type="dxa"/>
            <w:gridSpan w:val="2"/>
            <w:noWrap/>
            <w:vAlign w:val="center"/>
          </w:tcPr>
          <w:p>
            <w:pPr>
              <w:spacing w:line="260" w:lineRule="exact"/>
              <w:jc w:val="left"/>
              <w:textAlignment w:val="center"/>
              <w:rPr>
                <w:rFonts w:ascii="宋体" w:cs="宋体"/>
                <w:sz w:val="18"/>
                <w:szCs w:val="18"/>
              </w:rPr>
            </w:pPr>
          </w:p>
        </w:tc>
        <w:tc>
          <w:tcPr>
            <w:tcW w:w="3543" w:type="dxa"/>
            <w:gridSpan w:val="2"/>
            <w:noWrap/>
            <w:vAlign w:val="center"/>
          </w:tcPr>
          <w:p>
            <w:pPr>
              <w:spacing w:line="260" w:lineRule="exact"/>
              <w:jc w:val="center"/>
              <w:rPr>
                <w:rFonts w:ascii="宋体" w:cs="宋体"/>
                <w:sz w:val="18"/>
                <w:szCs w:val="18"/>
              </w:rPr>
            </w:pP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3150" w:type="dxa"/>
            <w:gridSpan w:val="2"/>
            <w:noWrap/>
            <w:vAlign w:val="center"/>
          </w:tcPr>
          <w:p>
            <w:pPr>
              <w:widowControl/>
              <w:jc w:val="left"/>
              <w:rPr>
                <w:rFonts w:ascii="宋体" w:hAnsi="宋体" w:cs="宋体"/>
                <w:color w:val="000000"/>
                <w:kern w:val="0"/>
                <w:sz w:val="20"/>
                <w:szCs w:val="20"/>
              </w:rPr>
            </w:pPr>
            <w:r>
              <w:rPr>
                <w:rFonts w:ascii="宋体" w:hAnsi="宋体" w:cs="宋体" w:hint="eastAsia"/>
                <w:color w:val="000000"/>
                <w:kern w:val="0"/>
                <w:sz w:val="20"/>
                <w:szCs w:val="20"/>
              </w:rPr>
              <w:t>提供医疗服务数量、质量、服务态度</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3150" w:type="dxa"/>
            <w:gridSpan w:val="2"/>
            <w:noWrap/>
            <w:vAlign w:val="center"/>
          </w:tcPr>
          <w:p>
            <w:pPr>
              <w:spacing w:line="260" w:lineRule="exact"/>
              <w:jc w:val="left"/>
              <w:textAlignment w:val="center"/>
              <w:rPr>
                <w:rFonts w:ascii="宋体" w:cs="宋体"/>
                <w:sz w:val="18"/>
                <w:szCs w:val="18"/>
              </w:rPr>
            </w:pPr>
          </w:p>
        </w:tc>
        <w:tc>
          <w:tcPr>
            <w:tcW w:w="3543" w:type="dxa"/>
            <w:gridSpan w:val="2"/>
            <w:noWrap/>
            <w:vAlign w:val="center"/>
          </w:tcPr>
          <w:p>
            <w:pPr>
              <w:spacing w:line="260" w:lineRule="exact"/>
              <w:jc w:val="center"/>
              <w:rPr>
                <w:rFonts w:ascii="宋体" w:cs="宋体"/>
                <w:sz w:val="18"/>
                <w:szCs w:val="18"/>
              </w:rPr>
            </w:pP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3150" w:type="dxa"/>
            <w:gridSpan w:val="2"/>
            <w:noWrap/>
            <w:vAlign w:val="center"/>
          </w:tcPr>
          <w:p>
            <w:pPr>
              <w:widowControl/>
              <w:jc w:val="left"/>
              <w:rPr>
                <w:rFonts w:ascii="宋体" w:hAnsi="宋体" w:cs="宋体"/>
                <w:color w:val="000000"/>
                <w:kern w:val="0"/>
                <w:sz w:val="20"/>
                <w:szCs w:val="20"/>
              </w:rPr>
            </w:pPr>
            <w:r>
              <w:rPr>
                <w:rFonts w:ascii="宋体" w:hAnsi="宋体" w:cs="宋体" w:hint="eastAsia"/>
                <w:color w:val="000000"/>
                <w:kern w:val="0"/>
                <w:sz w:val="20"/>
                <w:szCs w:val="20"/>
              </w:rPr>
              <w:t>医疗废物处置达标率</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cs="宋体"/>
                <w:sz w:val="18"/>
                <w:szCs w:val="18"/>
              </w:rPr>
            </w:pPr>
          </w:p>
        </w:tc>
        <w:tc>
          <w:tcPr>
            <w:tcW w:w="3150" w:type="dxa"/>
            <w:gridSpan w:val="2"/>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p>
        </w:tc>
        <w:tc>
          <w:tcPr>
            <w:tcW w:w="3543" w:type="dxa"/>
            <w:gridSpan w:val="2"/>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p>
        </w:tc>
      </w:tr>
      <w:tr>
        <w:tblPrEx>
          <w:tblW w:w="8613" w:type="dxa"/>
          <w:tblInd w:w="0" w:type="dxa"/>
          <w:tblLayout w:type="fixed"/>
        </w:tblPrEx>
        <w:trPr>
          <w:trHeight w:val="420"/>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3150" w:type="dxa"/>
            <w:gridSpan w:val="2"/>
            <w:noWrap/>
            <w:vAlign w:val="center"/>
          </w:tcPr>
          <w:p>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提高卫生健康工作服务质量</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定性/长期</w:t>
            </w:r>
          </w:p>
        </w:tc>
      </w:tr>
      <w:tr>
        <w:tblPrEx>
          <w:tblW w:w="8613" w:type="dxa"/>
          <w:tblInd w:w="0" w:type="dxa"/>
          <w:tblLayout w:type="fixed"/>
        </w:tblPrEx>
        <w:trPr>
          <w:trHeight w:val="444"/>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vMerge/>
            <w:noWrap/>
            <w:vAlign w:val="center"/>
          </w:tcPr>
          <w:p>
            <w:pPr>
              <w:spacing w:line="260" w:lineRule="exact"/>
              <w:jc w:val="center"/>
              <w:rPr>
                <w:rFonts w:ascii="宋体" w:hAnsi="宋体" w:cs="宋体"/>
                <w:sz w:val="18"/>
                <w:szCs w:val="18"/>
              </w:rPr>
            </w:pPr>
          </w:p>
        </w:tc>
        <w:tc>
          <w:tcPr>
            <w:tcW w:w="3150" w:type="dxa"/>
            <w:gridSpan w:val="2"/>
            <w:noWrap/>
            <w:vAlign w:val="center"/>
          </w:tcPr>
          <w:p>
            <w:pPr>
              <w:spacing w:line="260" w:lineRule="exact"/>
              <w:jc w:val="left"/>
              <w:textAlignment w:val="center"/>
              <w:rPr>
                <w:rFonts w:ascii="宋体" w:hAnsi="宋体" w:cs="宋体"/>
                <w:color w:val="000000"/>
                <w:kern w:val="0"/>
                <w:sz w:val="18"/>
                <w:szCs w:val="18"/>
              </w:rPr>
            </w:pPr>
          </w:p>
        </w:tc>
        <w:tc>
          <w:tcPr>
            <w:tcW w:w="3543" w:type="dxa"/>
            <w:gridSpan w:val="2"/>
            <w:noWrap/>
            <w:vAlign w:val="center"/>
          </w:tcPr>
          <w:p>
            <w:pPr>
              <w:spacing w:line="260" w:lineRule="exact"/>
              <w:jc w:val="center"/>
              <w:rPr>
                <w:rFonts w:ascii="宋体" w:cs="宋体"/>
                <w:sz w:val="18"/>
                <w:szCs w:val="18"/>
              </w:rPr>
            </w:pP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cs="宋体"/>
                <w:sz w:val="18"/>
                <w:szCs w:val="18"/>
              </w:rPr>
            </w:pPr>
          </w:p>
        </w:tc>
        <w:tc>
          <w:tcPr>
            <w:tcW w:w="759" w:type="dxa"/>
            <w:gridSpan w:val="2"/>
            <w:noWrap/>
            <w:vAlign w:val="center"/>
          </w:tcPr>
          <w:p>
            <w:pPr>
              <w:spacing w:line="260" w:lineRule="exact"/>
              <w:jc w:val="center"/>
              <w:rPr>
                <w:rFonts w:ascii="宋体" w:hAnsi="宋体" w:cs="宋体"/>
                <w:sz w:val="18"/>
                <w:szCs w:val="18"/>
              </w:rPr>
            </w:pPr>
          </w:p>
        </w:tc>
        <w:tc>
          <w:tcPr>
            <w:tcW w:w="3150" w:type="dxa"/>
            <w:gridSpan w:val="2"/>
            <w:noWrap/>
            <w:vAlign w:val="center"/>
          </w:tcPr>
          <w:p>
            <w:pPr>
              <w:spacing w:line="260" w:lineRule="exact"/>
              <w:jc w:val="left"/>
              <w:textAlignment w:val="center"/>
              <w:rPr>
                <w:rFonts w:ascii="宋体" w:hAnsi="宋体" w:cs="宋体"/>
                <w:color w:val="000000"/>
                <w:kern w:val="0"/>
                <w:sz w:val="18"/>
                <w:szCs w:val="18"/>
              </w:rPr>
            </w:pPr>
          </w:p>
        </w:tc>
        <w:tc>
          <w:tcPr>
            <w:tcW w:w="3543" w:type="dxa"/>
            <w:gridSpan w:val="2"/>
            <w:noWrap/>
            <w:vAlign w:val="center"/>
          </w:tcPr>
          <w:p>
            <w:pPr>
              <w:spacing w:line="260" w:lineRule="exact"/>
              <w:jc w:val="center"/>
              <w:rPr>
                <w:rFonts w:ascii="宋体" w:cs="宋体"/>
                <w:sz w:val="18"/>
                <w:szCs w:val="18"/>
              </w:rPr>
            </w:pP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3150" w:type="dxa"/>
            <w:gridSpan w:val="2"/>
            <w:noWrap/>
            <w:vAlign w:val="center"/>
          </w:tcPr>
          <w:p>
            <w:pPr>
              <w:widowControl/>
              <w:jc w:val="left"/>
              <w:rPr>
                <w:rFonts w:ascii="宋体" w:hAnsi="宋体" w:cs="宋体"/>
                <w:color w:val="000000"/>
                <w:kern w:val="0"/>
                <w:sz w:val="20"/>
                <w:szCs w:val="20"/>
              </w:rPr>
            </w:pPr>
            <w:r>
              <w:rPr>
                <w:rFonts w:ascii="宋体" w:hAnsi="宋体" w:cs="宋体" w:hint="eastAsia"/>
                <w:color w:val="000000"/>
                <w:kern w:val="0"/>
                <w:sz w:val="20"/>
                <w:szCs w:val="20"/>
              </w:rPr>
              <w:t>患者对本单位的服务满意度</w:t>
            </w:r>
          </w:p>
        </w:tc>
        <w:tc>
          <w:tcPr>
            <w:tcW w:w="3543" w:type="dxa"/>
            <w:gridSpan w:val="2"/>
            <w:noWrap/>
            <w:vAlign w:val="center"/>
          </w:tcPr>
          <w:p>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r>
      <w:tr>
        <w:tblPrEx>
          <w:tblW w:w="8613" w:type="dxa"/>
          <w:tblInd w:w="0" w:type="dxa"/>
          <w:tblLayout w:type="fixed"/>
        </w:tblPrEx>
        <w:trPr>
          <w:trHeight w:val="363"/>
        </w:trPr>
        <w:tc>
          <w:tcPr>
            <w:tcW w:w="438" w:type="dxa"/>
            <w:vMerge/>
            <w:noWrap/>
            <w:vAlign w:val="center"/>
          </w:tcPr>
          <w:p>
            <w:pPr>
              <w:spacing w:line="260" w:lineRule="exact"/>
              <w:jc w:val="center"/>
              <w:rPr>
                <w:rFonts w:ascii="宋体" w:cs="宋体"/>
                <w:sz w:val="18"/>
                <w:szCs w:val="18"/>
              </w:rPr>
            </w:pPr>
          </w:p>
        </w:tc>
        <w:tc>
          <w:tcPr>
            <w:tcW w:w="723" w:type="dxa"/>
            <w:vMerge/>
            <w:noWrap/>
            <w:vAlign w:val="center"/>
          </w:tcPr>
          <w:p>
            <w:pPr>
              <w:spacing w:line="260" w:lineRule="exact"/>
              <w:jc w:val="center"/>
              <w:rPr>
                <w:rFonts w:ascii="宋体" w:hAnsi="宋体" w:cs="宋体"/>
                <w:sz w:val="18"/>
                <w:szCs w:val="18"/>
              </w:rPr>
            </w:pPr>
          </w:p>
        </w:tc>
        <w:tc>
          <w:tcPr>
            <w:tcW w:w="759" w:type="dxa"/>
            <w:gridSpan w:val="2"/>
            <w:vMerge/>
            <w:noWrap/>
            <w:vAlign w:val="center"/>
          </w:tcPr>
          <w:p>
            <w:pPr>
              <w:spacing w:line="260" w:lineRule="exact"/>
              <w:jc w:val="center"/>
              <w:rPr>
                <w:rFonts w:ascii="宋体" w:hAnsi="宋体" w:cs="宋体"/>
                <w:sz w:val="18"/>
                <w:szCs w:val="18"/>
              </w:rPr>
            </w:pPr>
          </w:p>
        </w:tc>
        <w:tc>
          <w:tcPr>
            <w:tcW w:w="3150" w:type="dxa"/>
            <w:gridSpan w:val="2"/>
            <w:noWrap/>
            <w:vAlign w:val="center"/>
          </w:tcPr>
          <w:p>
            <w:pPr>
              <w:spacing w:line="260" w:lineRule="exact"/>
              <w:jc w:val="left"/>
              <w:textAlignment w:val="center"/>
              <w:rPr>
                <w:rFonts w:ascii="宋体" w:hAnsi="宋体" w:cs="宋体"/>
                <w:sz w:val="18"/>
                <w:szCs w:val="18"/>
              </w:rPr>
            </w:pPr>
          </w:p>
        </w:tc>
        <w:tc>
          <w:tcPr>
            <w:tcW w:w="3543" w:type="dxa"/>
            <w:gridSpan w:val="2"/>
            <w:noWrap/>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寿县安丰塘镇卫生院苏王分院2024年没有机关运行经费预算拨款收入，也没有使用机关运行经费预算拨款安排的支出</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left="638" w:leftChars="304"/>
        <w:rPr>
          <w:rFonts w:ascii="仿宋_GB2312" w:eastAsia="仿宋_GB2312" w:hAnsi="TimesNewRoman" w:cs="TimesNewRoman"/>
          <w:b/>
          <w:sz w:val="32"/>
          <w:szCs w:val="32"/>
        </w:rPr>
      </w:pPr>
      <w:r>
        <w:rPr>
          <w:rFonts w:ascii="仿宋_GB2312" w:eastAsia="仿宋_GB2312" w:hAnsi="仿宋" w:hint="eastAsia"/>
          <w:sz w:val="32"/>
          <w:szCs w:val="32"/>
        </w:rPr>
        <w:t>寿县安丰塘镇卫生院苏王分院2024年政府采购预算0万</w:t>
      </w: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截至2024年12月31日，</w:t>
      </w:r>
      <w:r>
        <w:rPr>
          <w:rFonts w:ascii="仿宋_GB2312" w:eastAsia="仿宋_GB2312" w:hAnsi="仿宋" w:hint="eastAsia"/>
          <w:sz w:val="32"/>
          <w:szCs w:val="32"/>
        </w:rPr>
        <w:t>寿县安丰塘镇卫生院苏王分院</w:t>
      </w:r>
      <w:r>
        <w:rPr>
          <w:rFonts w:ascii="仿宋_GB2312" w:eastAsia="仿宋_GB2312" w:hAnsi="TimesNewRoman" w:cs="TimesNewRoman" w:hint="eastAsia"/>
          <w:sz w:val="32"/>
          <w:szCs w:val="32"/>
        </w:rPr>
        <w:t>共有车辆1辆，其中：其他用车1辆。单价50万元以上的专用设备1台，单价100万元以上的专用设备1台。</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2024年部门预算安排购置公务用车0辆，购置费0万元，安排购置单价50万元以上的通用设备0台</w:t>
      </w:r>
      <w:r>
        <w:rPr>
          <w:rFonts w:ascii="仿宋_GB2312" w:eastAsia="仿宋_GB2312" w:hAnsi="仿宋" w:hint="eastAsia"/>
          <w:sz w:val="32"/>
          <w:szCs w:val="32"/>
        </w:rPr>
        <w:t>（套）</w:t>
      </w:r>
      <w:r>
        <w:rPr>
          <w:rFonts w:ascii="仿宋_GB2312" w:eastAsia="仿宋_GB2312" w:hAnsi="TimesNewRoman" w:cs="TimesNewRoman" w:hint="eastAsia"/>
          <w:sz w:val="32"/>
          <w:szCs w:val="32"/>
        </w:rPr>
        <w:t>，购置费0万元；安排购置单价100万元以上专用设备0台</w:t>
      </w:r>
      <w:r>
        <w:rPr>
          <w:rFonts w:ascii="仿宋_GB2312" w:eastAsia="仿宋_GB2312" w:hAnsi="仿宋" w:hint="eastAsia"/>
          <w:sz w:val="32"/>
          <w:szCs w:val="32"/>
        </w:rPr>
        <w:t>（套）</w:t>
      </w:r>
      <w:r>
        <w:rPr>
          <w:rFonts w:ascii="仿宋_GB2312" w:eastAsia="仿宋_GB2312" w:hAnsi="TimesNewRoman" w:cs="TimesNewRoman" w:hint="eastAsia"/>
          <w:sz w:val="32"/>
          <w:szCs w:val="32"/>
        </w:rPr>
        <w:t>，购置费0万元。</w:t>
      </w:r>
    </w:p>
    <w:p>
      <w:pPr>
        <w:topLinePunct/>
        <w:adjustRightInd w:val="0"/>
        <w:snapToGrid w:val="0"/>
        <w:spacing w:line="560" w:lineRule="exact"/>
        <w:ind w:firstLine="800" w:firstLineChars="25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TimesNewRoman" w:cs="TimesNewRoman" w:hint="eastAsia"/>
          <w:sz w:val="32"/>
          <w:szCs w:val="32"/>
        </w:rPr>
        <w:t>2024年，</w:t>
      </w:r>
      <w:r>
        <w:rPr>
          <w:rFonts w:ascii="仿宋_GB2312" w:eastAsia="仿宋_GB2312" w:hAnsi="仿宋" w:hint="eastAsia"/>
          <w:sz w:val="32"/>
          <w:szCs w:val="32"/>
        </w:rPr>
        <w:t>寿县安丰塘镇卫生院苏王分院1</w:t>
      </w:r>
      <w:r>
        <w:rPr>
          <w:rFonts w:ascii="仿宋_GB2312" w:eastAsia="仿宋_GB2312" w:hAnsi="TimesNewRoman" w:cs="TimesNewRoman" w:hint="eastAsia"/>
          <w:sz w:val="32"/>
          <w:szCs w:val="32"/>
        </w:rPr>
        <w:t>个项目实行了绩效目标管理，</w:t>
      </w:r>
      <w:r>
        <w:rPr>
          <w:rFonts w:ascii="仿宋_GB2312" w:eastAsia="仿宋_GB2312" w:hAnsi="仿宋" w:hint="eastAsia"/>
          <w:sz w:val="32"/>
          <w:szCs w:val="32"/>
        </w:rPr>
        <w:t>涉及单位资金安排390万元。</w:t>
      </w:r>
    </w:p>
    <w:p>
      <w:pPr>
        <w:topLinePunct/>
        <w:adjustRightInd w:val="0"/>
        <w:snapToGrid w:val="0"/>
        <w:spacing w:line="560" w:lineRule="exact"/>
        <w:ind w:firstLine="720" w:firstLineChars="200"/>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spacing w:beforeAutospacing="0" w:afterAutospacing="0" w:line="600" w:lineRule="exact"/>
        <w:jc w:val="both"/>
        <w:rPr>
          <w:rFonts w:ascii="仿宋_GB2312" w:eastAsia="仿宋_GB2312" w:hAnsi="仿宋"/>
          <w:kern w:val="2"/>
          <w:sz w:val="32"/>
          <w:szCs w:val="32"/>
        </w:rPr>
      </w:pPr>
      <w:r>
        <w:rPr>
          <w:rFonts w:ascii="仿宋_GB2312" w:eastAsia="仿宋_GB2312" w:hAnsi="Times New Roman" w:hint="eastAsia"/>
          <w:kern w:val="2"/>
          <w:sz w:val="32"/>
          <w:szCs w:val="32"/>
        </w:rPr>
        <w:t xml:space="preserve">  附表：</w:t>
      </w:r>
      <w:r>
        <w:rPr>
          <w:rFonts w:ascii="仿宋_GB2312" w:eastAsia="仿宋_GB2312" w:hAnsi="仿宋" w:hint="eastAsia"/>
          <w:bCs/>
          <w:color w:val="000000"/>
          <w:sz w:val="32"/>
          <w:szCs w:val="32"/>
        </w:rPr>
        <w:t>寿县安丰塘镇卫生院苏王分院</w:t>
      </w:r>
      <w:r>
        <w:rPr>
          <w:rFonts w:ascii="仿宋_GB2312" w:eastAsia="仿宋_GB2312" w:hAnsi="仿宋" w:hint="eastAsia"/>
          <w:bCs/>
          <w:sz w:val="32"/>
          <w:szCs w:val="32"/>
        </w:rPr>
        <w:t>2024年单位预算表</w:t>
      </w:r>
      <w:r>
        <w:rPr>
          <w:rFonts w:ascii="TimesNewRoman" w:eastAsia="仿宋_GB2312" w:hAnsi="TimesNewRoman" w:cs="TimesNewRoman"/>
          <w:sz w:val="32"/>
          <w:szCs w:val="32"/>
        </w:rPr>
        <w:t>。</w:t>
      </w:r>
    </w:p>
    <w:p/>
    <w:sectPr>
      <w:footerReference w:type="default" r:id="rId8"/>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
    <w:altName w:val="Simplified Arabic"/>
    <w:panose1 w:val="00000000000000000000"/>
    <w:charset w:val="00"/>
    <w:family w:val="auto"/>
    <w:pitch w:val="default"/>
    <w:sig w:usb0="00000000" w:usb1="00000000" w:usb2="00000029" w:usb3="00000000" w:csb0="600001FF" w:csb1="FFFF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4</w:t>
    </w:r>
    <w:r>
      <w:rPr>
        <w:sz w:val="28"/>
        <w:szCs w:val="28"/>
      </w:rPr>
      <w:fldChar w:fldCharType="end"/>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13</w:t>
    </w:r>
    <w:r>
      <w:rPr>
        <w:sz w:val="28"/>
        <w:szCs w:val="28"/>
      </w:rPr>
      <w:fldChar w:fldCharType="end"/>
    </w:r>
    <w:r>
      <w:rPr>
        <w:rFonts w:ascii="宋体" w:hAnsi="宋体" w:hint="eastAsia"/>
        <w:sz w:val="28"/>
        <w:szCs w:val="28"/>
      </w:rPr>
      <w:t xml:space="preserve">— </w:t>
    </w:r>
  </w:p>
  <w:p>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00102A"/>
    <w:rsid w:val="000042E1"/>
    <w:rsid w:val="000E03F3"/>
    <w:rsid w:val="00155166"/>
    <w:rsid w:val="00174F49"/>
    <w:rsid w:val="001A66F1"/>
    <w:rsid w:val="0041325E"/>
    <w:rsid w:val="0048691D"/>
    <w:rsid w:val="004B502E"/>
    <w:rsid w:val="004E20A0"/>
    <w:rsid w:val="00551ED0"/>
    <w:rsid w:val="005E56AC"/>
    <w:rsid w:val="006E2330"/>
    <w:rsid w:val="0075474F"/>
    <w:rsid w:val="008B7A4F"/>
    <w:rsid w:val="00A86C10"/>
    <w:rsid w:val="00B85753"/>
    <w:rsid w:val="00BE25B7"/>
    <w:rsid w:val="00C43CE3"/>
    <w:rsid w:val="00D75D47"/>
    <w:rsid w:val="00D762A9"/>
    <w:rsid w:val="00E005FD"/>
    <w:rsid w:val="00E71F01"/>
    <w:rsid w:val="00EA353F"/>
    <w:rsid w:val="040538B7"/>
    <w:rsid w:val="170840D6"/>
    <w:rsid w:val="2123110F"/>
    <w:rsid w:val="34C97AC9"/>
  </w:rsids>
  <w:docVars>
    <w:docVar w:name="commondata" w:val="eyJoZGlkIjoiZmY2OWRmYjU3MTk4OGVmNTAyNGI1ZTlhNTFjZjkyYTM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link w:val="Char"/>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Autospacing="1" w:afterAutospacing="1"/>
      <w:jc w:val="left"/>
    </w:pPr>
    <w:rPr>
      <w:rFonts w:ascii="Calibri" w:hAnsi="Calibri"/>
      <w:kern w:val="0"/>
      <w:sz w:val="24"/>
    </w:rPr>
  </w:style>
  <w:style w:type="character" w:styleId="Strong">
    <w:name w:val="Strong"/>
    <w:basedOn w:val="DefaultParagraphFont"/>
    <w:qFormat/>
    <w:rPr>
      <w:b/>
      <w:bCs/>
    </w:rPr>
  </w:style>
  <w:style w:type="character" w:customStyle="1" w:styleId="Char">
    <w:name w:val="页眉 Char"/>
    <w:basedOn w:val="DefaultParagraphFont"/>
    <w:link w:val="Header"/>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footer" Target="footer4.xml" /><Relationship Id="rId8" Type="http://schemas.openxmlformats.org/officeDocument/2006/relationships/footer" Target="footer5.xml" /><Relationship Id="rId9" Type="http://schemas.openxmlformats.org/officeDocument/2006/relationships/theme" Target="theme/theme1.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117</TotalTime>
  <Pages>1</Pages>
  <Words>1768</Words>
  <Characters>10079</Characters>
  <Application>Microsoft Office Word</Application>
  <DocSecurity>0</DocSecurity>
  <Lines>83</Lines>
  <Paragraphs>23</Paragraphs>
  <ScaleCrop>false</ScaleCrop>
  <Company>Microsoft</Company>
  <LinksUpToDate>false</LinksUpToDate>
  <CharactersWithSpaces>11824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微信用户</cp:lastModifiedBy>
  <cp:revision>15</cp:revision>
  <dcterms:created xsi:type="dcterms:W3CDTF">2024-01-16T02:39:00Z</dcterms:created>
  <dcterms:modified xsi:type="dcterms:W3CDTF">2024-01-25T01:53:00Z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