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枸杞分院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both"/>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黑体" w:eastAsia="黑体" w:hAnsi="黑体" w:cs="TimesNewRoman"/>
          <w:sz w:val="32"/>
          <w:szCs w:val="32"/>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 部门</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2.部门</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 部门</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lang w:eastAsia="zh-CN"/>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一</w:t>
      </w:r>
      <w:r>
        <w:rPr>
          <w:rFonts w:ascii="仿宋" w:eastAsia="仿宋" w:hAnsi="仿宋" w:cs="仿宋" w:hint="eastAsia"/>
          <w:sz w:val="32"/>
          <w:szCs w:val="32"/>
          <w:lang w:eastAsia="zh-CN"/>
        </w:rPr>
        <w:t>）</w:t>
      </w:r>
      <w:r>
        <w:rPr>
          <w:rFonts w:ascii="仿宋" w:eastAsia="仿宋" w:hAnsi="仿宋" w:cs="仿宋" w:hint="eastAsia"/>
          <w:sz w:val="32"/>
          <w:szCs w:val="32"/>
        </w:rPr>
        <w:t>乡镇卫生院以</w:t>
      </w:r>
      <w:r>
        <w:rPr>
          <w:rFonts w:ascii="仿宋" w:eastAsia="仿宋" w:hAnsi="仿宋" w:cs="仿宋" w:hint="eastAsia"/>
          <w:sz w:val="32"/>
          <w:szCs w:val="32"/>
          <w:lang w:val="en-US" w:eastAsia="zh-CN"/>
        </w:rPr>
        <w:t>提供</w:t>
      </w:r>
      <w:r>
        <w:rPr>
          <w:rFonts w:ascii="仿宋" w:eastAsia="仿宋" w:hAnsi="仿宋" w:cs="仿宋" w:hint="eastAsia"/>
          <w:sz w:val="32"/>
          <w:szCs w:val="32"/>
        </w:rPr>
        <w:t>公共卫生服务为主，提供预防、保健、基本医疗等综合服务</w:t>
      </w:r>
      <w:r>
        <w:rPr>
          <w:rFonts w:ascii="仿宋" w:eastAsia="仿宋" w:hAnsi="仿宋" w:cs="仿宋" w:hint="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二</w:t>
      </w:r>
      <w:r>
        <w:rPr>
          <w:rFonts w:ascii="仿宋" w:eastAsia="仿宋" w:hAnsi="仿宋" w:cs="仿宋" w:hint="eastAsia"/>
          <w:sz w:val="32"/>
          <w:szCs w:val="32"/>
          <w:lang w:eastAsia="zh-CN"/>
        </w:rPr>
        <w:t>）</w:t>
      </w:r>
      <w:r>
        <w:rPr>
          <w:rFonts w:ascii="仿宋" w:eastAsia="仿宋" w:hAnsi="仿宋" w:cs="仿宋" w:hint="eastAsia"/>
          <w:sz w:val="32"/>
          <w:szCs w:val="32"/>
        </w:rPr>
        <w:t>加强农村疫病防控，防治农村突发公共卫生事件报告工作，重点控制传染病、地方病</w:t>
      </w:r>
      <w:r>
        <w:rPr>
          <w:rFonts w:ascii="仿宋" w:eastAsia="仿宋" w:hAnsi="仿宋" w:cs="仿宋" w:hint="eastAsia"/>
          <w:sz w:val="32"/>
          <w:szCs w:val="32"/>
          <w:lang w:eastAsia="zh-CN"/>
        </w:rPr>
        <w:t>；</w:t>
      </w:r>
      <w:r>
        <w:rPr>
          <w:rFonts w:ascii="仿宋" w:eastAsia="仿宋" w:hAnsi="仿宋" w:cs="仿宋" w:hint="eastAsia"/>
          <w:sz w:val="32"/>
          <w:szCs w:val="32"/>
        </w:rPr>
        <w:t>认真执行儿童计划免疫</w:t>
      </w:r>
      <w:r>
        <w:rPr>
          <w:rFonts w:ascii="仿宋" w:eastAsia="仿宋" w:hAnsi="仿宋" w:cs="仿宋" w:hint="eastAsia"/>
          <w:sz w:val="32"/>
          <w:szCs w:val="32"/>
          <w:lang w:eastAsia="zh-CN"/>
        </w:rPr>
        <w:t>，</w:t>
      </w:r>
      <w:r>
        <w:rPr>
          <w:rFonts w:ascii="仿宋" w:eastAsia="仿宋" w:hAnsi="仿宋" w:cs="仿宋" w:hint="eastAsia"/>
          <w:sz w:val="32"/>
          <w:szCs w:val="32"/>
        </w:rPr>
        <w:t>积极开展慢性非传染性疾病防控工作。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三</w:t>
      </w:r>
      <w:r>
        <w:rPr>
          <w:rFonts w:ascii="仿宋" w:eastAsia="仿宋" w:hAnsi="仿宋" w:cs="仿宋" w:hint="eastAsia"/>
          <w:sz w:val="32"/>
          <w:szCs w:val="32"/>
          <w:lang w:eastAsia="zh-CN"/>
        </w:rPr>
        <w:t>）</w:t>
      </w:r>
      <w:r>
        <w:rPr>
          <w:rFonts w:ascii="仿宋" w:eastAsia="仿宋" w:hAnsi="仿宋" w:cs="仿宋" w:hint="eastAsia"/>
          <w:sz w:val="32"/>
          <w:szCs w:val="32"/>
        </w:rPr>
        <w:t>积极开展新型农村合作医疗、计划生育技术指导和康复工作。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四</w:t>
      </w:r>
      <w:r>
        <w:rPr>
          <w:rFonts w:ascii="仿宋" w:eastAsia="仿宋" w:hAnsi="仿宋" w:cs="仿宋" w:hint="eastAsia"/>
          <w:sz w:val="32"/>
          <w:szCs w:val="32"/>
          <w:lang w:eastAsia="zh-CN"/>
        </w:rPr>
        <w:t>）</w:t>
      </w:r>
      <w:r>
        <w:rPr>
          <w:rFonts w:ascii="仿宋" w:eastAsia="仿宋" w:hAnsi="仿宋" w:cs="仿宋" w:hint="eastAsia"/>
          <w:sz w:val="32"/>
          <w:szCs w:val="32"/>
        </w:rPr>
        <w:t>普及疾病预防和卫生知识，引导群众改善住房、食品、饮水、卫生条件，引导和帮助农民建立良好卫生。</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部门（单位）预算构成</w:t>
      </w:r>
    </w:p>
    <w:p>
      <w:pPr>
        <w:pStyle w:val="NormalWeb"/>
        <w:adjustRightInd w:val="0"/>
        <w:snapToGrid w:val="0"/>
        <w:spacing w:before="0" w:beforeAutospacing="0" w:after="0" w:afterAutospacing="0" w:line="600" w:lineRule="exact"/>
        <w:ind w:firstLine="480" w:firstLineChars="150"/>
        <w:outlineLvl w:val="0"/>
        <w:rPr>
          <w:rFonts w:ascii="仿宋_GB2312" w:eastAsia="仿宋_GB2312" w:hAnsi="仿宋" w:hint="eastAsia"/>
          <w:sz w:val="32"/>
          <w:szCs w:val="32"/>
        </w:rPr>
      </w:pPr>
      <w:r>
        <w:rPr>
          <w:rFonts w:ascii="仿宋" w:eastAsia="仿宋" w:hAnsi="仿宋" w:hint="eastAsia"/>
          <w:sz w:val="32"/>
          <w:szCs w:val="32"/>
        </w:rPr>
        <w:t>从预算单位构成看，</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枸杞分院</w:t>
      </w:r>
      <w:r>
        <w:rPr>
          <w:rFonts w:ascii="仿宋_GB2312" w:eastAsia="仿宋_GB2312" w:hAnsi="TimesNewRoman" w:cs="TimesNewRoman" w:hint="eastAsia"/>
          <w:bCs/>
          <w:sz w:val="32"/>
          <w:szCs w:val="32"/>
        </w:rPr>
        <w:t>2024年度单位预算仅包括单位本级预算，无其他下属单位预算。</w:t>
      </w:r>
      <w:r>
        <w:rPr>
          <w:rFonts w:ascii="仿宋_GB2312" w:eastAsia="仿宋_GB2312" w:hAnsi="仿宋" w:hint="eastAsia"/>
          <w:sz w:val="32"/>
          <w:szCs w:val="32"/>
        </w:rPr>
        <w:t>纳入部门预算编制范围的单位共</w:t>
      </w:r>
      <w:r>
        <w:rPr>
          <w:rFonts w:ascii="仿宋_GB2312" w:eastAsia="仿宋_GB2312" w:hAnsi="仿宋" w:hint="eastAsia"/>
          <w:sz w:val="32"/>
          <w:szCs w:val="32"/>
          <w:lang w:val="en-US" w:eastAsia="zh-CN"/>
        </w:rPr>
        <w:t>1</w:t>
      </w:r>
      <w:r>
        <w:rPr>
          <w:rFonts w:ascii="仿宋_GB2312" w:eastAsia="仿宋_GB2312" w:hAnsi="仿宋" w:hint="eastAsia"/>
          <w:sz w:val="32"/>
          <w:szCs w:val="32"/>
        </w:rPr>
        <w:t>个，具体情况见下表。</w:t>
      </w:r>
    </w:p>
    <w:tbl>
      <w:tblPr>
        <w:tblStyle w:val="TableNormal"/>
        <w:tblW w:w="9000" w:type="dxa"/>
        <w:tblInd w:w="288" w:type="dxa"/>
        <w:shd w:val="clear" w:color="auto" w:fill="FFFFFF"/>
        <w:tblLayout w:type="fixed"/>
        <w:tblCellMar>
          <w:top w:w="0" w:type="dxa"/>
          <w:left w:w="0" w:type="dxa"/>
          <w:bottom w:w="0" w:type="dxa"/>
          <w:right w:w="0" w:type="dxa"/>
        </w:tblCellMar>
      </w:tblPr>
      <w:tblGrid>
        <w:gridCol w:w="900"/>
        <w:gridCol w:w="3600"/>
        <w:gridCol w:w="4500"/>
      </w:tblGrid>
      <w:tr>
        <w:tblPrEx>
          <w:tblW w:w="9000" w:type="dxa"/>
          <w:tblInd w:w="288" w:type="dxa"/>
          <w:shd w:val="clear" w:color="auto" w:fill="FFFFFF"/>
          <w:tblLayout w:type="fixed"/>
        </w:tblPrEx>
        <w:trPr>
          <w:trHeight w:hRule="exact" w:val="397"/>
        </w:trPr>
        <w:tc>
          <w:tcPr>
            <w:tcW w:w="900"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hint="eastAsia"/>
                <w:sz w:val="32"/>
                <w:szCs w:val="32"/>
              </w:rPr>
            </w:pPr>
            <w:r>
              <w:rPr>
                <w:rFonts w:ascii="仿宋_GB2312" w:eastAsia="仿宋_GB2312" w:hAnsi="宋体" w:hint="eastAsia"/>
                <w:sz w:val="32"/>
                <w:szCs w:val="32"/>
              </w:rPr>
              <w:t>序号</w:t>
            </w:r>
          </w:p>
        </w:tc>
        <w:tc>
          <w:tcPr>
            <w:tcW w:w="3600"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hint="eastAsia"/>
                <w:sz w:val="32"/>
                <w:szCs w:val="32"/>
              </w:rPr>
            </w:pPr>
            <w:r>
              <w:rPr>
                <w:rFonts w:ascii="仿宋_GB2312" w:eastAsia="仿宋_GB2312" w:hAnsi="宋体" w:hint="eastAsia"/>
                <w:sz w:val="32"/>
                <w:szCs w:val="32"/>
              </w:rPr>
              <w:t>单位名称</w:t>
            </w:r>
          </w:p>
        </w:tc>
        <w:tc>
          <w:tcPr>
            <w:tcW w:w="4500" w:type="dxa"/>
            <w:tcBorders>
              <w:top w:val="single" w:sz="8" w:space="0" w:color="auto"/>
              <w:left w:val="nil"/>
              <w:bottom w:val="single" w:sz="8" w:space="0" w:color="auto"/>
              <w:right w:val="single" w:sz="8" w:space="0" w:color="auto"/>
            </w:tcBorders>
            <w:shd w:val="clear" w:color="auto" w:fill="FFFFFF"/>
            <w:noWrap w:val="0"/>
            <w:vAlign w:val="top"/>
          </w:tcPr>
          <w:p>
            <w:pPr>
              <w:adjustRightInd w:val="0"/>
              <w:snapToGrid w:val="0"/>
              <w:spacing w:line="360" w:lineRule="auto"/>
              <w:jc w:val="center"/>
              <w:rPr>
                <w:rFonts w:ascii="仿宋_GB2312" w:eastAsia="仿宋_GB2312" w:hAnsi="宋体" w:hint="eastAsia"/>
                <w:sz w:val="32"/>
                <w:szCs w:val="32"/>
              </w:rPr>
            </w:pPr>
            <w:r>
              <w:rPr>
                <w:rFonts w:ascii="仿宋_GB2312" w:eastAsia="仿宋_GB2312" w:hAnsi="宋体" w:hint="eastAsia"/>
                <w:sz w:val="32"/>
                <w:szCs w:val="32"/>
              </w:rPr>
              <w:t>单位性质</w:t>
            </w:r>
          </w:p>
        </w:tc>
      </w:tr>
      <w:tr>
        <w:tblPrEx>
          <w:tblW w:w="9000" w:type="dxa"/>
          <w:tblInd w:w="288" w:type="dxa"/>
          <w:shd w:val="clear" w:color="auto" w:fill="FFFFFF"/>
          <w:tblLayout w:type="fixed"/>
        </w:tblPrEx>
        <w:trPr>
          <w:trHeight w:hRule="exact" w:val="397"/>
        </w:trPr>
        <w:tc>
          <w:tcPr>
            <w:tcW w:w="900"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cs="宋体" w:hint="eastAsia"/>
                <w:sz w:val="32"/>
                <w:szCs w:val="32"/>
              </w:rPr>
            </w:pPr>
            <w:r>
              <w:rPr>
                <w:rFonts w:ascii="仿宋_GB2312" w:eastAsia="仿宋_GB2312" w:hAnsi="宋体" w:hint="eastAsia"/>
                <w:sz w:val="32"/>
                <w:szCs w:val="32"/>
              </w:rPr>
              <w:t>1</w:t>
            </w:r>
          </w:p>
        </w:tc>
        <w:tc>
          <w:tcPr>
            <w:tcW w:w="3600"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rPr>
                <w:rFonts w:ascii="仿宋_GB2312" w:eastAsia="仿宋_GB2312" w:hAnsi="宋体" w:hint="default"/>
                <w:sz w:val="32"/>
                <w:szCs w:val="32"/>
                <w:u w:val="single"/>
                <w:lang w:val="en-US" w:eastAsia="zh-CN"/>
              </w:rPr>
            </w:pPr>
            <w:r>
              <w:rPr>
                <w:rFonts w:ascii="仿宋_GB2312" w:eastAsia="仿宋_GB2312" w:hAnsi="仿宋" w:cs="仿宋" w:hint="eastAsia"/>
                <w:bCs/>
                <w:sz w:val="32"/>
                <w:szCs w:val="32"/>
              </w:rPr>
              <w:t>寿县</w:t>
            </w:r>
            <w:r>
              <w:rPr>
                <w:rFonts w:ascii="仿宋_GB2312" w:eastAsia="仿宋_GB2312" w:hAnsi="仿宋" w:cs="仿宋" w:hint="eastAsia"/>
                <w:bCs/>
                <w:sz w:val="32"/>
                <w:szCs w:val="32"/>
                <w:lang w:val="en-US" w:eastAsia="zh-CN"/>
              </w:rPr>
              <w:t>枸杞分院</w:t>
            </w:r>
          </w:p>
        </w:tc>
        <w:tc>
          <w:tcPr>
            <w:tcW w:w="4500" w:type="dxa"/>
            <w:tcBorders>
              <w:top w:val="nil"/>
              <w:left w:val="nil"/>
              <w:bottom w:val="single" w:sz="8" w:space="0" w:color="auto"/>
              <w:right w:val="single" w:sz="8" w:space="0" w:color="auto"/>
            </w:tcBorders>
            <w:shd w:val="clear" w:color="auto" w:fill="FFFFFF"/>
            <w:noWrap w:val="0"/>
            <w:vAlign w:val="top"/>
          </w:tcPr>
          <w:p>
            <w:pPr>
              <w:adjustRightInd w:val="0"/>
              <w:snapToGrid w:val="0"/>
              <w:spacing w:line="360" w:lineRule="auto"/>
              <w:rPr>
                <w:rFonts w:ascii="仿宋_GB2312" w:eastAsia="仿宋_GB2312" w:hAnsi="宋体" w:hint="eastAsia"/>
                <w:sz w:val="32"/>
                <w:szCs w:val="32"/>
                <w:u w:val="single"/>
              </w:rPr>
            </w:pPr>
            <w:r>
              <w:rPr>
                <w:rFonts w:ascii="仿宋_GB2312" w:eastAsia="仿宋_GB2312" w:hAnsi="仿宋" w:cs="仿宋" w:hint="eastAsia"/>
                <w:bCs/>
                <w:sz w:val="32"/>
                <w:szCs w:val="32"/>
              </w:rPr>
              <w:t>公益一类事业单位</w:t>
            </w:r>
          </w:p>
        </w:tc>
      </w:tr>
    </w:tbl>
    <w:p>
      <w:pPr>
        <w:pStyle w:val="NormalWeb"/>
        <w:topLinePunct/>
        <w:adjustRightInd w:val="0"/>
        <w:snapToGrid w:val="0"/>
        <w:spacing w:beforeAutospacing="0" w:afterAutospacing="0" w:line="580" w:lineRule="exact"/>
        <w:jc w:val="both"/>
        <w:rPr>
          <w:rFonts w:ascii="仿宋_GB2312" w:eastAsia="仿宋_GB2312" w:hAnsi="TimesNewRoman" w:cs="TimesNewRoman" w:hint="eastAsia"/>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leftChars="0" w:rightChars="0" w:firstLineChars="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（一）</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严格执行新医改政策，落实药品零差率销售政策。强化卫生院公益性，并试行绩效工资改革。</w:t>
      </w:r>
    </w:p>
    <w:p>
      <w:pPr>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leftChars="0" w:rightChars="0" w:firstLineChars="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（二</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加强医疗质量管理，保障医疗安全。以《</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中华人民共和国医师法</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医疗机构管理条例》、《医疗事故处理条例》为重点，加强对院长和医务人员的法制教育，增强医疗安全责任意识；健全医疗、护理、功能检查、化验等各个科室、各个诊疗环节的质量管理制度，制定切实可行的质量目标；严格落实各项操作规程，加强基本理论、基本知识、基本技能训练；加强监督，定期开展医疗质量检查。不断改善医疗服务，严格控制医疗费用。争取卫生院门诊人次增加20%，住院人次增加10%。</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（三</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着力做好重大疾病预防控制工作。切实抓好结核病、狂犬病、乙脑、流行性出血热等重点传染病防治工作。做好传染病监测、预测、预警、流行病学调查。突出重点疾病防控及突发公共卫生事件处置和救灾防病工作。</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（四</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重点抓好免疫规划工作。坚持抓好基础免疫和冷链运转，特别是要抓好麻疹等免疫规划相关疾病防控和监测工作。加强儿童预防接种信息化管理。完成五苗接种任务。</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580" w:lineRule="atLeast"/>
        <w:ind w:right="0" w:firstLine="640" w:firstLineChars="20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（五</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做好新型农村合作医疗工作。落实卫健委对定点医疗机构的监管措施，进一步降低参合农民医疗费用。严肃查处医务人员违纪违规套出合作基金行为，控制次均住院费用。</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（六）强化队伍管理。加强队伍建设，发挥党员先锋模范作用，注重提高党员在干部队伍中的辨识度细化明确岗位职责，严格实行岗位责任制和责任追究制。</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（七</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加强卫生院行风建设。继续抓好党风廉政建设、行风评议。加强医德医风建设，培养医务人员爱岗敬业、乐于奉献、认真负责的工作作风，切实改善服务态度。</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（八）加强制度建设。尽快建立健全例会、档案等一整套日常管理制度，以及计划上报、专家评审、批复、报备、监管等一系列中心业务运行机制。</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TimesNewRoman" w:eastAsia="黑体" w:hAnsi="TimesNewRoman" w:cs="TimesNewRoman"/>
          <w:bCs/>
          <w:sz w:val="36"/>
          <w:szCs w:val="36"/>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九）提升能力素质。强化政治和业务学习，采取集中学习和个人自学相结合，线上和线下相结合，系统内部培训和外出考察学习相结合，自主学习和专题测试相结合等多种方式，尽快提高中心全体人员的政治素养和业务能力。</w:t>
      </w: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70.85</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19.95</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155.95</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4.95</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180.85</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180.85</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180.95</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180.85</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612"/>
        <w:gridCol w:w="626"/>
        <w:gridCol w:w="559"/>
        <w:gridCol w:w="630"/>
        <w:gridCol w:w="555"/>
        <w:gridCol w:w="664"/>
        <w:gridCol w:w="716"/>
        <w:gridCol w:w="580"/>
        <w:gridCol w:w="648"/>
        <w:gridCol w:w="648"/>
        <w:gridCol w:w="648"/>
        <w:gridCol w:w="648"/>
        <w:gridCol w:w="648"/>
        <w:gridCol w:w="648"/>
        <w:gridCol w:w="648"/>
        <w:gridCol w:w="648"/>
        <w:gridCol w:w="648"/>
        <w:gridCol w:w="648"/>
        <w:gridCol w:w="1040"/>
      </w:tblGrid>
      <w:tr>
        <w:tblPrEx>
          <w:tblW w:w="13462" w:type="dxa"/>
          <w:tblInd w:w="-431" w:type="dxa"/>
          <w:tblLayout w:type="fixed"/>
        </w:tblPrEx>
        <w:trPr>
          <w:trHeight w:val="501"/>
        </w:trPr>
        <w:tc>
          <w:tcPr>
            <w:tcW w:w="1612"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62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PrEx>
        <w:trPr>
          <w:trHeight w:val="424"/>
        </w:trPr>
        <w:tc>
          <w:tcPr>
            <w:tcW w:w="1612"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62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59"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3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5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64"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16"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20"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PrEx>
        <w:trPr>
          <w:trHeight w:val="2579"/>
        </w:trPr>
        <w:tc>
          <w:tcPr>
            <w:tcW w:w="1612"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59"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3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5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4"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716"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8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寿县卫生健康委员会</w:t>
            </w: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180.85</w:t>
            </w:r>
            <w:r>
              <w:rPr>
                <w:rFonts w:ascii="TimesNewRoman" w:hAnsi="TimesNewRoman" w:cs="TimesNewRoman"/>
                <w:kern w:val="0"/>
                <w:sz w:val="18"/>
                <w:szCs w:val="18"/>
              </w:rPr>
              <w:t>　</w:t>
            </w:r>
          </w:p>
        </w:tc>
        <w:tc>
          <w:tcPr>
            <w:tcW w:w="559"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70.85</w:t>
            </w:r>
            <w:r>
              <w:rPr>
                <w:rFonts w:ascii="TimesNewRoman" w:hAnsi="TimesNewRoman" w:cs="TimesNewRoman"/>
                <w:kern w:val="0"/>
                <w:sz w:val="18"/>
                <w:szCs w:val="18"/>
              </w:rPr>
              <w:t>　</w:t>
            </w:r>
          </w:p>
        </w:tc>
        <w:tc>
          <w:tcPr>
            <w:tcW w:w="63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70.85</w:t>
            </w:r>
            <w:r>
              <w:rPr>
                <w:rFonts w:ascii="TimesNewRoman" w:hAnsi="TimesNewRoman" w:cs="TimesNewRoman"/>
                <w:kern w:val="0"/>
                <w:sz w:val="18"/>
                <w:szCs w:val="18"/>
              </w:rPr>
              <w:t>　</w:t>
            </w:r>
          </w:p>
        </w:tc>
        <w:tc>
          <w:tcPr>
            <w:tcW w:w="55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732"/>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寿县枸杞分院</w:t>
            </w: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180.85</w:t>
            </w: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70.85</w:t>
            </w: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70.85</w:t>
            </w: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19.95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19.95</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20805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19.66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19.66</w:t>
            </w:r>
            <w:r>
              <w:rPr>
                <w:rFonts w:ascii="宋体" w:eastAsia="宋体" w:hAnsi="宋体" w:cs="宋体" w:hint="eastAsia"/>
                <w:i w:val="0"/>
                <w:iCs w:val="0"/>
                <w:color w:val="000000"/>
                <w:kern w:val="0"/>
                <w:sz w:val="20"/>
                <w:szCs w:val="20"/>
                <w:u w:val="none"/>
                <w:lang w:val="en-US" w:eastAsia="zh-CN" w:bidi="ar"/>
              </w:rPr>
              <w:t>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2080502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事业单位离退休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hAnsi="宋体" w:cs="宋体" w:hint="eastAsia"/>
                <w:i w:val="0"/>
                <w:iCs w:val="0"/>
                <w:color w:val="000000"/>
                <w:kern w:val="0"/>
                <w:sz w:val="20"/>
                <w:szCs w:val="20"/>
                <w:u w:val="none"/>
                <w:lang w:val="en-US" w:eastAsia="zh-CN" w:bidi="ar"/>
              </w:rPr>
              <w:t>9.77</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9.77</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2080505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hAnsi="宋体" w:cs="宋体" w:hint="eastAsia"/>
                <w:i w:val="0"/>
                <w:iCs w:val="0"/>
                <w:color w:val="000000"/>
                <w:kern w:val="0"/>
                <w:sz w:val="20"/>
                <w:szCs w:val="20"/>
                <w:u w:val="none"/>
                <w:lang w:val="en-US" w:eastAsia="zh-CN" w:bidi="ar"/>
              </w:rPr>
              <w:t>6.6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6.6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2080506</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hAnsi="宋体" w:cs="宋体" w:hint="eastAsia"/>
                <w:i w:val="0"/>
                <w:iCs w:val="0"/>
                <w:color w:val="000000"/>
                <w:kern w:val="0"/>
                <w:sz w:val="20"/>
                <w:szCs w:val="20"/>
                <w:u w:val="none"/>
                <w:lang w:val="en-US" w:eastAsia="zh-CN" w:bidi="ar"/>
              </w:rPr>
              <w:t>3.3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3.3</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hint="default"/>
                <w:kern w:val="0"/>
                <w:sz w:val="18"/>
                <w:szCs w:val="18"/>
                <w:lang w:val="en-US"/>
              </w:rPr>
            </w:pPr>
            <w:r>
              <w:rPr>
                <w:rFonts w:ascii="宋体" w:hAnsi="宋体" w:cs="宋体" w:hint="eastAsia"/>
                <w:i w:val="0"/>
                <w:iCs w:val="0"/>
                <w:color w:val="000000"/>
                <w:kern w:val="0"/>
                <w:sz w:val="20"/>
                <w:szCs w:val="20"/>
                <w:u w:val="none"/>
                <w:lang w:val="en-US" w:eastAsia="zh-CN" w:bidi="ar"/>
              </w:rPr>
              <w:t>0.29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0.29</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2089999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0.29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0.29</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卫生健康支出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155.95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45.95</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110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21003</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基层医疗卫生机构</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153.11</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43.11</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110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2100302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乡镇卫生院</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153.11</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110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21011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2.84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2.84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2101102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2.84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2.84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22102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住房改革支出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2210201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住房公积金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180.95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70.85</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110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70.85</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70.85</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70.85</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19.95</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45.95</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4.95</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70.85</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70.85</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val="en-US" w:eastAsia="zh-CN"/>
        </w:rPr>
        <w:t>枸杞分院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PrEx>
        <w:trPr>
          <w:trHeight w:val="528"/>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208</w:t>
            </w:r>
          </w:p>
        </w:tc>
        <w:tc>
          <w:tcPr>
            <w:tcW w:w="4482"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19.95</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19.95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19.95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479"/>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20805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19.66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19.66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19.66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40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2080502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事业单位离退休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9.77</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9.77</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9.77</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2080505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6.6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6.6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6.6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2080506</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3.3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3.3</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3.3</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0.29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0.29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0.29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2089999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0.29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0.29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0.29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210</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卫生健康支出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45.95</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45.95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45.95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21003</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基层医疗卫生机构</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2100302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乡镇卫生院</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43.11</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21011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bidi="ar"/>
              </w:rPr>
            </w:pPr>
            <w:r>
              <w:rPr>
                <w:rFonts w:ascii="宋体" w:hAnsi="宋体" w:cs="宋体" w:hint="eastAsia"/>
                <w:i w:val="0"/>
                <w:iCs w:val="0"/>
                <w:color w:val="000000"/>
                <w:kern w:val="0"/>
                <w:sz w:val="20"/>
                <w:szCs w:val="20"/>
                <w:u w:val="none"/>
                <w:lang w:val="en-US" w:eastAsia="zh-CN" w:bidi="ar"/>
              </w:rPr>
              <w:t>行政事业单位医疗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3840" w:type="dxa"/>
          <w:tblInd w:w="0" w:type="dxa"/>
          <w:tblLayout w:type="fixed"/>
        </w:tblPrEx>
        <w:trPr>
          <w:trHeight w:val="462"/>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2101102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default"/>
                <w:i w:val="0"/>
                <w:iCs w:val="0"/>
                <w:color w:val="000000"/>
                <w:kern w:val="0"/>
                <w:sz w:val="20"/>
                <w:szCs w:val="20"/>
                <w:u w:val="none"/>
                <w:lang w:val="en-US" w:eastAsia="zh-CN" w:bidi="ar"/>
              </w:rPr>
            </w:pPr>
            <w:r>
              <w:rPr>
                <w:rFonts w:ascii="宋体" w:hAnsi="宋体" w:cs="宋体" w:hint="eastAsia"/>
                <w:i w:val="0"/>
                <w:iCs w:val="0"/>
                <w:color w:val="000000"/>
                <w:kern w:val="0"/>
                <w:sz w:val="20"/>
                <w:szCs w:val="20"/>
                <w:u w:val="none"/>
                <w:lang w:val="en-US" w:eastAsia="zh-CN" w:bidi="ar"/>
              </w:rPr>
              <w:t>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221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住房保障支出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hAnsi="宋体" w:cs="宋体" w:hint="eastAsia"/>
                <w:i w:val="0"/>
                <w:iCs w:val="0"/>
                <w:color w:val="000000"/>
                <w:kern w:val="2"/>
                <w:sz w:val="20"/>
                <w:szCs w:val="20"/>
                <w:u w:val="none"/>
                <w:lang w:val="en-US" w:eastAsia="zh-CN" w:bidi="ar-SA"/>
              </w:rPr>
              <w:t>4.95</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22102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住房改革支出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hAnsi="宋体" w:cs="宋体" w:hint="eastAsia"/>
                <w:i w:val="0"/>
                <w:iCs w:val="0"/>
                <w:color w:val="000000"/>
                <w:kern w:val="2"/>
                <w:sz w:val="20"/>
                <w:szCs w:val="20"/>
                <w:u w:val="none"/>
                <w:lang w:val="en-US" w:eastAsia="zh-CN" w:bidi="ar-SA"/>
              </w:rPr>
              <w:t>4.95</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2210201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住房公积金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hAnsi="宋体" w:cs="宋体" w:hint="eastAsia"/>
                <w:i w:val="0"/>
                <w:iCs w:val="0"/>
                <w:color w:val="000000"/>
                <w:kern w:val="2"/>
                <w:sz w:val="20"/>
                <w:szCs w:val="20"/>
                <w:u w:val="none"/>
                <w:lang w:val="en-US" w:eastAsia="zh-CN" w:bidi="ar-SA"/>
              </w:rPr>
              <w:t>4.95</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70.85</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70.85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70.85</w:t>
            </w:r>
          </w:p>
        </w:tc>
        <w:tc>
          <w:tcPr>
            <w:tcW w:w="170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bl>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firstLine="11400" w:firstLineChars="5700"/>
        <w:jc w:val="both"/>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301</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59.2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59.2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30101</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25.2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25.2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30107</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绩效工资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15.8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15.8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30108</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6.6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6.6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30109</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职业年金缴费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3.3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3.3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30110</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2.84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30112</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0.29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0.29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30199</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4.95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11.65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11.65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30302</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9.77</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9.77</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30305</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生活补助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1.88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1.88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70.85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70.85</w:t>
            </w:r>
          </w:p>
        </w:tc>
        <w:tc>
          <w:tcPr>
            <w:tcW w:w="256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p>
        </w:tc>
      </w:tr>
    </w:tbl>
    <w:p>
      <w:pPr>
        <w:spacing w:line="560" w:lineRule="exact"/>
        <w:rPr>
          <w:rFonts w:ascii="TimesNewRoman" w:hAnsi="TimesNewRoman" w:cs="TimesNewRoman"/>
        </w:rPr>
      </w:pPr>
    </w:p>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枸杞分院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仿宋_GB2312" w:hAnsi="TimesNewRoman" w:cs="TimesNewRoman"/>
          <w:sz w:val="20"/>
          <w:szCs w:val="20"/>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p>
    <w:p>
      <w:pPr>
        <w:pStyle w:val="NormalWeb"/>
        <w:adjustRightInd w:val="0"/>
        <w:snapToGrid w:val="0"/>
        <w:spacing w:after="156" w:afterLines="50" w:line="560" w:lineRule="exact"/>
        <w:ind w:right="102"/>
        <w:jc w:val="right"/>
        <w:rPr>
          <w:rFonts w:ascii="TimesNewRoman" w:eastAsia="仿宋_GB2312" w:hAnsi="TimesNewRoman" w:cs="TimesNewRoman"/>
          <w:sz w:val="20"/>
          <w:szCs w:val="20"/>
        </w:rPr>
      </w:pP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PrEx>
        <w:trPr>
          <w:gridAfter w:val="2"/>
          <w:wAfter w:w="684" w:type="dxa"/>
          <w:trHeight w:val="441"/>
        </w:trPr>
        <w:tc>
          <w:tcPr>
            <w:tcW w:w="13192"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PrEx>
        <w:trPr>
          <w:trHeight w:val="299"/>
        </w:trPr>
        <w:tc>
          <w:tcPr>
            <w:tcW w:w="710"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8"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PrEx>
        <w:trPr>
          <w:gridAfter w:val="1"/>
          <w:wAfter w:w="125" w:type="dxa"/>
          <w:trHeight w:val="442"/>
        </w:trPr>
        <w:tc>
          <w:tcPr>
            <w:tcW w:w="7794"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7"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7794"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633"/>
        </w:trPr>
        <w:tc>
          <w:tcPr>
            <w:tcW w:w="13751"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枸杞分院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hint="eastAsia"/>
          <w:kern w:val="0"/>
          <w:sz w:val="20"/>
        </w:rPr>
      </w:pP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425"/>
        <w:gridCol w:w="930"/>
        <w:gridCol w:w="1128"/>
        <w:gridCol w:w="1214"/>
        <w:gridCol w:w="1214"/>
        <w:gridCol w:w="1214"/>
        <w:gridCol w:w="1214"/>
        <w:gridCol w:w="1214"/>
        <w:gridCol w:w="1015"/>
        <w:gridCol w:w="876"/>
      </w:tblGrid>
      <w:tr>
        <w:tblPrEx>
          <w:tblW w:w="14071" w:type="dxa"/>
          <w:tblInd w:w="0" w:type="dxa"/>
          <w:tblLayout w:type="fixed"/>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425"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30"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556"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25"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30"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128"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142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宋体" w:eastAsia="宋体" w:hAnsi="宋体" w:cs="宋体" w:hint="eastAsia"/>
                <w:i w:val="0"/>
                <w:iCs w:val="0"/>
                <w:color w:val="000000"/>
                <w:kern w:val="0"/>
                <w:sz w:val="20"/>
                <w:szCs w:val="20"/>
                <w:u w:val="none"/>
                <w:lang w:val="en-US" w:eastAsia="zh-CN" w:bidi="ar"/>
              </w:rPr>
              <w:t>寿县</w:t>
            </w:r>
            <w:r>
              <w:rPr>
                <w:rFonts w:ascii="宋体" w:hAnsi="宋体" w:cs="宋体" w:hint="eastAsia"/>
                <w:i w:val="0"/>
                <w:iCs w:val="0"/>
                <w:color w:val="000000"/>
                <w:kern w:val="0"/>
                <w:sz w:val="20"/>
                <w:szCs w:val="20"/>
                <w:u w:val="none"/>
                <w:lang w:val="en-US" w:eastAsia="zh-CN" w:bidi="ar"/>
              </w:rPr>
              <w:t>枸杞分院</w:t>
            </w:r>
          </w:p>
        </w:tc>
        <w:tc>
          <w:tcPr>
            <w:tcW w:w="9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110</w:t>
            </w:r>
            <w:r>
              <w:rPr>
                <w:rFonts w:ascii="TimesNewRoman" w:hAnsi="TimesNewRoman" w:cs="TimesNewRoman"/>
                <w:kern w:val="0"/>
                <w:sz w:val="18"/>
                <w:szCs w:val="18"/>
              </w:rPr>
              <w:t>　</w:t>
            </w:r>
          </w:p>
        </w:tc>
        <w:tc>
          <w:tcPr>
            <w:tcW w:w="1128"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110</w:t>
            </w:r>
            <w:r>
              <w:rPr>
                <w:rFonts w:ascii="TimesNewRoman" w:hAnsi="TimesNewRoman" w:cs="TimesNewRoman"/>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42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2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42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2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4052"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0"/>
                <w:sz w:val="20"/>
                <w:szCs w:val="20"/>
                <w:u w:val="none"/>
                <w:lang w:val="en-US" w:eastAsia="zh-CN" w:bidi="ar"/>
              </w:rPr>
              <w:t>110</w:t>
            </w:r>
          </w:p>
        </w:tc>
        <w:tc>
          <w:tcPr>
            <w:tcW w:w="112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110</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right"/>
        <w:rPr>
          <w:rFonts w:ascii="TimesNewRoman" w:hAnsi="TimesNewRoman" w:cs="TimesNewRoman" w:hint="eastAsia"/>
          <w:sz w:val="20"/>
          <w:szCs w:val="20"/>
        </w:rPr>
      </w:pPr>
    </w:p>
    <w:p>
      <w:pPr>
        <w:pStyle w:val="NormalWeb"/>
        <w:wordWrap w:val="0"/>
        <w:adjustRightInd w:val="0"/>
        <w:snapToGrid w:val="0"/>
        <w:spacing w:after="156" w:afterLines="50" w:line="560" w:lineRule="exact"/>
        <w:jc w:val="right"/>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val="en-US" w:eastAsia="zh-CN"/>
              </w:rPr>
              <w:t>枸杞分院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台式计算机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0.8</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0.8</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w:t>
            </w:r>
            <w:r>
              <w:rPr>
                <w:rFonts w:ascii="宋体" w:hAnsi="宋体" w:cs="宋体" w:hint="eastAsia"/>
                <w:i w:val="0"/>
                <w:iCs w:val="0"/>
                <w:color w:val="000000"/>
                <w:kern w:val="0"/>
                <w:sz w:val="20"/>
                <w:szCs w:val="20"/>
                <w:u w:val="none"/>
                <w:lang w:val="en-US" w:eastAsia="zh-CN" w:bidi="ar"/>
              </w:rPr>
              <w:t>A4黑白打印机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0.15</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0.15</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w:t>
            </w:r>
            <w:r>
              <w:rPr>
                <w:rFonts w:ascii="宋体" w:hAnsi="宋体" w:cs="宋体" w:hint="eastAsia"/>
                <w:i w:val="0"/>
                <w:iCs w:val="0"/>
                <w:color w:val="000000"/>
                <w:kern w:val="0"/>
                <w:sz w:val="20"/>
                <w:szCs w:val="20"/>
                <w:u w:val="none"/>
                <w:lang w:val="en-US" w:eastAsia="zh-CN" w:bidi="ar"/>
              </w:rPr>
              <w:t>票据打印机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0.25</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0.25</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default"/>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w:t>
            </w:r>
            <w:r>
              <w:rPr>
                <w:rFonts w:ascii="宋体" w:hAnsi="宋体" w:cs="宋体" w:hint="eastAsia"/>
                <w:i w:val="0"/>
                <w:iCs w:val="0"/>
                <w:color w:val="000000"/>
                <w:kern w:val="0"/>
                <w:sz w:val="20"/>
                <w:szCs w:val="20"/>
                <w:u w:val="none"/>
                <w:lang w:val="en-US" w:eastAsia="zh-CN" w:bidi="ar"/>
              </w:rPr>
              <w:t>空调机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0.34</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0.34</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p>
        </w:tc>
      </w:tr>
      <w:tr>
        <w:tblPrEx>
          <w:tblW w:w="14109" w:type="dxa"/>
          <w:tblInd w:w="0" w:type="dxa"/>
          <w:tblLayout w:type="fixed"/>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1.54</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default"/>
                <w:i w:val="0"/>
                <w:iCs w:val="0"/>
                <w:color w:val="000000"/>
                <w:kern w:val="2"/>
                <w:sz w:val="20"/>
                <w:szCs w:val="20"/>
                <w:u w:val="none"/>
                <w:lang w:val="en-US" w:eastAsia="zh-CN" w:bidi="ar-SA"/>
              </w:rPr>
            </w:pPr>
            <w:r>
              <w:rPr>
                <w:rFonts w:ascii="宋体" w:hAnsi="宋体" w:cs="宋体" w:hint="eastAsia"/>
                <w:i w:val="0"/>
                <w:iCs w:val="0"/>
                <w:color w:val="000000"/>
                <w:kern w:val="2"/>
                <w:sz w:val="20"/>
                <w:szCs w:val="20"/>
                <w:u w:val="none"/>
                <w:lang w:val="en-US" w:eastAsia="zh-CN" w:bidi="ar-SA"/>
              </w:rPr>
              <w:t>1.54</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p>
    <w:p>
      <w:pPr>
        <w:pStyle w:val="NormalWeb"/>
        <w:wordWrap w:val="0"/>
        <w:adjustRightInd w:val="0"/>
        <w:snapToGrid w:val="0"/>
        <w:spacing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lang w:val="en-US" w:eastAsia="zh-CN"/>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枸杞分院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hint="eastAsia"/>
          <w:kern w:val="0"/>
          <w:sz w:val="22"/>
          <w:lang w:val="en-US" w:eastAsia="zh-CN"/>
        </w:rPr>
        <w:t>枸杞分院</w:t>
      </w:r>
      <w:r>
        <w:rPr>
          <w:rFonts w:ascii="TimesNewRoman" w:hAnsi="TimesNewRoman" w:cs="TimesNewRoman"/>
          <w:kern w:val="0"/>
          <w:sz w:val="22"/>
        </w:rPr>
        <w:t>没有安排政府购买服务支出，故本表无数据”。</w:t>
      </w:r>
    </w:p>
    <w:p>
      <w:pPr>
        <w:pStyle w:val="NormalWeb"/>
        <w:topLinePunct/>
        <w:adjustRightInd w:val="0"/>
        <w:snapToGrid w:val="0"/>
        <w:spacing w:beforeAutospacing="0" w:afterAutospacing="0" w:line="560" w:lineRule="exact"/>
        <w:jc w:val="both"/>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所有收入和支出均纳入部门预算管理。寿县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180.85</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70.85万元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110万元</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lang w:val="en-US" w:eastAsia="zh-CN"/>
        </w:rPr>
        <w:t>19.95万元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155.95万元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4.95万元</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180.85</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180.85</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180.85</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39.17</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11.27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15.9</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在编人元工资及社保福利</w:t>
      </w:r>
      <w:r>
        <w:rPr>
          <w:rFonts w:ascii="仿宋" w:eastAsia="仿宋" w:hAnsi="仿宋" w:cs="Times New Roman" w:hint="eastAsia"/>
          <w:kern w:val="2"/>
          <w:sz w:val="32"/>
          <w:szCs w:val="32"/>
          <w:lang w:val="en-US" w:eastAsia="zh-CN"/>
        </w:rPr>
        <w:t>及退休人员生活补助</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60.83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与</w:t>
      </w:r>
      <w:r>
        <w:rPr>
          <w:rFonts w:ascii="仿宋_GB2312" w:eastAsia="仿宋_GB2312" w:hAnsi="TimesNewRoman" w:cs="TimesNewRoman" w:hint="eastAsia"/>
          <w:sz w:val="32"/>
          <w:szCs w:val="32"/>
        </w:rPr>
        <w:t>2023年预算</w:t>
      </w:r>
      <w:r>
        <w:rPr>
          <w:rFonts w:ascii="仿宋_GB2312" w:eastAsia="仿宋_GB2312" w:hAnsi="TimesNewRoman" w:cs="TimesNewRoman" w:hint="eastAsia"/>
          <w:sz w:val="32"/>
          <w:szCs w:val="32"/>
          <w:lang w:val="en-US" w:eastAsia="zh-CN"/>
        </w:rPr>
        <w:t>增加了40万，增长原因主要是增收住院病人</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180.85</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51.27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28.35</w:t>
      </w:r>
      <w:r>
        <w:rPr>
          <w:rFonts w:ascii="仿宋_GB2312" w:eastAsia="仿宋_GB2312" w:hAnsi="TimesNewRoman" w:cs="TimesNewRoman" w:hint="eastAsia"/>
          <w:sz w:val="32"/>
          <w:szCs w:val="32"/>
        </w:rPr>
        <w:t>%，增长原因主要是</w:t>
      </w:r>
      <w:r>
        <w:rPr>
          <w:rFonts w:ascii="仿宋" w:eastAsia="仿宋" w:hAnsi="仿宋" w:cs="Times New Roman" w:hint="eastAsia"/>
          <w:kern w:val="2"/>
          <w:sz w:val="32"/>
          <w:szCs w:val="32"/>
          <w:lang w:val="en-US" w:eastAsia="zh-CN"/>
        </w:rPr>
        <w:t>事业收入增加及人员工资和社保福利增加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39.18</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60.82</w:t>
      </w:r>
      <w:r>
        <w:rPr>
          <w:rFonts w:ascii="仿宋_GB2312" w:eastAsia="仿宋_GB2312" w:hAnsi="TimesNewRoman" w:cs="TimesNewRoman" w:hint="eastAsia"/>
          <w:sz w:val="32"/>
          <w:szCs w:val="32"/>
        </w:rPr>
        <w:t>%，主要用于保障机构日常运转、完成日常工作任务</w:t>
      </w:r>
      <w:r>
        <w:rPr>
          <w:rFonts w:ascii="仿宋_GB2312" w:eastAsia="仿宋_GB2312" w:hAnsi="TimesNewRoman" w:cs="TimesNewRoman" w:hint="eastAsia"/>
          <w:sz w:val="32"/>
          <w:szCs w:val="32"/>
          <w:lang w:val="en-US" w:eastAsia="zh-CN"/>
        </w:rPr>
        <w:t>等</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万元。收入按资金来源分：全部为一般公共预算拨款</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万元；按资金年度分：全部为当年财政拨款收入</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19.95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28.16</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45.95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64.85</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4.95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6.99</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11.27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15.9</w:t>
      </w:r>
      <w:r>
        <w:rPr>
          <w:rFonts w:ascii="仿宋_GB2312" w:eastAsia="仿宋_GB2312" w:hAnsi="TimesNewRoman" w:cs="TimesNewRoman" w:hint="eastAsia"/>
          <w:sz w:val="32"/>
          <w:szCs w:val="32"/>
        </w:rPr>
        <w:t>%，主要原因：</w:t>
      </w:r>
      <w:r>
        <w:rPr>
          <w:rFonts w:ascii="仿宋" w:eastAsia="仿宋" w:hAnsi="仿宋" w:cs="Times New Roman" w:hint="eastAsia"/>
          <w:kern w:val="2"/>
          <w:sz w:val="32"/>
          <w:szCs w:val="32"/>
          <w:lang w:val="en-US" w:eastAsia="zh-CN"/>
        </w:rPr>
        <w:t>职工工资晋升晋级和社保福利增加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19.95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28.16</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45.95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64.85</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4.95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6.99</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仿宋" w:hint="eastAsia"/>
          <w:sz w:val="32"/>
          <w:szCs w:val="32"/>
          <w:lang w:eastAsia="zh-CN"/>
        </w:rPr>
      </w:pPr>
      <w:r>
        <w:rPr>
          <w:rFonts w:ascii="仿宋_GB2312" w:eastAsia="仿宋_GB2312" w:hAnsi="仿宋" w:hint="eastAsia"/>
          <w:b/>
          <w:sz w:val="32"/>
          <w:szCs w:val="32"/>
          <w:lang w:val="en-US" w:eastAsia="zh-CN"/>
        </w:rPr>
        <w:t>1</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事业单位离退休</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9.77</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 w:eastAsia="仿宋" w:hAnsi="仿宋" w:cs="仿宋" w:hint="eastAsia"/>
          <w:sz w:val="32"/>
          <w:szCs w:val="32"/>
          <w:lang w:val="en-US" w:eastAsia="zh-CN"/>
        </w:rPr>
        <w:t>0</w:t>
      </w:r>
      <w:r>
        <w:rPr>
          <w:rFonts w:ascii="仿宋_GB2312" w:eastAsia="仿宋_GB2312" w:hAnsi="仿宋" w:hint="eastAsia"/>
          <w:sz w:val="32"/>
          <w:szCs w:val="32"/>
        </w:rPr>
        <w:t>万元，增长</w:t>
      </w:r>
      <w:r>
        <w:rPr>
          <w:rFonts w:ascii="仿宋" w:eastAsia="仿宋" w:hAnsi="仿宋" w:cs="仿宋" w:hint="eastAsia"/>
          <w:sz w:val="32"/>
          <w:szCs w:val="32"/>
          <w:lang w:val="en-US" w:eastAsia="zh-CN"/>
        </w:rPr>
        <w:t>100</w:t>
      </w:r>
      <w:r>
        <w:rPr>
          <w:rFonts w:ascii="仿宋" w:eastAsia="仿宋" w:hAnsi="仿宋" w:cs="仿宋" w:hint="eastAsia"/>
          <w:sz w:val="32"/>
          <w:szCs w:val="32"/>
        </w:rPr>
        <w:t>%，</w:t>
      </w:r>
      <w:r>
        <w:rPr>
          <w:rFonts w:ascii="仿宋_GB2312" w:eastAsia="仿宋_GB2312" w:hAnsi="仿宋" w:hint="eastAsia"/>
          <w:sz w:val="32"/>
          <w:szCs w:val="32"/>
        </w:rPr>
        <w:t>增长原因主要是</w:t>
      </w:r>
      <w:r>
        <w:rPr>
          <w:rFonts w:ascii="仿宋" w:eastAsia="仿宋" w:hAnsi="仿宋" w:cs="仿宋" w:hint="eastAsia"/>
          <w:sz w:val="32"/>
          <w:szCs w:val="32"/>
          <w:lang w:val="en-US" w:eastAsia="zh-CN"/>
        </w:rPr>
        <w:t>2024</w:t>
      </w:r>
      <w:r>
        <w:rPr>
          <w:rFonts w:ascii="Arial" w:eastAsia="仿宋_GB2312" w:hAnsi="Arial" w:cs="Arial" w:hint="eastAsia"/>
          <w:sz w:val="32"/>
          <w:szCs w:val="32"/>
          <w:lang w:val="en-US" w:eastAsia="zh-CN"/>
        </w:rPr>
        <w:t>年退休人员增发补贴列入年初预算</w:t>
      </w:r>
      <w:r>
        <w:rPr>
          <w:rFonts w:ascii="仿宋_GB2312" w:eastAsia="仿宋_GB2312" w:hAnsi="仿宋" w:hint="eastAsia"/>
          <w:sz w:val="32"/>
          <w:szCs w:val="32"/>
          <w:lang w:eastAsia="zh-CN"/>
        </w:rPr>
        <w:t>；</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机关事业单位基本养老保险缴费支出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6.6</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0.24</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3.63</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在编人员</w:t>
      </w:r>
      <w:r>
        <w:rPr>
          <w:rFonts w:ascii="仿宋" w:eastAsia="仿宋" w:hAnsi="仿宋" w:cs="Times New Roman" w:hint="eastAsia"/>
          <w:kern w:val="2"/>
          <w:sz w:val="32"/>
          <w:szCs w:val="32"/>
          <w:lang w:val="en-US" w:eastAsia="zh-CN"/>
        </w:rPr>
        <w:t>工资晋升晋级</w:t>
      </w:r>
      <w:r>
        <w:rPr>
          <w:rFonts w:ascii="仿宋_GB2312" w:eastAsia="仿宋_GB2312" w:hAnsi="仿宋" w:hint="eastAsia"/>
          <w:sz w:val="32"/>
          <w:szCs w:val="32"/>
          <w:lang w:eastAsia="zh-CN"/>
        </w:rPr>
        <w:t>；</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机关事业单位职业年金缴费支出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3.3</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0.08</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2.42</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在编人员</w:t>
      </w:r>
      <w:r>
        <w:rPr>
          <w:rFonts w:ascii="仿宋" w:eastAsia="仿宋" w:hAnsi="仿宋" w:cs="Times New Roman" w:hint="eastAsia"/>
          <w:kern w:val="2"/>
          <w:sz w:val="32"/>
          <w:szCs w:val="32"/>
          <w:lang w:val="en-US" w:eastAsia="zh-CN"/>
        </w:rPr>
        <w:t>工资晋升晋级</w:t>
      </w:r>
      <w:r>
        <w:rPr>
          <w:rFonts w:ascii="仿宋_GB2312" w:eastAsia="仿宋_GB2312" w:hAnsi="仿宋" w:hint="eastAsia"/>
          <w:sz w:val="32"/>
          <w:szCs w:val="32"/>
          <w:lang w:eastAsia="zh-CN"/>
        </w:rPr>
        <w:t>；</w:t>
      </w:r>
    </w:p>
    <w:p>
      <w:pPr>
        <w:adjustRightInd w:val="0"/>
        <w:snapToGrid w:val="0"/>
        <w:spacing w:line="600" w:lineRule="exact"/>
        <w:ind w:firstLine="640" w:firstLineChars="200"/>
        <w:rPr>
          <w:rFonts w:ascii="仿宋_GB2312" w:eastAsia="仿宋_GB2312" w:hAnsi="仿宋" w:hint="eastAsia"/>
          <w:sz w:val="32"/>
          <w:szCs w:val="32"/>
          <w:lang w:eastAsia="zh-CN"/>
        </w:rPr>
      </w:pPr>
      <w:r>
        <w:rPr>
          <w:rFonts w:ascii="仿宋_GB2312" w:eastAsia="仿宋_GB2312" w:hAnsi="仿宋" w:hint="eastAsia"/>
          <w:sz w:val="32"/>
          <w:szCs w:val="32"/>
          <w:lang w:val="en-US" w:eastAsia="zh-CN"/>
        </w:rPr>
        <w:t>2.</w:t>
      </w:r>
      <w:r>
        <w:rPr>
          <w:rFonts w:ascii="仿宋_GB2312" w:eastAsia="仿宋_GB2312" w:hAnsi="仿宋" w:hint="eastAsia"/>
          <w:b/>
          <w:sz w:val="32"/>
          <w:szCs w:val="32"/>
        </w:rPr>
        <w:t>社会保障和就业支出（类）</w:t>
      </w:r>
      <w:r>
        <w:rPr>
          <w:rFonts w:ascii="仿宋_GB2312" w:eastAsia="仿宋_GB2312" w:hAnsi="仿宋" w:hint="eastAsia"/>
          <w:b/>
          <w:sz w:val="32"/>
          <w:szCs w:val="32"/>
          <w:lang w:val="en-US" w:eastAsia="zh-CN"/>
        </w:rPr>
        <w:t>其他社会保障和就业支出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其他社会保障和就业支出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0.29</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 w:eastAsia="仿宋" w:hAnsi="仿宋" w:cs="仿宋" w:hint="eastAsia"/>
          <w:sz w:val="32"/>
          <w:szCs w:val="32"/>
          <w:lang w:val="en-US" w:eastAsia="zh-CN"/>
        </w:rPr>
        <w:t>0.01</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3.4</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在编人员工资增加福利增加</w:t>
      </w:r>
      <w:r>
        <w:rPr>
          <w:rFonts w:ascii="仿宋_GB2312" w:eastAsia="仿宋_GB2312" w:hAnsi="仿宋" w:hint="eastAsia"/>
          <w:sz w:val="32"/>
          <w:szCs w:val="32"/>
          <w:lang w:eastAsia="zh-CN"/>
        </w:rPr>
        <w:t>。</w:t>
      </w:r>
    </w:p>
    <w:p>
      <w:pPr>
        <w:adjustRightInd w:val="0"/>
        <w:snapToGrid w:val="0"/>
        <w:spacing w:line="600" w:lineRule="exact"/>
        <w:ind w:firstLine="640" w:firstLineChars="200"/>
        <w:rPr>
          <w:rFonts w:ascii="仿宋_GB2312" w:eastAsia="仿宋_GB2312" w:hAnsi="仿宋" w:hint="eastAsia"/>
          <w:sz w:val="32"/>
          <w:szCs w:val="32"/>
          <w:lang w:val="en-US" w:eastAsia="zh-CN"/>
        </w:rPr>
      </w:pPr>
      <w:r>
        <w:rPr>
          <w:rFonts w:ascii="仿宋_GB2312" w:eastAsia="仿宋_GB2312" w:hAnsi="仿宋" w:hint="eastAsia"/>
          <w:b/>
          <w:sz w:val="32"/>
          <w:szCs w:val="32"/>
          <w:lang w:val="en-US" w:eastAsia="zh-CN"/>
        </w:rPr>
        <w:t>3</w:t>
      </w:r>
      <w:r>
        <w:rPr>
          <w:rFonts w:ascii="仿宋_GB2312" w:eastAsia="仿宋_GB2312" w:hAnsi="仿宋" w:hint="eastAsia"/>
          <w:b/>
          <w:sz w:val="32"/>
          <w:szCs w:val="32"/>
        </w:rPr>
        <w:t>.</w:t>
      </w:r>
      <w:r>
        <w:rPr>
          <w:rFonts w:ascii="仿宋_GB2312" w:eastAsia="仿宋_GB2312" w:hAnsi="仿宋" w:hint="eastAsia"/>
          <w:b/>
          <w:sz w:val="32"/>
          <w:szCs w:val="32"/>
          <w:lang w:val="en-US" w:eastAsia="zh-CN"/>
        </w:rPr>
        <w:t>卫生健康支出</w:t>
      </w:r>
      <w:r>
        <w:rPr>
          <w:rFonts w:ascii="仿宋_GB2312" w:eastAsia="仿宋_GB2312" w:hAnsi="仿宋" w:hint="eastAsia"/>
          <w:b/>
          <w:sz w:val="32"/>
          <w:szCs w:val="32"/>
        </w:rPr>
        <w:t>（类）基层医疗卫生机构（款）乡镇卫生院（项）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45.95</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1.15</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2.5</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在编人员工资增加福利增加</w:t>
      </w:r>
      <w:r>
        <w:rPr>
          <w:rFonts w:ascii="仿宋_GB2312" w:eastAsia="仿宋_GB2312" w:hAnsi="仿宋" w:hint="eastAsia"/>
          <w:sz w:val="32"/>
          <w:szCs w:val="32"/>
          <w:lang w:eastAsia="zh-CN"/>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b/>
          <w:bCs/>
          <w:sz w:val="32"/>
          <w:szCs w:val="32"/>
          <w:lang w:val="en-US" w:eastAsia="zh-CN"/>
        </w:rPr>
        <w:t>4</w:t>
      </w:r>
      <w:r>
        <w:rPr>
          <w:rFonts w:ascii="仿宋_GB2312" w:eastAsia="仿宋_GB2312" w:hAnsi="仿宋" w:hint="eastAsia"/>
          <w:sz w:val="32"/>
          <w:szCs w:val="32"/>
          <w:lang w:val="en-US" w:eastAsia="zh-CN"/>
        </w:rPr>
        <w:t>.</w:t>
      </w:r>
      <w:r>
        <w:rPr>
          <w:rFonts w:ascii="仿宋_GB2312" w:eastAsia="仿宋_GB2312" w:hAnsi="仿宋" w:hint="eastAsia"/>
          <w:b/>
          <w:sz w:val="32"/>
          <w:szCs w:val="32"/>
          <w:lang w:val="en-US" w:eastAsia="zh-CN"/>
        </w:rPr>
        <w:t>卫生健康支出</w:t>
      </w:r>
      <w:r>
        <w:rPr>
          <w:rFonts w:ascii="仿宋_GB2312" w:eastAsia="仿宋_GB2312" w:hAnsi="仿宋" w:hint="eastAsia"/>
          <w:b/>
          <w:sz w:val="32"/>
          <w:szCs w:val="32"/>
        </w:rPr>
        <w:t>（类）</w:t>
      </w:r>
      <w:r>
        <w:rPr>
          <w:rFonts w:ascii="仿宋_GB2312" w:eastAsia="仿宋_GB2312" w:hAnsi="仿宋" w:hint="eastAsia"/>
          <w:b/>
          <w:sz w:val="32"/>
          <w:szCs w:val="32"/>
          <w:lang w:val="en-US" w:eastAsia="zh-CN"/>
        </w:rPr>
        <w:t>行政事业单位医疗</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事业单位医疗</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2.84</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0.06</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2.1</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在编人员</w:t>
      </w:r>
      <w:r>
        <w:rPr>
          <w:rFonts w:ascii="仿宋" w:eastAsia="仿宋" w:hAnsi="仿宋" w:cs="Times New Roman" w:hint="eastAsia"/>
          <w:kern w:val="2"/>
          <w:sz w:val="32"/>
          <w:szCs w:val="32"/>
          <w:lang w:val="en-US" w:eastAsia="zh-CN"/>
        </w:rPr>
        <w:t>工资晋升晋级。</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w:t>
      </w:r>
      <w:r>
        <w:rPr>
          <w:rFonts w:ascii="仿宋_GB2312" w:eastAsia="仿宋_GB2312" w:hAnsi="仿宋" w:hint="eastAsia"/>
          <w:b/>
          <w:sz w:val="32"/>
          <w:szCs w:val="32"/>
        </w:rPr>
        <w:t>住房保障支出（类）住房改革支出（款）住房公积金（项）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4.95</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0.12</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2.4</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在编人员</w:t>
      </w:r>
      <w:r>
        <w:rPr>
          <w:rFonts w:ascii="仿宋" w:eastAsia="仿宋" w:hAnsi="仿宋" w:cs="Times New Roman" w:hint="eastAsia"/>
          <w:kern w:val="2"/>
          <w:sz w:val="32"/>
          <w:szCs w:val="32"/>
          <w:lang w:val="en-US" w:eastAsia="zh-CN"/>
        </w:rPr>
        <w:t>及工资晋升晋级</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70.85</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w:t>
      </w:r>
      <w:r>
        <w:rPr>
          <w:rFonts w:ascii="仿宋_GB2312" w:eastAsia="仿宋_GB2312" w:hAnsi="TimesNewRoman" w:cs="TimesNewRoman" w:hint="eastAsia"/>
          <w:sz w:val="32"/>
          <w:szCs w:val="32"/>
          <w:u w:val="single"/>
          <w:lang w:val="en-US" w:eastAsia="zh-CN"/>
        </w:rPr>
        <w:t>25.42万元</w:t>
      </w:r>
      <w:r>
        <w:rPr>
          <w:rFonts w:ascii="仿宋_GB2312" w:eastAsia="仿宋_GB2312" w:hAnsi="TimesNewRoman" w:cs="TimesNewRoman" w:hint="eastAsia"/>
          <w:sz w:val="32"/>
          <w:szCs w:val="32"/>
          <w:u w:val="single"/>
        </w:rPr>
        <w:t>、绩效工资</w:t>
      </w:r>
      <w:r>
        <w:rPr>
          <w:rFonts w:ascii="仿宋_GB2312" w:eastAsia="仿宋_GB2312" w:hAnsi="TimesNewRoman" w:cs="TimesNewRoman" w:hint="eastAsia"/>
          <w:sz w:val="32"/>
          <w:szCs w:val="32"/>
          <w:u w:val="single"/>
          <w:lang w:val="en-US" w:eastAsia="zh-CN"/>
        </w:rPr>
        <w:t>15.8万元</w:t>
      </w:r>
      <w:r>
        <w:rPr>
          <w:rFonts w:ascii="仿宋_GB2312" w:eastAsia="仿宋_GB2312" w:hAnsi="TimesNewRoman" w:cs="TimesNewRoman" w:hint="eastAsia"/>
          <w:sz w:val="32"/>
          <w:szCs w:val="32"/>
          <w:u w:val="single"/>
        </w:rPr>
        <w:t>、机关事业单位基本养老保险费</w:t>
      </w:r>
      <w:r>
        <w:rPr>
          <w:rFonts w:ascii="仿宋_GB2312" w:eastAsia="仿宋_GB2312" w:hAnsi="TimesNewRoman" w:cs="TimesNewRoman" w:hint="eastAsia"/>
          <w:sz w:val="32"/>
          <w:szCs w:val="32"/>
          <w:u w:val="single"/>
          <w:lang w:val="en-US" w:eastAsia="zh-CN"/>
        </w:rPr>
        <w:t>6.6万元</w:t>
      </w:r>
      <w:r>
        <w:rPr>
          <w:rFonts w:ascii="仿宋_GB2312" w:eastAsia="仿宋_GB2312" w:hAnsi="TimesNewRoman" w:cs="TimesNewRoman" w:hint="eastAsia"/>
          <w:sz w:val="32"/>
          <w:szCs w:val="32"/>
          <w:u w:val="single"/>
        </w:rPr>
        <w:t>、职业年金缴费</w:t>
      </w:r>
      <w:r>
        <w:rPr>
          <w:rFonts w:ascii="仿宋_GB2312" w:eastAsia="仿宋_GB2312" w:hAnsi="TimesNewRoman" w:cs="TimesNewRoman" w:hint="eastAsia"/>
          <w:sz w:val="32"/>
          <w:szCs w:val="32"/>
          <w:u w:val="single"/>
          <w:lang w:val="en-US" w:eastAsia="zh-CN"/>
        </w:rPr>
        <w:t>3.3万元</w:t>
      </w:r>
      <w:r>
        <w:rPr>
          <w:rFonts w:ascii="仿宋_GB2312" w:eastAsia="仿宋_GB2312" w:hAnsi="TimesNewRoman" w:cs="TimesNewRoman" w:hint="eastAsia"/>
          <w:sz w:val="32"/>
          <w:szCs w:val="32"/>
          <w:u w:val="single"/>
        </w:rPr>
        <w:t>、职工基本医疗保险缴费</w:t>
      </w:r>
      <w:r>
        <w:rPr>
          <w:rFonts w:ascii="仿宋_GB2312" w:eastAsia="仿宋_GB2312" w:hAnsi="TimesNewRoman" w:cs="TimesNewRoman" w:hint="eastAsia"/>
          <w:sz w:val="32"/>
          <w:szCs w:val="32"/>
          <w:u w:val="single"/>
          <w:lang w:val="en-US" w:eastAsia="zh-CN"/>
        </w:rPr>
        <w:t>2.84万元</w:t>
      </w:r>
      <w:r>
        <w:rPr>
          <w:rFonts w:ascii="仿宋_GB2312" w:eastAsia="仿宋_GB2312" w:hAnsi="TimesNewRoman" w:cs="TimesNewRoman" w:hint="eastAsia"/>
          <w:sz w:val="32"/>
          <w:szCs w:val="32"/>
          <w:u w:val="single"/>
        </w:rPr>
        <w:t>、其他社会保障缴费</w:t>
      </w:r>
      <w:r>
        <w:rPr>
          <w:rFonts w:ascii="仿宋_GB2312" w:eastAsia="仿宋_GB2312" w:hAnsi="TimesNewRoman" w:cs="TimesNewRoman" w:hint="eastAsia"/>
          <w:sz w:val="32"/>
          <w:szCs w:val="32"/>
          <w:u w:val="single"/>
          <w:lang w:val="en-US" w:eastAsia="zh-CN"/>
        </w:rPr>
        <w:t>0.29万元</w:t>
      </w:r>
      <w:r>
        <w:rPr>
          <w:rFonts w:ascii="仿宋_GB2312" w:eastAsia="仿宋_GB2312" w:hAnsi="TimesNewRoman" w:cs="TimesNewRoman" w:hint="eastAsia"/>
          <w:sz w:val="32"/>
          <w:szCs w:val="32"/>
          <w:u w:val="single"/>
        </w:rPr>
        <w:t>、住房公积金</w:t>
      </w:r>
      <w:r>
        <w:rPr>
          <w:rFonts w:ascii="仿宋_GB2312" w:eastAsia="仿宋_GB2312" w:hAnsi="TimesNewRoman" w:cs="TimesNewRoman" w:hint="eastAsia"/>
          <w:sz w:val="32"/>
          <w:szCs w:val="32"/>
          <w:u w:val="single"/>
          <w:lang w:val="en-US" w:eastAsia="zh-CN"/>
        </w:rPr>
        <w:t>4.95万元</w:t>
      </w:r>
      <w:r>
        <w:rPr>
          <w:rFonts w:ascii="仿宋_GB2312" w:eastAsia="仿宋_GB2312" w:hAnsi="TimesNewRoman" w:cs="TimesNewRoman" w:hint="eastAsia"/>
          <w:sz w:val="32"/>
          <w:szCs w:val="32"/>
          <w:u w:val="single"/>
        </w:rPr>
        <w:t>、其他工资福利支出</w:t>
      </w:r>
      <w:r>
        <w:rPr>
          <w:rFonts w:ascii="仿宋_GB2312" w:eastAsia="仿宋_GB2312" w:hAnsi="TimesNewRoman" w:cs="TimesNewRoman" w:hint="eastAsia"/>
          <w:sz w:val="32"/>
          <w:szCs w:val="32"/>
          <w:u w:val="single"/>
          <w:lang w:val="en-US" w:eastAsia="zh-CN"/>
        </w:rPr>
        <w:t>0万元</w:t>
      </w:r>
      <w:r>
        <w:rPr>
          <w:rFonts w:ascii="仿宋_GB2312" w:eastAsia="仿宋_GB2312" w:hAnsi="TimesNewRoman" w:cs="TimesNewRoman" w:hint="eastAsia"/>
          <w:sz w:val="32"/>
          <w:szCs w:val="32"/>
          <w:u w:val="single"/>
        </w:rPr>
        <w:t>、退休费</w:t>
      </w:r>
      <w:r>
        <w:rPr>
          <w:rFonts w:ascii="仿宋_GB2312" w:eastAsia="仿宋_GB2312" w:hAnsi="TimesNewRoman" w:cs="TimesNewRoman" w:hint="eastAsia"/>
          <w:sz w:val="32"/>
          <w:szCs w:val="32"/>
          <w:u w:val="single"/>
          <w:lang w:val="en-US" w:eastAsia="zh-CN"/>
        </w:rPr>
        <w:t>9.77万元</w:t>
      </w:r>
      <w:r>
        <w:rPr>
          <w:rFonts w:ascii="仿宋_GB2312" w:eastAsia="仿宋_GB2312" w:hAnsi="TimesNewRoman" w:cs="TimesNewRoman" w:hint="eastAsia"/>
          <w:sz w:val="32"/>
          <w:szCs w:val="32"/>
          <w:u w:val="single"/>
        </w:rPr>
        <w:t>、生活补助</w:t>
      </w:r>
      <w:r>
        <w:rPr>
          <w:rFonts w:ascii="仿宋_GB2312" w:eastAsia="仿宋_GB2312" w:hAnsi="TimesNewRoman" w:cs="TimesNewRoman" w:hint="eastAsia"/>
          <w:sz w:val="32"/>
          <w:szCs w:val="32"/>
          <w:u w:val="single"/>
          <w:lang w:val="en-US" w:eastAsia="zh-CN"/>
        </w:rPr>
        <w:t>1.88万元</w:t>
      </w:r>
      <w:r>
        <w:rPr>
          <w:rFonts w:ascii="仿宋_GB2312" w:eastAsia="仿宋_GB2312" w:hAnsi="TimesNewRoman" w:cs="TimesNewRoman" w:hint="eastAsia"/>
          <w:sz w:val="32"/>
          <w:szCs w:val="32"/>
          <w:u w:val="single"/>
        </w:rPr>
        <w:t>。</w:t>
      </w:r>
    </w:p>
    <w:p>
      <w:pPr>
        <w:topLinePunct/>
        <w:spacing w:line="580" w:lineRule="exact"/>
        <w:ind w:firstLine="640" w:firstLineChars="200"/>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keepNext w:val="0"/>
        <w:keepLines w:val="0"/>
        <w:pageBreakBefore w:val="0"/>
        <w:widowControl w:val="0"/>
        <w:kinsoku/>
        <w:wordWrap/>
        <w:overflowPunct/>
        <w:topLinePunct/>
        <w:autoSpaceDE/>
        <w:autoSpaceDN/>
        <w:bidi w:val="0"/>
        <w:adjustRightInd w:val="0"/>
        <w:snapToGrid w:val="0"/>
        <w:spacing w:beforeAutospacing="0" w:afterAutospacing="0" w:line="580" w:lineRule="exact"/>
        <w:ind w:firstLine="640" w:firstLineChars="200"/>
        <w:jc w:val="both"/>
        <w:textAlignment w:val="auto"/>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36.36</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本年准备增收住院病人及开展医疗辅助科室</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1.54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1.04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67.53</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增加采购项目及数量</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1.54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1.“乡镇卫生院医疗卫生支出”项目。</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（1）项目概述。主要用于履行医疗卫生服务职能，发挥基层医疗卫生枢纽作用，做好医疗卫生服务，推动基层医疗卫生事业发展。</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（2）立项依据。寿县</w:t>
      </w:r>
      <w:r>
        <w:rPr>
          <w:rFonts w:ascii="仿宋_GB2312" w:eastAsia="仿宋_GB2312" w:hAnsi="楷体" w:hint="eastAsia"/>
          <w:sz w:val="32"/>
          <w:szCs w:val="32"/>
          <w:lang w:eastAsia="zh-CN"/>
        </w:rPr>
        <w:t>枸杞分院</w:t>
      </w:r>
      <w:r>
        <w:rPr>
          <w:rFonts w:ascii="仿宋_GB2312" w:eastAsia="仿宋_GB2312" w:hAnsi="楷体" w:hint="eastAsia"/>
          <w:sz w:val="32"/>
          <w:szCs w:val="32"/>
        </w:rPr>
        <w:t>为基层医疗卫生机构，依据其工作职责和工作任务。</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w:t>
      </w:r>
      <w:r>
        <w:rPr>
          <w:rFonts w:ascii="仿宋_GB2312" w:eastAsia="仿宋_GB2312" w:hAnsi="楷体" w:hint="eastAsia"/>
          <w:sz w:val="32"/>
          <w:szCs w:val="32"/>
        </w:rPr>
        <w:t>寿县</w:t>
      </w:r>
      <w:r>
        <w:rPr>
          <w:rFonts w:ascii="仿宋_GB2312" w:eastAsia="仿宋_GB2312" w:hAnsi="楷体" w:hint="eastAsia"/>
          <w:sz w:val="32"/>
          <w:szCs w:val="32"/>
          <w:lang w:eastAsia="zh-CN"/>
        </w:rPr>
        <w:t>枸杞分院</w:t>
      </w:r>
      <w:r>
        <w:rPr>
          <w:rFonts w:ascii="仿宋_GB2312" w:eastAsia="仿宋_GB2312" w:hAnsi="楷体" w:hint="eastAsia"/>
          <w:sz w:val="32"/>
          <w:szCs w:val="32"/>
        </w:rPr>
        <w:t>。</w:t>
      </w:r>
    </w:p>
    <w:p>
      <w:pPr>
        <w:spacing w:line="600" w:lineRule="exact"/>
        <w:ind w:firstLine="586" w:firstLineChars="183"/>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楷体" w:hint="eastAsia"/>
          <w:sz w:val="32"/>
          <w:szCs w:val="32"/>
        </w:rPr>
        <w:t>起止时间</w:t>
      </w:r>
      <w:r>
        <w:rPr>
          <w:rFonts w:ascii="仿宋_GB2312" w:eastAsia="仿宋_GB2312" w:hAnsi="楷体" w:hint="eastAsia"/>
          <w:sz w:val="32"/>
          <w:szCs w:val="32"/>
          <w:lang w:val="en-US" w:eastAsia="zh-CN"/>
        </w:rPr>
        <w:t>:</w:t>
      </w:r>
      <w:r>
        <w:rPr>
          <w:rFonts w:ascii="仿宋_GB2312" w:eastAsia="仿宋_GB2312" w:hAnsi="楷体" w:hint="eastAsia"/>
          <w:sz w:val="32"/>
          <w:szCs w:val="32"/>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楷体" w:hint="eastAsia"/>
          <w:sz w:val="32"/>
          <w:szCs w:val="32"/>
        </w:rPr>
        <w:t>支付本单位发生的办公及印刷费、电费、专用材料费、维修费等；发放聘用人员工资福利、社保费用。</w:t>
      </w:r>
    </w:p>
    <w:p>
      <w:pPr>
        <w:topLinePunct/>
        <w:adjustRightInd w:val="0"/>
        <w:snapToGrid w:val="0"/>
        <w:spacing w:line="58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110</w:t>
      </w:r>
      <w:r>
        <w:rPr>
          <w:rFonts w:ascii="仿宋_GB2312" w:eastAsia="仿宋_GB2312" w:hAnsi="楷体"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乡镇卫生院医疗卫生支出</w:t>
            </w:r>
          </w:p>
        </w:tc>
      </w:tr>
      <w:tr>
        <w:tblPrEx>
          <w:tblW w:w="0" w:type="auto"/>
          <w:tblInd w:w="0" w:type="dxa"/>
          <w:tblLayout w:type="fixed"/>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color w:val="000000"/>
                <w:sz w:val="20"/>
                <w:szCs w:val="20"/>
                <w:lang w:val="en-US" w:eastAsia="zh-CN"/>
              </w:rPr>
              <w:t>寿县枸杞分院</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2024.01-2024.12</w:t>
            </w:r>
          </w:p>
        </w:tc>
      </w:tr>
      <w:tr>
        <w:tblPrEx>
          <w:tblW w:w="0" w:type="auto"/>
          <w:tblInd w:w="0" w:type="dxa"/>
          <w:tblLayout w:type="fixed"/>
        </w:tblPrEx>
        <w:trPr>
          <w:trHeight w:val="330"/>
        </w:trPr>
        <w:tc>
          <w:tcPr>
            <w:tcW w:w="1443" w:type="dxa"/>
            <w:gridSpan w:val="3"/>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项目资金</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110</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110</w:t>
            </w:r>
          </w:p>
        </w:tc>
      </w:tr>
      <w:tr>
        <w:tblPrEx>
          <w:tblW w:w="0" w:type="auto"/>
          <w:tblInd w:w="0" w:type="dxa"/>
          <w:tblLayout w:type="fixed"/>
        </w:tblPrEx>
        <w:trPr>
          <w:trHeight w:val="1015"/>
        </w:trPr>
        <w:tc>
          <w:tcPr>
            <w:tcW w:w="438"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年度</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目标</w:t>
            </w:r>
          </w:p>
        </w:tc>
        <w:tc>
          <w:tcPr>
            <w:tcW w:w="8582" w:type="dxa"/>
            <w:gridSpan w:val="6"/>
            <w:noWrap w:val="0"/>
            <w:vAlign w:val="center"/>
          </w:tcPr>
          <w:p>
            <w:pPr>
              <w:rPr>
                <w:rFonts w:hint="eastAsia"/>
                <w:sz w:val="20"/>
                <w:szCs w:val="20"/>
              </w:rPr>
            </w:pPr>
            <w:r>
              <w:rPr>
                <w:rFonts w:hint="eastAsia"/>
                <w:sz w:val="20"/>
                <w:szCs w:val="20"/>
              </w:rPr>
              <w:t>目标</w:t>
            </w:r>
            <w:r>
              <w:rPr>
                <w:rFonts w:hint="eastAsia"/>
                <w:sz w:val="20"/>
                <w:szCs w:val="20"/>
                <w:lang w:val="en-US" w:eastAsia="zh-CN"/>
              </w:rPr>
              <w:t>1</w:t>
            </w:r>
            <w:r>
              <w:rPr>
                <w:rFonts w:hint="eastAsia"/>
                <w:sz w:val="20"/>
                <w:szCs w:val="20"/>
              </w:rPr>
              <w:t xml:space="preserve">：提供基本医疗服务，开展常见病多发病的诊治与护理； </w:t>
            </w:r>
          </w:p>
          <w:p>
            <w:pPr>
              <w:rPr>
                <w:rFonts w:hint="eastAsia"/>
                <w:sz w:val="20"/>
                <w:szCs w:val="20"/>
              </w:rPr>
            </w:pPr>
            <w:r>
              <w:rPr>
                <w:rFonts w:hint="eastAsia"/>
                <w:sz w:val="20"/>
                <w:szCs w:val="20"/>
              </w:rPr>
              <w:t>目标</w:t>
            </w:r>
            <w:r>
              <w:rPr>
                <w:rFonts w:hint="eastAsia"/>
                <w:sz w:val="20"/>
                <w:szCs w:val="20"/>
                <w:lang w:val="en-US" w:eastAsia="zh-CN"/>
              </w:rPr>
              <w:t>2</w:t>
            </w:r>
            <w:r>
              <w:rPr>
                <w:rFonts w:hint="eastAsia"/>
                <w:sz w:val="20"/>
                <w:szCs w:val="20"/>
              </w:rPr>
              <w:t>：继续稳步推进国家基本公共卫生服务；</w:t>
            </w:r>
          </w:p>
          <w:p>
            <w:pPr>
              <w:spacing w:line="260" w:lineRule="exact"/>
              <w:jc w:val="left"/>
              <w:rPr>
                <w:rFonts w:ascii="宋体" w:cs="宋体"/>
                <w:sz w:val="18"/>
                <w:szCs w:val="18"/>
              </w:rPr>
            </w:pPr>
            <w:r>
              <w:rPr>
                <w:rFonts w:hint="eastAsia"/>
                <w:sz w:val="20"/>
                <w:szCs w:val="20"/>
              </w:rPr>
              <w:t>目标</w:t>
            </w:r>
            <w:r>
              <w:rPr>
                <w:rFonts w:hint="eastAsia"/>
                <w:sz w:val="20"/>
                <w:szCs w:val="20"/>
                <w:lang w:val="en-US" w:eastAsia="zh-CN"/>
              </w:rPr>
              <w:t>3</w:t>
            </w:r>
            <w:r>
              <w:rPr>
                <w:rFonts w:hint="eastAsia"/>
                <w:sz w:val="20"/>
                <w:szCs w:val="20"/>
              </w:rPr>
              <w:t>：.进一步完善医疗卫生基础设施，满足人民群众需求。</w:t>
            </w:r>
          </w:p>
        </w:tc>
      </w:tr>
      <w:tr>
        <w:tblPrEx>
          <w:tblW w:w="0" w:type="auto"/>
          <w:tblInd w:w="0" w:type="dxa"/>
          <w:tblLayout w:type="fixed"/>
        </w:tblPrEx>
        <w:trPr>
          <w:trHeight w:val="508"/>
        </w:trPr>
        <w:tc>
          <w:tcPr>
            <w:tcW w:w="438" w:type="dxa"/>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绩</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效</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指</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一级</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院内感染事件发生数</w:t>
            </w:r>
          </w:p>
        </w:tc>
        <w:tc>
          <w:tcPr>
            <w:tcW w:w="4228" w:type="dxa"/>
            <w:gridSpan w:val="2"/>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rPr>
              <w:t>　0次</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rPr>
              <w:t xml:space="preserve"> 门诊诊疗数量</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w:t>
            </w:r>
            <w:r>
              <w:rPr>
                <w:rFonts w:ascii="宋体" w:hAnsi="宋体" w:cs="宋体" w:hint="eastAsia"/>
                <w:sz w:val="18"/>
                <w:szCs w:val="18"/>
                <w:lang w:val="en-US" w:eastAsia="zh-CN"/>
              </w:rPr>
              <w:t>2</w:t>
            </w:r>
            <w:r>
              <w:rPr>
                <w:rFonts w:ascii="宋体" w:eastAsia="宋体" w:hAnsi="宋体" w:cs="宋体" w:hint="eastAsia"/>
                <w:sz w:val="18"/>
                <w:szCs w:val="18"/>
              </w:rPr>
              <w:t>万人次</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好转率/治愈率</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≥9</w:t>
            </w:r>
            <w:r>
              <w:rPr>
                <w:rFonts w:ascii="宋体" w:eastAsia="宋体" w:hAnsi="宋体" w:cs="宋体" w:hint="eastAsia"/>
                <w:sz w:val="18"/>
                <w:szCs w:val="18"/>
                <w:lang w:val="en-US" w:eastAsia="zh-CN"/>
              </w:rPr>
              <w:t>8</w:t>
            </w:r>
            <w:r>
              <w:rPr>
                <w:rFonts w:ascii="宋体" w:eastAsia="宋体" w:hAnsi="宋体" w:cs="宋体" w:hint="eastAsia"/>
                <w:sz w:val="18"/>
                <w:szCs w:val="18"/>
              </w:rPr>
              <w:t>%</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药品合格率</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满足病人快速就诊</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　及时</w:t>
            </w:r>
          </w:p>
        </w:tc>
      </w:tr>
      <w:tr>
        <w:tblPrEx>
          <w:tblW w:w="0" w:type="auto"/>
          <w:tblInd w:w="0" w:type="dxa"/>
          <w:tblLayout w:type="fixed"/>
        </w:tblPrEx>
        <w:trPr>
          <w:trHeight w:val="23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项目完成及时性</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降低门诊次均费用</w:t>
            </w:r>
          </w:p>
        </w:tc>
        <w:tc>
          <w:tcPr>
            <w:tcW w:w="4228" w:type="dxa"/>
            <w:gridSpan w:val="2"/>
            <w:noWrap w:val="0"/>
            <w:vAlign w:val="center"/>
          </w:tcPr>
          <w:p>
            <w:pPr>
              <w:widowControl/>
              <w:jc w:val="both"/>
              <w:textAlignment w:val="center"/>
              <w:rPr>
                <w:rFonts w:ascii="宋体" w:eastAsia="宋体" w:hAnsi="宋体" w:cs="宋体" w:hint="eastAsia"/>
                <w:color w:val="000000"/>
                <w:kern w:val="2"/>
                <w:sz w:val="18"/>
                <w:szCs w:val="18"/>
                <w:lang w:val="en-US" w:eastAsia="zh-CN" w:bidi="ar-SA"/>
              </w:rPr>
            </w:pPr>
            <w:r>
              <w:rPr>
                <w:rStyle w:val="font11"/>
                <w:rFonts w:ascii="宋体" w:eastAsia="宋体" w:hAnsi="宋体" w:cs="宋体" w:hint="eastAsia"/>
                <w:sz w:val="18"/>
                <w:szCs w:val="18"/>
                <w:lang w:bidi="ar"/>
              </w:rPr>
              <w:t>≤50</w:t>
            </w:r>
            <w:r>
              <w:rPr>
                <w:rStyle w:val="font31"/>
                <w:rFonts w:ascii="宋体" w:eastAsia="宋体" w:hAnsi="宋体" w:cs="宋体" w:hint="eastAsia"/>
                <w:sz w:val="18"/>
                <w:szCs w:val="18"/>
                <w:lang w:bidi="ar"/>
              </w:rPr>
              <w:t>元</w:t>
            </w:r>
            <w:r>
              <w:rPr>
                <w:rStyle w:val="font11"/>
                <w:rFonts w:ascii="宋体" w:eastAsia="宋体" w:hAnsi="宋体" w:cs="宋体" w:hint="eastAsia"/>
                <w:sz w:val="18"/>
                <w:szCs w:val="18"/>
                <w:lang w:bidi="ar"/>
              </w:rPr>
              <w:t>/</w:t>
            </w:r>
            <w:r>
              <w:rPr>
                <w:rStyle w:val="font31"/>
                <w:rFonts w:ascii="宋体" w:eastAsia="宋体" w:hAnsi="宋体" w:cs="宋体" w:hint="eastAsia"/>
                <w:sz w:val="18"/>
                <w:szCs w:val="18"/>
                <w:lang w:bidi="ar"/>
              </w:rPr>
              <w:t>人次</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项目支出控制额</w:t>
            </w:r>
          </w:p>
        </w:tc>
        <w:tc>
          <w:tcPr>
            <w:tcW w:w="4228" w:type="dxa"/>
            <w:gridSpan w:val="2"/>
            <w:noWrap w:val="0"/>
            <w:vAlign w:val="center"/>
          </w:tcPr>
          <w:p>
            <w:pPr>
              <w:widowControl/>
              <w:jc w:val="both"/>
              <w:textAlignment w:val="center"/>
              <w:rPr>
                <w:rFonts w:ascii="宋体" w:eastAsia="宋体" w:hAnsi="宋体" w:cs="宋体" w:hint="eastAsia"/>
                <w:color w:val="000000"/>
                <w:kern w:val="2"/>
                <w:sz w:val="18"/>
                <w:szCs w:val="18"/>
                <w:lang w:val="en-US" w:eastAsia="zh-CN" w:bidi="ar-SA"/>
              </w:rPr>
            </w:pPr>
            <w:r>
              <w:rPr>
                <w:rFonts w:ascii="宋体" w:eastAsia="宋体" w:hAnsi="宋体" w:cs="宋体" w:hint="eastAsia"/>
                <w:color w:val="000000"/>
                <w:kern w:val="0"/>
                <w:sz w:val="18"/>
                <w:szCs w:val="18"/>
                <w:lang w:bidi="ar"/>
              </w:rPr>
              <w:t>≤</w:t>
            </w:r>
            <w:r>
              <w:rPr>
                <w:rFonts w:ascii="宋体" w:hAnsi="宋体" w:cs="宋体" w:hint="eastAsia"/>
                <w:color w:val="000000"/>
                <w:kern w:val="0"/>
                <w:sz w:val="18"/>
                <w:szCs w:val="18"/>
                <w:lang w:val="en-US" w:eastAsia="zh-CN" w:bidi="ar"/>
              </w:rPr>
              <w:t>110</w:t>
            </w:r>
            <w:r>
              <w:rPr>
                <w:rFonts w:ascii="宋体" w:eastAsia="宋体" w:hAnsi="宋体" w:cs="宋体" w:hint="eastAsia"/>
                <w:color w:val="000000"/>
                <w:kern w:val="0"/>
                <w:sz w:val="18"/>
                <w:szCs w:val="18"/>
                <w:lang w:bidi="ar"/>
              </w:rPr>
              <w:t>万元</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降低经费开支</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降低</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both"/>
              <w:rPr>
                <w:rFonts w:ascii="宋体" w:cs="宋体"/>
                <w:sz w:val="18"/>
                <w:szCs w:val="18"/>
              </w:rPr>
            </w:pP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卫生健康知识知晓度</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　</w:t>
            </w:r>
            <w:r>
              <w:rPr>
                <w:rFonts w:ascii="宋体" w:eastAsia="宋体" w:hAnsi="宋体" w:cs="宋体" w:hint="eastAsia"/>
                <w:color w:val="000000"/>
                <w:kern w:val="0"/>
                <w:sz w:val="18"/>
                <w:szCs w:val="18"/>
                <w:lang w:bidi="ar"/>
              </w:rPr>
              <w:t>≤9</w:t>
            </w:r>
            <w:r>
              <w:rPr>
                <w:rFonts w:ascii="宋体" w:eastAsia="宋体" w:hAnsi="宋体" w:cs="宋体" w:hint="eastAsia"/>
                <w:color w:val="000000"/>
                <w:kern w:val="0"/>
                <w:sz w:val="18"/>
                <w:szCs w:val="18"/>
                <w:lang w:val="en-US" w:eastAsia="zh-CN" w:bidi="ar"/>
              </w:rPr>
              <w:t>0</w:t>
            </w:r>
            <w:r>
              <w:rPr>
                <w:rFonts w:ascii="宋体" w:eastAsia="宋体" w:hAnsi="宋体" w:cs="宋体" w:hint="eastAsia"/>
                <w:color w:val="000000"/>
                <w:kern w:val="0"/>
                <w:sz w:val="18"/>
                <w:szCs w:val="18"/>
                <w:lang w:bidi="ar"/>
              </w:rPr>
              <w:t>%</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　</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医疗废物规范转运</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both"/>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医疗卫生服务能力</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有效提升</w:t>
            </w:r>
          </w:p>
        </w:tc>
      </w:tr>
      <w:tr>
        <w:tblPrEx>
          <w:tblW w:w="0" w:type="auto"/>
          <w:tblInd w:w="0" w:type="dxa"/>
          <w:tblLayout w:type="fixed"/>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长效管理机制</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建立健全</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社会公众/服务对象</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color w:val="000000"/>
                <w:kern w:val="0"/>
                <w:sz w:val="18"/>
                <w:szCs w:val="18"/>
                <w:lang w:bidi="ar"/>
              </w:rPr>
              <w:t>≤9</w:t>
            </w:r>
            <w:r>
              <w:rPr>
                <w:rFonts w:ascii="宋体" w:eastAsia="宋体" w:hAnsi="宋体" w:cs="宋体" w:hint="eastAsia"/>
                <w:color w:val="000000"/>
                <w:kern w:val="0"/>
                <w:sz w:val="18"/>
                <w:szCs w:val="18"/>
                <w:lang w:val="en-US" w:eastAsia="zh-CN" w:bidi="ar"/>
              </w:rPr>
              <w:t>5</w:t>
            </w:r>
            <w:r>
              <w:rPr>
                <w:rFonts w:ascii="宋体" w:eastAsia="宋体" w:hAnsi="宋体" w:cs="宋体" w:hint="eastAsia"/>
                <w:color w:val="000000"/>
                <w:kern w:val="0"/>
                <w:sz w:val="18"/>
                <w:szCs w:val="18"/>
                <w:lang w:bidi="ar"/>
              </w:rPr>
              <w:t>%</w:t>
            </w:r>
            <w:r>
              <w:rPr>
                <w:rFonts w:ascii="宋体" w:eastAsia="宋体" w:hAnsi="宋体" w:cs="宋体" w:hint="eastAsia"/>
                <w:sz w:val="18"/>
                <w:szCs w:val="18"/>
              </w:rPr>
              <w:t>　</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2.“……”项目。</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p>
    <w:p>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p>
    <w:p>
      <w:pPr>
        <w:topLinePunct/>
        <w:spacing w:line="560" w:lineRule="exact"/>
        <w:ind w:firstLine="640" w:firstLineChars="200"/>
        <w:rPr>
          <w:rFonts w:ascii="仿宋_GB2312" w:eastAsia="仿宋_GB2312" w:hAnsi="TimesNewRoman" w:cs="TimesNewRoman" w:hint="eastAsia"/>
          <w:sz w:val="32"/>
          <w:szCs w:val="32"/>
          <w:u w:val="single"/>
        </w:rPr>
      </w:pPr>
      <w:r>
        <w:rPr>
          <w:rFonts w:ascii="仿宋_GB2312" w:eastAsia="仿宋_GB2312" w:hAnsi="TimesNewRoman" w:cs="TimesNewRoman" w:hint="eastAsia"/>
          <w:sz w:val="32"/>
          <w:szCs w:val="32"/>
        </w:rPr>
        <w:t>（3）实施主体。……</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p>
    <w:p>
      <w:pPr>
        <w:topLinePunct/>
        <w:spacing w:line="560" w:lineRule="exact"/>
        <w:ind w:firstLine="640" w:firstLineChars="200"/>
        <w:rPr>
          <w:rFonts w:ascii="仿宋_GB2312" w:eastAsia="仿宋_GB2312" w:hAnsi="TimesNewRoman" w:cs="TimesNewRoman" w:hint="eastAsia"/>
          <w:bCs/>
          <w:sz w:val="32"/>
          <w:szCs w:val="32"/>
        </w:rPr>
      </w:pPr>
      <w:r>
        <w:rPr>
          <w:rFonts w:ascii="仿宋_GB2312" w:eastAsia="仿宋_GB2312" w:hAnsi="TimesNewRoman" w:cs="TimesNewRoman" w:hint="eastAsia"/>
          <w:sz w:val="32"/>
          <w:szCs w:val="32"/>
        </w:rPr>
        <w:t>（5）项目内容。……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（6）年度预算安排。……</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2024年</w:t>
      </w:r>
      <w:r>
        <w:rPr>
          <w:rFonts w:ascii="仿宋_GB2312" w:eastAsia="仿宋_GB2312" w:hAnsi="仿宋" w:cs="宋体" w:hint="eastAsia"/>
          <w:kern w:val="0"/>
          <w:sz w:val="32"/>
          <w:szCs w:val="32"/>
          <w:lang w:val="en-US" w:eastAsia="zh-CN"/>
        </w:rPr>
        <w:t>度无政府采购支出，</w:t>
      </w:r>
      <w:r>
        <w:rPr>
          <w:rFonts w:ascii="仿宋_GB2312" w:eastAsia="仿宋_GB2312" w:hAnsi="TimesNewRoman" w:cs="TimesNewRoman" w:hint="eastAsia"/>
          <w:sz w:val="32"/>
          <w:szCs w:val="32"/>
        </w:rPr>
        <w:t>政府采购预算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枸杞分院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lang w:val="en-US" w:eastAsia="zh-CN"/>
        </w:rPr>
        <w:t>寿县枸杞分院</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【对未安排公务用车、通用设备、专用设备购置预算的部门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，也需要说明公务用车、通用设备、专用设备辆数、台（套）数以及购置费情况，分别填列公务用车、通用设备、专用设备0辆、0台（套）、购置费0万元】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枸杞分院1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lang w:val="en-US" w:eastAsia="zh-CN"/>
        </w:rPr>
        <w:t>110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hint="eastAsia"/>
          <w:sz w:val="32"/>
          <w:szCs w:val="32"/>
          <w:lang w:eastAsia="zh-CN"/>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
    <w:p/>
    <w:p/>
    <w:p>
      <w:bookmarkStart w:id="0" w:name="_GoBack"/>
      <w:bookmarkEnd w:id="0"/>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53C27"/>
    <w:rsid w:val="001113BD"/>
    <w:rsid w:val="003D21B2"/>
    <w:rsid w:val="00847DE1"/>
    <w:rsid w:val="009A4651"/>
    <w:rsid w:val="00EB1C0E"/>
    <w:rsid w:val="019D73AC"/>
    <w:rsid w:val="021B4775"/>
    <w:rsid w:val="021E0353"/>
    <w:rsid w:val="024141DC"/>
    <w:rsid w:val="02443CCC"/>
    <w:rsid w:val="0273635F"/>
    <w:rsid w:val="0305345B"/>
    <w:rsid w:val="03194B7A"/>
    <w:rsid w:val="037E4FBC"/>
    <w:rsid w:val="043D6C25"/>
    <w:rsid w:val="059705B7"/>
    <w:rsid w:val="066A1827"/>
    <w:rsid w:val="066E1317"/>
    <w:rsid w:val="067A7CBC"/>
    <w:rsid w:val="068E795F"/>
    <w:rsid w:val="0797664C"/>
    <w:rsid w:val="083E11BD"/>
    <w:rsid w:val="083E4D1A"/>
    <w:rsid w:val="08602EE2"/>
    <w:rsid w:val="08964B56"/>
    <w:rsid w:val="092B34F0"/>
    <w:rsid w:val="09615163"/>
    <w:rsid w:val="096A1BCE"/>
    <w:rsid w:val="098B3F8E"/>
    <w:rsid w:val="09B81522"/>
    <w:rsid w:val="09C94AB7"/>
    <w:rsid w:val="09D05E45"/>
    <w:rsid w:val="09F14739"/>
    <w:rsid w:val="0AA51080"/>
    <w:rsid w:val="0AA7129C"/>
    <w:rsid w:val="0AAA48E8"/>
    <w:rsid w:val="0ACE6829"/>
    <w:rsid w:val="0ADD4CBE"/>
    <w:rsid w:val="0AEB73DB"/>
    <w:rsid w:val="0B156206"/>
    <w:rsid w:val="0B680A2B"/>
    <w:rsid w:val="0B786794"/>
    <w:rsid w:val="0B8213C1"/>
    <w:rsid w:val="0B9630D7"/>
    <w:rsid w:val="0BC65752"/>
    <w:rsid w:val="0BCB4B16"/>
    <w:rsid w:val="0C22507E"/>
    <w:rsid w:val="0C721436"/>
    <w:rsid w:val="0C8353F1"/>
    <w:rsid w:val="0D4A5F0F"/>
    <w:rsid w:val="0D4E68F6"/>
    <w:rsid w:val="0D5154EF"/>
    <w:rsid w:val="0D5A43A4"/>
    <w:rsid w:val="0D5F19BA"/>
    <w:rsid w:val="0D6E4423"/>
    <w:rsid w:val="0DA10224"/>
    <w:rsid w:val="0DC91529"/>
    <w:rsid w:val="0E547045"/>
    <w:rsid w:val="0E9B2EC6"/>
    <w:rsid w:val="0E9D6C3E"/>
    <w:rsid w:val="0ED32557"/>
    <w:rsid w:val="0EEF4FBF"/>
    <w:rsid w:val="0F0C791F"/>
    <w:rsid w:val="0F2509E1"/>
    <w:rsid w:val="0F76123D"/>
    <w:rsid w:val="0F8E47D8"/>
    <w:rsid w:val="0FE4089C"/>
    <w:rsid w:val="0FEB1C2B"/>
    <w:rsid w:val="100107CC"/>
    <w:rsid w:val="10207B26"/>
    <w:rsid w:val="103233B6"/>
    <w:rsid w:val="106A6FF4"/>
    <w:rsid w:val="10795489"/>
    <w:rsid w:val="1081433D"/>
    <w:rsid w:val="111B209C"/>
    <w:rsid w:val="11AC53EA"/>
    <w:rsid w:val="11BA18B5"/>
    <w:rsid w:val="11CB3AC2"/>
    <w:rsid w:val="123F1DBA"/>
    <w:rsid w:val="126B2BAF"/>
    <w:rsid w:val="126E4812"/>
    <w:rsid w:val="1272218F"/>
    <w:rsid w:val="12883761"/>
    <w:rsid w:val="12A7303C"/>
    <w:rsid w:val="130152C1"/>
    <w:rsid w:val="131E40C5"/>
    <w:rsid w:val="13280AA0"/>
    <w:rsid w:val="13963C5C"/>
    <w:rsid w:val="13F015BE"/>
    <w:rsid w:val="14AF1479"/>
    <w:rsid w:val="15883474"/>
    <w:rsid w:val="16133C89"/>
    <w:rsid w:val="162B4B2F"/>
    <w:rsid w:val="164B51D1"/>
    <w:rsid w:val="16646293"/>
    <w:rsid w:val="167C182F"/>
    <w:rsid w:val="16BF34C9"/>
    <w:rsid w:val="171A0BFF"/>
    <w:rsid w:val="172A4DE7"/>
    <w:rsid w:val="17577BA6"/>
    <w:rsid w:val="175C14EC"/>
    <w:rsid w:val="17606A5A"/>
    <w:rsid w:val="17A0154D"/>
    <w:rsid w:val="17A34B99"/>
    <w:rsid w:val="1804388A"/>
    <w:rsid w:val="18185587"/>
    <w:rsid w:val="183C74C7"/>
    <w:rsid w:val="188B7B07"/>
    <w:rsid w:val="18ED07C2"/>
    <w:rsid w:val="19355CC5"/>
    <w:rsid w:val="193645BF"/>
    <w:rsid w:val="194D74B2"/>
    <w:rsid w:val="19502AFF"/>
    <w:rsid w:val="19B72B7E"/>
    <w:rsid w:val="1A0A5C1B"/>
    <w:rsid w:val="1AC76DF0"/>
    <w:rsid w:val="1AFF658A"/>
    <w:rsid w:val="1B063DBD"/>
    <w:rsid w:val="1B4D72F6"/>
    <w:rsid w:val="1BBC447B"/>
    <w:rsid w:val="1BC51582"/>
    <w:rsid w:val="1C485D0F"/>
    <w:rsid w:val="1CE75528"/>
    <w:rsid w:val="1CFC1581"/>
    <w:rsid w:val="1D2422D8"/>
    <w:rsid w:val="1D682B0D"/>
    <w:rsid w:val="1D7414B2"/>
    <w:rsid w:val="1D862F93"/>
    <w:rsid w:val="1DCD0BC2"/>
    <w:rsid w:val="1DE57CB9"/>
    <w:rsid w:val="1DF60118"/>
    <w:rsid w:val="1DF779ED"/>
    <w:rsid w:val="1E122A78"/>
    <w:rsid w:val="1EB51D82"/>
    <w:rsid w:val="1EF87EC0"/>
    <w:rsid w:val="1F75506D"/>
    <w:rsid w:val="1F8D23B7"/>
    <w:rsid w:val="1FBE6A14"/>
    <w:rsid w:val="1FD55B0C"/>
    <w:rsid w:val="1FDC6E9A"/>
    <w:rsid w:val="20142AD8"/>
    <w:rsid w:val="209D2ACD"/>
    <w:rsid w:val="20D109C9"/>
    <w:rsid w:val="20D3029D"/>
    <w:rsid w:val="20E406FC"/>
    <w:rsid w:val="20F070A1"/>
    <w:rsid w:val="20FF1092"/>
    <w:rsid w:val="21507B40"/>
    <w:rsid w:val="216E7FC6"/>
    <w:rsid w:val="21751354"/>
    <w:rsid w:val="21D02A2F"/>
    <w:rsid w:val="223B259E"/>
    <w:rsid w:val="22482F0D"/>
    <w:rsid w:val="22625D7D"/>
    <w:rsid w:val="22F64197"/>
    <w:rsid w:val="23052BAC"/>
    <w:rsid w:val="230B6414"/>
    <w:rsid w:val="2338762A"/>
    <w:rsid w:val="23445482"/>
    <w:rsid w:val="238241FC"/>
    <w:rsid w:val="23887A65"/>
    <w:rsid w:val="23A83C63"/>
    <w:rsid w:val="23E427C1"/>
    <w:rsid w:val="23E72ABF"/>
    <w:rsid w:val="23F5677C"/>
    <w:rsid w:val="24253506"/>
    <w:rsid w:val="243B6031"/>
    <w:rsid w:val="245636BF"/>
    <w:rsid w:val="24C20D54"/>
    <w:rsid w:val="257D2ECD"/>
    <w:rsid w:val="25C1725E"/>
    <w:rsid w:val="26040EF9"/>
    <w:rsid w:val="267B5F8E"/>
    <w:rsid w:val="268F4C66"/>
    <w:rsid w:val="26D703BB"/>
    <w:rsid w:val="26FC44F7"/>
    <w:rsid w:val="27483683"/>
    <w:rsid w:val="27802801"/>
    <w:rsid w:val="27856069"/>
    <w:rsid w:val="27910EB2"/>
    <w:rsid w:val="279F712B"/>
    <w:rsid w:val="27BF77CD"/>
    <w:rsid w:val="28425D08"/>
    <w:rsid w:val="28535679"/>
    <w:rsid w:val="28650375"/>
    <w:rsid w:val="28D92B11"/>
    <w:rsid w:val="28E76FDC"/>
    <w:rsid w:val="292518B2"/>
    <w:rsid w:val="29542197"/>
    <w:rsid w:val="29D137E8"/>
    <w:rsid w:val="2A4144C9"/>
    <w:rsid w:val="2A4D7312"/>
    <w:rsid w:val="2A790107"/>
    <w:rsid w:val="2A9D36CA"/>
    <w:rsid w:val="2ABE3D6C"/>
    <w:rsid w:val="2AFB6D6E"/>
    <w:rsid w:val="2B314DBC"/>
    <w:rsid w:val="2B750944"/>
    <w:rsid w:val="2BCC070B"/>
    <w:rsid w:val="2BCC4267"/>
    <w:rsid w:val="2C0E487F"/>
    <w:rsid w:val="2C1520B2"/>
    <w:rsid w:val="2CD31625"/>
    <w:rsid w:val="2CF46412"/>
    <w:rsid w:val="2D377E06"/>
    <w:rsid w:val="2D7B4196"/>
    <w:rsid w:val="2D7C3A6A"/>
    <w:rsid w:val="2DA32FAF"/>
    <w:rsid w:val="2DE51610"/>
    <w:rsid w:val="2EB01C1E"/>
    <w:rsid w:val="2EB37960"/>
    <w:rsid w:val="2F3565C7"/>
    <w:rsid w:val="2F9E5F1A"/>
    <w:rsid w:val="2FCE2CA3"/>
    <w:rsid w:val="30201025"/>
    <w:rsid w:val="30633C00"/>
    <w:rsid w:val="306B5282"/>
    <w:rsid w:val="308800EC"/>
    <w:rsid w:val="30890978"/>
    <w:rsid w:val="309D61D2"/>
    <w:rsid w:val="310B5831"/>
    <w:rsid w:val="31132938"/>
    <w:rsid w:val="31F14A27"/>
    <w:rsid w:val="320E382B"/>
    <w:rsid w:val="32244C05"/>
    <w:rsid w:val="324E1E79"/>
    <w:rsid w:val="326F1DF0"/>
    <w:rsid w:val="32A60391"/>
    <w:rsid w:val="331C222E"/>
    <w:rsid w:val="339715FE"/>
    <w:rsid w:val="33DE722D"/>
    <w:rsid w:val="3422536C"/>
    <w:rsid w:val="348A1163"/>
    <w:rsid w:val="34943D90"/>
    <w:rsid w:val="34A2025B"/>
    <w:rsid w:val="34C46423"/>
    <w:rsid w:val="34C97AC9"/>
    <w:rsid w:val="34DB376C"/>
    <w:rsid w:val="34FA0097"/>
    <w:rsid w:val="350608B2"/>
    <w:rsid w:val="35586B6B"/>
    <w:rsid w:val="356C2617"/>
    <w:rsid w:val="357716E7"/>
    <w:rsid w:val="359978AF"/>
    <w:rsid w:val="35CF507F"/>
    <w:rsid w:val="35F03248"/>
    <w:rsid w:val="36211653"/>
    <w:rsid w:val="36266C69"/>
    <w:rsid w:val="364339F5"/>
    <w:rsid w:val="369E4A52"/>
    <w:rsid w:val="36AA789A"/>
    <w:rsid w:val="37003C4A"/>
    <w:rsid w:val="373A0C1E"/>
    <w:rsid w:val="37824373"/>
    <w:rsid w:val="37C624B2"/>
    <w:rsid w:val="37EF1A09"/>
    <w:rsid w:val="38066D52"/>
    <w:rsid w:val="38237904"/>
    <w:rsid w:val="386341A5"/>
    <w:rsid w:val="389425B0"/>
    <w:rsid w:val="38A00F55"/>
    <w:rsid w:val="3911775D"/>
    <w:rsid w:val="39957E54"/>
    <w:rsid w:val="39F33306"/>
    <w:rsid w:val="3A3658FB"/>
    <w:rsid w:val="3B086638"/>
    <w:rsid w:val="3B190B4B"/>
    <w:rsid w:val="3B455DE4"/>
    <w:rsid w:val="3B710987"/>
    <w:rsid w:val="3B9E535D"/>
    <w:rsid w:val="3BD11425"/>
    <w:rsid w:val="3BE178BA"/>
    <w:rsid w:val="3BE70C49"/>
    <w:rsid w:val="3BFD046C"/>
    <w:rsid w:val="3C29300F"/>
    <w:rsid w:val="3C7A386B"/>
    <w:rsid w:val="3C8B3CCA"/>
    <w:rsid w:val="3CB11983"/>
    <w:rsid w:val="3D3B124C"/>
    <w:rsid w:val="3E0E4BB3"/>
    <w:rsid w:val="3EC3774B"/>
    <w:rsid w:val="3EE17366"/>
    <w:rsid w:val="3EE37DED"/>
    <w:rsid w:val="3EEC4EF4"/>
    <w:rsid w:val="3F0A29FB"/>
    <w:rsid w:val="3F0A7128"/>
    <w:rsid w:val="3F2521B4"/>
    <w:rsid w:val="3F32667F"/>
    <w:rsid w:val="3FB83028"/>
    <w:rsid w:val="3FD57736"/>
    <w:rsid w:val="3FF35E0E"/>
    <w:rsid w:val="3FFB2F15"/>
    <w:rsid w:val="40322DDA"/>
    <w:rsid w:val="405368AD"/>
    <w:rsid w:val="40907B01"/>
    <w:rsid w:val="40980764"/>
    <w:rsid w:val="40AF10F4"/>
    <w:rsid w:val="40CE4185"/>
    <w:rsid w:val="414032D5"/>
    <w:rsid w:val="41450811"/>
    <w:rsid w:val="429C278D"/>
    <w:rsid w:val="42FC322C"/>
    <w:rsid w:val="43374264"/>
    <w:rsid w:val="434A1377"/>
    <w:rsid w:val="436D237B"/>
    <w:rsid w:val="438374A9"/>
    <w:rsid w:val="43A062AD"/>
    <w:rsid w:val="43EF3098"/>
    <w:rsid w:val="4416031D"/>
    <w:rsid w:val="4423670A"/>
    <w:rsid w:val="44663053"/>
    <w:rsid w:val="447C2876"/>
    <w:rsid w:val="447D65EE"/>
    <w:rsid w:val="44DA759D"/>
    <w:rsid w:val="454D7D6F"/>
    <w:rsid w:val="45911C91"/>
    <w:rsid w:val="45A02594"/>
    <w:rsid w:val="45AE28FA"/>
    <w:rsid w:val="46333408"/>
    <w:rsid w:val="464E3D9E"/>
    <w:rsid w:val="46C73B51"/>
    <w:rsid w:val="47596E9F"/>
    <w:rsid w:val="475E44B5"/>
    <w:rsid w:val="48142DC6"/>
    <w:rsid w:val="48205C0E"/>
    <w:rsid w:val="48587156"/>
    <w:rsid w:val="487D6BBD"/>
    <w:rsid w:val="490966A2"/>
    <w:rsid w:val="497D1516"/>
    <w:rsid w:val="499A554C"/>
    <w:rsid w:val="49CF51F6"/>
    <w:rsid w:val="49DC7913"/>
    <w:rsid w:val="49EB5DA8"/>
    <w:rsid w:val="49EF5898"/>
    <w:rsid w:val="4A08695A"/>
    <w:rsid w:val="4AC62A9D"/>
    <w:rsid w:val="4AD14F9E"/>
    <w:rsid w:val="4AE20F59"/>
    <w:rsid w:val="4AE922E8"/>
    <w:rsid w:val="4B5918AC"/>
    <w:rsid w:val="4B8D5369"/>
    <w:rsid w:val="4BCA036B"/>
    <w:rsid w:val="4BE56F53"/>
    <w:rsid w:val="4C2A705C"/>
    <w:rsid w:val="4C431ECB"/>
    <w:rsid w:val="4CAD5597"/>
    <w:rsid w:val="4CB42DC9"/>
    <w:rsid w:val="4CE76CFB"/>
    <w:rsid w:val="4D1F0243"/>
    <w:rsid w:val="4D626381"/>
    <w:rsid w:val="4DBF4E07"/>
    <w:rsid w:val="4E037B64"/>
    <w:rsid w:val="4E5008D0"/>
    <w:rsid w:val="4E7E71EB"/>
    <w:rsid w:val="4EA8070C"/>
    <w:rsid w:val="4EE72FE2"/>
    <w:rsid w:val="4F0F2539"/>
    <w:rsid w:val="4F55619D"/>
    <w:rsid w:val="4F734876"/>
    <w:rsid w:val="4F8E345D"/>
    <w:rsid w:val="4F934F18"/>
    <w:rsid w:val="5008134F"/>
    <w:rsid w:val="50632B3C"/>
    <w:rsid w:val="50E81293"/>
    <w:rsid w:val="50FE2865"/>
    <w:rsid w:val="510F05CE"/>
    <w:rsid w:val="515B1A65"/>
    <w:rsid w:val="51B03B5F"/>
    <w:rsid w:val="51B66C9C"/>
    <w:rsid w:val="52614E59"/>
    <w:rsid w:val="52911BE2"/>
    <w:rsid w:val="52EF6909"/>
    <w:rsid w:val="530C1269"/>
    <w:rsid w:val="53755060"/>
    <w:rsid w:val="53916534"/>
    <w:rsid w:val="53F35F85"/>
    <w:rsid w:val="5402441A"/>
    <w:rsid w:val="54240834"/>
    <w:rsid w:val="54B90F7D"/>
    <w:rsid w:val="54E12281"/>
    <w:rsid w:val="54ED0C26"/>
    <w:rsid w:val="54ED6E78"/>
    <w:rsid w:val="553D7E00"/>
    <w:rsid w:val="55801A9A"/>
    <w:rsid w:val="55A439DB"/>
    <w:rsid w:val="55AC6D33"/>
    <w:rsid w:val="55EC5382"/>
    <w:rsid w:val="56290384"/>
    <w:rsid w:val="563D3E2F"/>
    <w:rsid w:val="56876E58"/>
    <w:rsid w:val="56C360E3"/>
    <w:rsid w:val="56C43C09"/>
    <w:rsid w:val="579655A5"/>
    <w:rsid w:val="57AC4DC9"/>
    <w:rsid w:val="57D32355"/>
    <w:rsid w:val="57E24C8E"/>
    <w:rsid w:val="585D494D"/>
    <w:rsid w:val="585F008D"/>
    <w:rsid w:val="5886386C"/>
    <w:rsid w:val="5898359F"/>
    <w:rsid w:val="5932754F"/>
    <w:rsid w:val="59352B9C"/>
    <w:rsid w:val="59796F2C"/>
    <w:rsid w:val="598F04FE"/>
    <w:rsid w:val="59945B14"/>
    <w:rsid w:val="5996188C"/>
    <w:rsid w:val="59E27611"/>
    <w:rsid w:val="5A0A227A"/>
    <w:rsid w:val="5A0C1B4F"/>
    <w:rsid w:val="5A2E7D17"/>
    <w:rsid w:val="5A3D7F5A"/>
    <w:rsid w:val="5A6C083F"/>
    <w:rsid w:val="5AAB580B"/>
    <w:rsid w:val="5AB346C0"/>
    <w:rsid w:val="5AC02939"/>
    <w:rsid w:val="5AF251E8"/>
    <w:rsid w:val="5AF727FF"/>
    <w:rsid w:val="5B863B83"/>
    <w:rsid w:val="5C050F4B"/>
    <w:rsid w:val="5C2238AB"/>
    <w:rsid w:val="5C78796F"/>
    <w:rsid w:val="5D2673CB"/>
    <w:rsid w:val="5D700646"/>
    <w:rsid w:val="5EC62C14"/>
    <w:rsid w:val="5F0828D4"/>
    <w:rsid w:val="604D4C6F"/>
    <w:rsid w:val="60DC5CFA"/>
    <w:rsid w:val="614B7400"/>
    <w:rsid w:val="614C4F26"/>
    <w:rsid w:val="61F23D20"/>
    <w:rsid w:val="62377985"/>
    <w:rsid w:val="624F1172"/>
    <w:rsid w:val="62606EDB"/>
    <w:rsid w:val="62C935EB"/>
    <w:rsid w:val="62D82F16"/>
    <w:rsid w:val="62FF66F4"/>
    <w:rsid w:val="63035AB9"/>
    <w:rsid w:val="63097573"/>
    <w:rsid w:val="631A52DC"/>
    <w:rsid w:val="63275C4B"/>
    <w:rsid w:val="637D586B"/>
    <w:rsid w:val="63846BFA"/>
    <w:rsid w:val="638E1826"/>
    <w:rsid w:val="63996E0C"/>
    <w:rsid w:val="63C60FC0"/>
    <w:rsid w:val="63CF770D"/>
    <w:rsid w:val="64306D81"/>
    <w:rsid w:val="64326656"/>
    <w:rsid w:val="64B41760"/>
    <w:rsid w:val="64F102BF"/>
    <w:rsid w:val="652A557F"/>
    <w:rsid w:val="655820EC"/>
    <w:rsid w:val="657D1B52"/>
    <w:rsid w:val="65896749"/>
    <w:rsid w:val="65D04378"/>
    <w:rsid w:val="661E0743"/>
    <w:rsid w:val="6686712D"/>
    <w:rsid w:val="66886A01"/>
    <w:rsid w:val="67135C6C"/>
    <w:rsid w:val="671958AB"/>
    <w:rsid w:val="67C65A33"/>
    <w:rsid w:val="67D53EC8"/>
    <w:rsid w:val="685A617B"/>
    <w:rsid w:val="685D1552"/>
    <w:rsid w:val="692769A5"/>
    <w:rsid w:val="692C3FBB"/>
    <w:rsid w:val="694E3F32"/>
    <w:rsid w:val="69961435"/>
    <w:rsid w:val="69C37B91"/>
    <w:rsid w:val="69D34437"/>
    <w:rsid w:val="69E26AA4"/>
    <w:rsid w:val="6AD06BC8"/>
    <w:rsid w:val="6AE83F12"/>
    <w:rsid w:val="6B054AC4"/>
    <w:rsid w:val="6B5C220A"/>
    <w:rsid w:val="6BB107A8"/>
    <w:rsid w:val="6C4E249B"/>
    <w:rsid w:val="6C692E30"/>
    <w:rsid w:val="6C830396"/>
    <w:rsid w:val="6CAB51F7"/>
    <w:rsid w:val="6D2A6A64"/>
    <w:rsid w:val="6DB66549"/>
    <w:rsid w:val="6DDB5FB0"/>
    <w:rsid w:val="6E5B2C4D"/>
    <w:rsid w:val="6E8421A4"/>
    <w:rsid w:val="6EE4081E"/>
    <w:rsid w:val="6EF530A1"/>
    <w:rsid w:val="6F0C014F"/>
    <w:rsid w:val="6F265009"/>
    <w:rsid w:val="6F413BF1"/>
    <w:rsid w:val="6F4D07E7"/>
    <w:rsid w:val="6F926B42"/>
    <w:rsid w:val="6FD9207B"/>
    <w:rsid w:val="701C7B88"/>
    <w:rsid w:val="706E2280"/>
    <w:rsid w:val="70A62F6D"/>
    <w:rsid w:val="70E62CA2"/>
    <w:rsid w:val="714D4ACF"/>
    <w:rsid w:val="71922E29"/>
    <w:rsid w:val="71A97BF2"/>
    <w:rsid w:val="71AD37BF"/>
    <w:rsid w:val="71C83831"/>
    <w:rsid w:val="722C0B88"/>
    <w:rsid w:val="72410060"/>
    <w:rsid w:val="726522EC"/>
    <w:rsid w:val="731A6C33"/>
    <w:rsid w:val="73335F46"/>
    <w:rsid w:val="733D0B73"/>
    <w:rsid w:val="734B14E2"/>
    <w:rsid w:val="73593BFF"/>
    <w:rsid w:val="737E3665"/>
    <w:rsid w:val="74CE4179"/>
    <w:rsid w:val="74F6547D"/>
    <w:rsid w:val="75050D66"/>
    <w:rsid w:val="752244C4"/>
    <w:rsid w:val="7589009F"/>
    <w:rsid w:val="765E32DA"/>
    <w:rsid w:val="76E41A31"/>
    <w:rsid w:val="77212C85"/>
    <w:rsid w:val="77316C41"/>
    <w:rsid w:val="77905715"/>
    <w:rsid w:val="77BE04D4"/>
    <w:rsid w:val="78104AA8"/>
    <w:rsid w:val="78372035"/>
    <w:rsid w:val="785030F6"/>
    <w:rsid w:val="78615304"/>
    <w:rsid w:val="7879089F"/>
    <w:rsid w:val="78917997"/>
    <w:rsid w:val="78B813C8"/>
    <w:rsid w:val="78CF226D"/>
    <w:rsid w:val="79004B1D"/>
    <w:rsid w:val="790E1ADB"/>
    <w:rsid w:val="79142376"/>
    <w:rsid w:val="79780B57"/>
    <w:rsid w:val="797C23F5"/>
    <w:rsid w:val="79982FA7"/>
    <w:rsid w:val="79C97604"/>
    <w:rsid w:val="79E955B1"/>
    <w:rsid w:val="79F53F55"/>
    <w:rsid w:val="79FC52E4"/>
    <w:rsid w:val="7A097A01"/>
    <w:rsid w:val="7B14665D"/>
    <w:rsid w:val="7B152B01"/>
    <w:rsid w:val="7B332F87"/>
    <w:rsid w:val="7C156B31"/>
    <w:rsid w:val="7C2B3C5E"/>
    <w:rsid w:val="7C370855"/>
    <w:rsid w:val="7C572CA5"/>
    <w:rsid w:val="7CD73DE6"/>
    <w:rsid w:val="7D24527D"/>
    <w:rsid w:val="7D2708CA"/>
    <w:rsid w:val="7D44147C"/>
    <w:rsid w:val="7D5176F5"/>
    <w:rsid w:val="7D823D52"/>
    <w:rsid w:val="7DD50326"/>
    <w:rsid w:val="7DDB16B4"/>
    <w:rsid w:val="7DDD71DA"/>
    <w:rsid w:val="7E0E7A7A"/>
    <w:rsid w:val="7E9006F1"/>
    <w:rsid w:val="7EC07354"/>
    <w:rsid w:val="7F1B445E"/>
    <w:rsid w:val="7FBE4DEA"/>
    <w:rsid w:val="7FD36AE7"/>
    <w:rsid w:val="7FFD3B64"/>
  </w:rsids>
  <w:docVars>
    <w:docVar w:name="commondata" w:val="eyJoZGlkIjoiZGNmMmQ1NWQ1YzgwZGNhYWY5NzVjNmIwMWVmOTNlN2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autoRedefine/>
    <w:semiHidden/>
    <w:qFormat/>
    <w:tblPr>
      <w:tblInd w:w="0" w:type="dxa"/>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autoRedefine/>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font11">
    <w:name w:val="font11"/>
    <w:basedOn w:val="DefaultParagraphFont"/>
    <w:autoRedefine/>
    <w:qFormat/>
    <w:rPr>
      <w:rFonts w:ascii="Arial" w:hAnsi="Arial" w:cs="Arial" w:hint="default"/>
      <w:color w:val="000000"/>
      <w:sz w:val="20"/>
      <w:szCs w:val="20"/>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97548</cp:lastModifiedBy>
  <cp:revision>1</cp:revision>
  <dcterms:created xsi:type="dcterms:W3CDTF">2024-01-16T02:39:00Z</dcterms:created>
  <dcterms:modified xsi:type="dcterms:W3CDTF">2024-01-21T02:49:43Z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