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中医院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lang w:eastAsia="zh-CN"/>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eastAsia="zh-CN"/>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eastAsia="zh-CN"/>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eastAsia="zh-CN"/>
        </w:rPr>
        <w:t>单位</w:t>
      </w:r>
      <w:r>
        <w:rPr>
          <w:rFonts w:ascii="黑体" w:eastAsia="黑体" w:hAnsi="黑体" w:cs="TimesNewRoman"/>
          <w:sz w:val="32"/>
          <w:szCs w:val="32"/>
        </w:rPr>
        <w:t>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寿县中医院2024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eastAsia="zh-CN"/>
        </w:rPr>
        <w:t>单位</w:t>
      </w:r>
      <w:r>
        <w:rPr>
          <w:rFonts w:ascii="黑体" w:eastAsia="黑体" w:hAnsi="黑体" w:cs="TimesNewRoman"/>
          <w:sz w:val="32"/>
          <w:szCs w:val="32"/>
        </w:rPr>
        <w:t>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eastAsia="zh-CN"/>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(一)医疗服务：为全</w:t>
      </w:r>
      <w:r>
        <w:rPr>
          <w:rFonts w:ascii="TimesNewRoman" w:eastAsia="仿宋_GB2312" w:hAnsi="TimesNewRoman" w:cs="TimesNewRoman" w:hint="eastAsia"/>
          <w:bCs/>
          <w:sz w:val="32"/>
          <w:szCs w:val="32"/>
          <w:lang w:eastAsia="zh-CN"/>
        </w:rPr>
        <w:t>县</w:t>
      </w:r>
      <w:r>
        <w:rPr>
          <w:rFonts w:ascii="TimesNewRoman" w:eastAsia="仿宋_GB2312" w:hAnsi="TimesNewRoman" w:cs="TimesNewRoman" w:hint="eastAsia"/>
          <w:bCs/>
          <w:sz w:val="32"/>
          <w:szCs w:val="32"/>
        </w:rPr>
        <w:t>人民身体健康提供医疗与护理保健服务。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1、提供高水平的专科、专家服务，开设急诊科、呼吸内科、神经内科、内分泌内科、心血管内科、传染内科、普通外科、神经外科、泌尿外科、骨科、儿科、眼科、妇产科、五官科等专科的住院治疗和门诊治疗服务</w:t>
      </w:r>
      <w:r>
        <w:rPr>
          <w:rFonts w:ascii="TimesNewRoman" w:eastAsia="仿宋_GB2312" w:hAnsi="TimesNewRoman" w:cs="TimesNewRoman" w:hint="eastAsia"/>
          <w:bCs/>
          <w:sz w:val="32"/>
          <w:szCs w:val="32"/>
          <w:lang w:eastAsia="zh-CN"/>
        </w:rPr>
        <w:t>。</w:t>
      </w:r>
      <w:r>
        <w:rPr>
          <w:rFonts w:ascii="TimesNewRoman" w:eastAsia="仿宋_GB2312" w:hAnsi="TimesNewRoman" w:cs="TimesNewRoman" w:hint="eastAsia"/>
          <w:bCs/>
          <w:sz w:val="32"/>
          <w:szCs w:val="32"/>
        </w:rPr>
        <w:t>承担急危重症和疑难病症诊治任务，开展双向转诊。</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2、承担灾害事故的紧急救援及院内急救任务。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3、指导社区、护理、康复医疗服务。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(二)教学科研：</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承担</w:t>
      </w:r>
      <w:r>
        <w:rPr>
          <w:rFonts w:ascii="TimesNewRoman" w:eastAsia="仿宋_GB2312" w:hAnsi="TimesNewRoman" w:cs="TimesNewRoman" w:hint="eastAsia"/>
          <w:bCs/>
          <w:sz w:val="32"/>
          <w:szCs w:val="32"/>
          <w:lang w:eastAsia="zh-CN"/>
        </w:rPr>
        <w:t>医共体集团内部</w:t>
      </w:r>
      <w:r>
        <w:rPr>
          <w:rFonts w:ascii="TimesNewRoman" w:eastAsia="仿宋_GB2312" w:hAnsi="TimesNewRoman" w:cs="TimesNewRoman" w:hint="eastAsia"/>
          <w:bCs/>
          <w:sz w:val="32"/>
          <w:szCs w:val="32"/>
        </w:rPr>
        <w:t>医疗机构技术骨干的临床专业进修</w:t>
      </w:r>
      <w:r>
        <w:rPr>
          <w:rFonts w:ascii="TimesNewRoman" w:eastAsia="仿宋_GB2312" w:hAnsi="TimesNewRoman" w:cs="TimesNewRoman" w:hint="eastAsia"/>
          <w:bCs/>
          <w:sz w:val="32"/>
          <w:szCs w:val="32"/>
          <w:lang w:eastAsia="zh-CN"/>
        </w:rPr>
        <w:t>、培训</w:t>
      </w:r>
      <w:r>
        <w:rPr>
          <w:rFonts w:ascii="TimesNewRoman" w:eastAsia="仿宋_GB2312" w:hAnsi="TimesNewRoman" w:cs="TimesNewRoman" w:hint="eastAsia"/>
          <w:bCs/>
          <w:sz w:val="32"/>
          <w:szCs w:val="32"/>
        </w:rPr>
        <w:t>任务。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(三)业务技术指导：</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履行对</w:t>
      </w:r>
      <w:r>
        <w:rPr>
          <w:rFonts w:ascii="TimesNewRoman" w:eastAsia="仿宋_GB2312" w:hAnsi="TimesNewRoman" w:cs="TimesNewRoman" w:hint="eastAsia"/>
          <w:bCs/>
          <w:sz w:val="32"/>
          <w:szCs w:val="32"/>
          <w:lang w:eastAsia="zh-CN"/>
        </w:rPr>
        <w:t>医共体集团内部</w:t>
      </w:r>
      <w:r>
        <w:rPr>
          <w:rFonts w:ascii="TimesNewRoman" w:eastAsia="仿宋_GB2312" w:hAnsi="TimesNewRoman" w:cs="TimesNewRoman" w:hint="eastAsia"/>
          <w:bCs/>
          <w:sz w:val="32"/>
          <w:szCs w:val="32"/>
        </w:rPr>
        <w:t>医疗机构业务技术指导，并建立经常性的技术指导与合作关系，帮助开展</w:t>
      </w:r>
      <w:r>
        <w:rPr>
          <w:rFonts w:ascii="TimesNewRoman" w:eastAsia="仿宋_GB2312" w:hAnsi="TimesNewRoman" w:cs="TimesNewRoman" w:hint="eastAsia"/>
          <w:bCs/>
          <w:sz w:val="32"/>
          <w:szCs w:val="32"/>
          <w:lang w:eastAsia="zh-CN"/>
        </w:rPr>
        <w:t>中医</w:t>
      </w:r>
      <w:r>
        <w:rPr>
          <w:rFonts w:ascii="TimesNewRoman" w:eastAsia="仿宋_GB2312" w:hAnsi="TimesNewRoman" w:cs="TimesNewRoman" w:hint="eastAsia"/>
          <w:bCs/>
          <w:sz w:val="32"/>
          <w:szCs w:val="32"/>
        </w:rPr>
        <w:t>新技术、新项目，解决疑难问题，培养卫生技术和管理人才。</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(四)预防保健：</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1、开展</w:t>
      </w:r>
      <w:r>
        <w:rPr>
          <w:rFonts w:ascii="TimesNewRoman" w:eastAsia="仿宋_GB2312" w:hAnsi="TimesNewRoman" w:cs="TimesNewRoman" w:hint="eastAsia"/>
          <w:bCs/>
          <w:sz w:val="32"/>
          <w:szCs w:val="32"/>
          <w:lang w:eastAsia="zh-CN"/>
        </w:rPr>
        <w:t>中医</w:t>
      </w:r>
      <w:r>
        <w:rPr>
          <w:rFonts w:ascii="TimesNewRoman" w:eastAsia="仿宋_GB2312" w:hAnsi="TimesNewRoman" w:cs="TimesNewRoman" w:hint="eastAsia"/>
          <w:bCs/>
          <w:sz w:val="32"/>
          <w:szCs w:val="32"/>
        </w:rPr>
        <w:t>健康教育。</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2、承担预防保健、主要慢性非传染性疾病的临床流行病学调查和防治工作。</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3、参与城市初级卫生保健工作。</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eastAsia="zh-CN"/>
        </w:rPr>
        <w:t>单位</w:t>
      </w:r>
      <w:r>
        <w:rPr>
          <w:rFonts w:ascii="楷体_GB2312" w:eastAsia="楷体_GB2312" w:hAnsi="TimesNewRoman" w:cs="TimesNewRoman"/>
          <w:b/>
          <w:bCs/>
          <w:sz w:val="32"/>
          <w:szCs w:val="32"/>
        </w:rPr>
        <w:t>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bCs/>
          <w:sz w:val="32"/>
          <w:szCs w:val="32"/>
        </w:rPr>
      </w:pPr>
      <w:bookmarkStart w:id="0" w:name="_GoBack"/>
      <w:bookmarkEnd w:id="0"/>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2024年度单位预算仅包括单位本级预算，无其他下属单位预算。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line="360" w:lineRule="auto"/>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（一）以医疗工作为中心，在提高医疗质量的基础上，保证教学和科研任务的完成，并不断提高教学质量和科研水平。同时做好扩大预防，指导基层和计划生育的技术工作。</w:t>
      </w:r>
    </w:p>
    <w:p>
      <w:pPr>
        <w:pStyle w:val="NormalWeb"/>
        <w:adjustRightInd w:val="0"/>
        <w:snapToGrid w:val="0"/>
        <w:spacing w:line="360" w:lineRule="auto"/>
        <w:rPr>
          <w:rFonts w:ascii="TimesNewRoman" w:eastAsia="黑体" w:hAnsi="TimesNewRoman" w:cs="TimesNewRoman"/>
          <w:bCs/>
          <w:sz w:val="36"/>
          <w:szCs w:val="36"/>
        </w:rPr>
      </w:pPr>
      <w:r>
        <w:rPr>
          <w:rFonts w:ascii="TimesNewRoman" w:eastAsia="仿宋_GB2312" w:hAnsi="TimesNewRoman" w:cs="TimesNewRoman" w:hint="eastAsia"/>
          <w:bCs/>
          <w:sz w:val="32"/>
          <w:szCs w:val="32"/>
        </w:rPr>
        <w:t>（二）积极推动县域医共体</w:t>
      </w:r>
      <w:r>
        <w:rPr>
          <w:rFonts w:ascii="TimesNewRoman" w:eastAsia="仿宋_GB2312" w:hAnsi="TimesNewRoman" w:cs="TimesNewRoman" w:hint="eastAsia"/>
          <w:bCs/>
          <w:sz w:val="32"/>
          <w:szCs w:val="32"/>
          <w:lang w:eastAsia="zh-CN"/>
        </w:rPr>
        <w:t>集团</w:t>
      </w:r>
      <w:r>
        <w:rPr>
          <w:rFonts w:ascii="TimesNewRoman" w:eastAsia="仿宋_GB2312" w:hAnsi="TimesNewRoman" w:cs="TimesNewRoman" w:hint="eastAsia"/>
          <w:bCs/>
          <w:sz w:val="32"/>
          <w:szCs w:val="32"/>
        </w:rPr>
        <w:t>建设。</w:t>
      </w: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eastAsia="zh-CN"/>
        </w:rPr>
        <w:t>单位</w:t>
      </w:r>
      <w:r>
        <w:rPr>
          <w:rFonts w:ascii="TimesNewRoman" w:eastAsia="黑体" w:hAnsi="TimesNewRoman" w:cs="TimesNewRoman"/>
          <w:bCs/>
          <w:sz w:val="36"/>
          <w:szCs w:val="36"/>
        </w:rPr>
        <w:t>预算表</w:t>
      </w:r>
    </w:p>
    <w:p>
      <w:pPr>
        <w:spacing w:line="560" w:lineRule="exact"/>
        <w:ind w:firstLine="6600" w:firstLineChars="3300"/>
        <w:jc w:val="left"/>
        <w:rPr>
          <w:rFonts w:ascii="TimesNewRoman" w:hAnsi="TimesNewRoman" w:cs="TimesNewRoman" w:hint="eastAsia"/>
          <w:kern w:val="0"/>
          <w:sz w:val="20"/>
          <w:lang w:eastAsia="zh-CN"/>
        </w:rPr>
      </w:pPr>
    </w:p>
    <w:p>
      <w:pPr>
        <w:spacing w:line="560" w:lineRule="exact"/>
        <w:ind w:firstLine="6600" w:firstLineChars="3300"/>
        <w:jc w:val="left"/>
        <w:rPr>
          <w:rFonts w:ascii="TimesNewRoman" w:hAnsi="TimesNewRoman" w:cs="TimesNewRoman" w:hint="eastAsia"/>
          <w:kern w:val="0"/>
          <w:sz w:val="20"/>
          <w:lang w:eastAsia="zh-CN"/>
        </w:rPr>
      </w:pPr>
    </w:p>
    <w:p>
      <w:pPr>
        <w:spacing w:line="560" w:lineRule="exact"/>
        <w:ind w:firstLine="6600" w:firstLineChars="3300"/>
        <w:jc w:val="left"/>
        <w:rPr>
          <w:rFonts w:ascii="TimesNewRoman" w:hAnsi="TimesNewRoman" w:cs="TimesNewRoman" w:hint="eastAsia"/>
          <w:kern w:val="0"/>
          <w:sz w:val="20"/>
          <w:lang w:eastAsia="zh-CN"/>
        </w:rPr>
      </w:pPr>
    </w:p>
    <w:p>
      <w:pPr>
        <w:spacing w:line="560" w:lineRule="exact"/>
        <w:ind w:firstLine="6600" w:firstLineChars="3300"/>
        <w:jc w:val="left"/>
        <w:rPr>
          <w:rFonts w:ascii="宋体" w:hAnsi="宋体" w:cs="TimesNewRoman" w:hint="eastAsia"/>
          <w:b/>
          <w:bCs/>
          <w:kern w:val="0"/>
          <w:sz w:val="28"/>
          <w:szCs w:val="32"/>
        </w:rPr>
      </w:pPr>
      <w:r>
        <w:rPr>
          <w:rFonts w:ascii="TimesNewRoman" w:hAnsi="TimesNewRoman" w:cs="TimesNewRoman" w:hint="eastAsia"/>
          <w:kern w:val="0"/>
          <w:sz w:val="20"/>
          <w:lang w:eastAsia="zh-CN"/>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07"/>
        <w:gridCol w:w="996"/>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3"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96"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245"/>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96"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96"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96"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96"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96"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96"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96"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96"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16648.88</w:t>
            </w:r>
            <w:r>
              <w:rPr>
                <w:rFonts w:ascii="TimesNewRoman" w:hAnsi="TimesNewRoman" w:cs="TimesNewRoman"/>
                <w:b/>
                <w:bCs/>
                <w:kern w:val="0"/>
                <w:sz w:val="18"/>
                <w:szCs w:val="18"/>
              </w:rPr>
              <w:t>　</w:t>
            </w:r>
          </w:p>
        </w:tc>
        <w:tc>
          <w:tcPr>
            <w:tcW w:w="3407"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9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154"/>
        <w:gridCol w:w="1110"/>
        <w:gridCol w:w="1065"/>
        <w:gridCol w:w="870"/>
        <w:gridCol w:w="390"/>
        <w:gridCol w:w="375"/>
        <w:gridCol w:w="345"/>
        <w:gridCol w:w="780"/>
        <w:gridCol w:w="501"/>
        <w:gridCol w:w="648"/>
        <w:gridCol w:w="648"/>
        <w:gridCol w:w="648"/>
        <w:gridCol w:w="765"/>
        <w:gridCol w:w="531"/>
        <w:gridCol w:w="648"/>
        <w:gridCol w:w="648"/>
        <w:gridCol w:w="648"/>
        <w:gridCol w:w="648"/>
        <w:gridCol w:w="1040"/>
      </w:tblGrid>
      <w:tr>
        <w:tblPrEx>
          <w:tblW w:w="13462" w:type="dxa"/>
          <w:tblInd w:w="-431" w:type="dxa"/>
          <w:tblLayout w:type="fixed"/>
          <w:tblCellMar>
            <w:top w:w="0" w:type="dxa"/>
            <w:left w:w="108" w:type="dxa"/>
            <w:bottom w:w="0" w:type="dxa"/>
            <w:right w:w="108" w:type="dxa"/>
          </w:tblCellMar>
        </w:tblPrEx>
        <w:trPr>
          <w:trHeight w:val="501"/>
        </w:trPr>
        <w:tc>
          <w:tcPr>
            <w:tcW w:w="115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hint="eastAsia"/>
                <w:b/>
                <w:kern w:val="0"/>
                <w:sz w:val="18"/>
                <w:szCs w:val="18"/>
                <w:lang w:eastAsia="zh-CN"/>
              </w:rPr>
              <w:t>单位</w:t>
            </w:r>
            <w:r>
              <w:rPr>
                <w:rFonts w:ascii="TimesNewRoman" w:hAnsi="TimesNewRoman" w:cs="TimesNewRoman"/>
                <w:b/>
                <w:kern w:val="0"/>
                <w:sz w:val="18"/>
                <w:szCs w:val="18"/>
              </w:rPr>
              <w:t>名称</w:t>
            </w:r>
          </w:p>
        </w:tc>
        <w:tc>
          <w:tcPr>
            <w:tcW w:w="1110"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035"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163"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CellMar>
            <w:top w:w="0" w:type="dxa"/>
            <w:left w:w="108" w:type="dxa"/>
            <w:bottom w:w="0" w:type="dxa"/>
            <w:right w:w="108" w:type="dxa"/>
          </w:tblCellMar>
        </w:tblPrEx>
        <w:trPr>
          <w:trHeight w:val="424"/>
        </w:trPr>
        <w:tc>
          <w:tcPr>
            <w:tcW w:w="115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111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106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87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39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375"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345"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990"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31"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CellMar>
            <w:top w:w="0" w:type="dxa"/>
            <w:left w:w="108" w:type="dxa"/>
            <w:bottom w:w="0" w:type="dxa"/>
            <w:right w:w="108" w:type="dxa"/>
          </w:tblCellMar>
        </w:tblPrEx>
        <w:trPr>
          <w:trHeight w:val="2579"/>
        </w:trPr>
        <w:tc>
          <w:tcPr>
            <w:tcW w:w="115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11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6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87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39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375"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345"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78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01"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65"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531"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CellMar>
            <w:top w:w="0" w:type="dxa"/>
            <w:left w:w="108" w:type="dxa"/>
            <w:bottom w:w="0" w:type="dxa"/>
            <w:right w:w="108" w:type="dxa"/>
          </w:tblCellMar>
        </w:tblPrEx>
        <w:trPr>
          <w:trHeight w:val="429"/>
        </w:trPr>
        <w:tc>
          <w:tcPr>
            <w:tcW w:w="1154"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合计</w:t>
            </w:r>
          </w:p>
        </w:tc>
        <w:tc>
          <w:tcPr>
            <w:tcW w:w="11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106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87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39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50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6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531"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154"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寿县卫生健康委员会</w:t>
            </w:r>
          </w:p>
        </w:tc>
        <w:tc>
          <w:tcPr>
            <w:tcW w:w="11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10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87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39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p>
        </w:tc>
        <w:tc>
          <w:tcPr>
            <w:tcW w:w="50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5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154"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寿县中医院</w:t>
            </w:r>
          </w:p>
        </w:tc>
        <w:tc>
          <w:tcPr>
            <w:tcW w:w="11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10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87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39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50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5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154"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1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9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0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154"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9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0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10</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卫生健康支出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1002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eastAsia="zh-CN"/>
              </w:rPr>
              <w:t>公立医院</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100202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eastAsia="zh-CN"/>
              </w:rPr>
              <w:t>中医（民族）医院</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16648.88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16500</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495" w:type="dxa"/>
            <w:tcBorders>
              <w:top w:val="nil"/>
              <w:left w:val="nil"/>
              <w:bottom w:val="single" w:sz="4" w:space="0" w:color="auto"/>
              <w:right w:val="single" w:sz="4" w:space="0" w:color="auto"/>
            </w:tcBorders>
            <w:noWrap w:val="0"/>
            <w:vAlign w:val="center"/>
          </w:tcPr>
          <w:p>
            <w:pPr>
              <w:widowControl/>
              <w:spacing w:line="260" w:lineRule="exact"/>
              <w:ind w:firstLine="720" w:firstLineChars="400"/>
              <w:rPr>
                <w:rFonts w:ascii="TimesNewRoman" w:eastAsia="仿宋_GB2312" w:hAnsi="TimesNewRoman" w:cs="TimesNewRoman" w:hint="eastAsia"/>
                <w:kern w:val="0"/>
                <w:sz w:val="18"/>
                <w:szCs w:val="18"/>
              </w:rPr>
            </w:pP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both"/>
              <w:rPr>
                <w:rFonts w:ascii="TimesNewRoman" w:hAnsi="TimesNewRoman" w:cs="TimesNewRoman"/>
                <w:kern w:val="0"/>
                <w:sz w:val="18"/>
                <w:szCs w:val="18"/>
              </w:rPr>
            </w:pP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16648.88</w:t>
            </w:r>
            <w:r>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148.88</w:t>
            </w:r>
            <w:r>
              <w:rPr>
                <w:rFonts w:ascii="TimesNewRoman" w:hAnsi="TimesNewRoman" w:cs="TimesNewRoman"/>
                <w:b/>
                <w:bCs/>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16500</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148.88</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lang w:eastAsia="zh-CN"/>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eastAsia="zh-CN"/>
        </w:rPr>
        <w:t>中医院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10</w:t>
            </w:r>
          </w:p>
        </w:tc>
        <w:tc>
          <w:tcPr>
            <w:tcW w:w="448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卫生健康支出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21002</w:t>
            </w:r>
          </w:p>
        </w:tc>
        <w:tc>
          <w:tcPr>
            <w:tcW w:w="4482" w:type="dxa"/>
            <w:tcBorders>
              <w:top w:val="nil"/>
              <w:left w:val="nil"/>
              <w:bottom w:val="single" w:sz="4" w:space="0" w:color="auto"/>
              <w:right w:val="single" w:sz="4" w:space="0" w:color="auto"/>
            </w:tcBorders>
            <w:noWrap w:val="0"/>
            <w:vAlign w:val="center"/>
          </w:tcPr>
          <w:p>
            <w:pPr>
              <w:widowControl/>
              <w:spacing w:line="280" w:lineRule="exact"/>
              <w:ind w:firstLine="180" w:firstLineChars="100"/>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公立医院</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2100202</w:t>
            </w:r>
          </w:p>
        </w:tc>
        <w:tc>
          <w:tcPr>
            <w:tcW w:w="4482"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中医（民族）医院</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148.88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148.88</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148.88</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148.88</w:t>
            </w: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lang w:eastAsia="zh-CN"/>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0.17</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0.17</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180" w:firstLineChars="100"/>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301</w:t>
            </w:r>
            <w:r>
              <w:rPr>
                <w:rFonts w:ascii="TimesNewRoman" w:hAnsi="TimesNewRoman" w:cs="TimesNewRoman" w:hint="eastAsia"/>
                <w:kern w:val="0"/>
                <w:sz w:val="18"/>
                <w:szCs w:val="18"/>
                <w:lang w:val="en-US" w:eastAsia="zh-CN"/>
              </w:rPr>
              <w:t>10</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职工基本医疗保险</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0.16</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0.16</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180" w:firstLineChars="100"/>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301</w:t>
            </w:r>
            <w:r>
              <w:rPr>
                <w:rFonts w:ascii="TimesNewRoman" w:hAnsi="TimesNewRoman" w:cs="TimesNewRoman" w:hint="eastAsia"/>
                <w:kern w:val="0"/>
                <w:sz w:val="18"/>
                <w:szCs w:val="18"/>
                <w:lang w:val="en-US" w:eastAsia="zh-CN"/>
              </w:rPr>
              <w:t>12</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其他社会保障缴费</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0.01</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0.01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303</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汉仪中秀体简" w:eastAsia="汉仪中秀体简" w:hAnsi="汉仪中秀体简" w:cs="汉仪中秀体简" w:hint="eastAsia"/>
                <w:sz w:val="18"/>
                <w:szCs w:val="18"/>
                <w:lang w:eastAsia="zh-CN"/>
              </w:rPr>
              <w:t>对个人和家庭的补助</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148.71</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148.71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30302</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退休费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146.42</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146.42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30305</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生活补助</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2.29</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2.29</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val="en-US" w:eastAsia="zh-CN"/>
              </w:rPr>
              <w:t>148.88</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val="en-US" w:eastAsia="zh-CN"/>
              </w:rPr>
              <w:t>148.88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说明：</w:t>
      </w:r>
      <w:r>
        <w:rPr>
          <w:rFonts w:ascii="TimesNewRoman" w:hAnsi="TimesNewRoman" w:cs="TimesNewRoman" w:hint="eastAsia"/>
          <w:kern w:val="0"/>
          <w:sz w:val="24"/>
        </w:rPr>
        <w:t>寿县</w:t>
      </w:r>
      <w:r>
        <w:rPr>
          <w:rFonts w:ascii="TimesNewRoman" w:hAnsi="TimesNewRoman" w:cs="TimesNewRoman" w:hint="eastAsia"/>
          <w:kern w:val="0"/>
          <w:sz w:val="24"/>
          <w:lang w:eastAsia="zh-CN"/>
        </w:rPr>
        <w:t>中医院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hint="eastAsia"/>
          <w:sz w:val="20"/>
          <w:szCs w:val="20"/>
          <w:lang w:eastAsia="zh-CN"/>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说明：</w:t>
            </w:r>
            <w:r>
              <w:rPr>
                <w:rFonts w:ascii="TimesNewRoman" w:hAnsi="TimesNewRoman" w:cs="TimesNewRoman" w:hint="eastAsia"/>
                <w:kern w:val="0"/>
                <w:sz w:val="24"/>
              </w:rPr>
              <w:t>寿县</w:t>
            </w:r>
            <w:r>
              <w:rPr>
                <w:rFonts w:ascii="TimesNewRoman" w:hAnsi="TimesNewRoman" w:cs="TimesNewRoman" w:hint="eastAsia"/>
                <w:kern w:val="0"/>
                <w:sz w:val="24"/>
                <w:lang w:eastAsia="zh-CN"/>
              </w:rPr>
              <w:t>中医院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hint="eastAsia"/>
          <w:kern w:val="0"/>
          <w:sz w:val="20"/>
        </w:rPr>
      </w:pP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b/>
                <w:bCs/>
                <w:kern w:val="0"/>
                <w:sz w:val="18"/>
                <w:szCs w:val="18"/>
                <w:lang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eastAsia="zh-CN"/>
              </w:rPr>
              <w:t>其他运转类</w:t>
            </w:r>
          </w:p>
        </w:tc>
        <w:tc>
          <w:tcPr>
            <w:tcW w:w="1433"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lang w:eastAsia="zh-CN"/>
              </w:rPr>
              <w:t>县级公立医院医疗卫生支出</w:t>
            </w:r>
            <w:r>
              <w:rPr>
                <w:rFonts w:ascii="TimesNewRoman" w:hAnsi="TimesNewRoman" w:cs="TimesNewRoman"/>
                <w:kern w:val="0"/>
                <w:sz w:val="18"/>
                <w:szCs w:val="18"/>
              </w:rPr>
              <w:t>项目</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b/>
                <w:bCs/>
                <w:kern w:val="0"/>
                <w:sz w:val="18"/>
                <w:szCs w:val="18"/>
                <w:lang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eastAsia="zh-CN"/>
              </w:rPr>
              <w:t>寿县中医院</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16500</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16500</w:t>
            </w: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16500</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16500</w:t>
            </w: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p>
    <w:p>
      <w:pPr>
        <w:pStyle w:val="NormalWeb"/>
        <w:wordWrap w:val="0"/>
        <w:adjustRightInd w:val="0"/>
        <w:snapToGrid w:val="0"/>
        <w:spacing w:after="156" w:afterLines="50" w:line="560" w:lineRule="exact"/>
        <w:jc w:val="right"/>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hint="eastAsia"/>
          <w:sz w:val="20"/>
          <w:szCs w:val="20"/>
          <w:lang w:eastAsia="zh-CN"/>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中医院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kern w:val="0"/>
                <w:sz w:val="20"/>
              </w:rPr>
              <w:t>　</w:t>
            </w:r>
            <w:r>
              <w:rPr>
                <w:rFonts w:ascii="TimesNewRoman" w:hAnsi="TimesNewRoman" w:cs="TimesNewRoman" w:hint="eastAsia"/>
                <w:kern w:val="0"/>
                <w:sz w:val="20"/>
                <w:lang w:eastAsia="zh-CN"/>
              </w:rPr>
              <w:t>县级公立医院医疗卫生支出</w:t>
            </w:r>
          </w:p>
        </w:tc>
        <w:tc>
          <w:tcPr>
            <w:tcW w:w="1827"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125.7</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125.7</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kern w:val="0"/>
                <w:sz w:val="20"/>
              </w:rPr>
              <w:t>　</w:t>
            </w:r>
            <w:r>
              <w:rPr>
                <w:rFonts w:ascii="TimesNewRoman" w:hAnsi="TimesNewRoman" w:cs="TimesNewRoman" w:hint="eastAsia"/>
                <w:kern w:val="0"/>
                <w:sz w:val="20"/>
                <w:lang w:eastAsia="zh-CN"/>
              </w:rPr>
              <w:t>台式计算机</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60</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60</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便携式计算机</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eastAsia"/>
                <w:kern w:val="0"/>
                <w:sz w:val="20"/>
                <w:lang w:val="en-US" w:eastAsia="zh-CN"/>
              </w:rPr>
            </w:pPr>
            <w:r>
              <w:rPr>
                <w:rFonts w:ascii="TimesNewRoman" w:hAnsi="TimesNewRoman" w:cs="TimesNewRoman" w:hint="eastAsia"/>
                <w:kern w:val="0"/>
                <w:sz w:val="20"/>
                <w:lang w:val="en-US" w:eastAsia="zh-CN"/>
              </w:rPr>
              <w:t>5</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eastAsia"/>
                <w:kern w:val="0"/>
                <w:sz w:val="20"/>
                <w:lang w:val="en-US" w:eastAsia="zh-CN"/>
              </w:rPr>
            </w:pPr>
            <w:r>
              <w:rPr>
                <w:rFonts w:ascii="TimesNewRoman" w:hAnsi="TimesNewRoman" w:cs="TimesNewRoman" w:hint="eastAsia"/>
                <w:kern w:val="0"/>
                <w:sz w:val="20"/>
                <w:lang w:val="en-US" w:eastAsia="zh-CN"/>
              </w:rPr>
              <w:t>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复印机</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7.5</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7.5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kern w:val="0"/>
                <w:sz w:val="20"/>
              </w:rPr>
              <w:t>　</w:t>
            </w:r>
            <w:r>
              <w:rPr>
                <w:rFonts w:ascii="TimesNewRoman" w:hAnsi="TimesNewRoman" w:cs="TimesNewRoman" w:hint="eastAsia"/>
                <w:kern w:val="0"/>
                <w:sz w:val="20"/>
                <w:lang w:eastAsia="zh-CN"/>
              </w:rPr>
              <w:t>投影仪</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5</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20"/>
                <w:lang w:val="en-US" w:eastAsia="zh-CN"/>
              </w:rPr>
            </w:pPr>
            <w:r>
              <w:rPr>
                <w:rFonts w:ascii="TimesNewRoman" w:hAnsi="TimesNewRoman" w:cs="TimesNewRoman"/>
                <w:kern w:val="0"/>
                <w:sz w:val="20"/>
              </w:rPr>
              <w:t>　</w:t>
            </w:r>
            <w:r>
              <w:rPr>
                <w:rFonts w:ascii="TimesNewRoman" w:hAnsi="TimesNewRoman" w:cs="TimesNewRoman" w:hint="eastAsia"/>
                <w:kern w:val="0"/>
                <w:sz w:val="20"/>
                <w:lang w:val="en-US" w:eastAsia="zh-CN"/>
              </w:rPr>
              <w:t>A4黑白打印机</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7.5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7.5</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000000"/>
              <w:right w:val="single" w:sz="4" w:space="0" w:color="00000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single" w:sz="4" w:space="0" w:color="000000"/>
              <w:bottom w:val="single" w:sz="4" w:space="0" w:color="000000"/>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kern w:val="0"/>
                <w:sz w:val="20"/>
              </w:rPr>
              <w:t>　</w:t>
            </w:r>
            <w:r>
              <w:rPr>
                <w:rFonts w:ascii="TimesNewRoman" w:hAnsi="TimesNewRoman" w:cs="TimesNewRoman" w:hint="eastAsia"/>
                <w:kern w:val="0"/>
                <w:sz w:val="20"/>
                <w:lang w:eastAsia="zh-CN"/>
              </w:rPr>
              <w:t>票据打印机</w:t>
            </w:r>
          </w:p>
        </w:tc>
        <w:tc>
          <w:tcPr>
            <w:tcW w:w="1430" w:type="dxa"/>
            <w:tcBorders>
              <w:top w:val="nil"/>
              <w:left w:val="nil"/>
              <w:bottom w:val="single" w:sz="4" w:space="0" w:color="000000"/>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7.5</w:t>
            </w:r>
            <w:r>
              <w:rPr>
                <w:rFonts w:ascii="TimesNewRoman" w:hAnsi="TimesNewRoman" w:cs="TimesNewRoman"/>
                <w:kern w:val="0"/>
                <w:sz w:val="20"/>
              </w:rPr>
              <w:t>　</w:t>
            </w:r>
          </w:p>
        </w:tc>
        <w:tc>
          <w:tcPr>
            <w:tcW w:w="1643" w:type="dxa"/>
            <w:tcBorders>
              <w:top w:val="nil"/>
              <w:left w:val="nil"/>
              <w:bottom w:val="single" w:sz="4" w:space="0" w:color="000000"/>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000000"/>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000000"/>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000000"/>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000000"/>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7.5</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eastAsia"/>
                <w:kern w:val="0"/>
                <w:sz w:val="20"/>
                <w:lang w:eastAsia="zh-CN"/>
              </w:rPr>
            </w:pPr>
          </w:p>
        </w:tc>
        <w:tc>
          <w:tcPr>
            <w:tcW w:w="182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left"/>
              <w:rPr>
                <w:rFonts w:ascii="TimesNewRoman" w:hAnsi="TimesNewRoman" w:cs="TimesNewRoman" w:hint="eastAsia"/>
                <w:kern w:val="0"/>
                <w:sz w:val="20"/>
                <w:lang w:eastAsia="zh-CN"/>
              </w:rPr>
            </w:pPr>
            <w:r>
              <w:rPr>
                <w:rFonts w:ascii="TimesNewRoman" w:hAnsi="TimesNewRoman" w:cs="TimesNewRoman" w:hint="eastAsia"/>
                <w:kern w:val="0"/>
                <w:sz w:val="20"/>
                <w:lang w:eastAsia="zh-CN"/>
              </w:rPr>
              <w:t>扫描仪</w:t>
            </w:r>
          </w:p>
        </w:tc>
        <w:tc>
          <w:tcPr>
            <w:tcW w:w="143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w:t>
            </w:r>
            <w:r>
              <w:rPr>
                <w:rFonts w:ascii="TimesNewRoman" w:hAnsi="TimesNewRoman" w:cs="TimesNewRoman"/>
                <w:kern w:val="0"/>
                <w:sz w:val="20"/>
              </w:rPr>
              <w:t>　</w:t>
            </w:r>
          </w:p>
        </w:tc>
        <w:tc>
          <w:tcPr>
            <w:tcW w:w="1643"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eastAsia"/>
                <w:b/>
                <w:sz w:val="20"/>
                <w:lang w:eastAsia="zh-CN"/>
              </w:rPr>
            </w:pPr>
          </w:p>
        </w:tc>
        <w:tc>
          <w:tcPr>
            <w:tcW w:w="182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left"/>
              <w:rPr>
                <w:rFonts w:ascii="TimesNewRoman" w:hAnsi="TimesNewRoman" w:cs="TimesNewRoman" w:hint="eastAsia"/>
                <w:kern w:val="0"/>
                <w:sz w:val="20"/>
                <w:lang w:eastAsia="zh-CN"/>
              </w:rPr>
            </w:pPr>
            <w:r>
              <w:rPr>
                <w:rFonts w:ascii="TimesNewRoman" w:hAnsi="TimesNewRoman" w:cs="TimesNewRoman" w:hint="eastAsia"/>
                <w:kern w:val="0"/>
                <w:sz w:val="20"/>
                <w:lang w:eastAsia="zh-CN"/>
              </w:rPr>
              <w:t>碎纸机</w:t>
            </w:r>
          </w:p>
        </w:tc>
        <w:tc>
          <w:tcPr>
            <w:tcW w:w="143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0.8</w:t>
            </w:r>
          </w:p>
        </w:tc>
        <w:tc>
          <w:tcPr>
            <w:tcW w:w="1643"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0.8</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eastAsia"/>
                <w:b/>
                <w:sz w:val="20"/>
                <w:lang w:eastAsia="zh-CN"/>
              </w:rPr>
            </w:pPr>
          </w:p>
        </w:tc>
        <w:tc>
          <w:tcPr>
            <w:tcW w:w="182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left"/>
              <w:rPr>
                <w:rFonts w:ascii="TimesNewRoman" w:hAnsi="TimesNewRoman" w:cs="TimesNewRoman" w:hint="eastAsia"/>
                <w:kern w:val="0"/>
                <w:sz w:val="20"/>
                <w:lang w:eastAsia="zh-CN"/>
              </w:rPr>
            </w:pPr>
            <w:r>
              <w:rPr>
                <w:rFonts w:ascii="TimesNewRoman" w:hAnsi="TimesNewRoman" w:cs="TimesNewRoman" w:hint="eastAsia"/>
                <w:kern w:val="0"/>
                <w:sz w:val="20"/>
                <w:lang w:eastAsia="zh-CN"/>
              </w:rPr>
              <w:t>专用制冷空调设备</w:t>
            </w:r>
          </w:p>
        </w:tc>
        <w:tc>
          <w:tcPr>
            <w:tcW w:w="143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31.4</w:t>
            </w:r>
          </w:p>
        </w:tc>
        <w:tc>
          <w:tcPr>
            <w:tcW w:w="1643"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31.4</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rPr>
                <w:rFonts w:ascii="TimesNewRoman" w:eastAsia="宋体" w:hAnsi="TimesNewRoman" w:cs="TimesNewRoman" w:hint="eastAsia"/>
                <w:b/>
                <w:sz w:val="20"/>
                <w:lang w:eastAsia="zh-CN"/>
              </w:rPr>
            </w:pPr>
            <w:r>
              <w:rPr>
                <w:rFonts w:ascii="TimesNewRoman" w:hAnsi="TimesNewRoman" w:cs="TimesNewRoman" w:hint="eastAsia"/>
                <w:b/>
                <w:sz w:val="20"/>
                <w:lang w:eastAsia="zh-CN"/>
              </w:rPr>
              <w:t>总计</w:t>
            </w:r>
          </w:p>
        </w:tc>
        <w:tc>
          <w:tcPr>
            <w:tcW w:w="143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125.7</w:t>
            </w:r>
          </w:p>
        </w:tc>
        <w:tc>
          <w:tcPr>
            <w:tcW w:w="1643"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125.7</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p>
    <w:p>
      <w:pPr>
        <w:pStyle w:val="NormalWeb"/>
        <w:wordWrap w:val="0"/>
        <w:adjustRightInd w:val="0"/>
        <w:snapToGrid w:val="0"/>
        <w:spacing w:line="560" w:lineRule="exact"/>
        <w:jc w:val="right"/>
        <w:rPr>
          <w:rFonts w:ascii="TimesNewRoman" w:hAnsi="TimesNewRoman" w:cs="TimesNewRoman"/>
          <w:sz w:val="20"/>
          <w:szCs w:val="20"/>
        </w:rPr>
      </w:pPr>
      <w:r>
        <w:rPr>
          <w:rFonts w:ascii="TimesNewRoman" w:hAnsi="TimesNewRoman" w:cs="TimesNewRoman" w:hint="eastAsia"/>
          <w:sz w:val="20"/>
          <w:szCs w:val="20"/>
          <w:lang w:eastAsia="zh-CN"/>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中医院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说明</w:t>
      </w:r>
      <w:r>
        <w:rPr>
          <w:rFonts w:ascii="TimesNewRoman" w:hAnsi="TimesNewRoman" w:cs="TimesNewRoman" w:hint="eastAsia"/>
          <w:kern w:val="0"/>
          <w:sz w:val="22"/>
          <w:lang w:eastAsia="zh-CN"/>
        </w:rPr>
        <w:t>：</w:t>
      </w:r>
      <w:r>
        <w:rPr>
          <w:rFonts w:ascii="TimesNewRoman" w:hAnsi="TimesNewRoman" w:cs="TimesNewRoman" w:hint="eastAsia"/>
          <w:kern w:val="0"/>
          <w:sz w:val="22"/>
        </w:rPr>
        <w:t>寿县</w:t>
      </w:r>
      <w:r>
        <w:rPr>
          <w:rFonts w:ascii="TimesNewRoman" w:hAnsi="TimesNewRoman" w:cs="TimesNewRoman" w:hint="eastAsia"/>
          <w:kern w:val="0"/>
          <w:sz w:val="22"/>
          <w:lang w:eastAsia="zh-CN"/>
        </w:rPr>
        <w:t>中医院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eastAsia="zh-CN"/>
        </w:rPr>
        <w:t>单位</w:t>
      </w:r>
      <w:r>
        <w:rPr>
          <w:rFonts w:ascii="TimesNewRoman" w:eastAsia="黑体" w:hAnsi="TimesNewRoman" w:cs="TimesNewRoman"/>
          <w:bCs/>
          <w:sz w:val="36"/>
          <w:szCs w:val="36"/>
        </w:rPr>
        <w:t>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lang w:eastAsia="zh-CN"/>
        </w:rPr>
        <w:t>单位</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16648.88</w:t>
      </w:r>
      <w:r>
        <w:rPr>
          <w:rFonts w:ascii="仿宋_GB2312" w:eastAsia="仿宋_GB2312" w:hAnsi="TimesNewRoman" w:cs="TimesNewRoman" w:hint="eastAsia"/>
          <w:sz w:val="32"/>
          <w:szCs w:val="32"/>
        </w:rPr>
        <w:t>万元，收入包括一般公共预算拨款收入、单位资金收入，支出</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卫生健康支出。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中医院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16648.88</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16648.88</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16648.88</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0.89</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146.5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6100%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依据相关部门要求，</w:t>
      </w:r>
      <w:r>
        <w:rPr>
          <w:rFonts w:ascii="仿宋_GB2312" w:eastAsia="仿宋_GB2312" w:hAnsi="TimesNewRoman" w:cs="TimesNewRoman" w:hint="eastAsia"/>
          <w:sz w:val="32"/>
          <w:szCs w:val="32"/>
          <w:lang w:val="en-US" w:eastAsia="zh-CN"/>
        </w:rPr>
        <w:t>2024年预算中</w:t>
      </w:r>
      <w:r>
        <w:rPr>
          <w:rFonts w:ascii="仿宋_GB2312" w:eastAsia="仿宋_GB2312" w:hAnsi="TimesNewRoman" w:cs="TimesNewRoman" w:hint="eastAsia"/>
          <w:sz w:val="32"/>
          <w:szCs w:val="32"/>
          <w:lang w:eastAsia="zh-CN"/>
        </w:rPr>
        <w:t>计入退休人员增发补贴</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99.11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与</w:t>
      </w:r>
      <w:r>
        <w:rPr>
          <w:rFonts w:ascii="仿宋_GB2312" w:eastAsia="仿宋_GB2312" w:hAnsi="TimesNewRoman" w:cs="TimesNewRoman" w:hint="eastAsia"/>
          <w:sz w:val="32"/>
          <w:szCs w:val="32"/>
        </w:rPr>
        <w:t>2023年预算</w:t>
      </w:r>
      <w:r>
        <w:rPr>
          <w:rFonts w:ascii="仿宋_GB2312" w:eastAsia="仿宋_GB2312" w:hAnsi="TimesNewRoman" w:cs="TimesNewRoman" w:hint="eastAsia"/>
          <w:sz w:val="32"/>
          <w:szCs w:val="32"/>
          <w:lang w:eastAsia="zh-CN"/>
        </w:rPr>
        <w:t>持平</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持平</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eastAsia="zh-CN"/>
        </w:rPr>
        <w:t>经济形势相对稳定，业务规模相对平稳</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16648.88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146.5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0.88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依据相关部门要求，</w:t>
      </w:r>
      <w:r>
        <w:rPr>
          <w:rFonts w:ascii="仿宋_GB2312" w:eastAsia="仿宋_GB2312" w:hAnsi="TimesNewRoman" w:cs="TimesNewRoman" w:hint="eastAsia"/>
          <w:sz w:val="32"/>
          <w:szCs w:val="32"/>
          <w:lang w:val="en-US" w:eastAsia="zh-CN"/>
        </w:rPr>
        <w:t>2024年预算中</w:t>
      </w:r>
      <w:r>
        <w:rPr>
          <w:rFonts w:ascii="仿宋_GB2312" w:eastAsia="仿宋_GB2312" w:hAnsi="TimesNewRoman" w:cs="TimesNewRoman" w:hint="eastAsia"/>
          <w:sz w:val="32"/>
          <w:szCs w:val="32"/>
          <w:lang w:eastAsia="zh-CN"/>
        </w:rPr>
        <w:t>计入退休人员增发补贴</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0.89</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eastAsia="zh-CN"/>
        </w:rPr>
        <w:t>发放退休人员增发补贴、遗属补助等</w:t>
      </w:r>
      <w:r>
        <w:rPr>
          <w:rFonts w:ascii="仿宋_GB2312" w:eastAsia="仿宋_GB2312" w:hAnsi="TimesNewRoman" w:cs="TimesNewRoman" w:hint="eastAsia"/>
          <w:sz w:val="32"/>
          <w:szCs w:val="32"/>
        </w:rPr>
        <w:t>；项目支出</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99.11</w:t>
      </w:r>
      <w:r>
        <w:rPr>
          <w:rFonts w:ascii="仿宋_GB2312" w:eastAsia="仿宋_GB2312" w:hAnsi="TimesNewRoman" w:cs="TimesNewRoman" w:hint="eastAsia"/>
          <w:sz w:val="32"/>
          <w:szCs w:val="32"/>
        </w:rPr>
        <w:t>%，主要用于要用于保障机构日常运转、完成日常工作任务</w:t>
      </w:r>
      <w:r>
        <w:rPr>
          <w:rFonts w:ascii="仿宋_GB2312" w:eastAsia="仿宋_GB2312" w:hAnsi="TimesNewRoman" w:cs="TimesNewRoman" w:hint="eastAsia"/>
          <w:sz w:val="32"/>
          <w:szCs w:val="32"/>
          <w:lang w:eastAsia="zh-CN"/>
        </w:rPr>
        <w:t>等。</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万元。收入按资金来源分</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一般公共预算拨款</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万元；按资金年度分</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本年财政拨款收入</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万元。支出按功能分类分</w:t>
      </w:r>
      <w:r>
        <w:rPr>
          <w:rFonts w:ascii="仿宋_GB2312" w:eastAsia="仿宋_GB2312" w:hAnsi="TimesNewRoman" w:cs="TimesNewRoman" w:hint="eastAsia"/>
          <w:sz w:val="32"/>
          <w:szCs w:val="32"/>
          <w:lang w:eastAsia="zh-CN"/>
        </w:rPr>
        <w:t>全部</w:t>
      </w:r>
      <w:r>
        <w:rPr>
          <w:rFonts w:ascii="仿宋_GB2312" w:eastAsia="仿宋_GB2312" w:hAnsi="TimesNewRoman" w:cs="TimesNewRoman" w:hint="eastAsia"/>
          <w:sz w:val="32"/>
          <w:szCs w:val="32"/>
        </w:rPr>
        <w:t>为卫生健康支出</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146.5</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增长</w:t>
      </w:r>
      <w:r>
        <w:rPr>
          <w:rFonts w:ascii="仿宋_GB2312" w:eastAsia="仿宋_GB2312" w:hAnsi="TimesNewRoman" w:cs="TimesNewRoman" w:hint="eastAsia"/>
          <w:sz w:val="32"/>
          <w:szCs w:val="32"/>
        </w:rPr>
        <w:t>61</w:t>
      </w:r>
      <w:r>
        <w:rPr>
          <w:rFonts w:ascii="仿宋_GB2312" w:eastAsia="仿宋_GB2312" w:hAnsi="TimesNewRoman" w:cs="TimesNewRoman" w:hint="eastAsia"/>
          <w:sz w:val="32"/>
          <w:szCs w:val="32"/>
          <w:lang w:val="en-US" w:eastAsia="zh-CN"/>
        </w:rPr>
        <w:t>00%</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eastAsia="zh-CN"/>
        </w:rPr>
        <w:t>依据相关部门要求，</w:t>
      </w:r>
      <w:r>
        <w:rPr>
          <w:rFonts w:ascii="仿宋_GB2312" w:eastAsia="仿宋_GB2312" w:hAnsi="TimesNewRoman" w:cs="TimesNewRoman" w:hint="eastAsia"/>
          <w:sz w:val="32"/>
          <w:szCs w:val="32"/>
          <w:lang w:val="en-US" w:eastAsia="zh-CN"/>
        </w:rPr>
        <w:t>2024年预算中</w:t>
      </w:r>
      <w:r>
        <w:rPr>
          <w:rFonts w:ascii="仿宋_GB2312" w:eastAsia="仿宋_GB2312" w:hAnsi="TimesNewRoman" w:cs="TimesNewRoman" w:hint="eastAsia"/>
          <w:sz w:val="32"/>
          <w:szCs w:val="32"/>
          <w:lang w:eastAsia="zh-CN"/>
        </w:rPr>
        <w:t>计入退休人员增发补贴。</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w:t>
      </w:r>
    </w:p>
    <w:p>
      <w:pPr>
        <w:numPr>
          <w:ilvl w:val="0"/>
          <w:numId w:val="0"/>
        </w:num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kern w:val="2"/>
          <w:sz w:val="32"/>
          <w:szCs w:val="32"/>
          <w:lang w:val="en-US" w:eastAsia="zh-CN" w:bidi="ar-SA"/>
        </w:rPr>
        <w:t>（三）</w:t>
      </w:r>
      <w:r>
        <w:rPr>
          <w:rFonts w:ascii="仿宋_GB2312" w:eastAsia="仿宋_GB2312" w:hAnsi="TimesNewRoman" w:cs="TimesNewRoman" w:hint="eastAsia"/>
          <w:b/>
          <w:sz w:val="32"/>
          <w:szCs w:val="32"/>
        </w:rPr>
        <w:t>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1</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eastAsia="zh-CN"/>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eastAsia="zh-CN"/>
        </w:rPr>
        <w:t>公立医院</w:t>
      </w:r>
      <w:r>
        <w:rPr>
          <w:rFonts w:ascii="仿宋_GB2312" w:eastAsia="仿宋_GB2312" w:hAnsi="TimesNewRoman" w:cs="TimesNewRoman" w:hint="eastAsia"/>
          <w:b/>
          <w:sz w:val="32"/>
          <w:szCs w:val="32"/>
        </w:rPr>
        <w:t>（款）归口管理的</w:t>
      </w:r>
      <w:r>
        <w:rPr>
          <w:rFonts w:ascii="仿宋_GB2312" w:eastAsia="仿宋_GB2312" w:hAnsi="TimesNewRoman" w:cs="TimesNewRoman" w:hint="eastAsia"/>
          <w:b/>
          <w:sz w:val="32"/>
          <w:szCs w:val="32"/>
          <w:lang w:eastAsia="zh-CN"/>
        </w:rPr>
        <w:t>中医（民族）医院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val="en-US" w:eastAsia="zh-CN"/>
        </w:rPr>
        <w:t>146.5</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增长</w:t>
      </w:r>
      <w:r>
        <w:rPr>
          <w:rFonts w:ascii="仿宋_GB2312" w:eastAsia="仿宋_GB2312" w:hAnsi="TimesNewRoman" w:cs="TimesNewRoman" w:hint="eastAsia"/>
          <w:sz w:val="32"/>
          <w:szCs w:val="32"/>
        </w:rPr>
        <w:t>61</w:t>
      </w:r>
      <w:r>
        <w:rPr>
          <w:rFonts w:ascii="仿宋_GB2312" w:eastAsia="仿宋_GB2312" w:hAnsi="TimesNewRoman" w:cs="TimesNewRoman" w:hint="eastAsia"/>
          <w:sz w:val="32"/>
          <w:szCs w:val="32"/>
          <w:lang w:val="en-US" w:eastAsia="zh-CN"/>
        </w:rPr>
        <w:t>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依据相关部门要求，</w:t>
      </w:r>
      <w:r>
        <w:rPr>
          <w:rFonts w:ascii="仿宋_GB2312" w:eastAsia="仿宋_GB2312" w:hAnsi="TimesNewRoman" w:cs="TimesNewRoman" w:hint="eastAsia"/>
          <w:sz w:val="32"/>
          <w:szCs w:val="32"/>
          <w:lang w:val="en-US" w:eastAsia="zh-CN"/>
        </w:rPr>
        <w:t>2024年预算中</w:t>
      </w:r>
      <w:r>
        <w:rPr>
          <w:rFonts w:ascii="仿宋_GB2312" w:eastAsia="仿宋_GB2312" w:hAnsi="TimesNewRoman" w:cs="TimesNewRoman" w:hint="eastAsia"/>
          <w:sz w:val="32"/>
          <w:szCs w:val="32"/>
          <w:lang w:eastAsia="zh-CN"/>
        </w:rPr>
        <w:t>计入退休人员增发补贴</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148.88</w:t>
      </w:r>
      <w:r>
        <w:rPr>
          <w:rFonts w:ascii="仿宋_GB2312" w:eastAsia="仿宋_GB2312" w:hAnsi="TimesNewRoman" w:cs="TimesNewRoman" w:hint="eastAsia"/>
          <w:sz w:val="32"/>
          <w:szCs w:val="32"/>
        </w:rPr>
        <w:t>万元，主要包括:职工基本医疗保险缴费、其他社会保障缴费、退休费、生活补助。</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2024年预算共安排项目支</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与</w:t>
      </w:r>
      <w:r>
        <w:rPr>
          <w:rFonts w:ascii="仿宋_GB2312" w:eastAsia="仿宋_GB2312" w:hAnsi="TimesNewRoman" w:cs="TimesNewRoman" w:hint="eastAsia"/>
          <w:sz w:val="32"/>
          <w:szCs w:val="32"/>
        </w:rPr>
        <w:t>2023年预算</w:t>
      </w:r>
      <w:r>
        <w:rPr>
          <w:rFonts w:ascii="仿宋_GB2312" w:eastAsia="仿宋_GB2312" w:hAnsi="TimesNewRoman" w:cs="TimesNewRoman" w:hint="eastAsia"/>
          <w:sz w:val="32"/>
          <w:szCs w:val="32"/>
          <w:lang w:eastAsia="zh-CN"/>
        </w:rPr>
        <w:t>持平，持平</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eastAsia="zh-CN"/>
        </w:rPr>
        <w:t>经济形势相对稳定，业务规模相对平稳</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单位资金安排</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125.7</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123.63</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49.58</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23年已购，24年不需要大量采购</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单位资金安排</w:t>
      </w:r>
      <w:r>
        <w:rPr>
          <w:rFonts w:ascii="仿宋_GB2312" w:eastAsia="仿宋_GB2312" w:hAnsi="TimesNewRoman" w:cs="TimesNewRoman" w:hint="eastAsia"/>
          <w:sz w:val="32"/>
          <w:szCs w:val="32"/>
          <w:lang w:val="en-US" w:eastAsia="zh-CN"/>
        </w:rPr>
        <w:t>125.7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rPr>
        <w:t>县级公立医院医疗卫生支出</w:t>
      </w:r>
      <w:r>
        <w:rPr>
          <w:rFonts w:ascii="仿宋_GB2312" w:eastAsia="仿宋_GB2312" w:hAnsi="TimesNewRoman" w:cs="TimesNewRoman" w:hint="eastAsia"/>
          <w:b/>
          <w:sz w:val="32"/>
          <w:szCs w:val="32"/>
        </w:rPr>
        <w:t>”项目。</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楷体" w:hint="eastAsia"/>
          <w:sz w:val="32"/>
          <w:szCs w:val="32"/>
          <w:lang w:eastAsia="zh-CN"/>
        </w:rPr>
        <w:t>公立医院基本支出。</w:t>
      </w:r>
    </w:p>
    <w:p>
      <w:pPr>
        <w:spacing w:line="600" w:lineRule="exact"/>
        <w:ind w:firstLine="586" w:firstLineChars="183"/>
        <w:rPr>
          <w:rFonts w:ascii="仿宋_GB2312" w:eastAsia="仿宋_GB2312" w:hAnsi="仿宋" w:hint="eastAsia"/>
          <w:sz w:val="32"/>
          <w:szCs w:val="32"/>
          <w:u w:val="single"/>
        </w:rPr>
      </w:pPr>
      <w:r>
        <w:rPr>
          <w:rFonts w:ascii="仿宋_GB2312" w:eastAsia="仿宋_GB2312" w:hAnsi="TimesNewRoman" w:cs="TimesNewRoman" w:hint="eastAsia"/>
          <w:sz w:val="32"/>
          <w:szCs w:val="32"/>
        </w:rPr>
        <w:t>（2）立项依据。</w:t>
      </w:r>
      <w:r>
        <w:rPr>
          <w:rFonts w:ascii="仿宋_GB2312" w:eastAsia="仿宋_GB2312" w:hAnsi="楷体" w:hint="eastAsia"/>
          <w:sz w:val="32"/>
          <w:szCs w:val="32"/>
        </w:rPr>
        <w:t>县级公立医院</w:t>
      </w:r>
      <w:r>
        <w:rPr>
          <w:rFonts w:ascii="仿宋_GB2312" w:eastAsia="仿宋_GB2312" w:hAnsi="楷体" w:hint="eastAsia"/>
          <w:sz w:val="32"/>
          <w:szCs w:val="32"/>
          <w:lang w:eastAsia="zh-CN"/>
        </w:rPr>
        <w:t>基本支出</w:t>
      </w:r>
    </w:p>
    <w:p>
      <w:pPr>
        <w:adjustRightInd w:val="0"/>
        <w:snapToGrid w:val="0"/>
        <w:spacing w:line="600" w:lineRule="exact"/>
        <w:ind w:firstLine="640" w:firstLineChars="200"/>
        <w:jc w:val="left"/>
        <w:rPr>
          <w:rFonts w:ascii="仿宋_GB2312" w:eastAsia="仿宋_GB2312" w:hAnsi="楷体"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楷体" w:hint="eastAsia"/>
          <w:sz w:val="32"/>
          <w:szCs w:val="32"/>
          <w:lang w:eastAsia="zh-CN"/>
        </w:rPr>
        <w:t>寿县中医院</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.1.1-202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.12.31</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（5）项目内容。县级公立医院日常支出。</w:t>
      </w:r>
    </w:p>
    <w:p>
      <w:pPr>
        <w:topLinePunct/>
        <w:adjustRightInd w:val="0"/>
        <w:snapToGrid w:val="0"/>
        <w:spacing w:line="580" w:lineRule="exact"/>
        <w:ind w:firstLine="640" w:firstLineChars="200"/>
        <w:rPr>
          <w:rFonts w:ascii="仿宋_GB2312" w:eastAsia="仿宋_GB2312" w:hAnsi="楷体" w:hint="eastAsia"/>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楷体" w:hint="eastAsia"/>
          <w:sz w:val="32"/>
          <w:szCs w:val="32"/>
          <w:lang w:eastAsia="zh-CN"/>
        </w:rPr>
        <w:t>单位资金</w:t>
      </w:r>
      <w:r>
        <w:rPr>
          <w:rFonts w:ascii="仿宋_GB2312" w:eastAsia="仿宋_GB2312" w:hAnsi="楷体" w:hint="eastAsia"/>
          <w:sz w:val="32"/>
          <w:szCs w:val="32"/>
          <w:lang w:val="en-US" w:eastAsia="zh-CN"/>
        </w:rPr>
        <w:t>16500万元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（7）绩效目标。为人民身体健康提供医疗与护理保健服务，救死扶伤，全心全意为人民服务，以病人为中心，诚信仁爱、追求卓越、温馨关怀、和谐进取</w:t>
      </w:r>
      <w:r>
        <w:rPr>
          <w:rFonts w:ascii="仿宋_GB2312" w:eastAsia="仿宋_GB2312" w:hAnsi="TimesNewRoman" w:cs="TimesNewRoman" w:hint="eastAsia"/>
          <w:sz w:val="32"/>
          <w:szCs w:val="32"/>
          <w:lang w:eastAsia="zh-CN"/>
        </w:rPr>
        <w:t>。</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color w:val="000000"/>
                <w:sz w:val="20"/>
                <w:szCs w:val="20"/>
              </w:rPr>
              <w:t>县级公立医院</w:t>
            </w:r>
            <w:r>
              <w:rPr>
                <w:rFonts w:hint="eastAsia"/>
                <w:color w:val="000000"/>
                <w:sz w:val="20"/>
                <w:szCs w:val="20"/>
                <w:lang w:eastAsia="zh-CN"/>
              </w:rPr>
              <w:t>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县卫健委</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color w:val="000000"/>
                <w:sz w:val="20"/>
                <w:szCs w:val="20"/>
                <w:lang w:eastAsia="zh-CN"/>
              </w:rPr>
              <w:t>寿县中医院</w:t>
            </w:r>
            <w:r>
              <w:rPr>
                <w:rFonts w:hint="eastAsia"/>
                <w:color w:val="000000"/>
                <w:sz w:val="20"/>
                <w:szCs w:val="20"/>
              </w:rPr>
              <w:t>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单位安排</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常年项目</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cs="宋体"/>
                <w:sz w:val="18"/>
                <w:szCs w:val="18"/>
              </w:rPr>
            </w:pPr>
            <w:r>
              <w:rPr>
                <w:rFonts w:hint="eastAsia"/>
                <w:sz w:val="20"/>
                <w:szCs w:val="20"/>
                <w:lang w:val="en-US" w:eastAsia="zh-CN"/>
              </w:rPr>
              <w:t>16500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cs="宋体"/>
                <w:sz w:val="18"/>
                <w:szCs w:val="18"/>
              </w:rPr>
            </w:pPr>
            <w:r>
              <w:rPr>
                <w:rFonts w:hint="eastAsia"/>
                <w:sz w:val="20"/>
                <w:szCs w:val="20"/>
                <w:lang w:val="en-US" w:eastAsia="zh-CN"/>
              </w:rPr>
              <w:t>16500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keepNext w:val="0"/>
              <w:keepLines w:val="0"/>
              <w:suppressLineNumbers w:val="0"/>
              <w:spacing w:before="0" w:beforeAutospacing="0" w:after="0" w:afterAutospacing="0"/>
              <w:ind w:left="0" w:right="0"/>
              <w:rPr>
                <w:rFonts w:hint="eastAsia"/>
                <w:sz w:val="20"/>
                <w:szCs w:val="20"/>
              </w:rPr>
            </w:pPr>
            <w:r>
              <w:rPr>
                <w:rFonts w:hint="eastAsia"/>
                <w:sz w:val="20"/>
                <w:szCs w:val="20"/>
              </w:rPr>
              <w:t>为人民身体健康提供医疗与护理保健服务，救死扶伤，全心全意为人民服务，以病人为中心，诚信仁爱、追求卓越、温馨关怀、和谐进取</w:t>
            </w:r>
          </w:p>
          <w:p>
            <w:pPr>
              <w:spacing w:line="260" w:lineRule="exact"/>
              <w:jc w:val="lef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接待病人</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sz w:val="16"/>
                <w:szCs w:val="16"/>
              </w:rPr>
              <w:t>≥180000人次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hint="eastAsia"/>
              </w:rPr>
              <w:t>病人治愈</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sz w:val="16"/>
                <w:szCs w:val="16"/>
              </w:rPr>
              <w:t>基本完成病人疾病治愈</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满足区域病人快速就诊</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sz w:val="16"/>
                <w:szCs w:val="16"/>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减少病人就诊距离</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sz w:val="16"/>
                <w:szCs w:val="16"/>
              </w:rPr>
              <w:t>≤6公里</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满足区域病人就诊需求</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sz w:val="16"/>
                <w:szCs w:val="16"/>
              </w:rPr>
              <w:t>≥90</w:t>
            </w:r>
            <w:r>
              <w:rPr>
                <w:rFonts w:ascii="宋体" w:hAnsi="宋体" w:cs="宋体" w:hint="eastAsia"/>
                <w:sz w:val="16"/>
                <w:szCs w:val="16"/>
                <w:lang w:val="en-US" w:eastAsia="zh-CN"/>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区域群众就诊满意度</w:t>
            </w:r>
          </w:p>
        </w:tc>
        <w:tc>
          <w:tcPr>
            <w:tcW w:w="4228" w:type="dxa"/>
            <w:gridSpan w:val="2"/>
            <w:noWrap w:val="0"/>
            <w:vAlign w:val="center"/>
          </w:tcPr>
          <w:p>
            <w:pPr>
              <w:spacing w:line="260" w:lineRule="exact"/>
              <w:jc w:val="center"/>
              <w:rPr>
                <w:rFonts w:ascii="宋体" w:cs="宋体"/>
                <w:sz w:val="18"/>
                <w:szCs w:val="18"/>
              </w:rPr>
            </w:pPr>
            <w:r>
              <w:rPr>
                <w:rFonts w:ascii="宋体" w:eastAsia="宋体" w:hAnsi="宋体" w:cs="宋体" w:hint="eastAsia"/>
                <w:sz w:val="16"/>
                <w:szCs w:val="16"/>
              </w:rPr>
              <w:t>　≥9</w:t>
            </w:r>
            <w:r>
              <w:rPr>
                <w:rFonts w:ascii="宋体" w:hAnsi="宋体" w:cs="宋体" w:hint="eastAsia"/>
                <w:sz w:val="16"/>
                <w:szCs w:val="16"/>
                <w:lang w:val="en-US" w:eastAsia="zh-CN"/>
              </w:rPr>
              <w:t>0</w:t>
            </w:r>
            <w:r>
              <w:rPr>
                <w:rFonts w:ascii="宋体" w:eastAsia="宋体" w:hAnsi="宋体" w:cs="宋体" w:hint="eastAsia"/>
                <w:sz w:val="16"/>
                <w:szCs w:val="16"/>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中医院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125.7</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125.7</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中医院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特种专业技术用车</w:t>
      </w:r>
      <w:r>
        <w:rPr>
          <w:rFonts w:ascii="仿宋_GB2312" w:eastAsia="仿宋_GB2312" w:hAnsi="TimesNewRoman" w:cs="TimesNewRoman" w:hint="eastAsia"/>
          <w:sz w:val="32"/>
          <w:szCs w:val="32"/>
          <w:lang w:eastAsia="zh-CN"/>
        </w:rPr>
        <w:t>，共</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单价50万元以上的通用设备</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10</w:t>
      </w:r>
      <w:r>
        <w:rPr>
          <w:rFonts w:ascii="仿宋_GB2312" w:eastAsia="仿宋_GB2312" w:hAnsi="TimesNewRoman" w:cs="TimesNewRoman" w:hint="eastAsia"/>
          <w:sz w:val="32"/>
          <w:szCs w:val="32"/>
        </w:rPr>
        <w:t>台（套）。</w:t>
      </w:r>
    </w:p>
    <w:p>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lang w:eastAsia="zh-CN"/>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lang w:eastAsia="zh-CN"/>
        </w:rPr>
        <w:t>寿县中医院</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implified Arabic">
    <w:panose1 w:val="020208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5096300"/>
    <w:rsid w:val="073601C2"/>
    <w:rsid w:val="118C14FA"/>
    <w:rsid w:val="12770814"/>
    <w:rsid w:val="1C2D0359"/>
    <w:rsid w:val="1DD0413B"/>
    <w:rsid w:val="1F0E2C81"/>
    <w:rsid w:val="260B0E17"/>
    <w:rsid w:val="26DD7646"/>
    <w:rsid w:val="270F17A9"/>
    <w:rsid w:val="2D084215"/>
    <w:rsid w:val="34C97AC9"/>
    <w:rsid w:val="3C811E92"/>
    <w:rsid w:val="45AB26C1"/>
    <w:rsid w:val="4E163E59"/>
    <w:rsid w:val="4E231A0F"/>
    <w:rsid w:val="561F5667"/>
    <w:rsid w:val="56703941"/>
    <w:rsid w:val="5BE8093C"/>
    <w:rsid w:val="66093F61"/>
    <w:rsid w:val="69823222"/>
    <w:rsid w:val="72FB5A52"/>
    <w:rsid w:val="746006CC"/>
    <w:rsid w:val="791245DB"/>
  </w:rsids>
  <w:docVars>
    <w:docVar w:name="commondata" w:val="eyJoZGlkIjoiYjdiM2Y0NGRjMGY0NDg0Zjc3MzFiMTVmYmJiMDk3N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Administrator</cp:lastModifiedBy>
  <cp:revision>1</cp:revision>
  <dcterms:created xsi:type="dcterms:W3CDTF">2024-01-16T02:39:00Z</dcterms:created>
  <dcterms:modified xsi:type="dcterms:W3CDTF">2024-01-23T08:36:00Z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