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NewRoman"/>
          <w:sz w:val="32"/>
          <w:szCs w:val="32"/>
        </w:rPr>
      </w:pPr>
      <w:r>
        <w:rPr>
          <w:rFonts w:hint="eastAsia" w:ascii="黑体" w:hAnsi="黑体" w:eastAsia="黑体" w:cs="TimesNewRoman"/>
          <w:sz w:val="32"/>
          <w:szCs w:val="32"/>
          <w:lang w:val="en"/>
        </w:rPr>
        <w:t>附件</w:t>
      </w:r>
      <w:r>
        <w:rPr>
          <w:rFonts w:hint="eastAsia" w:ascii="黑体" w:hAnsi="黑体" w:eastAsia="黑体" w:cs="TimesNewRoman"/>
          <w:sz w:val="32"/>
          <w:szCs w:val="32"/>
        </w:rPr>
        <w:t>1</w:t>
      </w:r>
    </w:p>
    <w:p>
      <w:pPr>
        <w:spacing w:line="560" w:lineRule="exact"/>
        <w:rPr>
          <w:rFonts w:ascii="TimesNewRoman" w:hAnsi="TimesNewRoman" w:eastAsia="黑体" w:cs="TimesNewRoman"/>
          <w:szCs w:val="32"/>
        </w:rPr>
      </w:pPr>
    </w:p>
    <w:p>
      <w:pPr>
        <w:spacing w:line="560" w:lineRule="exact"/>
        <w:jc w:val="center"/>
        <w:rPr>
          <w:rFonts w:ascii="方正小标宋_GBK" w:hAnsi="TimesNewRoman" w:eastAsia="方正小标宋_GBK" w:cs="TimesNewRoman"/>
          <w:szCs w:val="32"/>
        </w:rPr>
      </w:pPr>
    </w:p>
    <w:p>
      <w:pPr>
        <w:adjustRightInd w:val="0"/>
        <w:snapToGrid w:val="0"/>
        <w:spacing w:line="360" w:lineRule="auto"/>
        <w:jc w:val="center"/>
        <w:rPr>
          <w:rFonts w:ascii="方正小标宋简体" w:hAnsi="方正小标宋简体" w:eastAsia="方正小标宋简体" w:cs="华文中宋"/>
          <w:b/>
          <w:sz w:val="44"/>
          <w:szCs w:val="44"/>
        </w:rPr>
      </w:pPr>
      <w:r>
        <w:rPr>
          <w:rFonts w:hint="eastAsia" w:ascii="方正小标宋简体" w:hAnsi="方正小标宋简体" w:eastAsia="方正小标宋简体" w:cs="华文中宋"/>
          <w:b/>
          <w:sz w:val="44"/>
          <w:szCs w:val="44"/>
        </w:rPr>
        <w:t>寿县住房和城乡建设局2024年部门</w:t>
      </w:r>
    </w:p>
    <w:p>
      <w:pPr>
        <w:adjustRightInd w:val="0"/>
        <w:snapToGrid w:val="0"/>
        <w:spacing w:line="360" w:lineRule="auto"/>
        <w:jc w:val="center"/>
        <w:rPr>
          <w:rFonts w:ascii="方正小标宋简体" w:hAnsi="方正小标宋简体" w:eastAsia="方正小标宋简体" w:cs="华文中宋"/>
          <w:b/>
          <w:sz w:val="44"/>
          <w:szCs w:val="44"/>
        </w:rPr>
      </w:pPr>
    </w:p>
    <w:p>
      <w:pPr>
        <w:pStyle w:val="5"/>
        <w:adjustRightInd w:val="0"/>
        <w:snapToGrid w:val="0"/>
        <w:spacing w:line="560" w:lineRule="exact"/>
        <w:jc w:val="center"/>
        <w:rPr>
          <w:rFonts w:ascii="TimesNewRoman" w:hAnsi="TimesNewRoman" w:eastAsia="黑体" w:cs="TimesNewRoman"/>
          <w:bCs/>
          <w:sz w:val="36"/>
          <w:szCs w:val="36"/>
        </w:rPr>
      </w:pPr>
    </w:p>
    <w:p>
      <w:pPr>
        <w:pStyle w:val="5"/>
        <w:adjustRightInd w:val="0"/>
        <w:snapToGrid w:val="0"/>
        <w:spacing w:line="560" w:lineRule="exact"/>
        <w:jc w:val="center"/>
        <w:rPr>
          <w:rFonts w:ascii="TimesNewRoman" w:hAnsi="TimesNewRoman" w:eastAsia="黑体" w:cs="TimesNewRoman"/>
          <w:bCs/>
          <w:sz w:val="36"/>
          <w:szCs w:val="36"/>
        </w:rPr>
      </w:pPr>
    </w:p>
    <w:p>
      <w:pPr>
        <w:pStyle w:val="5"/>
        <w:adjustRightInd w:val="0"/>
        <w:snapToGrid w:val="0"/>
        <w:spacing w:line="560" w:lineRule="exact"/>
        <w:jc w:val="center"/>
        <w:rPr>
          <w:rFonts w:ascii="TimesNewRoman" w:hAnsi="TimesNewRoman" w:eastAsia="黑体" w:cs="TimesNewRoman"/>
          <w:bCs/>
          <w:sz w:val="36"/>
          <w:szCs w:val="36"/>
        </w:rPr>
      </w:pPr>
    </w:p>
    <w:p>
      <w:pPr>
        <w:pStyle w:val="5"/>
        <w:adjustRightInd w:val="0"/>
        <w:snapToGrid w:val="0"/>
        <w:spacing w:line="560" w:lineRule="exact"/>
        <w:jc w:val="center"/>
        <w:rPr>
          <w:rFonts w:ascii="TimesNewRoman" w:hAnsi="TimesNewRoman" w:eastAsia="黑体" w:cs="TimesNewRoman"/>
          <w:bCs/>
          <w:sz w:val="36"/>
          <w:szCs w:val="36"/>
        </w:rPr>
      </w:pPr>
    </w:p>
    <w:p>
      <w:pPr>
        <w:pStyle w:val="5"/>
        <w:adjustRightInd w:val="0"/>
        <w:snapToGrid w:val="0"/>
        <w:spacing w:line="560" w:lineRule="exact"/>
        <w:jc w:val="center"/>
        <w:rPr>
          <w:rFonts w:ascii="TimesNewRoman" w:hAnsi="TimesNewRoman" w:eastAsia="黑体" w:cs="TimesNewRoman"/>
          <w:bCs/>
          <w:sz w:val="32"/>
          <w:szCs w:val="32"/>
        </w:rPr>
      </w:pPr>
    </w:p>
    <w:p>
      <w:pPr>
        <w:pStyle w:val="5"/>
        <w:adjustRightInd w:val="0"/>
        <w:snapToGrid w:val="0"/>
        <w:spacing w:line="560" w:lineRule="exact"/>
        <w:jc w:val="center"/>
        <w:rPr>
          <w:rFonts w:ascii="仿宋_GB2312" w:hAnsi="TimesNewRoman" w:eastAsia="仿宋_GB2312" w:cs="TimesNewRoman"/>
          <w:bCs/>
          <w:sz w:val="32"/>
          <w:szCs w:val="32"/>
        </w:rPr>
      </w:pPr>
    </w:p>
    <w:p>
      <w:pPr>
        <w:pStyle w:val="5"/>
        <w:adjustRightInd w:val="0"/>
        <w:snapToGrid w:val="0"/>
        <w:spacing w:line="560" w:lineRule="exact"/>
        <w:jc w:val="center"/>
        <w:rPr>
          <w:rFonts w:ascii="仿宋_GB2312" w:hAnsi="TimesNewRoman" w:eastAsia="仿宋_GB2312" w:cs="TimesNewRoman"/>
          <w:bCs/>
          <w:sz w:val="36"/>
          <w:szCs w:val="32"/>
        </w:rPr>
      </w:pPr>
      <w:r>
        <w:rPr>
          <w:rFonts w:hint="eastAsia" w:ascii="仿宋_GB2312" w:hAnsi="TimesNewRoman" w:eastAsia="仿宋_GB2312" w:cs="TimesNewRoman"/>
          <w:bCs/>
          <w:sz w:val="36"/>
          <w:szCs w:val="32"/>
        </w:rPr>
        <w:t>2024年*月</w:t>
      </w:r>
    </w:p>
    <w:p>
      <w:pPr>
        <w:pStyle w:val="5"/>
        <w:adjustRightInd w:val="0"/>
        <w:snapToGrid w:val="0"/>
        <w:spacing w:line="560" w:lineRule="exact"/>
        <w:jc w:val="center"/>
        <w:rPr>
          <w:rFonts w:ascii="仿宋_GB2312" w:hAnsi="TimesNewRoman" w:eastAsia="仿宋_GB2312" w:cs="TimesNewRoman"/>
          <w:bCs/>
          <w:sz w:val="36"/>
          <w:szCs w:val="32"/>
        </w:rPr>
      </w:pPr>
    </w:p>
    <w:p>
      <w:pPr>
        <w:pStyle w:val="5"/>
        <w:adjustRightInd w:val="0"/>
        <w:snapToGrid w:val="0"/>
        <w:spacing w:line="560" w:lineRule="exact"/>
        <w:jc w:val="center"/>
        <w:rPr>
          <w:rFonts w:ascii="仿宋_GB2312" w:hAnsi="TimesNewRoman" w:eastAsia="仿宋_GB2312" w:cs="TimesNewRoman"/>
          <w:bCs/>
          <w:sz w:val="36"/>
          <w:szCs w:val="32"/>
        </w:rPr>
      </w:pPr>
    </w:p>
    <w:p>
      <w:pPr>
        <w:pStyle w:val="5"/>
        <w:adjustRightInd w:val="0"/>
        <w:snapToGrid w:val="0"/>
        <w:spacing w:line="560" w:lineRule="exact"/>
        <w:jc w:val="center"/>
        <w:rPr>
          <w:rFonts w:ascii="仿宋_GB2312" w:hAnsi="TimesNewRoman" w:eastAsia="仿宋_GB2312" w:cs="TimesNewRoman"/>
          <w:bCs/>
          <w:sz w:val="36"/>
          <w:szCs w:val="32"/>
        </w:rPr>
      </w:pPr>
    </w:p>
    <w:p>
      <w:pPr>
        <w:pStyle w:val="5"/>
        <w:adjustRightInd w:val="0"/>
        <w:snapToGrid w:val="0"/>
        <w:spacing w:line="560" w:lineRule="exact"/>
        <w:jc w:val="center"/>
        <w:rPr>
          <w:rFonts w:ascii="方正小标宋_GBK" w:hAnsi="TimesNewRoman" w:eastAsia="方正小标宋_GBK" w:cs="TimesNewRoman"/>
          <w:bCs/>
          <w:sz w:val="44"/>
          <w:szCs w:val="44"/>
        </w:rPr>
      </w:pPr>
      <w:r>
        <w:rPr>
          <w:rFonts w:hint="eastAsia" w:ascii="方正小标宋_GBK" w:hAnsi="TimesNewRoman" w:eastAsia="方正小标宋_GBK" w:cs="TimesNewRoman"/>
          <w:bCs/>
          <w:sz w:val="44"/>
          <w:szCs w:val="44"/>
        </w:rPr>
        <w:t>目  录</w:t>
      </w:r>
    </w:p>
    <w:p>
      <w:pPr>
        <w:pStyle w:val="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pPr>
        <w:pStyle w:val="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w:t>
      </w:r>
      <w:r>
        <w:rPr>
          <w:rFonts w:ascii="黑体" w:hAnsi="黑体" w:eastAsia="黑体" w:cs="TimesNewRoman"/>
          <w:sz w:val="32"/>
          <w:szCs w:val="32"/>
          <w:u w:val="single"/>
        </w:rPr>
        <w:t>（单位）</w:t>
      </w:r>
      <w:r>
        <w:rPr>
          <w:rFonts w:ascii="黑体" w:hAnsi="黑体" w:eastAsia="黑体" w:cs="TimesNewRoman"/>
          <w:sz w:val="32"/>
          <w:szCs w:val="32"/>
        </w:rPr>
        <w:t>概况</w:t>
      </w:r>
    </w:p>
    <w:p>
      <w:pPr>
        <w:pStyle w:val="5"/>
        <w:adjustRightInd w:val="0"/>
        <w:snapToGrid w:val="0"/>
        <w:spacing w:beforeAutospacing="0" w:afterAutospacing="0" w:line="5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1.主要职责</w:t>
      </w:r>
    </w:p>
    <w:p>
      <w:pPr>
        <w:pStyle w:val="5"/>
        <w:adjustRightInd w:val="0"/>
        <w:snapToGrid w:val="0"/>
        <w:spacing w:beforeAutospacing="0" w:afterAutospacing="0" w:line="5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2.部门（单位）预算构成</w:t>
      </w:r>
    </w:p>
    <w:p>
      <w:pPr>
        <w:pStyle w:val="5"/>
        <w:adjustRightInd w:val="0"/>
        <w:snapToGrid w:val="0"/>
        <w:spacing w:beforeAutospacing="0" w:afterAutospacing="0" w:line="50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3.2024年度主要工作任务</w:t>
      </w:r>
    </w:p>
    <w:p>
      <w:pPr>
        <w:pStyle w:val="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第二部分 </w:t>
      </w:r>
      <w:r>
        <w:rPr>
          <w:rFonts w:hint="eastAsia" w:ascii="黑体" w:hAnsi="黑体" w:eastAsia="黑体" w:cs="TimesNewRoman"/>
          <w:sz w:val="32"/>
          <w:szCs w:val="32"/>
        </w:rPr>
        <w:t>2024</w:t>
      </w:r>
      <w:r>
        <w:rPr>
          <w:rFonts w:ascii="黑体" w:hAnsi="黑体" w:eastAsia="黑体" w:cs="TimesNewRoman"/>
          <w:sz w:val="32"/>
          <w:szCs w:val="32"/>
        </w:rPr>
        <w:t>年部门（单位）预算表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年收支总表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年收入总表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年支出总表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年财政拨款收支总表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年一般公共预算支出表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年一般公共预算基本支出表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年政府性基金预算支出表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年国有资本经营预算支出表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年项目支出表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w:t>
      </w:r>
      <w:r>
        <w:rPr>
          <w:rFonts w:hint="eastAsia" w:ascii="仿宋_GB2312" w:hAnsi="TimesNewRoman" w:eastAsia="仿宋_GB2312" w:cs="TimesNewRoman"/>
          <w:bCs/>
          <w:sz w:val="32"/>
          <w:szCs w:val="32"/>
        </w:rPr>
        <w:t>寿县住房和城乡建设局2024</w:t>
      </w:r>
      <w:r>
        <w:rPr>
          <w:rFonts w:ascii="仿宋_GB2312" w:hAnsi="TimesNewRoman" w:eastAsia="仿宋_GB2312" w:cs="TimesNewRoman"/>
          <w:bCs/>
          <w:sz w:val="32"/>
          <w:szCs w:val="32"/>
        </w:rPr>
        <w:t>年政府采购支出表</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w:t>
      </w:r>
      <w:r>
        <w:rPr>
          <w:rFonts w:hint="eastAsia" w:ascii="仿宋_GB2312" w:hAnsi="TimesNewRoman" w:eastAsia="仿宋_GB2312" w:cs="TimesNewRoman"/>
          <w:bCs/>
          <w:sz w:val="32"/>
          <w:szCs w:val="32"/>
        </w:rPr>
        <w:t xml:space="preserve"> 寿县住房和城乡建设局2024</w:t>
      </w:r>
      <w:r>
        <w:rPr>
          <w:rFonts w:ascii="仿宋_GB2312" w:hAnsi="TimesNewRoman" w:eastAsia="仿宋_GB2312" w:cs="TimesNewRoman"/>
          <w:bCs/>
          <w:sz w:val="32"/>
          <w:szCs w:val="32"/>
        </w:rPr>
        <w:t>年政府购买服务支出表</w:t>
      </w:r>
    </w:p>
    <w:p>
      <w:pPr>
        <w:pStyle w:val="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第三部分 </w:t>
      </w:r>
      <w:r>
        <w:rPr>
          <w:rFonts w:hint="eastAsia" w:ascii="黑体" w:hAnsi="黑体" w:eastAsia="黑体" w:cs="TimesNewRoman"/>
          <w:sz w:val="32"/>
          <w:szCs w:val="32"/>
        </w:rPr>
        <w:t>2024</w:t>
      </w:r>
      <w:r>
        <w:rPr>
          <w:rFonts w:ascii="黑体" w:hAnsi="黑体" w:eastAsia="黑体" w:cs="TimesNewRoman"/>
          <w:sz w:val="32"/>
          <w:szCs w:val="32"/>
        </w:rPr>
        <w:t>年部门（单位）预算情况说明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年政府购买服务支出表的说明</w:t>
      </w:r>
    </w:p>
    <w:p>
      <w:pPr>
        <w:pStyle w:val="5"/>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12.其他重要事项情况说明</w:t>
      </w:r>
    </w:p>
    <w:p>
      <w:pPr>
        <w:pStyle w:val="5"/>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第四部分 名词解释</w:t>
      </w: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5"/>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5"/>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第一部分 部门</w:t>
      </w:r>
      <w:r>
        <w:rPr>
          <w:rFonts w:ascii="TimesNewRoman" w:hAnsi="TimesNewRoman" w:eastAsia="黑体" w:cs="TimesNewRoman"/>
          <w:bCs/>
          <w:sz w:val="36"/>
          <w:szCs w:val="36"/>
          <w:u w:val="single"/>
        </w:rPr>
        <w:t>（单位）</w:t>
      </w:r>
      <w:r>
        <w:rPr>
          <w:rFonts w:ascii="TimesNewRoman" w:hAnsi="TimesNewRoman" w:eastAsia="黑体" w:cs="TimesNewRoman"/>
          <w:bCs/>
          <w:sz w:val="36"/>
          <w:szCs w:val="36"/>
        </w:rPr>
        <w:t>概况</w:t>
      </w:r>
    </w:p>
    <w:p>
      <w:pPr>
        <w:pStyle w:val="5"/>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pPr>
        <w:pStyle w:val="5"/>
        <w:topLinePunct/>
        <w:adjustRightInd w:val="0"/>
        <w:snapToGrid w:val="0"/>
        <w:spacing w:beforeAutospacing="0" w:afterAutospacing="0" w:line="580" w:lineRule="exact"/>
        <w:ind w:firstLine="640"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pPr>
        <w:spacing w:line="560" w:lineRule="exact"/>
        <w:ind w:firstLine="640" w:firstLineChars="200"/>
        <w:rPr>
          <w:rFonts w:ascii="仿宋_GB2312" w:hAnsi="仿宋" w:eastAsia="仿宋_GB2312" w:cs="仿宋"/>
          <w:sz w:val="32"/>
          <w:szCs w:val="32"/>
        </w:rPr>
      </w:pPr>
      <w:bookmarkStart w:id="0" w:name="bookmark4"/>
      <w:r>
        <w:rPr>
          <w:rFonts w:hint="eastAsia" w:ascii="仿宋_GB2312" w:hAnsi="仿宋" w:eastAsia="仿宋_GB2312" w:cs="仿宋"/>
          <w:sz w:val="32"/>
          <w:szCs w:val="32"/>
        </w:rPr>
        <w:t>（</w:t>
      </w:r>
      <w:bookmarkEnd w:id="0"/>
      <w:r>
        <w:rPr>
          <w:rFonts w:hint="eastAsia" w:ascii="仿宋_GB2312" w:hAnsi="仿宋" w:eastAsia="仿宋_GB2312" w:cs="仿宋"/>
          <w:sz w:val="32"/>
          <w:szCs w:val="32"/>
        </w:rPr>
        <w:t>一）贯彻执行国家和省市有关住房和城乡建设的法律法规规章和标准规范等，研究制定相关实施细则、管理办法和规定及规范性文件，并组织实施。</w:t>
      </w:r>
    </w:p>
    <w:p>
      <w:pPr>
        <w:spacing w:line="560" w:lineRule="exact"/>
        <w:ind w:firstLine="640" w:firstLineChars="200"/>
        <w:rPr>
          <w:rFonts w:ascii="仿宋_GB2312" w:hAnsi="仿宋" w:eastAsia="仿宋_GB2312" w:cs="仿宋"/>
          <w:sz w:val="32"/>
          <w:szCs w:val="32"/>
        </w:rPr>
      </w:pPr>
      <w:bookmarkStart w:id="1" w:name="bookmark5"/>
      <w:r>
        <w:rPr>
          <w:rFonts w:hint="eastAsia" w:ascii="仿宋_GB2312" w:hAnsi="仿宋" w:eastAsia="仿宋_GB2312" w:cs="仿宋"/>
          <w:sz w:val="32"/>
          <w:szCs w:val="32"/>
        </w:rPr>
        <w:t>（</w:t>
      </w:r>
      <w:bookmarkEnd w:id="1"/>
      <w:r>
        <w:rPr>
          <w:rFonts w:hint="eastAsia" w:ascii="仿宋_GB2312" w:hAnsi="仿宋" w:eastAsia="仿宋_GB2312" w:cs="仿宋"/>
          <w:sz w:val="32"/>
          <w:szCs w:val="32"/>
        </w:rPr>
        <w:t>二）组织拟订全县城市建设、村镇建设、建筑业、房地产业、勘察设计、名城保护、人民防空的政策、法规及相关发展战略，改革方案及中长期规划和年度计划，并组织实施。</w:t>
      </w:r>
    </w:p>
    <w:p>
      <w:pPr>
        <w:spacing w:line="560" w:lineRule="exact"/>
        <w:ind w:firstLine="640" w:firstLineChars="200"/>
        <w:rPr>
          <w:rFonts w:ascii="仿宋_GB2312" w:hAnsi="仿宋" w:eastAsia="仿宋_GB2312" w:cs="仿宋"/>
          <w:sz w:val="32"/>
          <w:szCs w:val="32"/>
        </w:rPr>
      </w:pPr>
      <w:bookmarkStart w:id="2" w:name="bookmark6"/>
      <w:r>
        <w:rPr>
          <w:rFonts w:hint="eastAsia" w:ascii="仿宋_GB2312" w:hAnsi="仿宋" w:eastAsia="仿宋_GB2312" w:cs="仿宋"/>
          <w:sz w:val="32"/>
          <w:szCs w:val="32"/>
        </w:rPr>
        <w:t>（</w:t>
      </w:r>
      <w:bookmarkEnd w:id="2"/>
      <w:r>
        <w:rPr>
          <w:rFonts w:hint="eastAsia" w:ascii="仿宋_GB2312" w:hAnsi="仿宋" w:eastAsia="仿宋_GB2312" w:cs="仿宋"/>
          <w:sz w:val="32"/>
          <w:szCs w:val="32"/>
        </w:rPr>
        <w:t>三）承担住房保障工作责任。负责制定全县住房保障规划和年度保障计划并指导实施；负责住房保障工作的监督检查；指导协调廉租房、经济适用住房、棚户区改造和公共租赁住房等保障性住房的建设和管理；会同有关部门做好保障性住房资金安排 并监督实施。</w:t>
      </w:r>
    </w:p>
    <w:p>
      <w:pPr>
        <w:spacing w:line="560" w:lineRule="exact"/>
        <w:ind w:firstLine="640" w:firstLineChars="200"/>
        <w:rPr>
          <w:rFonts w:ascii="仿宋_GB2312" w:hAnsi="仿宋" w:eastAsia="仿宋_GB2312" w:cs="仿宋"/>
          <w:sz w:val="32"/>
          <w:szCs w:val="32"/>
        </w:rPr>
      </w:pPr>
      <w:bookmarkStart w:id="3" w:name="bookmark7"/>
      <w:r>
        <w:rPr>
          <w:rFonts w:hint="eastAsia" w:ascii="仿宋_GB2312" w:hAnsi="仿宋" w:eastAsia="仿宋_GB2312" w:cs="仿宋"/>
          <w:sz w:val="32"/>
          <w:szCs w:val="32"/>
        </w:rPr>
        <w:t>（</w:t>
      </w:r>
      <w:bookmarkEnd w:id="3"/>
      <w:r>
        <w:rPr>
          <w:rFonts w:hint="eastAsia" w:ascii="仿宋_GB2312" w:hAnsi="仿宋" w:eastAsia="仿宋_GB2312" w:cs="仿宋"/>
          <w:sz w:val="32"/>
          <w:szCs w:val="32"/>
        </w:rPr>
        <w:t>四）承担规范房地产市场秩序、监督管理房地产市场的责任。会同或配合有关部门组织拟订房地产市场监管政策并监督执行；负责城市综合开发管理、办理资质审查，对房地产开发项目进行动态监控；负责房地产开发项目的预售审批、网签备案，项目保证金和房地产开发项目资本金监管工作，负责房地产市场管理；负责房地产交易管理；指导房产测绘及成果应用；参与核定廉租房租金标准和经济适用房的销售指导价格。</w:t>
      </w:r>
    </w:p>
    <w:p>
      <w:pPr>
        <w:spacing w:line="560" w:lineRule="exact"/>
        <w:ind w:firstLine="640" w:firstLineChars="200"/>
        <w:rPr>
          <w:rFonts w:ascii="仿宋_GB2312" w:hAnsi="仿宋" w:eastAsia="仿宋_GB2312" w:cs="仿宋"/>
          <w:sz w:val="32"/>
          <w:szCs w:val="32"/>
        </w:rPr>
      </w:pPr>
      <w:bookmarkStart w:id="4" w:name="bookmark8"/>
      <w:r>
        <w:rPr>
          <w:rFonts w:hint="eastAsia" w:ascii="仿宋_GB2312" w:hAnsi="仿宋" w:eastAsia="仿宋_GB2312" w:cs="仿宋"/>
          <w:sz w:val="32"/>
          <w:szCs w:val="32"/>
        </w:rPr>
        <w:t>（</w:t>
      </w:r>
      <w:bookmarkEnd w:id="4"/>
      <w:r>
        <w:rPr>
          <w:rFonts w:hint="eastAsia" w:ascii="仿宋_GB2312" w:hAnsi="仿宋" w:eastAsia="仿宋_GB2312" w:cs="仿宋"/>
          <w:sz w:val="32"/>
          <w:szCs w:val="32"/>
        </w:rPr>
        <w:t>五）负责住房建设管理工作。负责制定和实施全县中长期住宅发展规划和短期计划；指导全县房屋重置价格测算、发布；指导城镇房屋拆迁管理；指导房地产业协会工作。指导制定全县物业管理发展规划；指导房屋安全鉴定、白蚁防治等工作。</w:t>
      </w:r>
    </w:p>
    <w:p>
      <w:pPr>
        <w:spacing w:line="560" w:lineRule="exact"/>
        <w:ind w:firstLine="640" w:firstLineChars="200"/>
        <w:rPr>
          <w:rFonts w:ascii="仿宋_GB2312" w:hAnsi="仿宋" w:eastAsia="仿宋_GB2312" w:cs="仿宋"/>
          <w:sz w:val="32"/>
          <w:szCs w:val="32"/>
        </w:rPr>
      </w:pPr>
      <w:bookmarkStart w:id="5" w:name="bookmark9"/>
      <w:r>
        <w:rPr>
          <w:rFonts w:hint="eastAsia" w:ascii="仿宋_GB2312" w:hAnsi="仿宋" w:eastAsia="仿宋_GB2312" w:cs="仿宋"/>
          <w:sz w:val="32"/>
          <w:szCs w:val="32"/>
        </w:rPr>
        <w:t>（</w:t>
      </w:r>
      <w:bookmarkEnd w:id="5"/>
      <w:r>
        <w:rPr>
          <w:rFonts w:hint="eastAsia" w:ascii="仿宋_GB2312" w:hAnsi="仿宋" w:eastAsia="仿宋_GB2312" w:cs="仿宋"/>
          <w:sz w:val="32"/>
          <w:szCs w:val="32"/>
        </w:rPr>
        <w:t>六）负责全县建筑市场监督管理，规范市场秩序，推动建筑行业发展;负责全县城乡工程建设的勘察设计、建筑施工、建筑安装、房屋建筑装饰装修等行业管理；负责建筑市场主体资质、资格管理以及工程质量、安全及监管工作；负责全县建设工程消防设计审查验收工作；负责全县房地产企业资质管理，协调综合开发中的有关问题；负责城乡建设相关社会中介组织的监督管理工作。</w:t>
      </w:r>
    </w:p>
    <w:p>
      <w:pPr>
        <w:spacing w:line="560" w:lineRule="exact"/>
        <w:ind w:firstLine="640" w:firstLineChars="200"/>
        <w:rPr>
          <w:rFonts w:ascii="仿宋_GB2312" w:hAnsi="仿宋" w:eastAsia="仿宋_GB2312" w:cs="仿宋"/>
          <w:sz w:val="32"/>
          <w:szCs w:val="32"/>
        </w:rPr>
      </w:pPr>
      <w:bookmarkStart w:id="6" w:name="bookmark10"/>
      <w:r>
        <w:rPr>
          <w:rFonts w:hint="eastAsia" w:ascii="仿宋_GB2312" w:hAnsi="仿宋" w:eastAsia="仿宋_GB2312" w:cs="仿宋"/>
          <w:sz w:val="32"/>
          <w:szCs w:val="32"/>
        </w:rPr>
        <w:t>（</w:t>
      </w:r>
      <w:bookmarkEnd w:id="6"/>
      <w:r>
        <w:rPr>
          <w:rFonts w:hint="eastAsia" w:ascii="仿宋_GB2312" w:hAnsi="仿宋" w:eastAsia="仿宋_GB2312" w:cs="仿宋"/>
          <w:sz w:val="32"/>
          <w:szCs w:val="32"/>
        </w:rPr>
        <w:t>七）负责市政公用基础设施重点项目前期工作；负责城市市政基础设施、园林绿化、公园等建设与养护工作；负责全县城乡建设行业科技管理和技术推广工作；负责建筑节能和指导城镇减排工作。</w:t>
      </w:r>
    </w:p>
    <w:p>
      <w:pPr>
        <w:spacing w:line="560" w:lineRule="exact"/>
        <w:ind w:firstLine="640" w:firstLineChars="200"/>
        <w:rPr>
          <w:rFonts w:ascii="仿宋_GB2312" w:hAnsi="仿宋" w:eastAsia="仿宋_GB2312" w:cs="仿宋"/>
          <w:sz w:val="32"/>
          <w:szCs w:val="32"/>
        </w:rPr>
      </w:pPr>
      <w:bookmarkStart w:id="7" w:name="bookmark11"/>
      <w:r>
        <w:rPr>
          <w:rFonts w:hint="eastAsia" w:ascii="仿宋_GB2312" w:hAnsi="仿宋" w:eastAsia="仿宋_GB2312" w:cs="仿宋"/>
          <w:sz w:val="32"/>
          <w:szCs w:val="32"/>
        </w:rPr>
        <w:t>（</w:t>
      </w:r>
      <w:bookmarkEnd w:id="7"/>
      <w:r>
        <w:rPr>
          <w:rFonts w:hint="eastAsia" w:ascii="仿宋_GB2312" w:hAnsi="仿宋" w:eastAsia="仿宋_GB2312" w:cs="仿宋"/>
          <w:sz w:val="32"/>
          <w:szCs w:val="32"/>
        </w:rPr>
        <w:t>八）负责全县公用事业的行业管理工作，负责城市供水、节水、管道燃气、集中供热、污水处理、路灯照明的管理；指导乡镇公用事业的发展；负责公用事业特许经营权的授予与管理。</w:t>
      </w:r>
    </w:p>
    <w:p>
      <w:pPr>
        <w:spacing w:line="560" w:lineRule="exact"/>
        <w:ind w:firstLine="640" w:firstLineChars="200"/>
        <w:rPr>
          <w:rFonts w:ascii="仿宋_GB2312" w:hAnsi="仿宋" w:eastAsia="仿宋_GB2312" w:cs="仿宋"/>
          <w:sz w:val="32"/>
          <w:szCs w:val="32"/>
        </w:rPr>
      </w:pPr>
      <w:bookmarkStart w:id="8" w:name="bookmark12"/>
      <w:r>
        <w:rPr>
          <w:rFonts w:hint="eastAsia" w:ascii="仿宋_GB2312" w:hAnsi="仿宋" w:eastAsia="仿宋_GB2312" w:cs="仿宋"/>
          <w:sz w:val="32"/>
          <w:szCs w:val="32"/>
        </w:rPr>
        <w:t>（</w:t>
      </w:r>
      <w:bookmarkEnd w:id="8"/>
      <w:r>
        <w:rPr>
          <w:rFonts w:hint="eastAsia" w:ascii="仿宋_GB2312" w:hAnsi="仿宋" w:eastAsia="仿宋_GB2312" w:cs="仿宋"/>
          <w:sz w:val="32"/>
          <w:szCs w:val="32"/>
        </w:rPr>
        <w:t>九）指导、规范全县村镇建设管理工作。负责村镇工程建设管理、指导和技术服务；制定村镇建设工作技术标准；指导农村危房改造工作。会同文物主管部门负责历史文化名城保护和监督管理工作。</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（十）研究制定全县城乡建设信息化发展战略；负责城乡建设信息、数据的收集、存储、运用；指导乡镇组织实施信息资源的开发利用；指导全县城乡建设档案管理工作。</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（十一）负责编制城乡建设、维护资金计划，负责资金的调配和管理，监督资金计划的落实；参与建设资金审计工作。</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（十二）监督指导各类建设工程标准定额的实施；组织实施建设工程造价计价法规；管理和指导全县工程造价工作。</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w:t>
      </w:r>
      <w:r>
        <w:rPr>
          <w:rFonts w:hint="eastAsia" w:ascii="仿宋_GB2312" w:hAnsi="仿宋" w:eastAsia="仿宋_GB2312" w:cs="仿宋"/>
          <w:sz w:val="32"/>
          <w:szCs w:val="32"/>
          <w:lang w:val="en-US" w:eastAsia="zh-CN"/>
        </w:rPr>
        <w:t>三</w:t>
      </w:r>
      <w:r>
        <w:rPr>
          <w:rFonts w:hint="eastAsia" w:ascii="仿宋_GB2312" w:hAnsi="仿宋" w:eastAsia="仿宋_GB2312" w:cs="仿宋"/>
          <w:sz w:val="32"/>
          <w:szCs w:val="32"/>
        </w:rPr>
        <w:t>）负责县委、县政府和县委编委明确的安全生产职责。</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w:t>
      </w:r>
      <w:r>
        <w:rPr>
          <w:rFonts w:hint="eastAsia" w:ascii="仿宋_GB2312" w:hAnsi="仿宋" w:eastAsia="仿宋_GB2312" w:cs="仿宋"/>
          <w:sz w:val="32"/>
          <w:szCs w:val="32"/>
          <w:lang w:val="en-US" w:eastAsia="zh-CN"/>
        </w:rPr>
        <w:t>四</w:t>
      </w:r>
      <w:r>
        <w:rPr>
          <w:rFonts w:hint="eastAsia" w:ascii="仿宋_GB2312" w:hAnsi="仿宋" w:eastAsia="仿宋_GB2312" w:cs="仿宋"/>
          <w:sz w:val="32"/>
          <w:szCs w:val="32"/>
        </w:rPr>
        <w:t>）配合县委非公有制经济和社会组织工作委员会做好 非公企业和社会组织相关党建工作。</w:t>
      </w:r>
    </w:p>
    <w:p>
      <w:pPr>
        <w:spacing w:line="560" w:lineRule="exact"/>
        <w:ind w:left="627"/>
        <w:rPr>
          <w:rFonts w:ascii="仿宋_GB2312" w:hAnsi="仿宋" w:eastAsia="仿宋_GB2312" w:cs="仿宋"/>
          <w:sz w:val="32"/>
          <w:szCs w:val="32"/>
        </w:rPr>
      </w:pPr>
      <w:r>
        <w:rPr>
          <w:rFonts w:hint="eastAsia" w:ascii="仿宋_GB2312" w:hAnsi="仿宋" w:eastAsia="仿宋_GB2312" w:cs="仿宋"/>
          <w:sz w:val="32"/>
          <w:szCs w:val="32"/>
        </w:rPr>
        <w:t>（十</w:t>
      </w:r>
      <w:r>
        <w:rPr>
          <w:rFonts w:hint="eastAsia" w:ascii="仿宋_GB2312" w:hAnsi="仿宋" w:eastAsia="仿宋_GB2312" w:cs="仿宋"/>
          <w:sz w:val="32"/>
          <w:szCs w:val="32"/>
          <w:lang w:val="en-US" w:eastAsia="zh-CN"/>
        </w:rPr>
        <w:t>五</w:t>
      </w:r>
      <w:r>
        <w:rPr>
          <w:rFonts w:hint="eastAsia" w:ascii="仿宋_GB2312" w:hAnsi="仿宋" w:eastAsia="仿宋_GB2312" w:cs="仿宋"/>
          <w:sz w:val="32"/>
          <w:szCs w:val="32"/>
        </w:rPr>
        <w:t>）完成县委、县政府交办的其他任务。</w:t>
      </w:r>
    </w:p>
    <w:p>
      <w:pPr>
        <w:pStyle w:val="5"/>
        <w:topLinePunct/>
        <w:adjustRightInd w:val="0"/>
        <w:snapToGrid w:val="0"/>
        <w:spacing w:beforeAutospacing="0" w:afterAutospacing="0" w:line="580" w:lineRule="exact"/>
        <w:ind w:firstLine="640" w:firstLineChars="200"/>
        <w:jc w:val="both"/>
        <w:rPr>
          <w:rFonts w:ascii="TimesNewRoman" w:hAnsi="TimesNewRoman" w:eastAsia="仿宋_GB2312" w:cs="TimesNewRoman"/>
          <w:bCs/>
          <w:sz w:val="32"/>
          <w:szCs w:val="32"/>
        </w:rPr>
      </w:pPr>
    </w:p>
    <w:p>
      <w:pPr>
        <w:pStyle w:val="5"/>
        <w:topLinePunct/>
        <w:adjustRightInd w:val="0"/>
        <w:snapToGrid w:val="0"/>
        <w:spacing w:beforeAutospacing="0" w:afterAutospacing="0" w:line="580" w:lineRule="exact"/>
        <w:ind w:firstLine="640" w:firstLineChars="200"/>
        <w:jc w:val="both"/>
        <w:rPr>
          <w:rFonts w:ascii="TimesNewRoman" w:hAnsi="TimesNewRoman" w:eastAsia="仿宋_GB2312" w:cs="TimesNewRoman"/>
          <w:bCs/>
          <w:sz w:val="32"/>
          <w:szCs w:val="32"/>
        </w:rPr>
      </w:pPr>
    </w:p>
    <w:p>
      <w:pPr>
        <w:pStyle w:val="5"/>
        <w:adjustRightInd w:val="0"/>
        <w:snapToGrid w:val="0"/>
        <w:spacing w:beforeAutospacing="0" w:afterAutospacing="0" w:line="360" w:lineRule="auto"/>
        <w:ind w:firstLine="627" w:firstLineChars="196"/>
        <w:jc w:val="both"/>
        <w:rPr>
          <w:rFonts w:ascii="仿宋_GB2312" w:eastAsia="仿宋_GB2312"/>
          <w:sz w:val="32"/>
          <w:szCs w:val="32"/>
        </w:rPr>
      </w:pPr>
      <w:r>
        <w:rPr>
          <w:rFonts w:hint="eastAsia" w:ascii="黑体" w:hAnsi="黑体" w:eastAsia="黑体"/>
          <w:bCs/>
          <w:sz w:val="32"/>
          <w:szCs w:val="32"/>
        </w:rPr>
        <w:t>二、部门预算单位构成</w:t>
      </w:r>
    </w:p>
    <w:p>
      <w:pPr>
        <w:pStyle w:val="5"/>
        <w:adjustRightInd w:val="0"/>
        <w:snapToGrid w:val="0"/>
        <w:spacing w:beforeAutospacing="0" w:afterAutospacing="0" w:line="360" w:lineRule="auto"/>
        <w:ind w:firstLine="627" w:firstLineChars="196"/>
        <w:jc w:val="both"/>
        <w:rPr>
          <w:rFonts w:ascii="仿宋_GB2312" w:hAnsi="仿宋" w:eastAsia="仿宋_GB2312"/>
          <w:sz w:val="32"/>
          <w:szCs w:val="32"/>
        </w:rPr>
      </w:pPr>
      <w:r>
        <w:rPr>
          <w:rFonts w:hint="eastAsia" w:ascii="仿宋_GB2312" w:hAnsi="仿宋" w:eastAsia="仿宋_GB2312"/>
          <w:sz w:val="32"/>
          <w:szCs w:val="32"/>
        </w:rPr>
        <w:t>从预算单位构成看，</w:t>
      </w:r>
      <w:r>
        <w:rPr>
          <w:rFonts w:hint="eastAsia" w:ascii="仿宋_GB2312" w:hAnsi="仿宋" w:eastAsia="仿宋_GB2312" w:cs="仿宋"/>
          <w:bCs/>
          <w:sz w:val="32"/>
          <w:szCs w:val="32"/>
        </w:rPr>
        <w:t>寿县住房和城乡建设局</w:t>
      </w:r>
      <w:r>
        <w:rPr>
          <w:rFonts w:hint="eastAsia" w:ascii="仿宋_GB2312" w:hAnsi="仿宋" w:eastAsia="仿宋_GB2312"/>
          <w:sz w:val="32"/>
          <w:szCs w:val="32"/>
        </w:rPr>
        <w:t>2024年度部门预算包括局本级预算和局下属单位预算，纳入部门预算编制范围的单位共1个，具体情况见下表。</w:t>
      </w:r>
    </w:p>
    <w:tbl>
      <w:tblPr>
        <w:tblStyle w:val="6"/>
        <w:tblW w:w="9000" w:type="dxa"/>
        <w:tblInd w:w="288" w:type="dxa"/>
        <w:shd w:val="clear" w:color="auto" w:fill="FFFFFF"/>
        <w:tblLayout w:type="fixed"/>
        <w:tblCellMar>
          <w:top w:w="0" w:type="dxa"/>
          <w:left w:w="0" w:type="dxa"/>
          <w:bottom w:w="0" w:type="dxa"/>
          <w:right w:w="0" w:type="dxa"/>
        </w:tblCellMar>
      </w:tblPr>
      <w:tblGrid>
        <w:gridCol w:w="900"/>
        <w:gridCol w:w="3600"/>
        <w:gridCol w:w="4500"/>
      </w:tblGrid>
      <w:tr>
        <w:tblPrEx>
          <w:shd w:val="clear" w:color="auto" w:fill="FFFFFF"/>
        </w:tblPrEx>
        <w:trPr>
          <w:trHeight w:val="397" w:hRule="exact"/>
        </w:trPr>
        <w:tc>
          <w:tcPr>
            <w:tcW w:w="9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sz w:val="32"/>
                <w:szCs w:val="32"/>
              </w:rPr>
            </w:pPr>
            <w:r>
              <w:rPr>
                <w:rFonts w:hint="eastAsia" w:ascii="仿宋_GB2312" w:hAnsi="宋体" w:eastAsia="仿宋_GB2312"/>
                <w:sz w:val="32"/>
                <w:szCs w:val="32"/>
              </w:rPr>
              <w:t>序号</w:t>
            </w:r>
          </w:p>
        </w:tc>
        <w:tc>
          <w:tcPr>
            <w:tcW w:w="360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宋体" w:eastAsia="仿宋_GB2312"/>
                <w:sz w:val="32"/>
                <w:szCs w:val="32"/>
              </w:rPr>
            </w:pPr>
            <w:r>
              <w:rPr>
                <w:rFonts w:hint="eastAsia" w:ascii="仿宋_GB2312" w:hAnsi="宋体" w:eastAsia="仿宋_GB2312"/>
                <w:sz w:val="32"/>
                <w:szCs w:val="32"/>
              </w:rPr>
              <w:t>单位名称</w:t>
            </w:r>
          </w:p>
        </w:tc>
        <w:tc>
          <w:tcPr>
            <w:tcW w:w="4500" w:type="dxa"/>
            <w:tcBorders>
              <w:top w:val="single" w:color="auto" w:sz="8" w:space="0"/>
              <w:left w:val="nil"/>
              <w:bottom w:val="single" w:color="auto" w:sz="8" w:space="0"/>
              <w:right w:val="single" w:color="auto" w:sz="8" w:space="0"/>
            </w:tcBorders>
            <w:shd w:val="clear" w:color="auto" w:fill="FFFFFF"/>
          </w:tcPr>
          <w:p>
            <w:pPr>
              <w:adjustRightInd w:val="0"/>
              <w:snapToGrid w:val="0"/>
              <w:spacing w:line="360" w:lineRule="auto"/>
              <w:jc w:val="center"/>
              <w:rPr>
                <w:rFonts w:ascii="仿宋_GB2312" w:hAnsi="宋体" w:eastAsia="仿宋_GB2312"/>
                <w:sz w:val="32"/>
                <w:szCs w:val="32"/>
              </w:rPr>
            </w:pPr>
            <w:r>
              <w:rPr>
                <w:rFonts w:hint="eastAsia" w:ascii="仿宋_GB2312" w:hAnsi="宋体" w:eastAsia="仿宋_GB2312"/>
                <w:sz w:val="32"/>
                <w:szCs w:val="32"/>
              </w:rPr>
              <w:t>单位性质</w:t>
            </w:r>
          </w:p>
        </w:tc>
      </w:tr>
      <w:tr>
        <w:tblPrEx>
          <w:shd w:val="clear" w:color="auto" w:fill="FFFFFF"/>
          <w:tblCellMar>
            <w:top w:w="0" w:type="dxa"/>
            <w:left w:w="0" w:type="dxa"/>
            <w:bottom w:w="0" w:type="dxa"/>
            <w:right w:w="0" w:type="dxa"/>
          </w:tblCellMar>
        </w:tblPrEx>
        <w:trPr>
          <w:trHeight w:val="397" w:hRule="exact"/>
        </w:trPr>
        <w:tc>
          <w:tcPr>
            <w:tcW w:w="90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仿宋" w:eastAsia="仿宋_GB2312" w:cs="宋体"/>
                <w:kern w:val="0"/>
                <w:sz w:val="32"/>
                <w:szCs w:val="32"/>
              </w:rPr>
            </w:pPr>
            <w:r>
              <w:rPr>
                <w:rFonts w:hint="eastAsia" w:ascii="仿宋_GB2312" w:hAnsi="仿宋" w:eastAsia="仿宋_GB2312" w:cs="宋体"/>
                <w:kern w:val="0"/>
                <w:sz w:val="32"/>
                <w:szCs w:val="32"/>
              </w:rPr>
              <w:t>1</w:t>
            </w:r>
          </w:p>
        </w:tc>
        <w:tc>
          <w:tcPr>
            <w:tcW w:w="36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djustRightInd w:val="0"/>
              <w:snapToGrid w:val="0"/>
              <w:spacing w:line="360" w:lineRule="auto"/>
              <w:jc w:val="center"/>
              <w:rPr>
                <w:rFonts w:ascii="仿宋_GB2312" w:hAnsi="仿宋" w:eastAsia="仿宋_GB2312" w:cs="宋体"/>
                <w:kern w:val="0"/>
                <w:sz w:val="32"/>
                <w:szCs w:val="32"/>
              </w:rPr>
            </w:pPr>
            <w:r>
              <w:rPr>
                <w:rFonts w:hint="eastAsia" w:ascii="仿宋_GB2312" w:hAnsi="仿宋" w:eastAsia="仿宋_GB2312" w:cs="宋体"/>
                <w:kern w:val="0"/>
                <w:sz w:val="32"/>
                <w:szCs w:val="32"/>
              </w:rPr>
              <w:t>寿县住房和城乡建设局本级</w:t>
            </w:r>
          </w:p>
        </w:tc>
        <w:tc>
          <w:tcPr>
            <w:tcW w:w="4500" w:type="dxa"/>
            <w:tcBorders>
              <w:top w:val="nil"/>
              <w:left w:val="nil"/>
              <w:bottom w:val="single" w:color="auto" w:sz="8" w:space="0"/>
              <w:right w:val="single" w:color="auto" w:sz="8" w:space="0"/>
            </w:tcBorders>
            <w:shd w:val="clear" w:color="auto" w:fill="FFFFFF"/>
            <w:vAlign w:val="center"/>
          </w:tcPr>
          <w:p>
            <w:pPr>
              <w:adjustRightInd w:val="0"/>
              <w:snapToGrid w:val="0"/>
              <w:spacing w:line="360" w:lineRule="auto"/>
              <w:jc w:val="center"/>
              <w:rPr>
                <w:rFonts w:ascii="仿宋_GB2312" w:hAnsi="仿宋" w:eastAsia="仿宋_GB2312" w:cs="宋体"/>
                <w:kern w:val="0"/>
                <w:sz w:val="32"/>
                <w:szCs w:val="32"/>
              </w:rPr>
            </w:pPr>
            <w:r>
              <w:rPr>
                <w:rFonts w:hint="eastAsia" w:ascii="仿宋_GB2312" w:hAnsi="仿宋" w:eastAsia="仿宋_GB2312" w:cs="宋体"/>
                <w:kern w:val="0"/>
                <w:sz w:val="32"/>
                <w:szCs w:val="32"/>
              </w:rPr>
              <w:t>行政单位</w:t>
            </w:r>
          </w:p>
        </w:tc>
      </w:tr>
    </w:tbl>
    <w:p>
      <w:pPr>
        <w:pStyle w:val="5"/>
        <w:adjustRightInd w:val="0"/>
        <w:snapToGrid w:val="0"/>
        <w:spacing w:beforeAutospacing="0" w:afterAutospacing="0" w:line="360" w:lineRule="auto"/>
        <w:ind w:firstLine="627" w:firstLineChars="196"/>
        <w:rPr>
          <w:rFonts w:ascii="黑体" w:hAnsi="黑体" w:eastAsia="黑体"/>
          <w:bCs/>
          <w:sz w:val="32"/>
          <w:szCs w:val="32"/>
        </w:rPr>
      </w:pPr>
    </w:p>
    <w:p>
      <w:pPr>
        <w:pStyle w:val="5"/>
        <w:adjustRightInd w:val="0"/>
        <w:snapToGrid w:val="0"/>
        <w:spacing w:beforeAutospacing="0" w:afterAutospacing="0" w:line="360" w:lineRule="auto"/>
        <w:ind w:firstLine="627" w:firstLineChars="196"/>
        <w:rPr>
          <w:rFonts w:ascii="黑体" w:hAnsi="黑体" w:eastAsia="黑体"/>
          <w:bCs/>
          <w:sz w:val="32"/>
          <w:szCs w:val="32"/>
        </w:rPr>
      </w:pPr>
      <w:r>
        <w:rPr>
          <w:rFonts w:hint="eastAsia" w:ascii="黑体" w:hAnsi="黑体" w:eastAsia="黑体"/>
          <w:bCs/>
          <w:sz w:val="32"/>
          <w:szCs w:val="32"/>
        </w:rPr>
        <w:t>三、2024年度主要工作任务</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1.加快推进重点项目建设。</w:t>
      </w:r>
      <w:r>
        <w:rPr>
          <w:rFonts w:hint="eastAsia" w:ascii="仿宋_GB2312" w:eastAsia="仿宋_GB2312"/>
          <w:sz w:val="32"/>
          <w:szCs w:val="32"/>
        </w:rPr>
        <w:t>2024年，我局共计划实施重点项目26项，合计总投资11.255亿元。其中道路工程类8项，总投资3.78亿元；古城风貌整治类6项，总投资0.725亿元；污水治理类5项，总投资1.17亿元；城市功能完善类3项，总投资3.58亿元；园林绿化类2项，总投资0.3亿元；老旧小区改造1项，总投资1.2亿元；燃气一体化项目1项，总投资0.5亿元。</w:t>
      </w:r>
    </w:p>
    <w:p>
      <w:pPr>
        <w:spacing w:line="580" w:lineRule="exact"/>
        <w:ind w:firstLine="640" w:firstLineChars="200"/>
        <w:rPr>
          <w:rFonts w:hint="eastAsia" w:ascii="仿宋_GB2312" w:eastAsia="仿宋_GB2312"/>
          <w:b/>
          <w:bCs/>
          <w:sz w:val="32"/>
          <w:szCs w:val="32"/>
        </w:rPr>
      </w:pPr>
      <w:r>
        <w:rPr>
          <w:rFonts w:hint="eastAsia" w:ascii="仿宋_GB2312" w:eastAsia="仿宋_GB2312"/>
          <w:b/>
          <w:bCs/>
          <w:sz w:val="32"/>
          <w:szCs w:val="32"/>
        </w:rPr>
        <w:t>2.完成《寿县历史名城保护规划》、《寿县历史城区保护和复兴规划》编制审批，强化两个规划的引领作用。</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3.加强新老城区基础设施维护。</w:t>
      </w:r>
      <w:r>
        <w:rPr>
          <w:rFonts w:hint="eastAsia" w:ascii="仿宋_GB2312" w:eastAsia="仿宋_GB2312"/>
          <w:sz w:val="32"/>
          <w:szCs w:val="32"/>
        </w:rPr>
        <w:t>对主次干道、路侧石、树池石、路面等开展维修维护，确保无破损、不松动、不积水。</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4.抓好污水治理提质增效。</w:t>
      </w:r>
      <w:r>
        <w:rPr>
          <w:rFonts w:hint="eastAsia" w:ascii="仿宋_GB2312" w:eastAsia="仿宋_GB2312"/>
          <w:sz w:val="32"/>
          <w:szCs w:val="32"/>
        </w:rPr>
        <w:t>对排查、检测出的错接、混接、破旧管网等问题，及时进行整改和修复，加快推进第二净水厂连接管网项目建设，早日通水运行。</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5.加强民生工程保障。</w:t>
      </w:r>
      <w:r>
        <w:rPr>
          <w:rFonts w:hint="eastAsia" w:ascii="仿宋_GB2312" w:eastAsia="仿宋_GB2312"/>
          <w:sz w:val="32"/>
          <w:szCs w:val="32"/>
        </w:rPr>
        <w:t>加强调度，全力推进，确保</w:t>
      </w:r>
      <w:r>
        <w:rPr>
          <w:rFonts w:hint="eastAsia" w:ascii="仿宋_GB2312" w:eastAsia="仿宋_GB2312"/>
          <w:sz w:val="32"/>
          <w:szCs w:val="32"/>
          <w:lang w:eastAsia="zh-CN"/>
        </w:rPr>
        <w:t>“</w:t>
      </w:r>
      <w:r>
        <w:rPr>
          <w:rFonts w:hint="eastAsia" w:ascii="仿宋_GB2312" w:eastAsia="仿宋_GB2312"/>
          <w:sz w:val="32"/>
          <w:szCs w:val="32"/>
        </w:rPr>
        <w:t>十四五</w:t>
      </w:r>
      <w:r>
        <w:rPr>
          <w:rFonts w:hint="eastAsia" w:ascii="仿宋_GB2312" w:eastAsia="仿宋_GB2312"/>
          <w:sz w:val="32"/>
          <w:szCs w:val="32"/>
          <w:lang w:eastAsia="zh-CN"/>
        </w:rPr>
        <w:t>”</w:t>
      </w:r>
      <w:r>
        <w:rPr>
          <w:rFonts w:hint="eastAsia" w:ascii="仿宋_GB2312" w:eastAsia="仿宋_GB2312"/>
          <w:sz w:val="32"/>
          <w:szCs w:val="32"/>
        </w:rPr>
        <w:t>规划老旧小区改造项目年度任务保质保量完成任务。持续推进自建房屋安全隐患排查整治。针对</w:t>
      </w:r>
      <w:bookmarkStart w:id="9" w:name="_GoBack"/>
      <w:bookmarkEnd w:id="9"/>
      <w:r>
        <w:rPr>
          <w:rFonts w:hint="eastAsia" w:ascii="仿宋_GB2312" w:eastAsia="仿宋_GB2312"/>
          <w:sz w:val="32"/>
          <w:szCs w:val="32"/>
        </w:rPr>
        <w:t>前期摸排出的102户存在安全隐患的农村房屋，尤其是对于C级和暂时无法采取工程措施的D级安全隐患房屋，严格落实管理措施，制定工程措施推进时间计划表，推进落实，采取维修加固、拆除重建等工程措施，从根本上解决问题，彻底消除安全隐患。</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6.加快推进城镇燃气、区域供水一体化。</w:t>
      </w:r>
      <w:r>
        <w:rPr>
          <w:rFonts w:hint="eastAsia" w:ascii="仿宋_GB2312" w:eastAsia="仿宋_GB2312"/>
          <w:sz w:val="32"/>
          <w:szCs w:val="32"/>
        </w:rPr>
        <w:t>2024年，计划新建燃气管道50公里，接通保义、双庙、小甸、大顺、瓦埠、刘岗、板桥、安丰塘等乡镇 。配合自规部门做好三水厂二期16亩土地的报批和出让工作，以及三水厂规划许可、施工许可等；做好一水厂控规方案编制审批工作，配合做好一水厂的土地报批、征地、青苗补偿、修规方案审定、土地出让、规划许可、施工许可等后续环节工作，确保一、三水厂尽快开工建设。</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7.全力抓好安全生产工作。</w:t>
      </w:r>
      <w:r>
        <w:rPr>
          <w:rFonts w:hint="eastAsia" w:ascii="仿宋_GB2312" w:eastAsia="仿宋_GB2312"/>
          <w:sz w:val="32"/>
          <w:szCs w:val="32"/>
        </w:rPr>
        <w:t>明确责任，专人专责，加强联系，开展好专项整治行动，对安全隐患拉网式排查，做到 “全覆盖、不漏项、不留隐患、不留死角”，杜绝安全事故发生。积极开展争创标准化工地活动，增强施工企业安全文明施工意识，推进工地安全文明施工水平的提高。起草并出台《关于进一步规范建设工程消防设计审查、消防验收、备案和抽查等有关事项的通知》，进一步规范消防验收办理程序和时限。</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8.狠抓燃气安全专项整治。</w:t>
      </w:r>
      <w:r>
        <w:rPr>
          <w:rFonts w:hint="eastAsia" w:ascii="仿宋_GB2312" w:eastAsia="仿宋_GB2312"/>
          <w:sz w:val="32"/>
          <w:szCs w:val="32"/>
        </w:rPr>
        <w:t>依托燃气安全隐患录入APP系统，持续常态化排查燃气安全隐患工作。尤其是餐饮企业和人员聚集场所等。针对瓶、管、阀等问题突出情况复杂，制定专门工作方案，深化推进燃气安全隐患排查整治工作。加快“瓶改管”工作持续有序推进，切实从源头上消除燃气安全隐患排查整治工作。</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9.持续推进文明城市创建工作。</w:t>
      </w:r>
      <w:r>
        <w:rPr>
          <w:rFonts w:hint="eastAsia" w:ascii="仿宋_GB2312" w:eastAsia="仿宋_GB2312"/>
          <w:sz w:val="32"/>
          <w:szCs w:val="32"/>
        </w:rPr>
        <w:t>凝心聚力、务实苦干，高水平、高标准、高质量完成各项创城任务，促进工作常态化、长效化、制度化，推动我县文明城市创建工作提档升级。</w:t>
      </w:r>
    </w:p>
    <w:p>
      <w:pPr>
        <w:spacing w:line="580" w:lineRule="exact"/>
        <w:ind w:firstLine="640" w:firstLineChars="200"/>
        <w:rPr>
          <w:rFonts w:hint="eastAsia" w:ascii="仿宋_GB2312" w:eastAsia="仿宋_GB2312"/>
          <w:sz w:val="32"/>
          <w:szCs w:val="32"/>
        </w:rPr>
      </w:pPr>
      <w:r>
        <w:rPr>
          <w:rFonts w:hint="eastAsia" w:ascii="仿宋_GB2312" w:eastAsia="仿宋_GB2312"/>
          <w:b/>
          <w:bCs/>
          <w:sz w:val="32"/>
          <w:szCs w:val="32"/>
        </w:rPr>
        <w:t>10.大力支持建筑业企业做大做强。</w:t>
      </w:r>
      <w:r>
        <w:rPr>
          <w:rFonts w:hint="eastAsia" w:ascii="仿宋_GB2312" w:eastAsia="仿宋_GB2312"/>
          <w:sz w:val="32"/>
          <w:szCs w:val="32"/>
        </w:rPr>
        <w:t>积极引导我县建筑企业不断提高自身素质和发展能力，提升资质水平，扩大工程承揽能力，努力开拓县外市场，增强市场竞争力。</w:t>
      </w:r>
    </w:p>
    <w:p>
      <w:pPr>
        <w:spacing w:line="580" w:lineRule="exact"/>
        <w:ind w:firstLine="640" w:firstLineChars="200"/>
        <w:rPr>
          <w:rFonts w:hint="eastAsia" w:ascii="仿宋_GB2312" w:eastAsia="仿宋_GB2312"/>
          <w:b/>
          <w:bCs/>
          <w:sz w:val="32"/>
          <w:szCs w:val="32"/>
        </w:rPr>
      </w:pPr>
      <w:r>
        <w:rPr>
          <w:rFonts w:hint="eastAsia" w:ascii="仿宋_GB2312" w:eastAsia="仿宋_GB2312"/>
          <w:b/>
          <w:bCs/>
          <w:sz w:val="32"/>
          <w:szCs w:val="32"/>
        </w:rPr>
        <w:t>11.加强与各相关部门沟通，及时协调处理重点项目建设、创建省级文明城市、城乡自建房排查整治、燃气安全专项整治、建筑工地质量安全监管等工作推进过程中的问题，确保住建部门承担的各项任务全面落实。</w:t>
      </w:r>
    </w:p>
    <w:p>
      <w:pPr>
        <w:spacing w:line="580" w:lineRule="exact"/>
        <w:ind w:firstLine="640" w:firstLineChars="200"/>
        <w:rPr>
          <w:rFonts w:ascii="TimesNewRoman" w:hAnsi="TimesNewRoman" w:eastAsia="黑体" w:cs="TimesNewRoman"/>
          <w:bCs/>
          <w:sz w:val="36"/>
          <w:szCs w:val="36"/>
        </w:rPr>
      </w:pPr>
      <w:r>
        <w:rPr>
          <w:rFonts w:hint="eastAsia" w:ascii="仿宋_GB2312" w:eastAsia="仿宋_GB2312"/>
          <w:b/>
          <w:bCs/>
          <w:sz w:val="32"/>
          <w:szCs w:val="32"/>
        </w:rPr>
        <w:t>12.加强内部协调配合，牢固树立“全局一盘棋”思想，密切分工协作，形成工作合力。</w:t>
      </w:r>
      <w:r>
        <w:rPr>
          <w:rFonts w:hint="eastAsia" w:ascii="仿宋_GB2312" w:eastAsia="仿宋_GB2312"/>
          <w:sz w:val="32"/>
          <w:szCs w:val="32"/>
        </w:rPr>
        <w:t>认真履职，为城乡建设事业发展做出更大贡献。　</w:t>
      </w:r>
    </w:p>
    <w:p>
      <w:pPr>
        <w:pStyle w:val="5"/>
        <w:adjustRightInd w:val="0"/>
        <w:snapToGrid w:val="0"/>
        <w:spacing w:line="560" w:lineRule="exact"/>
        <w:rPr>
          <w:rFonts w:ascii="TimesNewRoman" w:hAnsi="TimesNewRoman" w:eastAsia="黑体" w:cs="TimesNewRoman"/>
          <w:bCs/>
          <w:sz w:val="36"/>
          <w:szCs w:val="36"/>
        </w:rPr>
      </w:pPr>
    </w:p>
    <w:p>
      <w:pPr>
        <w:pStyle w:val="5"/>
        <w:adjustRightInd w:val="0"/>
        <w:snapToGrid w:val="0"/>
        <w:spacing w:line="560" w:lineRule="exact"/>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第二部分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年部门（单位）预算表</w:t>
      </w:r>
    </w:p>
    <w:tbl>
      <w:tblPr>
        <w:tblStyle w:val="6"/>
        <w:tblW w:w="5000" w:type="pct"/>
        <w:tblInd w:w="0" w:type="dxa"/>
        <w:tblLayout w:type="autofit"/>
        <w:tblCellMar>
          <w:top w:w="0" w:type="dxa"/>
          <w:left w:w="108" w:type="dxa"/>
          <w:bottom w:w="0" w:type="dxa"/>
          <w:right w:w="108" w:type="dxa"/>
        </w:tblCellMar>
      </w:tblPr>
      <w:tblGrid>
        <w:gridCol w:w="4192"/>
        <w:gridCol w:w="1729"/>
        <w:gridCol w:w="3852"/>
        <w:gridCol w:w="4192"/>
      </w:tblGrid>
      <w:tr>
        <w:trPr>
          <w:trHeight w:val="330" w:hRule="atLeast"/>
        </w:trPr>
        <w:tc>
          <w:tcPr>
            <w:tcW w:w="1501" w:type="pct"/>
            <w:tcBorders>
              <w:top w:val="nil"/>
              <w:left w:val="nil"/>
              <w:bottom w:val="nil"/>
              <w:right w:val="nil"/>
            </w:tcBorders>
            <w:shd w:val="clear" w:color="auto" w:fill="auto"/>
            <w:noWrap/>
            <w:vAlign w:val="bottom"/>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部门公开表1</w:t>
            </w:r>
          </w:p>
        </w:tc>
        <w:tc>
          <w:tcPr>
            <w:tcW w:w="618" w:type="pct"/>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379" w:type="pct"/>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501" w:type="pct"/>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r>
      <w:tr>
        <w:tblPrEx>
          <w:tblCellMar>
            <w:top w:w="0" w:type="dxa"/>
            <w:left w:w="108" w:type="dxa"/>
            <w:bottom w:w="0" w:type="dxa"/>
            <w:right w:w="108" w:type="dxa"/>
          </w:tblCellMar>
        </w:tblPrEx>
        <w:trPr>
          <w:trHeight w:val="480" w:hRule="atLeast"/>
        </w:trPr>
        <w:tc>
          <w:tcPr>
            <w:tcW w:w="5000" w:type="pct"/>
            <w:gridSpan w:val="4"/>
            <w:tcBorders>
              <w:top w:val="nil"/>
              <w:left w:val="nil"/>
              <w:bottom w:val="nil"/>
              <w:right w:val="nil"/>
            </w:tcBorders>
            <w:shd w:val="clear" w:color="auto" w:fill="auto"/>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2024年部门收支总表</w:t>
            </w:r>
          </w:p>
        </w:tc>
      </w:tr>
      <w:tr>
        <w:tblPrEx>
          <w:tblCellMar>
            <w:top w:w="0" w:type="dxa"/>
            <w:left w:w="108" w:type="dxa"/>
            <w:bottom w:w="0" w:type="dxa"/>
            <w:right w:w="108" w:type="dxa"/>
          </w:tblCellMar>
        </w:tblPrEx>
        <w:trPr>
          <w:trHeight w:val="315" w:hRule="atLeast"/>
        </w:trPr>
        <w:tc>
          <w:tcPr>
            <w:tcW w:w="1501" w:type="pct"/>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618" w:type="pct"/>
            <w:tcBorders>
              <w:top w:val="nil"/>
              <w:left w:val="nil"/>
              <w:bottom w:val="nil"/>
              <w:right w:val="nil"/>
            </w:tcBorders>
            <w:shd w:val="clear" w:color="auto" w:fill="auto"/>
            <w:noWrap/>
            <w:vAlign w:val="center"/>
          </w:tcPr>
          <w:p>
            <w:pPr>
              <w:widowControl/>
              <w:jc w:val="center"/>
              <w:rPr>
                <w:rFonts w:ascii="宋体" w:hAnsi="宋体" w:cs="Arial"/>
                <w:color w:val="000000"/>
                <w:kern w:val="0"/>
                <w:sz w:val="20"/>
                <w:szCs w:val="20"/>
              </w:rPr>
            </w:pPr>
          </w:p>
        </w:tc>
        <w:tc>
          <w:tcPr>
            <w:tcW w:w="1379" w:type="pct"/>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501" w:type="pct"/>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390" w:hRule="atLeast"/>
        </w:trPr>
        <w:tc>
          <w:tcPr>
            <w:tcW w:w="21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 xml:space="preserve">收            入 </w:t>
            </w:r>
          </w:p>
        </w:tc>
        <w:tc>
          <w:tcPr>
            <w:tcW w:w="2880" w:type="pct"/>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支                          出</w:t>
            </w:r>
          </w:p>
        </w:tc>
      </w:tr>
      <w:tr>
        <w:tblPrEx>
          <w:tblCellMar>
            <w:top w:w="0" w:type="dxa"/>
            <w:left w:w="108" w:type="dxa"/>
            <w:bottom w:w="0" w:type="dxa"/>
            <w:right w:w="108" w:type="dxa"/>
          </w:tblCellMar>
        </w:tblPrEx>
        <w:trPr>
          <w:trHeight w:val="39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收入项目</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预算数</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支出功能分类科目</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预算数</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一、一般公共预算拨款收入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985.49</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一、一般公共服务支出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其中：财政拨款</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985.49</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二、外交支出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纳入国库管理的非税收入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三、国防支出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二、政府性基金预算拨款收入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四、公共安全支出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三、国有资本经营预算拨款收入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五、教育支出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六、科学技术支出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bottom"/>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七、文化旅游体育传媒支出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四、财政专户管理资金收入（教育收费）</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八、社会保障和就业支出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108.59</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五、单位资金收入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九、卫生健康支出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28.92</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其中：事业收入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十、节能环保支出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事业单位经营收入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十一、城乡社区支出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794.63</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上级补助收入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十二、农林水支出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附属单位上缴收入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十三、交通运输支出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其他收入</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十四、资源勘探信息等支出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bottom"/>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十五、商业服务业等支出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十六、金融支出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十七、援助其他地区支出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十八、自然资源海洋气象等支出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十九、住房保障支出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53.35</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二十、粮油物资储备支出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二十一、国有资本经营预算支出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二十二、灾害防治及应急管理支出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二十三、预备费</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618" w:type="pct"/>
            <w:tcBorders>
              <w:top w:val="nil"/>
              <w:left w:val="single" w:color="000000" w:sz="4" w:space="0"/>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二十四、其他支出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二十五、转移性支出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二十六、债务还本支出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二十七、债务付息支出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二十八、债务发行费用支出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二十九、抗疫特别国债安排的支出</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18"/>
                <w:szCs w:val="18"/>
              </w:rPr>
            </w:pPr>
            <w:r>
              <w:rPr>
                <w:rFonts w:hint="eastAsia" w:ascii="宋体" w:hAnsi="宋体" w:cs="Arial"/>
                <w:color w:val="000000"/>
                <w:kern w:val="0"/>
                <w:sz w:val="18"/>
                <w:szCs w:val="18"/>
              </w:rPr>
              <w:t>本年收入小计</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18"/>
                <w:szCs w:val="18"/>
              </w:rPr>
            </w:pPr>
            <w:r>
              <w:rPr>
                <w:rFonts w:hint="eastAsia" w:ascii="宋体" w:hAnsi="宋体" w:cs="Arial"/>
                <w:color w:val="000000"/>
                <w:kern w:val="0"/>
                <w:sz w:val="18"/>
                <w:szCs w:val="18"/>
              </w:rPr>
              <w:t>本年支出小计</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上年结转数</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结转下年</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一般公共预算</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一般公共预算</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政府性基金预算</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政府性基金预算</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国有资本经营预算</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国有资本经营预算</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财政专户管理资金</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财政专户管理资金</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单位资金</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xml:space="preserve">    单位资金</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　</w:t>
            </w:r>
          </w:p>
        </w:tc>
      </w:tr>
      <w:tr>
        <w:tblPrEx>
          <w:tblCellMar>
            <w:top w:w="0" w:type="dxa"/>
            <w:left w:w="108" w:type="dxa"/>
            <w:bottom w:w="0" w:type="dxa"/>
            <w:right w:w="108" w:type="dxa"/>
          </w:tblCellMar>
        </w:tblPrEx>
        <w:trPr>
          <w:trHeight w:val="360" w:hRule="atLeast"/>
        </w:trPr>
        <w:tc>
          <w:tcPr>
            <w:tcW w:w="1501"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18"/>
                <w:szCs w:val="18"/>
              </w:rPr>
            </w:pPr>
            <w:r>
              <w:rPr>
                <w:rFonts w:hint="eastAsia" w:ascii="宋体" w:hAnsi="宋体" w:cs="Arial"/>
                <w:color w:val="000000"/>
                <w:kern w:val="0"/>
                <w:sz w:val="18"/>
                <w:szCs w:val="18"/>
              </w:rPr>
              <w:t>收入总计</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37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18"/>
                <w:szCs w:val="18"/>
              </w:rPr>
            </w:pPr>
            <w:r>
              <w:rPr>
                <w:rFonts w:hint="eastAsia" w:ascii="宋体" w:hAnsi="宋体" w:cs="Arial"/>
                <w:color w:val="000000"/>
                <w:kern w:val="0"/>
                <w:sz w:val="18"/>
                <w:szCs w:val="18"/>
              </w:rPr>
              <w:t>支出总计</w:t>
            </w:r>
          </w:p>
        </w:tc>
        <w:tc>
          <w:tcPr>
            <w:tcW w:w="150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r>
    </w:tbl>
    <w:p>
      <w:pPr>
        <w:spacing w:line="560" w:lineRule="exact"/>
        <w:jc w:val="center"/>
        <w:rPr>
          <w:rFonts w:ascii="TimesNewRoman" w:hAnsi="TimesNewRoman" w:cs="TimesNewRoman"/>
          <w:kern w:val="0"/>
          <w:sz w:val="20"/>
        </w:rPr>
      </w:pPr>
      <w:r>
        <w:rPr>
          <w:rFonts w:hint="eastAsia" w:ascii="TimesNewRoman" w:hAnsi="TimesNewRoman" w:cs="TimesNewRoman"/>
          <w:kern w:val="0"/>
          <w:sz w:val="20"/>
        </w:rPr>
        <w:t xml:space="preserve">                                                                                                            </w:t>
      </w:r>
    </w:p>
    <w:p>
      <w:pPr>
        <w:spacing w:line="560" w:lineRule="exact"/>
        <w:jc w:val="center"/>
        <w:rPr>
          <w:rFonts w:ascii="TimesNewRoman" w:hAnsi="TimesNewRoman" w:cs="TimesNewRoman"/>
          <w:kern w:val="0"/>
          <w:sz w:val="20"/>
        </w:rPr>
      </w:pPr>
    </w:p>
    <w:p>
      <w:pPr>
        <w:spacing w:line="560" w:lineRule="exact"/>
        <w:jc w:val="center"/>
        <w:rPr>
          <w:rFonts w:ascii="TimesNewRoman" w:hAnsi="TimesNewRoman" w:cs="TimesNewRoman"/>
          <w:kern w:val="0"/>
          <w:sz w:val="20"/>
        </w:rPr>
      </w:pPr>
    </w:p>
    <w:tbl>
      <w:tblPr>
        <w:tblStyle w:val="6"/>
        <w:tblW w:w="5000" w:type="pct"/>
        <w:tblInd w:w="0" w:type="dxa"/>
        <w:tblLayout w:type="fixed"/>
        <w:tblCellMar>
          <w:top w:w="0" w:type="dxa"/>
          <w:left w:w="108" w:type="dxa"/>
          <w:bottom w:w="0" w:type="dxa"/>
          <w:right w:w="108" w:type="dxa"/>
        </w:tblCellMar>
      </w:tblPr>
      <w:tblGrid>
        <w:gridCol w:w="1344"/>
        <w:gridCol w:w="3019"/>
        <w:gridCol w:w="1131"/>
        <w:gridCol w:w="992"/>
        <w:gridCol w:w="1014"/>
        <w:gridCol w:w="430"/>
        <w:gridCol w:w="430"/>
        <w:gridCol w:w="430"/>
        <w:gridCol w:w="430"/>
        <w:gridCol w:w="430"/>
        <w:gridCol w:w="430"/>
        <w:gridCol w:w="430"/>
        <w:gridCol w:w="430"/>
        <w:gridCol w:w="439"/>
        <w:gridCol w:w="430"/>
        <w:gridCol w:w="430"/>
        <w:gridCol w:w="430"/>
        <w:gridCol w:w="430"/>
        <w:gridCol w:w="430"/>
        <w:gridCol w:w="436"/>
      </w:tblGrid>
      <w:tr>
        <w:tblPrEx>
          <w:tblCellMar>
            <w:top w:w="0" w:type="dxa"/>
            <w:left w:w="108" w:type="dxa"/>
            <w:bottom w:w="0" w:type="dxa"/>
            <w:right w:w="108" w:type="dxa"/>
          </w:tblCellMar>
        </w:tblPrEx>
        <w:trPr>
          <w:trHeight w:val="315" w:hRule="atLeast"/>
        </w:trPr>
        <w:tc>
          <w:tcPr>
            <w:tcW w:w="481"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p>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部门公开表2</w:t>
            </w:r>
          </w:p>
        </w:tc>
        <w:tc>
          <w:tcPr>
            <w:tcW w:w="1081"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p>
        </w:tc>
        <w:tc>
          <w:tcPr>
            <w:tcW w:w="405"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55"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63"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7"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156"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90" w:hRule="atLeast"/>
        </w:trPr>
        <w:tc>
          <w:tcPr>
            <w:tcW w:w="5000" w:type="pct"/>
            <w:gridSpan w:val="20"/>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2024年部门收入总表</w:t>
            </w:r>
          </w:p>
        </w:tc>
      </w:tr>
      <w:tr>
        <w:tblPrEx>
          <w:tblCellMar>
            <w:top w:w="0" w:type="dxa"/>
            <w:left w:w="108" w:type="dxa"/>
            <w:bottom w:w="0" w:type="dxa"/>
            <w:right w:w="108" w:type="dxa"/>
          </w:tblCellMar>
        </w:tblPrEx>
        <w:trPr>
          <w:trHeight w:val="600" w:hRule="atLeast"/>
        </w:trPr>
        <w:tc>
          <w:tcPr>
            <w:tcW w:w="1562" w:type="pct"/>
            <w:gridSpan w:val="2"/>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405" w:type="pct"/>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355"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63"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7"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5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64" w:type="pct"/>
            <w:gridSpan w:val="3"/>
            <w:tcBorders>
              <w:top w:val="nil"/>
              <w:left w:val="nil"/>
              <w:bottom w:val="single" w:color="000000" w:sz="4" w:space="0"/>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420" w:hRule="atLeast"/>
        </w:trPr>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10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405"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107"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w:t>
            </w:r>
          </w:p>
        </w:tc>
        <w:tc>
          <w:tcPr>
            <w:tcW w:w="926"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上年结转结余</w:t>
            </w:r>
          </w:p>
        </w:tc>
      </w:tr>
      <w:tr>
        <w:tblPrEx>
          <w:tblCellMar>
            <w:top w:w="0" w:type="dxa"/>
            <w:left w:w="108" w:type="dxa"/>
            <w:bottom w:w="0" w:type="dxa"/>
            <w:right w:w="108" w:type="dxa"/>
          </w:tblCellMar>
        </w:tblPrEx>
        <w:trPr>
          <w:trHeight w:val="420" w:hRule="atLeast"/>
        </w:trPr>
        <w:tc>
          <w:tcPr>
            <w:tcW w:w="481"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081"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05" w:type="pct"/>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5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363"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财政专户管理资金</w:t>
            </w:r>
          </w:p>
        </w:tc>
        <w:tc>
          <w:tcPr>
            <w:tcW w:w="927" w:type="pct"/>
            <w:gridSpan w:val="6"/>
            <w:tcBorders>
              <w:top w:val="nil"/>
              <w:left w:val="nil"/>
              <w:bottom w:val="nil"/>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单位资金</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15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财政专户管理资金</w:t>
            </w:r>
          </w:p>
        </w:tc>
        <w:tc>
          <w:tcPr>
            <w:tcW w:w="1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单位资金</w:t>
            </w:r>
          </w:p>
        </w:tc>
      </w:tr>
      <w:tr>
        <w:tblPrEx>
          <w:tblCellMar>
            <w:top w:w="0" w:type="dxa"/>
            <w:left w:w="108" w:type="dxa"/>
            <w:bottom w:w="0" w:type="dxa"/>
            <w:right w:w="108" w:type="dxa"/>
          </w:tblCellMar>
        </w:tblPrEx>
        <w:trPr>
          <w:trHeight w:val="825" w:hRule="atLeast"/>
        </w:trPr>
        <w:tc>
          <w:tcPr>
            <w:tcW w:w="481"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081"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05" w:type="pct"/>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55"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3"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54"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事业收入</w:t>
            </w:r>
          </w:p>
        </w:tc>
        <w:tc>
          <w:tcPr>
            <w:tcW w:w="154" w:type="pct"/>
            <w:tcBorders>
              <w:top w:val="single" w:color="000000" w:sz="4" w:space="0"/>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事业单位经营收入</w:t>
            </w:r>
          </w:p>
        </w:tc>
        <w:tc>
          <w:tcPr>
            <w:tcW w:w="154" w:type="pct"/>
            <w:tcBorders>
              <w:top w:val="single" w:color="000000" w:sz="4" w:space="0"/>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上级补助收入</w:t>
            </w:r>
          </w:p>
        </w:tc>
        <w:tc>
          <w:tcPr>
            <w:tcW w:w="154" w:type="pct"/>
            <w:tcBorders>
              <w:top w:val="single" w:color="000000" w:sz="4" w:space="0"/>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附属单位上缴收入</w:t>
            </w:r>
          </w:p>
        </w:tc>
        <w:tc>
          <w:tcPr>
            <w:tcW w:w="157" w:type="pct"/>
            <w:tcBorders>
              <w:top w:val="single" w:color="000000" w:sz="4" w:space="0"/>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其他收入</w:t>
            </w: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208</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社会保障和就业支出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行政事业单位养老支出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2080505</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机关事业单位基本养老保险缴费支出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2080506</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机关事业单位职业年金缴费支出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2089999</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210</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卫生健康支出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行政事业单位医疗</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行政单位医疗</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2101102</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事业单位医疗</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2101103</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公务员医疗补助</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212</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城乡社区支出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城乡社区管理事务</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2120101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行政运行</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221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住房保障支出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住房改革支出</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481"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2210201</w:t>
            </w:r>
          </w:p>
        </w:tc>
        <w:tc>
          <w:tcPr>
            <w:tcW w:w="108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住房公积金</w:t>
            </w:r>
          </w:p>
        </w:tc>
        <w:tc>
          <w:tcPr>
            <w:tcW w:w="40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5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36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4"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tbl>
      <w:tblPr>
        <w:tblStyle w:val="6"/>
        <w:tblW w:w="5000" w:type="pct"/>
        <w:tblInd w:w="0" w:type="dxa"/>
        <w:tblLayout w:type="autofit"/>
        <w:tblCellMar>
          <w:top w:w="0" w:type="dxa"/>
          <w:left w:w="108" w:type="dxa"/>
          <w:bottom w:w="0" w:type="dxa"/>
          <w:right w:w="108" w:type="dxa"/>
        </w:tblCellMar>
      </w:tblPr>
      <w:tblGrid>
        <w:gridCol w:w="1737"/>
        <w:gridCol w:w="3816"/>
        <w:gridCol w:w="2209"/>
        <w:gridCol w:w="1997"/>
        <w:gridCol w:w="2103"/>
        <w:gridCol w:w="2103"/>
      </w:tblGrid>
      <w:tr>
        <w:tblPrEx>
          <w:tblCellMar>
            <w:top w:w="0" w:type="dxa"/>
            <w:left w:w="108" w:type="dxa"/>
            <w:bottom w:w="0" w:type="dxa"/>
            <w:right w:w="108" w:type="dxa"/>
          </w:tblCellMar>
        </w:tblPrEx>
        <w:trPr>
          <w:trHeight w:val="420" w:hRule="atLeast"/>
        </w:trPr>
        <w:tc>
          <w:tcPr>
            <w:tcW w:w="62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部门公开表3</w:t>
            </w:r>
          </w:p>
        </w:tc>
        <w:tc>
          <w:tcPr>
            <w:tcW w:w="1366"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p>
        </w:tc>
        <w:tc>
          <w:tcPr>
            <w:tcW w:w="791"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p>
        </w:tc>
        <w:tc>
          <w:tcPr>
            <w:tcW w:w="715"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p>
        </w:tc>
        <w:tc>
          <w:tcPr>
            <w:tcW w:w="753"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p>
        </w:tc>
        <w:tc>
          <w:tcPr>
            <w:tcW w:w="752"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p>
        </w:tc>
      </w:tr>
      <w:tr>
        <w:tblPrEx>
          <w:tblCellMar>
            <w:top w:w="0" w:type="dxa"/>
            <w:left w:w="108" w:type="dxa"/>
            <w:bottom w:w="0" w:type="dxa"/>
            <w:right w:w="108" w:type="dxa"/>
          </w:tblCellMar>
        </w:tblPrEx>
        <w:trPr>
          <w:trHeight w:val="585" w:hRule="atLeast"/>
        </w:trPr>
        <w:tc>
          <w:tcPr>
            <w:tcW w:w="5000" w:type="pct"/>
            <w:gridSpan w:val="6"/>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2024年部门支出总表</w:t>
            </w:r>
          </w:p>
        </w:tc>
      </w:tr>
      <w:tr>
        <w:tblPrEx>
          <w:tblCellMar>
            <w:top w:w="0" w:type="dxa"/>
            <w:left w:w="108" w:type="dxa"/>
            <w:bottom w:w="0" w:type="dxa"/>
            <w:right w:w="108" w:type="dxa"/>
          </w:tblCellMar>
        </w:tblPrEx>
        <w:trPr>
          <w:trHeight w:val="420" w:hRule="atLeast"/>
        </w:trPr>
        <w:tc>
          <w:tcPr>
            <w:tcW w:w="1988" w:type="pct"/>
            <w:gridSpan w:val="2"/>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791" w:type="pct"/>
            <w:tcBorders>
              <w:top w:val="nil"/>
              <w:left w:val="nil"/>
              <w:bottom w:val="single" w:color="000000" w:sz="4" w:space="0"/>
              <w:right w:val="nil"/>
            </w:tcBorders>
            <w:shd w:val="clear" w:color="auto" w:fill="auto"/>
            <w:noWrap/>
            <w:vAlign w:val="center"/>
          </w:tcPr>
          <w:p>
            <w:pPr>
              <w:widowControl/>
              <w:jc w:val="center"/>
              <w:rPr>
                <w:rFonts w:ascii="宋体" w:hAnsi="宋体" w:cs="Arial"/>
                <w:b/>
                <w:bCs/>
                <w:color w:val="000000"/>
                <w:kern w:val="0"/>
                <w:sz w:val="36"/>
                <w:szCs w:val="36"/>
              </w:rPr>
            </w:pPr>
            <w:r>
              <w:rPr>
                <w:rFonts w:hint="eastAsia" w:ascii="宋体" w:hAnsi="宋体" w:cs="Arial"/>
                <w:b/>
                <w:bCs/>
                <w:color w:val="000000"/>
                <w:kern w:val="0"/>
                <w:sz w:val="36"/>
                <w:szCs w:val="36"/>
              </w:rPr>
              <w:t>　</w:t>
            </w:r>
          </w:p>
        </w:tc>
        <w:tc>
          <w:tcPr>
            <w:tcW w:w="715" w:type="pct"/>
            <w:tcBorders>
              <w:top w:val="nil"/>
              <w:left w:val="nil"/>
              <w:bottom w:val="single" w:color="000000" w:sz="4" w:space="0"/>
              <w:right w:val="nil"/>
            </w:tcBorders>
            <w:shd w:val="clear" w:color="auto" w:fill="auto"/>
            <w:noWrap/>
            <w:vAlign w:val="center"/>
          </w:tcPr>
          <w:p>
            <w:pPr>
              <w:widowControl/>
              <w:jc w:val="center"/>
              <w:rPr>
                <w:rFonts w:ascii="宋体" w:hAnsi="宋体" w:cs="Arial"/>
                <w:b/>
                <w:bCs/>
                <w:color w:val="000000"/>
                <w:kern w:val="0"/>
                <w:sz w:val="36"/>
                <w:szCs w:val="36"/>
              </w:rPr>
            </w:pPr>
            <w:r>
              <w:rPr>
                <w:rFonts w:hint="eastAsia" w:ascii="宋体" w:hAnsi="宋体" w:cs="Arial"/>
                <w:b/>
                <w:bCs/>
                <w:color w:val="000000"/>
                <w:kern w:val="0"/>
                <w:sz w:val="36"/>
                <w:szCs w:val="36"/>
              </w:rPr>
              <w:t>　</w:t>
            </w:r>
          </w:p>
        </w:tc>
        <w:tc>
          <w:tcPr>
            <w:tcW w:w="753" w:type="pct"/>
            <w:tcBorders>
              <w:top w:val="nil"/>
              <w:left w:val="nil"/>
              <w:bottom w:val="single" w:color="000000" w:sz="4" w:space="0"/>
              <w:right w:val="nil"/>
            </w:tcBorders>
            <w:shd w:val="clear" w:color="auto" w:fill="auto"/>
            <w:noWrap/>
            <w:vAlign w:val="center"/>
          </w:tcPr>
          <w:p>
            <w:pPr>
              <w:widowControl/>
              <w:jc w:val="center"/>
              <w:rPr>
                <w:rFonts w:ascii="宋体" w:hAnsi="宋体" w:cs="Arial"/>
                <w:b/>
                <w:bCs/>
                <w:color w:val="000000"/>
                <w:kern w:val="0"/>
                <w:sz w:val="36"/>
                <w:szCs w:val="36"/>
              </w:rPr>
            </w:pPr>
            <w:r>
              <w:rPr>
                <w:rFonts w:hint="eastAsia" w:ascii="宋体" w:hAnsi="宋体" w:cs="Arial"/>
                <w:b/>
                <w:bCs/>
                <w:color w:val="000000"/>
                <w:kern w:val="0"/>
                <w:sz w:val="36"/>
                <w:szCs w:val="36"/>
              </w:rPr>
              <w:t>　</w:t>
            </w:r>
          </w:p>
        </w:tc>
        <w:tc>
          <w:tcPr>
            <w:tcW w:w="752" w:type="pct"/>
            <w:tcBorders>
              <w:top w:val="nil"/>
              <w:left w:val="nil"/>
              <w:bottom w:val="single" w:color="000000" w:sz="4" w:space="0"/>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450" w:hRule="atLeast"/>
        </w:trPr>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1366" w:type="pct"/>
            <w:tcBorders>
              <w:top w:val="single" w:color="000000" w:sz="4" w:space="0"/>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备注</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741.49</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208</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社会保障和就业支出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行政事业单位养老支出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2080505</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机关事业单位基本养老保险缴费支出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2080506</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机关事业单位职业年金缴费支出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2089999</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210</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卫生健康支出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行政事业单位医疗</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行政单位医疗</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2101102</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事业单位医疗</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2101103</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公务员医疗补助</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212</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城乡社区支出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城乡社区管理事务</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2120101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行政运行</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221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住房保障支出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住房改革支出</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55" w:hRule="atLeast"/>
        </w:trPr>
        <w:tc>
          <w:tcPr>
            <w:tcW w:w="622"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2210201</w:t>
            </w:r>
          </w:p>
        </w:tc>
        <w:tc>
          <w:tcPr>
            <w:tcW w:w="136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住房公积金</w:t>
            </w:r>
          </w:p>
        </w:tc>
        <w:tc>
          <w:tcPr>
            <w:tcW w:w="79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5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5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rPr>
          <w:rFonts w:ascii="TimesNewRoman" w:hAnsi="TimesNewRoman" w:cs="TimesNewRoman"/>
          <w:kern w:val="0"/>
          <w:sz w:val="20"/>
        </w:rPr>
      </w:pPr>
    </w:p>
    <w:tbl>
      <w:tblPr>
        <w:tblStyle w:val="6"/>
        <w:tblW w:w="5000" w:type="pct"/>
        <w:tblInd w:w="0" w:type="dxa"/>
        <w:tblLayout w:type="fixed"/>
        <w:tblCellMar>
          <w:top w:w="0" w:type="dxa"/>
          <w:left w:w="108" w:type="dxa"/>
          <w:bottom w:w="0" w:type="dxa"/>
          <w:right w:w="108" w:type="dxa"/>
        </w:tblCellMar>
      </w:tblPr>
      <w:tblGrid>
        <w:gridCol w:w="2860"/>
        <w:gridCol w:w="236"/>
        <w:gridCol w:w="807"/>
        <w:gridCol w:w="3456"/>
        <w:gridCol w:w="691"/>
        <w:gridCol w:w="1718"/>
        <w:gridCol w:w="1998"/>
        <w:gridCol w:w="2199"/>
      </w:tblGrid>
      <w:tr>
        <w:tblPrEx>
          <w:tblCellMar>
            <w:top w:w="0" w:type="dxa"/>
            <w:left w:w="108" w:type="dxa"/>
            <w:bottom w:w="0" w:type="dxa"/>
            <w:right w:w="108" w:type="dxa"/>
          </w:tblCellMar>
        </w:tblPrEx>
        <w:trPr>
          <w:trHeight w:val="480" w:hRule="atLeast"/>
        </w:trPr>
        <w:tc>
          <w:tcPr>
            <w:tcW w:w="1104" w:type="pct"/>
            <w:gridSpan w:val="2"/>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部门公开表4</w:t>
            </w:r>
          </w:p>
        </w:tc>
        <w:tc>
          <w:tcPr>
            <w:tcW w:w="3896" w:type="pct"/>
            <w:gridSpan w:val="6"/>
            <w:tcBorders>
              <w:top w:val="nil"/>
              <w:left w:val="nil"/>
              <w:bottom w:val="nil"/>
              <w:right w:val="nil"/>
            </w:tcBorders>
            <w:shd w:val="clear" w:color="auto" w:fill="auto"/>
            <w:noWrap/>
            <w:vAlign w:val="center"/>
          </w:tcPr>
          <w:p>
            <w:pPr>
              <w:widowControl/>
              <w:jc w:val="center"/>
              <w:rPr>
                <w:rFonts w:ascii="宋体" w:hAnsi="宋体" w:cs="Arial"/>
                <w:b/>
                <w:bCs/>
                <w:color w:val="000000"/>
                <w:kern w:val="0"/>
                <w:sz w:val="32"/>
                <w:szCs w:val="32"/>
              </w:rPr>
            </w:pPr>
          </w:p>
        </w:tc>
      </w:tr>
      <w:tr>
        <w:tblPrEx>
          <w:tblCellMar>
            <w:top w:w="0" w:type="dxa"/>
            <w:left w:w="108" w:type="dxa"/>
            <w:bottom w:w="0" w:type="dxa"/>
            <w:right w:w="108" w:type="dxa"/>
          </w:tblCellMar>
        </w:tblPrEx>
        <w:trPr>
          <w:trHeight w:val="690" w:hRule="atLeast"/>
        </w:trPr>
        <w:tc>
          <w:tcPr>
            <w:tcW w:w="5000" w:type="pct"/>
            <w:gridSpan w:val="8"/>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2024年部门财政拨款收支总表</w:t>
            </w:r>
          </w:p>
        </w:tc>
      </w:tr>
      <w:tr>
        <w:tblPrEx>
          <w:tblCellMar>
            <w:top w:w="0" w:type="dxa"/>
            <w:left w:w="108" w:type="dxa"/>
            <w:bottom w:w="0" w:type="dxa"/>
            <w:right w:w="108" w:type="dxa"/>
          </w:tblCellMar>
        </w:tblPrEx>
        <w:trPr>
          <w:trHeight w:val="375" w:hRule="atLeast"/>
        </w:trPr>
        <w:tc>
          <w:tcPr>
            <w:tcW w:w="1025" w:type="pct"/>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79" w:type="pct"/>
            <w:tcBorders>
              <w:top w:val="nil"/>
              <w:left w:val="nil"/>
              <w:bottom w:val="single" w:color="000000" w:sz="4" w:space="0"/>
              <w:right w:val="nil"/>
            </w:tcBorders>
            <w:shd w:val="clear" w:color="auto" w:fill="auto"/>
            <w:noWrap/>
            <w:vAlign w:val="bottom"/>
          </w:tcPr>
          <w:p>
            <w:pPr>
              <w:widowControl/>
              <w:jc w:val="left"/>
              <w:rPr>
                <w:rFonts w:ascii="Calibri" w:hAnsi="Calibri" w:cs="Arial"/>
                <w:color w:val="000000"/>
                <w:kern w:val="0"/>
                <w:sz w:val="22"/>
                <w:szCs w:val="22"/>
              </w:rPr>
            </w:pPr>
            <w:r>
              <w:rPr>
                <w:rFonts w:ascii="Calibri" w:hAnsi="Calibri" w:cs="Arial"/>
                <w:color w:val="000000"/>
                <w:kern w:val="0"/>
                <w:sz w:val="22"/>
                <w:szCs w:val="22"/>
              </w:rPr>
              <w:t>　</w:t>
            </w:r>
          </w:p>
        </w:tc>
        <w:tc>
          <w:tcPr>
            <w:tcW w:w="290"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375" w:hRule="atLeast"/>
        </w:trPr>
        <w:tc>
          <w:tcPr>
            <w:tcW w:w="13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收            入             </w:t>
            </w:r>
          </w:p>
        </w:tc>
        <w:tc>
          <w:tcPr>
            <w:tcW w:w="3606" w:type="pct"/>
            <w:gridSpan w:val="5"/>
            <w:tcBorders>
              <w:top w:val="single" w:color="000000" w:sz="4" w:space="0"/>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          出</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项目</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预算数</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支出功能分类科目</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一般公共预算拨款</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政府性基金预算拨款</w:t>
            </w:r>
          </w:p>
        </w:tc>
        <w:tc>
          <w:tcPr>
            <w:tcW w:w="78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国有资本经营预算拨款</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一、本年收入</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一、本年支出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（一）一般公共预算拨款</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（一）一般公共服务支出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（二）政府性基金预算拨款</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（二）外交支出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（三）国有资本经营预算拨款</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（三）国防支出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（四）公共安全支出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二、上年结转</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（五）教育支出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（一）一般公共预算拨款</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（六）科学技术支出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（二）政府性基金预算拨款</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（七）文化旅游体育与传媒支出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（三）国有资本经营预算拨款</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（八）社会保障和就业支出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（九）卫生健康支出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（十）节能环保支出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（十一）城乡社区支出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（十二）农林水支出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（十三）交通运输支出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（十四）资源勘探信息等事务支出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（十五）商业服务业等事务支出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（十六）金融支出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（十七）援助其他地区支出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（十八）自然资源海洋气象等支出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（十九）住房保障支出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（二十）粮油物资储备支出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（二十一）国有资本经营预算安排的支出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（二十二）灾害防治及应急管理支出</w:t>
            </w:r>
          </w:p>
        </w:tc>
        <w:tc>
          <w:tcPr>
            <w:tcW w:w="248" w:type="pct"/>
            <w:tcBorders>
              <w:top w:val="nil"/>
              <w:left w:val="single" w:color="000000" w:sz="4" w:space="0"/>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single" w:color="000000" w:sz="4" w:space="0"/>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（二十三）预备费</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（二十四）其他支出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（二十五）转移性支出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p>
        </w:tc>
        <w:tc>
          <w:tcPr>
            <w:tcW w:w="290" w:type="pct"/>
            <w:tcBorders>
              <w:top w:val="nil"/>
              <w:left w:val="single" w:color="000000" w:sz="4" w:space="0"/>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（二十六）债务还本支出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（二十七）债务付息支出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（二十八）债务发行费用支出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000000" w:fill="FFFFFF"/>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（二十九）抗疫特别国债安排的支出</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二、年终结转结余</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1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收   入   总   计</w:t>
            </w:r>
          </w:p>
        </w:tc>
        <w:tc>
          <w:tcPr>
            <w:tcW w:w="29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123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支　出  总　计</w:t>
            </w:r>
          </w:p>
        </w:tc>
        <w:tc>
          <w:tcPr>
            <w:tcW w:w="2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0.00</w:t>
            </w:r>
          </w:p>
        </w:tc>
        <w:tc>
          <w:tcPr>
            <w:tcW w:w="7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87"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p>
    <w:tbl>
      <w:tblPr>
        <w:tblStyle w:val="6"/>
        <w:tblW w:w="5000" w:type="pct"/>
        <w:tblInd w:w="0" w:type="dxa"/>
        <w:tblLayout w:type="autofit"/>
        <w:tblCellMar>
          <w:top w:w="0" w:type="dxa"/>
          <w:left w:w="108" w:type="dxa"/>
          <w:bottom w:w="0" w:type="dxa"/>
          <w:right w:w="108" w:type="dxa"/>
        </w:tblCellMar>
      </w:tblPr>
      <w:tblGrid>
        <w:gridCol w:w="1433"/>
        <w:gridCol w:w="3935"/>
        <w:gridCol w:w="1720"/>
        <w:gridCol w:w="1720"/>
        <w:gridCol w:w="1720"/>
        <w:gridCol w:w="1721"/>
        <w:gridCol w:w="1716"/>
      </w:tblGrid>
      <w:tr>
        <w:tblPrEx>
          <w:tblCellMar>
            <w:top w:w="0" w:type="dxa"/>
            <w:left w:w="108" w:type="dxa"/>
            <w:bottom w:w="0" w:type="dxa"/>
            <w:right w:w="108" w:type="dxa"/>
          </w:tblCellMar>
        </w:tblPrEx>
        <w:trPr>
          <w:trHeight w:val="315" w:hRule="atLeast"/>
        </w:trPr>
        <w:tc>
          <w:tcPr>
            <w:tcW w:w="4384" w:type="pct"/>
            <w:gridSpan w:val="6"/>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部门公开表5</w:t>
            </w:r>
          </w:p>
        </w:tc>
        <w:tc>
          <w:tcPr>
            <w:tcW w:w="616" w:type="pct"/>
            <w:tcBorders>
              <w:top w:val="nil"/>
              <w:left w:val="nil"/>
              <w:bottom w:val="nil"/>
              <w:right w:val="nil"/>
            </w:tcBorders>
            <w:shd w:val="clear" w:color="auto" w:fill="auto"/>
            <w:noWrap/>
            <w:vAlign w:val="center"/>
          </w:tcPr>
          <w:p>
            <w:pPr>
              <w:widowControl/>
              <w:jc w:val="right"/>
              <w:rPr>
                <w:rFonts w:ascii="宋体" w:hAnsi="宋体" w:cs="Arial"/>
                <w:color w:val="000000"/>
                <w:kern w:val="0"/>
                <w:sz w:val="22"/>
                <w:szCs w:val="22"/>
              </w:rPr>
            </w:pPr>
          </w:p>
        </w:tc>
      </w:tr>
      <w:tr>
        <w:tblPrEx>
          <w:tblCellMar>
            <w:top w:w="0" w:type="dxa"/>
            <w:left w:w="108" w:type="dxa"/>
            <w:bottom w:w="0" w:type="dxa"/>
            <w:right w:w="108" w:type="dxa"/>
          </w:tblCellMar>
        </w:tblPrEx>
        <w:trPr>
          <w:trHeight w:val="525" w:hRule="atLeast"/>
        </w:trPr>
        <w:tc>
          <w:tcPr>
            <w:tcW w:w="5000" w:type="pct"/>
            <w:gridSpan w:val="7"/>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2024年部门一般公共预算支出表</w:t>
            </w:r>
          </w:p>
        </w:tc>
      </w:tr>
      <w:tr>
        <w:tblPrEx>
          <w:tblCellMar>
            <w:top w:w="0" w:type="dxa"/>
            <w:left w:w="108" w:type="dxa"/>
            <w:bottom w:w="0" w:type="dxa"/>
            <w:right w:w="108" w:type="dxa"/>
          </w:tblCellMar>
        </w:tblPrEx>
        <w:trPr>
          <w:trHeight w:val="360" w:hRule="atLeast"/>
        </w:trPr>
        <w:tc>
          <w:tcPr>
            <w:tcW w:w="1922" w:type="pct"/>
            <w:gridSpan w:val="2"/>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616"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616"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616"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616"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616" w:type="pct"/>
            <w:tcBorders>
              <w:top w:val="nil"/>
              <w:left w:val="nil"/>
              <w:bottom w:val="nil"/>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375" w:hRule="atLeast"/>
        </w:trPr>
        <w:tc>
          <w:tcPr>
            <w:tcW w:w="513"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1409"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6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847"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616"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375" w:hRule="atLeast"/>
        </w:trPr>
        <w:tc>
          <w:tcPr>
            <w:tcW w:w="513" w:type="pct"/>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s="Arial"/>
                <w:color w:val="000000"/>
                <w:kern w:val="0"/>
                <w:sz w:val="22"/>
                <w:szCs w:val="22"/>
              </w:rPr>
            </w:pPr>
          </w:p>
        </w:tc>
        <w:tc>
          <w:tcPr>
            <w:tcW w:w="1409" w:type="pct"/>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s="Arial"/>
                <w:color w:val="000000"/>
                <w:kern w:val="0"/>
                <w:sz w:val="22"/>
                <w:szCs w:val="22"/>
              </w:rPr>
            </w:pPr>
          </w:p>
        </w:tc>
        <w:tc>
          <w:tcPr>
            <w:tcW w:w="616"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6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6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w:t>
            </w:r>
          </w:p>
        </w:tc>
        <w:tc>
          <w:tcPr>
            <w:tcW w:w="6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公用经费</w:t>
            </w:r>
          </w:p>
        </w:tc>
        <w:tc>
          <w:tcPr>
            <w:tcW w:w="616" w:type="pct"/>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540" w:hRule="atLeast"/>
        </w:trPr>
        <w:tc>
          <w:tcPr>
            <w:tcW w:w="513" w:type="pct"/>
            <w:tcBorders>
              <w:top w:val="single" w:color="000000" w:sz="4" w:space="0"/>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985.49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741.49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689.17</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52.32</w:t>
            </w:r>
          </w:p>
        </w:tc>
        <w:tc>
          <w:tcPr>
            <w:tcW w:w="616"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208</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社会保障和就业支出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108.59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行政事业单位养老支出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106.70</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2080505</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机关事业单位基本养老保险缴费支出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2080506</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机关事业单位职业年金缴费支出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2089999</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其他社会保障和就业支出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210</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卫生健康支出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行政事业单位医疗</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28.92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行政单位医疗</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6.28</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2101102</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事业单位医疗</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16.82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2101103</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公务员医疗补助</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212</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城乡社区支出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498.31</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52.32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城乡社区管理事务</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498.31</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52.32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2120101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行政运行</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794.63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550.63</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498.31</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52.32</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221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住房保障支出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住房改革支出</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540" w:hRule="atLeast"/>
        </w:trPr>
        <w:tc>
          <w:tcPr>
            <w:tcW w:w="513" w:type="pct"/>
            <w:tcBorders>
              <w:top w:val="nil"/>
              <w:left w:val="single" w:color="000000" w:sz="4" w:space="0"/>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2210201</w:t>
            </w:r>
          </w:p>
        </w:tc>
        <w:tc>
          <w:tcPr>
            <w:tcW w:w="140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住房公积金</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1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tbl>
      <w:tblPr>
        <w:tblStyle w:val="6"/>
        <w:tblW w:w="12360" w:type="dxa"/>
        <w:tblInd w:w="93" w:type="dxa"/>
        <w:tblLayout w:type="autofit"/>
        <w:tblCellMar>
          <w:top w:w="0" w:type="dxa"/>
          <w:left w:w="108" w:type="dxa"/>
          <w:bottom w:w="0" w:type="dxa"/>
          <w:right w:w="108" w:type="dxa"/>
        </w:tblCellMar>
      </w:tblPr>
      <w:tblGrid>
        <w:gridCol w:w="1700"/>
        <w:gridCol w:w="3880"/>
        <w:gridCol w:w="2260"/>
        <w:gridCol w:w="2260"/>
        <w:gridCol w:w="2260"/>
      </w:tblGrid>
      <w:tr>
        <w:tblPrEx>
          <w:tblCellMar>
            <w:top w:w="0" w:type="dxa"/>
            <w:left w:w="108" w:type="dxa"/>
            <w:bottom w:w="0" w:type="dxa"/>
            <w:right w:w="108" w:type="dxa"/>
          </w:tblCellMar>
        </w:tblPrEx>
        <w:trPr>
          <w:trHeight w:val="270" w:hRule="atLeast"/>
        </w:trPr>
        <w:tc>
          <w:tcPr>
            <w:tcW w:w="1700" w:type="dxa"/>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部门公开表6</w:t>
            </w:r>
          </w:p>
        </w:tc>
        <w:tc>
          <w:tcPr>
            <w:tcW w:w="3880" w:type="dxa"/>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2260" w:type="dxa"/>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2260" w:type="dxa"/>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2260" w:type="dxa"/>
            <w:tcBorders>
              <w:top w:val="nil"/>
              <w:left w:val="nil"/>
              <w:bottom w:val="nil"/>
              <w:right w:val="nil"/>
            </w:tcBorders>
            <w:shd w:val="clear" w:color="auto" w:fill="auto"/>
            <w:noWrap/>
            <w:vAlign w:val="center"/>
          </w:tcPr>
          <w:p>
            <w:pPr>
              <w:widowControl/>
              <w:jc w:val="right"/>
              <w:rPr>
                <w:rFonts w:ascii="宋体" w:hAnsi="宋体" w:cs="Arial"/>
                <w:color w:val="000000"/>
                <w:kern w:val="0"/>
                <w:sz w:val="22"/>
                <w:szCs w:val="22"/>
              </w:rPr>
            </w:pPr>
          </w:p>
        </w:tc>
      </w:tr>
      <w:tr>
        <w:tblPrEx>
          <w:tblCellMar>
            <w:top w:w="0" w:type="dxa"/>
            <w:left w:w="108" w:type="dxa"/>
            <w:bottom w:w="0" w:type="dxa"/>
            <w:right w:w="108" w:type="dxa"/>
          </w:tblCellMar>
        </w:tblPrEx>
        <w:trPr>
          <w:trHeight w:val="645" w:hRule="atLeast"/>
        </w:trPr>
        <w:tc>
          <w:tcPr>
            <w:tcW w:w="12360" w:type="dxa"/>
            <w:gridSpan w:val="5"/>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2024年部门一般公共预算基本支出表</w:t>
            </w:r>
          </w:p>
        </w:tc>
      </w:tr>
      <w:tr>
        <w:tblPrEx>
          <w:tblCellMar>
            <w:top w:w="0" w:type="dxa"/>
            <w:left w:w="108" w:type="dxa"/>
            <w:bottom w:w="0" w:type="dxa"/>
            <w:right w:w="108" w:type="dxa"/>
          </w:tblCellMar>
        </w:tblPrEx>
        <w:trPr>
          <w:trHeight w:val="360" w:hRule="atLeast"/>
        </w:trPr>
        <w:tc>
          <w:tcPr>
            <w:tcW w:w="5580" w:type="dxa"/>
            <w:gridSpan w:val="2"/>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2260" w:type="dxa"/>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60" w:type="dxa"/>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260" w:type="dxa"/>
            <w:tcBorders>
              <w:top w:val="nil"/>
              <w:left w:val="nil"/>
              <w:bottom w:val="nil"/>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420" w:hRule="atLeast"/>
        </w:trPr>
        <w:tc>
          <w:tcPr>
            <w:tcW w:w="55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单位预算支出经济分类科目</w:t>
            </w:r>
          </w:p>
        </w:tc>
        <w:tc>
          <w:tcPr>
            <w:tcW w:w="6780"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本年一般公共预算基本支出</w:t>
            </w:r>
          </w:p>
        </w:tc>
      </w:tr>
      <w:tr>
        <w:tblPrEx>
          <w:tblCellMar>
            <w:top w:w="0" w:type="dxa"/>
            <w:left w:w="108" w:type="dxa"/>
            <w:bottom w:w="0" w:type="dxa"/>
            <w:right w:w="108" w:type="dxa"/>
          </w:tblCellMar>
        </w:tblPrEx>
        <w:trPr>
          <w:trHeight w:val="420"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公用经费</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741.49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689.17</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52.32</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301</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工资福利支出</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635.45</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635.45</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30101</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基本工资</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214.16</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214.16</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津贴补贴</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28.34</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28.34</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30103</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奖金</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114.71</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114.71</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30107</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绩效工资</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87.37</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87.37</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30108</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机关事业单位基本养老保险缴费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71.13</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30109</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职业年金缴费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35.57</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30110</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职工基本医疗保险缴费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23.09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23.09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30111</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公务员医疗补助缴费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5.83</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30112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其他社会保障缴费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30113</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住房公积金</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53.35</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30199</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其他工资福利支出</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0.01</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0.01</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302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商品和服务支出</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53.16</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5.34</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47.82</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30201</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办公费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7.46</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7.46</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30202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印刷费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1.00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30207</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邮电费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3.00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3.00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30211</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差旅费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1.80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30213</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维修（护）费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0.40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0.40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30215</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会议费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3.60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3.60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30217</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公务接待费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13.20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13.20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30226</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劳务费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2.00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2.00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30228</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工会经费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5.34</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5.34</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30239</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其他交通费用</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9.96</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9.96</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30299</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其他商品和服务支出</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5.40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5.40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303</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对个人和家庭的补助</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48.89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48.39</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0.50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30302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退休费</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39.52</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39.52</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30305</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生活补助</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8.88</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8.88</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30399</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其他对个人和家庭的补助</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0.50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0.50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310</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资本性支出</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r>
      <w:tr>
        <w:tblPrEx>
          <w:tblCellMar>
            <w:top w:w="0" w:type="dxa"/>
            <w:left w:w="108" w:type="dxa"/>
            <w:bottom w:w="0" w:type="dxa"/>
            <w:right w:w="108" w:type="dxa"/>
          </w:tblCellMar>
        </w:tblPrEx>
        <w:trPr>
          <w:trHeight w:val="375" w:hRule="atLeast"/>
        </w:trPr>
        <w:tc>
          <w:tcPr>
            <w:tcW w:w="170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31002</w:t>
            </w:r>
          </w:p>
        </w:tc>
        <w:tc>
          <w:tcPr>
            <w:tcW w:w="388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办公设备购置</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22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r>
    </w:tbl>
    <w:p>
      <w:pPr>
        <w:spacing w:line="560" w:lineRule="exact"/>
        <w:jc w:val="righ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p>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公开表7</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ascii="宋体" w:hAnsi="宋体" w:cs="TimesNewRoman"/>
          <w:b/>
          <w:bCs/>
          <w:kern w:val="0"/>
          <w:sz w:val="28"/>
          <w:szCs w:val="32"/>
        </w:rPr>
        <w:t>XX（部门、单位名称）</w:t>
      </w:r>
      <w:r>
        <w:rPr>
          <w:rFonts w:hint="eastAsia" w:ascii="宋体" w:hAnsi="宋体" w:cs="TimesNewRoman"/>
          <w:b/>
          <w:bCs/>
          <w:kern w:val="0"/>
          <w:sz w:val="28"/>
          <w:szCs w:val="32"/>
        </w:rPr>
        <w:t>2024</w:t>
      </w:r>
      <w:r>
        <w:rPr>
          <w:rFonts w:ascii="宋体" w:hAnsi="宋体" w:cs="TimesNewRoman"/>
          <w:b/>
          <w:bCs/>
          <w:kern w:val="0"/>
          <w:sz w:val="28"/>
          <w:szCs w:val="32"/>
        </w:rPr>
        <w:t>年政府性基金预算支出表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6"/>
        <w:tblW w:w="13951" w:type="dxa"/>
        <w:tblInd w:w="0" w:type="dxa"/>
        <w:tblLayout w:type="fixed"/>
        <w:tblCellMar>
          <w:top w:w="0" w:type="dxa"/>
          <w:left w:w="108" w:type="dxa"/>
          <w:bottom w:w="0" w:type="dxa"/>
          <w:right w:w="108" w:type="dxa"/>
        </w:tblCellMar>
      </w:tblPr>
      <w:tblGrid>
        <w:gridCol w:w="1911"/>
        <w:gridCol w:w="6266"/>
        <w:gridCol w:w="1640"/>
        <w:gridCol w:w="2018"/>
        <w:gridCol w:w="2116"/>
      </w:tblGrid>
      <w:tr>
        <w:tblPrEx>
          <w:tblCellMar>
            <w:top w:w="0" w:type="dxa"/>
            <w:left w:w="108" w:type="dxa"/>
            <w:bottom w:w="0" w:type="dxa"/>
            <w:right w:w="108" w:type="dxa"/>
          </w:tblCellMar>
        </w:tblPrEx>
        <w:trPr>
          <w:trHeight w:val="570" w:hRule="atLeast"/>
        </w:trPr>
        <w:tc>
          <w:tcPr>
            <w:tcW w:w="19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62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5774"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本年政府性基金预算支出</w:t>
            </w:r>
          </w:p>
        </w:tc>
      </w:tr>
      <w:tr>
        <w:tblPrEx>
          <w:tblCellMar>
            <w:top w:w="0" w:type="dxa"/>
            <w:left w:w="108" w:type="dxa"/>
            <w:bottom w:w="0" w:type="dxa"/>
            <w:right w:w="108" w:type="dxa"/>
          </w:tblCellMar>
        </w:tblPrEx>
        <w:trPr>
          <w:trHeight w:val="570" w:hRule="atLeast"/>
        </w:trPr>
        <w:tc>
          <w:tcPr>
            <w:tcW w:w="191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b/>
                <w:bCs/>
                <w:kern w:val="0"/>
                <w:sz w:val="18"/>
                <w:szCs w:val="18"/>
              </w:rPr>
            </w:pPr>
          </w:p>
        </w:tc>
        <w:tc>
          <w:tcPr>
            <w:tcW w:w="626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b/>
                <w:bCs/>
                <w:kern w:val="0"/>
                <w:sz w:val="18"/>
                <w:szCs w:val="18"/>
              </w:rPr>
            </w:pPr>
          </w:p>
        </w:tc>
        <w:tc>
          <w:tcPr>
            <w:tcW w:w="1640" w:type="dxa"/>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8" w:type="dxa"/>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116" w:type="dxa"/>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vAlign w:val="center"/>
          </w:tcPr>
          <w:p>
            <w:pPr>
              <w:widowControl/>
              <w:spacing w:line="280" w:lineRule="exact"/>
              <w:ind w:firstLine="360" w:firstLineChars="200"/>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76"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ind w:firstLine="90" w:firstLineChars="50"/>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817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640"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018"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116" w:type="dxa"/>
            <w:tcBorders>
              <w:top w:val="nil"/>
              <w:left w:val="nil"/>
              <w:bottom w:val="single" w:color="auto" w:sz="4" w:space="0"/>
              <w:right w:val="single" w:color="auto" w:sz="4" w:space="0"/>
            </w:tcBorders>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widowControl/>
        <w:spacing w:line="560" w:lineRule="exact"/>
        <w:jc w:val="left"/>
        <w:rPr>
          <w:rFonts w:ascii="TimesNewRoman" w:hAnsi="TimesNewRoman" w:cs="TimesNewRoman"/>
          <w:kern w:val="0"/>
          <w:sz w:val="24"/>
        </w:rPr>
      </w:pPr>
      <w:r>
        <w:rPr>
          <w:rFonts w:ascii="TimesNewRoman" w:hAnsi="TimesNewRoman" w:cs="TimesNewRoman"/>
          <w:kern w:val="0"/>
          <w:sz w:val="24"/>
        </w:rPr>
        <w:t>注：寿县住房和城乡建设局没有政府性基金预算拨款收入，也没有政府性基金预算拨款安排的支出，故本表无数据”。</w:t>
      </w:r>
    </w:p>
    <w:p>
      <w:pPr>
        <w:pStyle w:val="5"/>
        <w:adjustRightInd w:val="0"/>
        <w:snapToGrid w:val="0"/>
        <w:spacing w:after="156" w:afterLines="50" w:line="560" w:lineRule="exact"/>
        <w:ind w:right="102"/>
        <w:jc w:val="right"/>
        <w:rPr>
          <w:rFonts w:ascii="TimesNewRoman" w:hAnsi="TimesNewRoman" w:eastAsia="黑体" w:cs="TimesNewRoman"/>
          <w:bCs/>
          <w:sz w:val="36"/>
          <w:szCs w:val="36"/>
        </w:rPr>
      </w:pPr>
      <w:r>
        <w:rPr>
          <w:rFonts w:ascii="TimesNewRoman" w:hAnsi="TimesNewRoman" w:cs="TimesNewRoman"/>
          <w:sz w:val="20"/>
          <w:szCs w:val="20"/>
        </w:rPr>
        <w:t xml:space="preserve"> </w:t>
      </w:r>
      <w:r>
        <w:rPr>
          <w:rFonts w:ascii="TimesNewRoman" w:hAnsi="TimesNewRoman" w:eastAsia="仿宋_GB2312" w:cs="TimesNewRoman"/>
          <w:sz w:val="20"/>
          <w:szCs w:val="20"/>
        </w:rPr>
        <w:t xml:space="preserve"> 部门</w:t>
      </w:r>
      <w:r>
        <w:rPr>
          <w:rFonts w:ascii="TimesNewRoman" w:hAnsi="TimesNewRoman" w:eastAsia="仿宋_GB2312" w:cs="TimesNewRoman"/>
          <w:sz w:val="20"/>
          <w:szCs w:val="20"/>
          <w:u w:val="single"/>
        </w:rPr>
        <w:t>（单位）</w:t>
      </w:r>
      <w:r>
        <w:rPr>
          <w:rFonts w:ascii="TimesNewRoman" w:hAnsi="TimesNewRoman" w:eastAsia="仿宋_GB2312" w:cs="TimesNewRoman"/>
          <w:sz w:val="20"/>
          <w:szCs w:val="20"/>
        </w:rPr>
        <w:t>公开表8</w:t>
      </w:r>
    </w:p>
    <w:tbl>
      <w:tblPr>
        <w:tblStyle w:val="6"/>
        <w:tblW w:w="13876" w:type="dxa"/>
        <w:tblInd w:w="0" w:type="dxa"/>
        <w:tblLayout w:type="fixed"/>
        <w:tblCellMar>
          <w:top w:w="0" w:type="dxa"/>
          <w:left w:w="108" w:type="dxa"/>
          <w:bottom w:w="0" w:type="dxa"/>
          <w:right w:w="108" w:type="dxa"/>
        </w:tblCellMar>
      </w:tblPr>
      <w:tblGrid>
        <w:gridCol w:w="710"/>
        <w:gridCol w:w="902"/>
        <w:gridCol w:w="1870"/>
        <w:gridCol w:w="4312"/>
        <w:gridCol w:w="342"/>
        <w:gridCol w:w="1153"/>
        <w:gridCol w:w="2013"/>
        <w:gridCol w:w="666"/>
        <w:gridCol w:w="1224"/>
        <w:gridCol w:w="559"/>
        <w:gridCol w:w="125"/>
      </w:tblGrid>
      <w:tr>
        <w:tblPrEx>
          <w:tblCellMar>
            <w:top w:w="0" w:type="dxa"/>
            <w:left w:w="108" w:type="dxa"/>
            <w:bottom w:w="0" w:type="dxa"/>
            <w:right w:w="108" w:type="dxa"/>
          </w:tblCellMar>
        </w:tblPrEx>
        <w:trPr>
          <w:gridAfter w:val="2"/>
          <w:wAfter w:w="683" w:type="dxa"/>
          <w:trHeight w:val="441" w:hRule="atLeast"/>
        </w:trPr>
        <w:tc>
          <w:tcPr>
            <w:tcW w:w="13193" w:type="dxa"/>
            <w:gridSpan w:val="9"/>
            <w:tcBorders>
              <w:top w:val="nil"/>
              <w:left w:val="nil"/>
              <w:bottom w:val="nil"/>
              <w:right w:val="nil"/>
            </w:tcBorders>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ascii="宋体" w:hAnsi="宋体" w:cs="TimesNewRoman"/>
                <w:b/>
                <w:bCs/>
                <w:kern w:val="0"/>
                <w:sz w:val="28"/>
                <w:szCs w:val="32"/>
              </w:rPr>
              <w:t>XX（部门、单位名称）</w:t>
            </w:r>
            <w:r>
              <w:rPr>
                <w:rFonts w:hint="eastAsia" w:ascii="宋体" w:hAnsi="宋体" w:cs="TimesNewRoman"/>
                <w:b/>
                <w:bCs/>
                <w:kern w:val="0"/>
                <w:sz w:val="28"/>
                <w:szCs w:val="32"/>
              </w:rPr>
              <w:t>2024</w:t>
            </w:r>
            <w:r>
              <w:rPr>
                <w:rFonts w:ascii="宋体" w:hAnsi="宋体" w:cs="TimesNewRoman"/>
                <w:b/>
                <w:bCs/>
                <w:kern w:val="0"/>
                <w:sz w:val="28"/>
                <w:szCs w:val="32"/>
              </w:rPr>
              <w:t>年国有资本经营预算支出表</w:t>
            </w:r>
          </w:p>
        </w:tc>
      </w:tr>
      <w:tr>
        <w:tblPrEx>
          <w:tblCellMar>
            <w:top w:w="0" w:type="dxa"/>
            <w:left w:w="108" w:type="dxa"/>
            <w:bottom w:w="0" w:type="dxa"/>
            <w:right w:w="108" w:type="dxa"/>
          </w:tblCellMar>
        </w:tblPrEx>
        <w:trPr>
          <w:trHeight w:val="299" w:hRule="atLeast"/>
        </w:trPr>
        <w:tc>
          <w:tcPr>
            <w:tcW w:w="711" w:type="dxa"/>
            <w:tcBorders>
              <w:top w:val="nil"/>
              <w:left w:val="nil"/>
              <w:bottom w:val="single" w:color="auto" w:sz="4" w:space="0"/>
              <w:right w:val="nil"/>
            </w:tcBorders>
            <w:vAlign w:val="center"/>
          </w:tcPr>
          <w:p>
            <w:pPr>
              <w:widowControl/>
              <w:spacing w:line="560" w:lineRule="exact"/>
              <w:jc w:val="left"/>
              <w:rPr>
                <w:rFonts w:ascii="TimesNewRoman" w:hAnsi="TimesNewRoman" w:cs="TimesNewRoman"/>
                <w:kern w:val="0"/>
                <w:sz w:val="18"/>
                <w:szCs w:val="18"/>
              </w:rPr>
            </w:pPr>
          </w:p>
        </w:tc>
        <w:tc>
          <w:tcPr>
            <w:tcW w:w="902" w:type="dxa"/>
            <w:tcBorders>
              <w:top w:val="nil"/>
              <w:left w:val="nil"/>
              <w:bottom w:val="single" w:color="auto" w:sz="4" w:space="0"/>
              <w:right w:val="nil"/>
            </w:tcBorders>
            <w:vAlign w:val="center"/>
          </w:tcPr>
          <w:p>
            <w:pPr>
              <w:widowControl/>
              <w:spacing w:line="560" w:lineRule="exact"/>
              <w:jc w:val="left"/>
              <w:rPr>
                <w:rFonts w:ascii="TimesNewRoman" w:hAnsi="TimesNewRoman" w:cs="TimesNewRoman"/>
                <w:kern w:val="0"/>
                <w:sz w:val="20"/>
              </w:rPr>
            </w:pPr>
          </w:p>
        </w:tc>
        <w:tc>
          <w:tcPr>
            <w:tcW w:w="6182" w:type="dxa"/>
            <w:gridSpan w:val="2"/>
            <w:tcBorders>
              <w:top w:val="nil"/>
              <w:left w:val="nil"/>
              <w:bottom w:val="single" w:color="auto" w:sz="4" w:space="0"/>
              <w:right w:val="nil"/>
            </w:tcBorders>
            <w:vAlign w:val="center"/>
          </w:tcPr>
          <w:p>
            <w:pPr>
              <w:widowControl/>
              <w:spacing w:line="560" w:lineRule="exact"/>
              <w:jc w:val="left"/>
              <w:rPr>
                <w:rFonts w:ascii="TimesNewRoman" w:hAnsi="TimesNewRoman" w:cs="TimesNewRoman"/>
                <w:kern w:val="0"/>
                <w:sz w:val="20"/>
              </w:rPr>
            </w:pPr>
          </w:p>
        </w:tc>
        <w:tc>
          <w:tcPr>
            <w:tcW w:w="342" w:type="dxa"/>
            <w:tcBorders>
              <w:top w:val="nil"/>
              <w:left w:val="nil"/>
              <w:bottom w:val="nil"/>
              <w:right w:val="nil"/>
            </w:tcBorders>
            <w:vAlign w:val="center"/>
          </w:tcPr>
          <w:p>
            <w:pPr>
              <w:widowControl/>
              <w:spacing w:line="560" w:lineRule="exact"/>
              <w:jc w:val="left"/>
              <w:rPr>
                <w:rFonts w:ascii="TimesNewRoman" w:hAnsi="TimesNewRoman" w:cs="TimesNewRoman"/>
                <w:kern w:val="0"/>
                <w:sz w:val="20"/>
              </w:rPr>
            </w:pPr>
          </w:p>
        </w:tc>
        <w:tc>
          <w:tcPr>
            <w:tcW w:w="3832" w:type="dxa"/>
            <w:gridSpan w:val="3"/>
            <w:tcBorders>
              <w:top w:val="nil"/>
              <w:left w:val="nil"/>
              <w:bottom w:val="nil"/>
              <w:right w:val="nil"/>
            </w:tcBorders>
            <w:vAlign w:val="center"/>
          </w:tcPr>
          <w:p>
            <w:pPr>
              <w:widowControl/>
              <w:spacing w:line="560" w:lineRule="exact"/>
              <w:jc w:val="left"/>
              <w:rPr>
                <w:rFonts w:ascii="TimesNewRoman" w:hAnsi="TimesNewRoman" w:cs="TimesNewRoman"/>
                <w:kern w:val="0"/>
                <w:sz w:val="20"/>
              </w:rPr>
            </w:pPr>
          </w:p>
        </w:tc>
        <w:tc>
          <w:tcPr>
            <w:tcW w:w="1907" w:type="dxa"/>
            <w:gridSpan w:val="3"/>
            <w:tcBorders>
              <w:top w:val="nil"/>
              <w:left w:val="nil"/>
              <w:bottom w:val="nil"/>
              <w:right w:val="nil"/>
            </w:tcBorders>
            <w:vAlign w:val="center"/>
          </w:tcPr>
          <w:p>
            <w:pPr>
              <w:widowControl/>
              <w:spacing w:line="560" w:lineRule="exact"/>
              <w:ind w:right="100"/>
              <w:jc w:val="right"/>
              <w:rPr>
                <w:rFonts w:ascii="TimesNewRoman" w:hAnsi="TimesNewRoman" w:cs="TimesNewRoman"/>
                <w:kern w:val="0"/>
                <w:sz w:val="20"/>
              </w:rPr>
            </w:pPr>
            <w:r>
              <w:rPr>
                <w:rFonts w:ascii="TimesNewRoman" w:hAnsi="TimesNewRoman" w:cs="TimesNewRoman"/>
                <w:kern w:val="0"/>
                <w:sz w:val="20"/>
              </w:rPr>
              <w:t>单位：万元</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kern w:val="0"/>
                <w:sz w:val="18"/>
                <w:szCs w:val="18"/>
              </w:rPr>
            </w:pPr>
            <w:r>
              <w:rPr>
                <w:rFonts w:ascii="TimesNewRoman" w:hAnsi="TimesNewRoman" w:cs="TimesNewRoman"/>
                <w:b/>
                <w:kern w:val="0"/>
                <w:sz w:val="18"/>
                <w:szCs w:val="18"/>
              </w:rPr>
              <w:t>功能分类科目</w:t>
            </w:r>
          </w:p>
        </w:tc>
        <w:tc>
          <w:tcPr>
            <w:tcW w:w="5956" w:type="dxa"/>
            <w:gridSpan w:val="6"/>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b/>
                <w:bCs/>
                <w:kern w:val="0"/>
                <w:sz w:val="18"/>
                <w:szCs w:val="18"/>
              </w:rPr>
              <w:t>国有资本经营预算拨款支出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12"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49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3"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bCs/>
                <w:kern w:val="0"/>
                <w:sz w:val="18"/>
                <w:szCs w:val="18"/>
              </w:rPr>
            </w:pPr>
          </w:p>
        </w:tc>
        <w:tc>
          <w:tcPr>
            <w:tcW w:w="4312"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TimesNewRoman" w:hAnsi="TimesNewRoman" w:cs="TimesNewRoman"/>
                <w:bCs/>
                <w:kern w:val="0"/>
                <w:sz w:val="18"/>
                <w:szCs w:val="18"/>
              </w:rPr>
            </w:pPr>
          </w:p>
        </w:tc>
        <w:tc>
          <w:tcPr>
            <w:tcW w:w="149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vAlign w:val="center"/>
          </w:tcPr>
          <w:p>
            <w:pPr>
              <w:widowControl/>
              <w:spacing w:line="280" w:lineRule="exact"/>
              <w:ind w:firstLine="360" w:firstLineChars="200"/>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vAlign w:val="center"/>
          </w:tcPr>
          <w:p>
            <w:pPr>
              <w:widowControl/>
              <w:spacing w:line="280" w:lineRule="exact"/>
              <w:ind w:firstLine="720" w:firstLineChars="400"/>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TimesNewRoman" w:hAnsi="TimesNewRoman" w:cs="TimesNewRoman"/>
                <w:kern w:val="0"/>
                <w:sz w:val="18"/>
                <w:szCs w:val="18"/>
              </w:rPr>
            </w:pPr>
            <w:r>
              <w:rPr>
                <w:rFonts w:hint="eastAsia" w:ascii="汉仪中秀体简" w:hAnsi="汉仪中秀体简" w:eastAsia="汉仪中秀体简" w:cs="汉仪中秀体简"/>
                <w:sz w:val="18"/>
                <w:szCs w:val="18"/>
              </w:rPr>
              <w:t>……</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vAlign w:val="bottom"/>
          </w:tcPr>
          <w:p>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hint="eastAsia" w:ascii="汉仪中秀体简" w:hAnsi="汉仪中秀体简" w:eastAsia="汉仪中秀体简" w:cs="汉仪中秀体简"/>
                <w:sz w:val="18"/>
                <w:szCs w:val="18"/>
              </w:rPr>
              <w:t>总</w:t>
            </w:r>
            <w:r>
              <w:rPr>
                <w:rFonts w:ascii="汉仪中秀体简" w:hAnsi="汉仪中秀体简" w:eastAsia="汉仪中秀体简" w:cs="汉仪中秀体简"/>
                <w:sz w:val="18"/>
                <w:szCs w:val="18"/>
              </w:rPr>
              <w:t xml:space="preserve"> 计</w:t>
            </w:r>
          </w:p>
        </w:tc>
        <w:tc>
          <w:tcPr>
            <w:tcW w:w="1495" w:type="dxa"/>
            <w:gridSpan w:val="2"/>
            <w:tcBorders>
              <w:top w:val="nil"/>
              <w:left w:val="nil"/>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4" w:type="dxa"/>
          <w:trHeight w:val="633" w:hRule="atLeast"/>
        </w:trPr>
        <w:tc>
          <w:tcPr>
            <w:tcW w:w="13752" w:type="dxa"/>
            <w:gridSpan w:val="10"/>
            <w:tcBorders>
              <w:top w:val="single" w:color="auto" w:sz="4" w:space="0"/>
              <w:left w:val="nil"/>
              <w:bottom w:val="nil"/>
              <w:right w:val="nil"/>
            </w:tcBorders>
            <w:vAlign w:val="center"/>
          </w:tcPr>
          <w:p>
            <w:pPr>
              <w:widowControl/>
              <w:spacing w:line="560" w:lineRule="exact"/>
              <w:jc w:val="left"/>
              <w:rPr>
                <w:rFonts w:ascii="TimesNewRoman" w:hAnsi="TimesNewRoman" w:cs="TimesNewRoman"/>
                <w:kern w:val="0"/>
                <w:sz w:val="24"/>
              </w:rPr>
            </w:pPr>
            <w:r>
              <w:rPr>
                <w:rFonts w:ascii="TimesNewRoman" w:hAnsi="TimesNewRoman" w:cs="TimesNewRoman"/>
                <w:kern w:val="0"/>
                <w:sz w:val="24"/>
              </w:rPr>
              <w:t>注：寿县住房和城乡建设局没有国有资本经营预算拨款收入，也没有国有资本经营预算拨款安排的支出，故本表无数据”。</w:t>
            </w:r>
          </w:p>
        </w:tc>
      </w:tr>
    </w:tbl>
    <w:p>
      <w:pPr>
        <w:spacing w:line="560" w:lineRule="exact"/>
        <w:jc w:val="center"/>
        <w:rPr>
          <w:rFonts w:ascii="TimesNewRoman" w:hAnsi="TimesNewRoman" w:cs="TimesNewRoman"/>
          <w:kern w:val="0"/>
          <w:sz w:val="20"/>
        </w:rPr>
      </w:pPr>
    </w:p>
    <w:p>
      <w:pPr>
        <w:spacing w:line="560" w:lineRule="exact"/>
        <w:jc w:val="center"/>
        <w:rPr>
          <w:rFonts w:ascii="TimesNewRoman" w:hAnsi="TimesNewRoman" w:cs="TimesNewRoman"/>
          <w:sz w:val="20"/>
          <w:szCs w:val="20"/>
        </w:rPr>
      </w:pPr>
      <w:r>
        <w:rPr>
          <w:rFonts w:hint="eastAsia" w:ascii="TimesNewRoman" w:hAnsi="TimesNewRoman" w:cs="TimesNewRoman"/>
          <w:kern w:val="0"/>
          <w:sz w:val="20"/>
        </w:rPr>
        <w:t xml:space="preserve">  </w:t>
      </w:r>
    </w:p>
    <w:tbl>
      <w:tblPr>
        <w:tblStyle w:val="6"/>
        <w:tblW w:w="5000" w:type="pct"/>
        <w:tblInd w:w="0" w:type="dxa"/>
        <w:tblLayout w:type="autofit"/>
        <w:tblCellMar>
          <w:top w:w="0" w:type="dxa"/>
          <w:left w:w="108" w:type="dxa"/>
          <w:bottom w:w="0" w:type="dxa"/>
          <w:right w:w="108" w:type="dxa"/>
        </w:tblCellMar>
      </w:tblPr>
      <w:tblGrid>
        <w:gridCol w:w="1366"/>
        <w:gridCol w:w="2998"/>
        <w:gridCol w:w="2216"/>
        <w:gridCol w:w="819"/>
        <w:gridCol w:w="820"/>
        <w:gridCol w:w="820"/>
        <w:gridCol w:w="823"/>
        <w:gridCol w:w="820"/>
        <w:gridCol w:w="820"/>
        <w:gridCol w:w="823"/>
        <w:gridCol w:w="820"/>
        <w:gridCol w:w="820"/>
      </w:tblGrid>
      <w:tr>
        <w:tblPrEx>
          <w:tblCellMar>
            <w:top w:w="0" w:type="dxa"/>
            <w:left w:w="108" w:type="dxa"/>
            <w:bottom w:w="0" w:type="dxa"/>
            <w:right w:w="108" w:type="dxa"/>
          </w:tblCellMar>
        </w:tblPrEx>
        <w:trPr>
          <w:trHeight w:val="315" w:hRule="atLeast"/>
        </w:trPr>
        <w:tc>
          <w:tcPr>
            <w:tcW w:w="30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部门公开表9</w:t>
            </w:r>
          </w:p>
        </w:tc>
        <w:tc>
          <w:tcPr>
            <w:tcW w:w="112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494"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342" w:type="pct"/>
            <w:tcBorders>
              <w:top w:val="nil"/>
              <w:left w:val="nil"/>
              <w:bottom w:val="nil"/>
              <w:right w:val="nil"/>
            </w:tcBorders>
            <w:shd w:val="clear" w:color="auto" w:fill="auto"/>
            <w:noWrap/>
            <w:vAlign w:val="center"/>
          </w:tcPr>
          <w:p>
            <w:pPr>
              <w:widowControl/>
              <w:jc w:val="right"/>
              <w:rPr>
                <w:rFonts w:ascii="宋体" w:hAnsi="宋体" w:cs="Arial"/>
                <w:color w:val="000000"/>
                <w:kern w:val="0"/>
                <w:sz w:val="22"/>
                <w:szCs w:val="22"/>
              </w:rPr>
            </w:pPr>
          </w:p>
        </w:tc>
      </w:tr>
      <w:tr>
        <w:tblPrEx>
          <w:tblCellMar>
            <w:top w:w="0" w:type="dxa"/>
            <w:left w:w="108" w:type="dxa"/>
            <w:bottom w:w="0" w:type="dxa"/>
            <w:right w:w="108" w:type="dxa"/>
          </w:tblCellMar>
        </w:tblPrEx>
        <w:trPr>
          <w:trHeight w:val="675" w:hRule="atLeast"/>
        </w:trPr>
        <w:tc>
          <w:tcPr>
            <w:tcW w:w="5000" w:type="pct"/>
            <w:gridSpan w:val="12"/>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2024年部门项目支出表</w:t>
            </w:r>
          </w:p>
        </w:tc>
      </w:tr>
      <w:tr>
        <w:tblPrEx>
          <w:tblCellMar>
            <w:top w:w="0" w:type="dxa"/>
            <w:left w:w="108" w:type="dxa"/>
            <w:bottom w:w="0" w:type="dxa"/>
            <w:right w:w="108" w:type="dxa"/>
          </w:tblCellMar>
        </w:tblPrEx>
        <w:trPr>
          <w:trHeight w:val="360" w:hRule="atLeast"/>
        </w:trPr>
        <w:tc>
          <w:tcPr>
            <w:tcW w:w="1426" w:type="pct"/>
            <w:gridSpan w:val="2"/>
            <w:tcBorders>
              <w:top w:val="nil"/>
              <w:left w:val="nil"/>
              <w:bottom w:val="nil"/>
              <w:right w:val="nil"/>
            </w:tcBorders>
            <w:shd w:val="clear" w:color="auto" w:fill="auto"/>
            <w:noWrap/>
            <w:vAlign w:val="center"/>
          </w:tcPr>
          <w:p>
            <w:pPr>
              <w:widowControl/>
              <w:jc w:val="left"/>
              <w:rPr>
                <w:rFonts w:ascii="Calibri" w:hAnsi="Calibri" w:cs="Arial"/>
                <w:color w:val="000000"/>
                <w:kern w:val="0"/>
                <w:sz w:val="22"/>
                <w:szCs w:val="22"/>
              </w:rPr>
            </w:pPr>
            <w:r>
              <w:rPr>
                <w:rFonts w:ascii="Calibri" w:hAnsi="Calibri" w:cs="Arial"/>
                <w:color w:val="000000"/>
                <w:kern w:val="0"/>
                <w:sz w:val="22"/>
                <w:szCs w:val="22"/>
              </w:rPr>
              <w:t>154001-寿县住房和城乡建设局</w:t>
            </w:r>
          </w:p>
        </w:tc>
        <w:tc>
          <w:tcPr>
            <w:tcW w:w="494"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684" w:type="pct"/>
            <w:gridSpan w:val="2"/>
            <w:tcBorders>
              <w:top w:val="nil"/>
              <w:left w:val="nil"/>
              <w:bottom w:val="single" w:color="000000" w:sz="4" w:space="0"/>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37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类型</w:t>
            </w:r>
          </w:p>
        </w:tc>
        <w:tc>
          <w:tcPr>
            <w:tcW w:w="1122"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项目名称</w:t>
            </w:r>
          </w:p>
        </w:tc>
        <w:tc>
          <w:tcPr>
            <w:tcW w:w="494"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项目单位</w:t>
            </w:r>
          </w:p>
        </w:tc>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027"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本年财政拨款</w:t>
            </w:r>
          </w:p>
        </w:tc>
        <w:tc>
          <w:tcPr>
            <w:tcW w:w="1027" w:type="pct"/>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财政拨款结转结余</w:t>
            </w:r>
          </w:p>
        </w:tc>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财政专户管理资金</w:t>
            </w:r>
          </w:p>
        </w:tc>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单位资金</w:t>
            </w:r>
          </w:p>
        </w:tc>
      </w:tr>
      <w:tr>
        <w:tblPrEx>
          <w:tblCellMar>
            <w:top w:w="0" w:type="dxa"/>
            <w:left w:w="108" w:type="dxa"/>
            <w:bottom w:w="0" w:type="dxa"/>
            <w:right w:w="108" w:type="dxa"/>
          </w:tblCellMar>
        </w:tblPrEx>
        <w:trPr>
          <w:trHeight w:val="750" w:hRule="atLeast"/>
        </w:trPr>
        <w:tc>
          <w:tcPr>
            <w:tcW w:w="304"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2" w:type="pct"/>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cs="Arial"/>
                <w:color w:val="000000"/>
                <w:kern w:val="0"/>
                <w:sz w:val="22"/>
                <w:szCs w:val="22"/>
              </w:rPr>
            </w:pPr>
          </w:p>
        </w:tc>
        <w:tc>
          <w:tcPr>
            <w:tcW w:w="494"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w:t>
            </w: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w:t>
            </w:r>
          </w:p>
        </w:tc>
        <w:tc>
          <w:tcPr>
            <w:tcW w:w="342" w:type="pct"/>
            <w:tcBorders>
              <w:top w:val="nil"/>
              <w:left w:val="nil"/>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75" w:hRule="atLeast"/>
        </w:trPr>
        <w:tc>
          <w:tcPr>
            <w:tcW w:w="3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22" w:type="pct"/>
            <w:tcBorders>
              <w:top w:val="single" w:color="000000" w:sz="4" w:space="0"/>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49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single" w:color="000000"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75" w:hRule="atLeast"/>
        </w:trPr>
        <w:tc>
          <w:tcPr>
            <w:tcW w:w="3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其他运转类</w:t>
            </w:r>
          </w:p>
        </w:tc>
        <w:tc>
          <w:tcPr>
            <w:tcW w:w="112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保障日常运转项目</w:t>
            </w:r>
          </w:p>
        </w:tc>
        <w:tc>
          <w:tcPr>
            <w:tcW w:w="49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寿县住房和城乡建设局</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244.00</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jc w:val="center"/>
        <w:rPr>
          <w:rFonts w:ascii="TimesNewRoman" w:hAnsi="TimesNewRoman" w:cs="TimesNewRoman"/>
          <w:sz w:val="20"/>
          <w:szCs w:val="20"/>
        </w:rPr>
      </w:pPr>
      <w:r>
        <w:rPr>
          <w:rFonts w:hint="eastAsia" w:ascii="TimesNewRoman" w:hAnsi="TimesNewRoman" w:cs="TimesNewRoman"/>
          <w:sz w:val="20"/>
          <w:szCs w:val="20"/>
        </w:rPr>
        <w:t xml:space="preserve">                                                 </w:t>
      </w:r>
      <w:r>
        <w:rPr>
          <w:rFonts w:ascii="TimesNewRoman" w:hAnsi="TimesNewRoman" w:cs="TimesNewRoman"/>
          <w:sz w:val="20"/>
          <w:szCs w:val="20"/>
        </w:rPr>
        <w:t xml:space="preserve">    </w:t>
      </w:r>
      <w:r>
        <w:rPr>
          <w:rFonts w:hint="eastAsia" w:ascii="TimesNewRoman" w:hAnsi="TimesNewRoman" w:cs="TimesNewRoman"/>
          <w:sz w:val="20"/>
          <w:szCs w:val="20"/>
        </w:rPr>
        <w:t xml:space="preserve">                                                    </w:t>
      </w:r>
    </w:p>
    <w:p>
      <w:pPr>
        <w:spacing w:line="560" w:lineRule="exact"/>
        <w:jc w:val="center"/>
        <w:rPr>
          <w:rFonts w:ascii="TimesNewRoman" w:hAnsi="TimesNewRoman" w:cs="TimesNewRoman"/>
          <w:sz w:val="20"/>
          <w:szCs w:val="20"/>
        </w:rPr>
      </w:pPr>
    </w:p>
    <w:p>
      <w:pPr>
        <w:spacing w:line="560" w:lineRule="exact"/>
        <w:jc w:val="center"/>
        <w:rPr>
          <w:rFonts w:ascii="TimesNewRoman" w:hAnsi="TimesNewRoman" w:cs="TimesNewRoman"/>
          <w:sz w:val="20"/>
          <w:szCs w:val="20"/>
        </w:rPr>
      </w:pPr>
    </w:p>
    <w:tbl>
      <w:tblPr>
        <w:tblStyle w:val="6"/>
        <w:tblW w:w="5000" w:type="pct"/>
        <w:tblInd w:w="0" w:type="dxa"/>
        <w:tblLayout w:type="autofit"/>
        <w:tblCellMar>
          <w:top w:w="0" w:type="dxa"/>
          <w:left w:w="108" w:type="dxa"/>
          <w:bottom w:w="0" w:type="dxa"/>
          <w:right w:w="108" w:type="dxa"/>
        </w:tblCellMar>
      </w:tblPr>
      <w:tblGrid>
        <w:gridCol w:w="4549"/>
        <w:gridCol w:w="1569"/>
        <w:gridCol w:w="1570"/>
        <w:gridCol w:w="1570"/>
        <w:gridCol w:w="1570"/>
        <w:gridCol w:w="1570"/>
        <w:gridCol w:w="1567"/>
      </w:tblGrid>
      <w:tr>
        <w:tblPrEx>
          <w:tblCellMar>
            <w:top w:w="0" w:type="dxa"/>
            <w:left w:w="108" w:type="dxa"/>
            <w:bottom w:w="0" w:type="dxa"/>
            <w:right w:w="108" w:type="dxa"/>
          </w:tblCellMar>
        </w:tblPrEx>
        <w:trPr>
          <w:trHeight w:val="315" w:hRule="atLeast"/>
        </w:trPr>
        <w:tc>
          <w:tcPr>
            <w:tcW w:w="1629"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p>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部门公开表10</w:t>
            </w:r>
          </w:p>
        </w:tc>
        <w:tc>
          <w:tcPr>
            <w:tcW w:w="56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56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56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56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562"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p>
        </w:tc>
        <w:tc>
          <w:tcPr>
            <w:tcW w:w="562" w:type="pct"/>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r>
      <w:tr>
        <w:tblPrEx>
          <w:tblCellMar>
            <w:top w:w="0" w:type="dxa"/>
            <w:left w:w="108" w:type="dxa"/>
            <w:bottom w:w="0" w:type="dxa"/>
            <w:right w:w="108" w:type="dxa"/>
          </w:tblCellMar>
        </w:tblPrEx>
        <w:trPr>
          <w:trHeight w:val="525" w:hRule="atLeast"/>
        </w:trPr>
        <w:tc>
          <w:tcPr>
            <w:tcW w:w="5000" w:type="pct"/>
            <w:gridSpan w:val="7"/>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2"/>
                <w:szCs w:val="32"/>
              </w:rPr>
            </w:pPr>
            <w:r>
              <w:rPr>
                <w:rFonts w:hint="eastAsia" w:ascii="黑体" w:hAnsi="黑体" w:eastAsia="黑体" w:cs="Arial"/>
                <w:color w:val="000000"/>
                <w:kern w:val="0"/>
                <w:sz w:val="32"/>
                <w:szCs w:val="32"/>
              </w:rPr>
              <w:t>2024年部门政府采购支出表</w:t>
            </w:r>
          </w:p>
        </w:tc>
      </w:tr>
      <w:tr>
        <w:tblPrEx>
          <w:tblCellMar>
            <w:top w:w="0" w:type="dxa"/>
            <w:left w:w="108" w:type="dxa"/>
            <w:bottom w:w="0" w:type="dxa"/>
            <w:right w:w="108" w:type="dxa"/>
          </w:tblCellMar>
        </w:tblPrEx>
        <w:trPr>
          <w:trHeight w:val="360" w:hRule="atLeast"/>
        </w:trPr>
        <w:tc>
          <w:tcPr>
            <w:tcW w:w="1629" w:type="pct"/>
            <w:tcBorders>
              <w:top w:val="nil"/>
              <w:left w:val="nil"/>
              <w:bottom w:val="nil"/>
              <w:right w:val="nil"/>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部门名称：</w:t>
            </w:r>
          </w:p>
        </w:tc>
        <w:tc>
          <w:tcPr>
            <w:tcW w:w="562" w:type="pct"/>
            <w:tcBorders>
              <w:top w:val="nil"/>
              <w:left w:val="nil"/>
              <w:bottom w:val="nil"/>
              <w:right w:val="nil"/>
            </w:tcBorders>
            <w:shd w:val="clear" w:color="auto" w:fill="auto"/>
            <w:noWrap/>
            <w:vAlign w:val="bottom"/>
          </w:tcPr>
          <w:p>
            <w:pPr>
              <w:widowControl/>
              <w:jc w:val="left"/>
              <w:rPr>
                <w:rFonts w:ascii="Calibri" w:hAnsi="Calibri" w:cs="Arial"/>
                <w:color w:val="000000"/>
                <w:kern w:val="0"/>
                <w:sz w:val="22"/>
                <w:szCs w:val="22"/>
              </w:rPr>
            </w:pPr>
          </w:p>
        </w:tc>
        <w:tc>
          <w:tcPr>
            <w:tcW w:w="562" w:type="pct"/>
            <w:tcBorders>
              <w:top w:val="nil"/>
              <w:left w:val="nil"/>
              <w:bottom w:val="nil"/>
              <w:right w:val="nil"/>
            </w:tcBorders>
            <w:shd w:val="clear" w:color="auto" w:fill="auto"/>
            <w:noWrap/>
            <w:vAlign w:val="center"/>
          </w:tcPr>
          <w:p>
            <w:pPr>
              <w:widowControl/>
              <w:jc w:val="center"/>
              <w:rPr>
                <w:rFonts w:ascii="宋体" w:hAnsi="宋体" w:cs="Arial"/>
                <w:b/>
                <w:bCs/>
                <w:color w:val="000000"/>
                <w:kern w:val="0"/>
                <w:sz w:val="36"/>
                <w:szCs w:val="36"/>
              </w:rPr>
            </w:pPr>
          </w:p>
        </w:tc>
        <w:tc>
          <w:tcPr>
            <w:tcW w:w="562" w:type="pct"/>
            <w:tcBorders>
              <w:top w:val="nil"/>
              <w:left w:val="nil"/>
              <w:bottom w:val="nil"/>
              <w:right w:val="nil"/>
            </w:tcBorders>
            <w:shd w:val="clear" w:color="auto" w:fill="auto"/>
            <w:noWrap/>
            <w:vAlign w:val="center"/>
          </w:tcPr>
          <w:p>
            <w:pPr>
              <w:widowControl/>
              <w:jc w:val="center"/>
              <w:rPr>
                <w:rFonts w:ascii="宋体" w:hAnsi="宋体" w:cs="Arial"/>
                <w:b/>
                <w:bCs/>
                <w:color w:val="000000"/>
                <w:kern w:val="0"/>
                <w:sz w:val="36"/>
                <w:szCs w:val="36"/>
              </w:rPr>
            </w:pPr>
          </w:p>
        </w:tc>
        <w:tc>
          <w:tcPr>
            <w:tcW w:w="562" w:type="pct"/>
            <w:tcBorders>
              <w:top w:val="nil"/>
              <w:left w:val="nil"/>
              <w:bottom w:val="nil"/>
              <w:right w:val="nil"/>
            </w:tcBorders>
            <w:shd w:val="clear" w:color="auto" w:fill="auto"/>
            <w:noWrap/>
            <w:vAlign w:val="center"/>
          </w:tcPr>
          <w:p>
            <w:pPr>
              <w:widowControl/>
              <w:jc w:val="center"/>
              <w:rPr>
                <w:rFonts w:ascii="宋体" w:hAnsi="宋体" w:cs="Arial"/>
                <w:b/>
                <w:bCs/>
                <w:color w:val="000000"/>
                <w:kern w:val="0"/>
                <w:sz w:val="36"/>
                <w:szCs w:val="36"/>
              </w:rPr>
            </w:pPr>
          </w:p>
        </w:tc>
        <w:tc>
          <w:tcPr>
            <w:tcW w:w="562" w:type="pct"/>
            <w:tcBorders>
              <w:top w:val="nil"/>
              <w:left w:val="nil"/>
              <w:bottom w:val="nil"/>
              <w:right w:val="nil"/>
            </w:tcBorders>
            <w:shd w:val="clear" w:color="auto" w:fill="auto"/>
            <w:noWrap/>
            <w:vAlign w:val="center"/>
          </w:tcPr>
          <w:p>
            <w:pPr>
              <w:widowControl/>
              <w:jc w:val="right"/>
              <w:rPr>
                <w:rFonts w:ascii="宋体" w:hAnsi="宋体" w:cs="Arial"/>
                <w:color w:val="000000"/>
                <w:kern w:val="0"/>
                <w:sz w:val="20"/>
                <w:szCs w:val="20"/>
              </w:rPr>
            </w:pPr>
          </w:p>
        </w:tc>
        <w:tc>
          <w:tcPr>
            <w:tcW w:w="562" w:type="pct"/>
            <w:tcBorders>
              <w:top w:val="nil"/>
              <w:left w:val="nil"/>
              <w:bottom w:val="nil"/>
              <w:right w:val="nil"/>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单位：万元</w:t>
            </w:r>
          </w:p>
        </w:tc>
      </w:tr>
      <w:tr>
        <w:tblPrEx>
          <w:tblCellMar>
            <w:top w:w="0" w:type="dxa"/>
            <w:left w:w="108" w:type="dxa"/>
            <w:bottom w:w="0" w:type="dxa"/>
            <w:right w:w="108" w:type="dxa"/>
          </w:tblCellMar>
        </w:tblPrEx>
        <w:trPr>
          <w:trHeight w:val="810" w:hRule="atLeast"/>
        </w:trPr>
        <w:tc>
          <w:tcPr>
            <w:tcW w:w="1629" w:type="pc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单位名称/支出项目/政府采购品目</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财政专户管理资金</w:t>
            </w:r>
          </w:p>
        </w:tc>
        <w:tc>
          <w:tcPr>
            <w:tcW w:w="562" w:type="pc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单位资金</w:t>
            </w:r>
          </w:p>
        </w:tc>
      </w:tr>
      <w:tr>
        <w:tblPrEx>
          <w:tblCellMar>
            <w:top w:w="0" w:type="dxa"/>
            <w:left w:w="108" w:type="dxa"/>
            <w:bottom w:w="0" w:type="dxa"/>
            <w:right w:w="108" w:type="dxa"/>
          </w:tblCellMar>
        </w:tblPrEx>
        <w:trPr>
          <w:trHeight w:val="465" w:hRule="atLeast"/>
        </w:trPr>
        <w:tc>
          <w:tcPr>
            <w:tcW w:w="1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合计</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465" w:hRule="atLeast"/>
        </w:trPr>
        <w:tc>
          <w:tcPr>
            <w:tcW w:w="1629" w:type="pc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寿县住房和城乡建设局</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465" w:hRule="atLeast"/>
        </w:trPr>
        <w:tc>
          <w:tcPr>
            <w:tcW w:w="1629" w:type="pc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寿县住房和城乡建设局_在职人员综合定额公务费（一）</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4.00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465" w:hRule="atLeast"/>
        </w:trPr>
        <w:tc>
          <w:tcPr>
            <w:tcW w:w="1629" w:type="pc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台式计算机</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3.60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3.60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465" w:hRule="atLeast"/>
        </w:trPr>
        <w:tc>
          <w:tcPr>
            <w:tcW w:w="1629" w:type="pc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A4 黑白打印机</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0.40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0.40</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spacing w:line="560" w:lineRule="exact"/>
        <w:rPr>
          <w:rFonts w:ascii="TimesNewRoman" w:hAnsi="TimesNewRoman" w:cs="TimesNewRoman"/>
        </w:rPr>
      </w:pPr>
    </w:p>
    <w:p>
      <w:pPr>
        <w:spacing w:line="560" w:lineRule="exact"/>
        <w:rPr>
          <w:rFonts w:ascii="TimesNewRoman" w:hAnsi="TimesNewRoman" w:cs="TimesNewRoman"/>
        </w:rPr>
      </w:pPr>
    </w:p>
    <w:p>
      <w:pPr>
        <w:pStyle w:val="5"/>
        <w:wordWrap w:val="0"/>
        <w:adjustRightInd w:val="0"/>
        <w:snapToGrid w:val="0"/>
        <w:spacing w:line="560" w:lineRule="exact"/>
        <w:jc w:val="center"/>
        <w:rPr>
          <w:rFonts w:ascii="TimesNewRoman" w:hAnsi="TimesNewRoman" w:cs="TimesNewRoman"/>
          <w:sz w:val="20"/>
          <w:szCs w:val="20"/>
        </w:rPr>
      </w:pPr>
      <w:r>
        <w:rPr>
          <w:rFonts w:hint="eastAsia" w:ascii="TimesNewRoman" w:hAnsi="TimesNewRoman" w:cs="TimesNewRoman"/>
          <w:sz w:val="20"/>
          <w:szCs w:val="20"/>
        </w:rPr>
        <w:t xml:space="preserve">                                                                                                          </w:t>
      </w:r>
    </w:p>
    <w:p>
      <w:pPr>
        <w:pStyle w:val="5"/>
        <w:wordWrap w:val="0"/>
        <w:adjustRightInd w:val="0"/>
        <w:snapToGrid w:val="0"/>
        <w:spacing w:line="560" w:lineRule="exact"/>
        <w:jc w:val="center"/>
        <w:rPr>
          <w:rFonts w:ascii="TimesNewRoman" w:hAnsi="TimesNewRoman" w:cs="TimesNewRoman"/>
          <w:sz w:val="20"/>
          <w:szCs w:val="20"/>
        </w:rPr>
      </w:pPr>
    </w:p>
    <w:p>
      <w:pPr>
        <w:pStyle w:val="5"/>
        <w:wordWrap w:val="0"/>
        <w:adjustRightInd w:val="0"/>
        <w:snapToGrid w:val="0"/>
        <w:spacing w:line="560" w:lineRule="exact"/>
        <w:jc w:val="center"/>
        <w:rPr>
          <w:rFonts w:hint="eastAsia" w:ascii="TimesNewRoman" w:hAnsi="TimesNewRoman" w:cs="TimesNewRoman"/>
          <w:sz w:val="20"/>
          <w:szCs w:val="20"/>
        </w:rPr>
      </w:pPr>
    </w:p>
    <w:p>
      <w:pPr>
        <w:pStyle w:val="5"/>
        <w:wordWrap w:val="0"/>
        <w:adjustRightInd w:val="0"/>
        <w:snapToGrid w:val="0"/>
        <w:spacing w:line="560" w:lineRule="exact"/>
        <w:jc w:val="center"/>
        <w:rPr>
          <w:rFonts w:ascii="TimesNewRoman" w:hAnsi="TimesNewRoman" w:cs="TimesNewRoman"/>
          <w:sz w:val="20"/>
          <w:szCs w:val="20"/>
        </w:rPr>
      </w:pPr>
    </w:p>
    <w:p>
      <w:pPr>
        <w:pStyle w:val="5"/>
        <w:wordWrap w:val="0"/>
        <w:adjustRightInd w:val="0"/>
        <w:snapToGrid w:val="0"/>
        <w:spacing w:line="560" w:lineRule="exact"/>
        <w:jc w:val="right"/>
        <w:rPr>
          <w:rFonts w:ascii="TimesNewRoman" w:hAnsi="TimesNewRoman" w:cs="TimesNewRoman"/>
          <w:sz w:val="20"/>
          <w:szCs w:val="20"/>
        </w:rPr>
      </w:pPr>
      <w:r>
        <w:rPr>
          <w:rFonts w:ascii="TimesNewRoman" w:hAnsi="TimesNewRoman" w:cs="TimesNewRoman"/>
          <w:sz w:val="20"/>
          <w:szCs w:val="20"/>
        </w:rPr>
        <w:t>部门</w:t>
      </w:r>
      <w:r>
        <w:rPr>
          <w:rFonts w:ascii="TimesNewRoman" w:hAnsi="TimesNewRoman" w:cs="TimesNewRoman"/>
          <w:sz w:val="20"/>
          <w:szCs w:val="20"/>
          <w:u w:val="single"/>
        </w:rPr>
        <w:t>（单位）</w:t>
      </w:r>
      <w:r>
        <w:rPr>
          <w:rFonts w:ascii="TimesNewRoman" w:hAnsi="TimesNewRoman" w:cs="TimesNewRoman"/>
          <w:sz w:val="20"/>
          <w:szCs w:val="20"/>
        </w:rPr>
        <w:t>公开表11</w:t>
      </w:r>
    </w:p>
    <w:tbl>
      <w:tblPr>
        <w:tblStyle w:val="6"/>
        <w:tblW w:w="13709" w:type="dxa"/>
        <w:jc w:val="center"/>
        <w:tblLayout w:type="fixed"/>
        <w:tblCellMar>
          <w:top w:w="0" w:type="dxa"/>
          <w:left w:w="108" w:type="dxa"/>
          <w:bottom w:w="0" w:type="dxa"/>
          <w:right w:w="108" w:type="dxa"/>
        </w:tblCellMar>
      </w:tblPr>
      <w:tblGrid>
        <w:gridCol w:w="2068"/>
        <w:gridCol w:w="1948"/>
        <w:gridCol w:w="1780"/>
        <w:gridCol w:w="1928"/>
        <w:gridCol w:w="2477"/>
        <w:gridCol w:w="1680"/>
        <w:gridCol w:w="1811"/>
        <w:gridCol w:w="17"/>
      </w:tblGrid>
      <w:tr>
        <w:tblPrEx>
          <w:tblCellMar>
            <w:top w:w="0" w:type="dxa"/>
            <w:left w:w="108" w:type="dxa"/>
            <w:bottom w:w="0" w:type="dxa"/>
            <w:right w:w="108" w:type="dxa"/>
          </w:tblCellMar>
        </w:tblPrEx>
        <w:trPr>
          <w:gridAfter w:val="1"/>
          <w:wAfter w:w="17" w:type="dxa"/>
          <w:trHeight w:val="673" w:hRule="atLeast"/>
          <w:jc w:val="center"/>
        </w:trPr>
        <w:tc>
          <w:tcPr>
            <w:tcW w:w="13692" w:type="dxa"/>
            <w:gridSpan w:val="7"/>
            <w:tcBorders>
              <w:top w:val="nil"/>
              <w:left w:val="nil"/>
              <w:bottom w:val="nil"/>
              <w:right w:val="nil"/>
            </w:tcBorders>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ascii="宋体" w:hAnsi="宋体" w:cs="TimesNewRoman"/>
                <w:b/>
                <w:bCs/>
                <w:kern w:val="0"/>
                <w:sz w:val="28"/>
                <w:szCs w:val="32"/>
              </w:rPr>
              <w:t>XX（部门、单位名称）</w:t>
            </w:r>
            <w:r>
              <w:rPr>
                <w:rFonts w:hint="eastAsia" w:ascii="宋体" w:hAnsi="宋体" w:cs="TimesNewRoman"/>
                <w:b/>
                <w:bCs/>
                <w:kern w:val="0"/>
                <w:sz w:val="28"/>
                <w:szCs w:val="32"/>
              </w:rPr>
              <w:t>2024</w:t>
            </w:r>
            <w:r>
              <w:rPr>
                <w:rFonts w:ascii="宋体" w:hAnsi="宋体" w:cs="TimesNewRoman"/>
                <w:b/>
                <w:bCs/>
                <w:kern w:val="0"/>
                <w:sz w:val="28"/>
                <w:szCs w:val="32"/>
              </w:rPr>
              <w:t>年政府购买服务支出表</w:t>
            </w:r>
          </w:p>
          <w:p>
            <w:pPr>
              <w:widowControl/>
              <w:spacing w:line="560" w:lineRule="exact"/>
              <w:jc w:val="center"/>
              <w:rPr>
                <w:rFonts w:ascii="TimesNewRoman" w:hAnsi="TimesNewRoman" w:cs="TimesNewRoman"/>
                <w:kern w:val="0"/>
                <w:sz w:val="20"/>
              </w:rPr>
            </w:pPr>
            <w:r>
              <w:rPr>
                <w:rFonts w:ascii="TimesNewRoman" w:hAnsi="TimesNewRoman" w:cs="TimesNewRoman"/>
                <w:kern w:val="0"/>
                <w:sz w:val="20"/>
              </w:rPr>
              <w:t xml:space="preserve">                                                                                                                    单位：万元</w:t>
            </w:r>
          </w:p>
        </w:tc>
      </w:tr>
      <w:tr>
        <w:tblPrEx>
          <w:tblCellMar>
            <w:top w:w="15" w:type="dxa"/>
            <w:left w:w="15" w:type="dxa"/>
            <w:bottom w:w="15" w:type="dxa"/>
            <w:right w:w="15" w:type="dxa"/>
          </w:tblCellMar>
        </w:tblPrEx>
        <w:trPr>
          <w:trHeight w:val="922" w:hRule="atLeast"/>
          <w:jc w:val="center"/>
        </w:trPr>
        <w:tc>
          <w:tcPr>
            <w:tcW w:w="2068"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项目名称</w:t>
            </w:r>
          </w:p>
        </w:tc>
        <w:tc>
          <w:tcPr>
            <w:tcW w:w="1948"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一级目录名称</w:t>
            </w:r>
          </w:p>
        </w:tc>
        <w:tc>
          <w:tcPr>
            <w:tcW w:w="17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二级目录名称</w:t>
            </w:r>
          </w:p>
        </w:tc>
        <w:tc>
          <w:tcPr>
            <w:tcW w:w="1928"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三级目录名称</w:t>
            </w:r>
          </w:p>
        </w:tc>
        <w:tc>
          <w:tcPr>
            <w:tcW w:w="247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政府购买服务内容</w:t>
            </w: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购买数量</w:t>
            </w:r>
          </w:p>
        </w:tc>
        <w:tc>
          <w:tcPr>
            <w:tcW w:w="182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购买金额</w:t>
            </w: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righ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vAlign w:val="center"/>
          </w:tcPr>
          <w:p>
            <w:pPr>
              <w:spacing w:line="280" w:lineRule="exact"/>
              <w:jc w:val="righ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ascii="TimesNewRoman" w:hAnsi="TimesNewRoman" w:cs="TimesNewRoman"/>
                <w:b/>
                <w:sz w:val="18"/>
                <w:szCs w:val="18"/>
              </w:rPr>
            </w:pPr>
            <w:r>
              <w:rPr>
                <w:rFonts w:ascii="TimesNewRoman" w:hAnsi="TimesNewRoman" w:cs="TimesNewRoman"/>
                <w:b/>
                <w:sz w:val="18"/>
                <w:szCs w:val="18"/>
              </w:rPr>
              <w:t>合</w:t>
            </w:r>
            <w:r>
              <w:rPr>
                <w:rFonts w:hint="eastAsia" w:ascii="TimesNewRoman" w:hAnsi="TimesNewRoman" w:cs="TimesNewRoman"/>
                <w:b/>
                <w:sz w:val="18"/>
                <w:szCs w:val="18"/>
              </w:rPr>
              <w:t xml:space="preserve"> </w:t>
            </w:r>
            <w:r>
              <w:rPr>
                <w:rFonts w:ascii="TimesNewRoman" w:hAnsi="TimesNewRoman" w:cs="TimesNewRoman"/>
                <w:b/>
                <w:sz w:val="18"/>
                <w:szCs w:val="18"/>
              </w:rPr>
              <w:t>计</w:t>
            </w:r>
          </w:p>
        </w:tc>
        <w:tc>
          <w:tcPr>
            <w:tcW w:w="194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vAlign w:val="bottom"/>
          </w:tcPr>
          <w:p>
            <w:pPr>
              <w:spacing w:line="280" w:lineRule="exact"/>
              <w:rPr>
                <w:rFonts w:ascii="TimesNewRoman" w:hAnsi="TimesNewRoman" w:cs="TimesNewRoman"/>
                <w:sz w:val="18"/>
                <w:szCs w:val="18"/>
              </w:rPr>
            </w:pPr>
          </w:p>
        </w:tc>
      </w:tr>
    </w:tbl>
    <w:p>
      <w:pPr>
        <w:spacing w:line="560" w:lineRule="exact"/>
        <w:rPr>
          <w:rFonts w:ascii="TimesNewRoman" w:hAnsi="TimesNewRoman" w:cs="TimesNewRoman"/>
          <w:kern w:val="0"/>
          <w:sz w:val="22"/>
        </w:rPr>
      </w:pPr>
      <w:r>
        <w:rPr>
          <w:rFonts w:ascii="TimesNewRoman" w:hAnsi="TimesNewRoman" w:cs="TimesNewRoman"/>
          <w:kern w:val="0"/>
          <w:sz w:val="22"/>
        </w:rPr>
        <w:t>注：</w:t>
      </w:r>
      <w:r>
        <w:rPr>
          <w:rFonts w:ascii="TimesNewRoman" w:hAnsi="TimesNewRoman" w:cs="TimesNewRoman"/>
          <w:kern w:val="0"/>
          <w:sz w:val="24"/>
        </w:rPr>
        <w:t>寿县住房和城乡建设局</w:t>
      </w:r>
      <w:r>
        <w:rPr>
          <w:rFonts w:ascii="TimesNewRoman" w:hAnsi="TimesNewRoman" w:cs="TimesNewRoman"/>
          <w:kern w:val="0"/>
          <w:sz w:val="22"/>
        </w:rPr>
        <w:t>没有安排政府购买服务支出，故本表无数据”。</w:t>
      </w:r>
    </w:p>
    <w:p>
      <w:pPr>
        <w:pStyle w:val="5"/>
        <w:adjustRightInd w:val="0"/>
        <w:snapToGrid w:val="0"/>
        <w:spacing w:before="100" w:after="100" w:line="560" w:lineRule="exact"/>
        <w:ind w:firstLine="640" w:firstLineChars="200"/>
        <w:rPr>
          <w:rFonts w:ascii="TimesNewRoman" w:hAnsi="TimesNewRoman" w:eastAsia="楷体_GB2312" w:cs="TimesNewRoman"/>
          <w:bCs/>
          <w:sz w:val="32"/>
          <w:szCs w:val="32"/>
        </w:rPr>
        <w:sectPr>
          <w:footerReference r:id="rId3" w:type="default"/>
          <w:footerReference r:id="rId4" w:type="even"/>
          <w:pgSz w:w="16840" w:h="11907" w:orient="landscape"/>
          <w:pgMar w:top="1588" w:right="1531" w:bottom="1474" w:left="1560" w:header="851" w:footer="1021" w:gutter="0"/>
          <w:cols w:space="425" w:num="1"/>
          <w:docGrid w:type="linesAndChars" w:linePitch="312" w:charSpace="0"/>
        </w:sect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第三部分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年部门（单位）预算情况说明</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一、关于2024年收支总表的说明</w:t>
      </w:r>
    </w:p>
    <w:p>
      <w:pPr>
        <w:pStyle w:val="5"/>
        <w:adjustRightInd w:val="0"/>
        <w:snapToGrid w:val="0"/>
        <w:spacing w:beforeAutospacing="0" w:afterAutospacing="0" w:line="600" w:lineRule="exact"/>
        <w:ind w:firstLine="640" w:firstLineChars="200"/>
        <w:rPr>
          <w:rFonts w:ascii="仿宋_GB2312" w:hAnsi="仿宋" w:eastAsia="仿宋_GB2312"/>
          <w:kern w:val="2"/>
          <w:sz w:val="32"/>
          <w:szCs w:val="32"/>
        </w:rPr>
      </w:pPr>
      <w:r>
        <w:rPr>
          <w:rFonts w:hint="eastAsia" w:ascii="仿宋_GB2312" w:hAnsi="仿宋" w:eastAsia="仿宋_GB2312"/>
          <w:kern w:val="2"/>
          <w:sz w:val="32"/>
          <w:szCs w:val="32"/>
        </w:rPr>
        <w:t>寿县</w:t>
      </w:r>
      <w:r>
        <w:rPr>
          <w:rFonts w:ascii="仿宋_GB2312" w:hAnsi="仿宋" w:eastAsia="仿宋_GB2312"/>
          <w:kern w:val="2"/>
          <w:sz w:val="32"/>
          <w:szCs w:val="32"/>
        </w:rPr>
        <w:t>工商业联合会</w:t>
      </w:r>
      <w:r>
        <w:rPr>
          <w:rFonts w:hint="eastAsia" w:ascii="仿宋_GB2312" w:hAnsi="仿宋" w:eastAsia="仿宋_GB2312"/>
          <w:kern w:val="2"/>
          <w:sz w:val="32"/>
          <w:szCs w:val="32"/>
        </w:rPr>
        <w:t>2024年财政拨款收支预算</w:t>
      </w:r>
      <w:r>
        <w:rPr>
          <w:rFonts w:hint="eastAsia" w:ascii="仿宋_GB2312" w:hAnsi="仿宋" w:eastAsia="仿宋_GB2312"/>
          <w:sz w:val="32"/>
          <w:szCs w:val="32"/>
        </w:rPr>
        <w:t>985.49</w:t>
      </w:r>
      <w:r>
        <w:rPr>
          <w:rFonts w:hint="eastAsia" w:ascii="仿宋_GB2312" w:hAnsi="仿宋" w:eastAsia="仿宋_GB2312"/>
          <w:kern w:val="2"/>
          <w:sz w:val="32"/>
          <w:szCs w:val="32"/>
        </w:rPr>
        <w:t>万元。收入按资金来源分为：一般公共预算拨款</w:t>
      </w:r>
      <w:r>
        <w:rPr>
          <w:rFonts w:hint="eastAsia" w:ascii="仿宋_GB2312" w:hAnsi="仿宋" w:eastAsia="仿宋_GB2312"/>
          <w:sz w:val="32"/>
          <w:szCs w:val="32"/>
        </w:rPr>
        <w:t>985.49</w:t>
      </w:r>
      <w:r>
        <w:rPr>
          <w:rFonts w:hint="eastAsia" w:ascii="仿宋_GB2312" w:hAnsi="仿宋" w:eastAsia="仿宋_GB2312"/>
          <w:kern w:val="2"/>
          <w:sz w:val="32"/>
          <w:szCs w:val="32"/>
        </w:rPr>
        <w:t>万元、政府性基金预算拨款0万元、国有资本经营预算拨款0万元；按资金年度分为：当年财政拨款收入</w:t>
      </w:r>
      <w:r>
        <w:rPr>
          <w:rFonts w:hint="eastAsia" w:ascii="仿宋_GB2312" w:hAnsi="仿宋" w:eastAsia="仿宋_GB2312"/>
          <w:sz w:val="32"/>
          <w:szCs w:val="32"/>
        </w:rPr>
        <w:t>985.49</w:t>
      </w:r>
      <w:r>
        <w:rPr>
          <w:rFonts w:hint="eastAsia" w:ascii="仿宋_GB2312" w:hAnsi="仿宋" w:eastAsia="仿宋_GB2312"/>
          <w:kern w:val="2"/>
          <w:sz w:val="32"/>
          <w:szCs w:val="32"/>
        </w:rPr>
        <w:t>万元，上年结转0万元。支出按功能分类分为：社会保障和就业支出108.59万元，占11.02%；卫生健康支出28.92万元，占2.94%；城乡社区支出794.63万元，占80.63%；住房保障支出53.35万元，占5.41%。</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二、关于2024年收入总表的说明</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cs="宋体"/>
          <w:kern w:val="0"/>
          <w:sz w:val="32"/>
          <w:szCs w:val="32"/>
        </w:rPr>
        <w:t>寿县</w:t>
      </w:r>
      <w:r>
        <w:rPr>
          <w:rFonts w:hint="eastAsia" w:ascii="仿宋_GB2312" w:hAnsi="仿宋" w:eastAsia="仿宋_GB2312"/>
          <w:sz w:val="32"/>
          <w:szCs w:val="32"/>
        </w:rPr>
        <w:t>住房和城乡建设局2024年收入预算985.49万元，其中，本年收入985.49万元，上年结转结余0万元。</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本年收入985.49万元，收入全部为一般公共预算拨款收入985.49万元，占100%，比2023年预算减少27.33万元，下降2.69%，下降原因主要是人员工资预算减少。</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三、关于2024年支出总表的说明</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住房和城乡建设局2024年支出预算985.49万元，比2023年预算减少27.33万元，下降2.69%，下降原因主要是人员变动工资预算减少，厉行节约。其中，基本支出741.49万元，占75.24%，主要用于保障人员工资、机构日常运转、完成日常工作任务等；项目支出244万元，占24.75%，主要用于下属事业单位人员工资、日常公用开支等。</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四、关于2024年财政拨款收支总表的说明</w:t>
      </w:r>
    </w:p>
    <w:p>
      <w:pPr>
        <w:pStyle w:val="5"/>
        <w:adjustRightInd w:val="0"/>
        <w:snapToGrid w:val="0"/>
        <w:spacing w:beforeAutospacing="0" w:afterAutospacing="0" w:line="600" w:lineRule="exact"/>
        <w:ind w:firstLine="640" w:firstLineChars="200"/>
        <w:rPr>
          <w:rFonts w:ascii="仿宋_GB2312" w:hAnsi="仿宋" w:eastAsia="仿宋_GB2312"/>
          <w:kern w:val="2"/>
          <w:sz w:val="32"/>
          <w:szCs w:val="32"/>
        </w:rPr>
      </w:pPr>
      <w:r>
        <w:rPr>
          <w:rFonts w:hint="eastAsia" w:ascii="仿宋_GB2312" w:hAnsi="仿宋" w:eastAsia="仿宋_GB2312"/>
          <w:kern w:val="2"/>
          <w:sz w:val="32"/>
          <w:szCs w:val="32"/>
        </w:rPr>
        <w:t>寿县</w:t>
      </w:r>
      <w:r>
        <w:rPr>
          <w:rFonts w:hint="eastAsia" w:ascii="仿宋_GB2312" w:hAnsi="仿宋" w:eastAsia="仿宋_GB2312"/>
          <w:sz w:val="32"/>
          <w:szCs w:val="32"/>
        </w:rPr>
        <w:t>住房和城乡建设局</w:t>
      </w:r>
      <w:r>
        <w:rPr>
          <w:rFonts w:hint="eastAsia" w:ascii="仿宋_GB2312" w:hAnsi="仿宋" w:eastAsia="仿宋_GB2312"/>
          <w:kern w:val="2"/>
          <w:sz w:val="32"/>
          <w:szCs w:val="32"/>
        </w:rPr>
        <w:t>2024年财政拨款收支预算</w:t>
      </w:r>
      <w:r>
        <w:rPr>
          <w:rFonts w:hint="eastAsia" w:ascii="仿宋_GB2312" w:hAnsi="仿宋" w:eastAsia="仿宋_GB2312"/>
          <w:sz w:val="32"/>
          <w:szCs w:val="32"/>
        </w:rPr>
        <w:t>985.49</w:t>
      </w:r>
      <w:r>
        <w:rPr>
          <w:rFonts w:hint="eastAsia" w:ascii="仿宋_GB2312" w:hAnsi="仿宋" w:eastAsia="仿宋_GB2312"/>
          <w:kern w:val="2"/>
          <w:sz w:val="32"/>
          <w:szCs w:val="32"/>
        </w:rPr>
        <w:t>万元。收入全部是一般公共预算拨款</w:t>
      </w:r>
      <w:r>
        <w:rPr>
          <w:rFonts w:hint="eastAsia" w:ascii="仿宋_GB2312" w:hAnsi="仿宋" w:eastAsia="仿宋_GB2312"/>
          <w:sz w:val="32"/>
          <w:szCs w:val="32"/>
        </w:rPr>
        <w:t>985.49</w:t>
      </w:r>
      <w:r>
        <w:rPr>
          <w:rFonts w:hint="eastAsia" w:ascii="仿宋_GB2312" w:hAnsi="仿宋" w:eastAsia="仿宋_GB2312"/>
          <w:kern w:val="2"/>
          <w:sz w:val="32"/>
          <w:szCs w:val="32"/>
        </w:rPr>
        <w:t>万元，按资金年度分全部为本年财政拨款收入</w:t>
      </w:r>
      <w:r>
        <w:rPr>
          <w:rFonts w:hint="eastAsia" w:ascii="仿宋_GB2312" w:hAnsi="仿宋" w:eastAsia="仿宋_GB2312"/>
          <w:sz w:val="32"/>
          <w:szCs w:val="32"/>
        </w:rPr>
        <w:t>985.49</w:t>
      </w:r>
      <w:r>
        <w:rPr>
          <w:rFonts w:hint="eastAsia" w:ascii="仿宋_GB2312" w:hAnsi="仿宋" w:eastAsia="仿宋_GB2312"/>
          <w:kern w:val="2"/>
          <w:sz w:val="32"/>
          <w:szCs w:val="32"/>
        </w:rPr>
        <w:t>万元。支出按功能分类分为：社会保障和就业支出108.59万元，占11.02%；卫生健康支出28.92万元，占2.94%；城乡社区支出794.63万元，占80.63%；住房保障支出53.35万元，占5.41%。</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五、关于2024年一般公共预算支出表的说明</w:t>
      </w:r>
    </w:p>
    <w:p>
      <w:pPr>
        <w:pStyle w:val="5"/>
        <w:topLinePunct/>
        <w:adjustRightInd w:val="0"/>
        <w:snapToGrid w:val="0"/>
        <w:spacing w:beforeAutospacing="0" w:afterAutospacing="0" w:line="580" w:lineRule="exact"/>
        <w:ind w:firstLine="630" w:firstLineChars="196"/>
        <w:jc w:val="both"/>
        <w:rPr>
          <w:rFonts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pPr>
        <w:pStyle w:val="5"/>
        <w:adjustRightInd w:val="0"/>
        <w:snapToGrid w:val="0"/>
        <w:spacing w:beforeAutospacing="0" w:afterAutospacing="0" w:line="600" w:lineRule="exact"/>
        <w:ind w:firstLine="627" w:firstLineChars="196"/>
        <w:rPr>
          <w:rFonts w:hint="eastAsia" w:ascii="仿宋_GB2312" w:hAnsi="仿宋" w:eastAsia="仿宋_GB2312"/>
          <w:sz w:val="32"/>
          <w:szCs w:val="32"/>
        </w:rPr>
      </w:pPr>
      <w:r>
        <w:rPr>
          <w:rFonts w:hint="eastAsia" w:ascii="仿宋_GB2312" w:hAnsi="仿宋" w:eastAsia="仿宋_GB2312"/>
          <w:kern w:val="2"/>
          <w:sz w:val="32"/>
          <w:szCs w:val="32"/>
        </w:rPr>
        <w:t>寿县</w:t>
      </w:r>
      <w:r>
        <w:rPr>
          <w:rFonts w:hint="eastAsia" w:ascii="仿宋_GB2312" w:hAnsi="仿宋" w:eastAsia="仿宋_GB2312"/>
          <w:sz w:val="32"/>
          <w:szCs w:val="32"/>
        </w:rPr>
        <w:t>住房和城乡建设局</w:t>
      </w:r>
      <w:r>
        <w:rPr>
          <w:rFonts w:hint="eastAsia" w:ascii="仿宋_GB2312" w:hAnsi="仿宋" w:eastAsia="仿宋_GB2312"/>
          <w:kern w:val="2"/>
          <w:sz w:val="32"/>
          <w:szCs w:val="32"/>
        </w:rPr>
        <w:t>2022年一般公共预算支出</w:t>
      </w:r>
      <w:r>
        <w:rPr>
          <w:rFonts w:hint="eastAsia" w:ascii="仿宋_GB2312" w:hAnsi="仿宋" w:eastAsia="仿宋_GB2312"/>
          <w:sz w:val="32"/>
          <w:szCs w:val="32"/>
        </w:rPr>
        <w:t>985.49</w:t>
      </w:r>
      <w:r>
        <w:rPr>
          <w:rFonts w:hint="eastAsia" w:ascii="仿宋_GB2312" w:hAnsi="仿宋" w:eastAsia="仿宋_GB2312"/>
          <w:kern w:val="2"/>
          <w:sz w:val="32"/>
          <w:szCs w:val="32"/>
        </w:rPr>
        <w:t>万元，</w:t>
      </w:r>
      <w:r>
        <w:rPr>
          <w:rFonts w:hint="eastAsia" w:ascii="仿宋_GB2312" w:hAnsi="仿宋" w:eastAsia="仿宋_GB2312"/>
          <w:sz w:val="32"/>
          <w:szCs w:val="32"/>
        </w:rPr>
        <w:t>比2023年预算减少27.33万元，下降2.69%</w:t>
      </w:r>
      <w:r>
        <w:rPr>
          <w:rFonts w:hint="eastAsia" w:ascii="仿宋_GB2312" w:hAnsi="仿宋" w:eastAsia="仿宋_GB2312"/>
          <w:kern w:val="2"/>
          <w:sz w:val="32"/>
          <w:szCs w:val="32"/>
        </w:rPr>
        <w:t>，主要原因：</w:t>
      </w:r>
      <w:r>
        <w:rPr>
          <w:rFonts w:hint="eastAsia" w:ascii="仿宋_GB2312" w:hAnsi="仿宋" w:eastAsia="仿宋_GB2312"/>
          <w:sz w:val="32"/>
          <w:szCs w:val="32"/>
        </w:rPr>
        <w:t>下降原因主要是人员变动工资预算减少，减少开支厉行节约。</w:t>
      </w:r>
    </w:p>
    <w:p>
      <w:pPr>
        <w:pStyle w:val="5"/>
        <w:adjustRightInd w:val="0"/>
        <w:snapToGrid w:val="0"/>
        <w:spacing w:beforeAutospacing="0" w:afterAutospacing="0" w:line="600" w:lineRule="exact"/>
        <w:ind w:firstLine="630" w:firstLineChars="196"/>
        <w:rPr>
          <w:rFonts w:ascii="仿宋_GB2312" w:hAnsi="仿宋" w:eastAsia="仿宋_GB2312"/>
          <w:sz w:val="32"/>
          <w:szCs w:val="32"/>
        </w:rPr>
      </w:pPr>
      <w:r>
        <w:rPr>
          <w:rFonts w:hint="eastAsia" w:ascii="仿宋_GB2312" w:hAnsi="TimesNewRoman" w:eastAsia="仿宋_GB2312" w:cs="TimesNewRoman"/>
          <w:b/>
          <w:sz w:val="32"/>
          <w:szCs w:val="32"/>
        </w:rPr>
        <w:t>（二）一般公共预算支出结构情况。</w:t>
      </w:r>
    </w:p>
    <w:p>
      <w:pPr>
        <w:topLinePunct/>
        <w:adjustRightInd w:val="0"/>
        <w:snapToGri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社会保障和就业支出108.59万元，占11.02%；卫生健康支出28.92万元，占2.94%；城乡社区支出794.63万元，占80.63%；住房保障支出53.35万元，占5.41%。</w:t>
      </w:r>
    </w:p>
    <w:p>
      <w:pPr>
        <w:topLinePunct/>
        <w:adjustRightInd w:val="0"/>
        <w:snapToGrid w:val="0"/>
        <w:spacing w:line="58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pPr>
        <w:adjustRightInd w:val="0"/>
        <w:snapToGrid w:val="0"/>
        <w:spacing w:line="60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1.</w:t>
      </w:r>
      <w:r>
        <w:rPr>
          <w:rFonts w:hint="eastAsia" w:ascii="仿宋_GB2312" w:hAnsi="仿宋"/>
          <w:b/>
          <w:szCs w:val="32"/>
        </w:rPr>
        <w:t xml:space="preserve"> </w:t>
      </w:r>
      <w:r>
        <w:rPr>
          <w:rFonts w:hint="eastAsia" w:ascii="仿宋_GB2312" w:hAnsi="仿宋" w:eastAsia="仿宋_GB2312"/>
          <w:b/>
          <w:sz w:val="32"/>
          <w:szCs w:val="32"/>
        </w:rPr>
        <w:t>社会保障和就业支出（类）行政事业单位养老支出（款）机关事业单位基本养老保险缴费支出（项）</w:t>
      </w:r>
      <w:r>
        <w:rPr>
          <w:rFonts w:hint="eastAsia" w:ascii="仿宋_GB2312" w:hAnsi="仿宋" w:eastAsia="仿宋_GB2312"/>
          <w:sz w:val="32"/>
          <w:szCs w:val="32"/>
        </w:rPr>
        <w:t>2024年预算71.13万元，比2023年预算减少6.02万元，下降7.8%，下降原因主要是人员变动预算减少。</w:t>
      </w:r>
    </w:p>
    <w:p>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2.社会保障和就业支出（类）行政事业单位养老支出（款）机关事业单位职业年金缴费支出（项）</w:t>
      </w:r>
      <w:r>
        <w:rPr>
          <w:rFonts w:hint="eastAsia" w:ascii="仿宋_GB2312" w:hAnsi="仿宋" w:eastAsia="仿宋_GB2312"/>
          <w:sz w:val="32"/>
          <w:szCs w:val="32"/>
        </w:rPr>
        <w:t>2024年预算35.57万元，比2023年预算减少3万元，下降7.77%，下降原因主要是人员变动预算减少。</w:t>
      </w:r>
    </w:p>
    <w:p>
      <w:pPr>
        <w:adjustRightInd w:val="0"/>
        <w:snapToGrid w:val="0"/>
        <w:spacing w:line="60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3.社会保障和就业支出（类）　其他社会保障和就业支出（款）　其他社会保障和就业支出（项）</w:t>
      </w:r>
      <w:r>
        <w:rPr>
          <w:rFonts w:hint="eastAsia" w:ascii="仿宋_GB2312" w:hAnsi="仿宋" w:eastAsia="仿宋_GB2312"/>
          <w:sz w:val="32"/>
          <w:szCs w:val="32"/>
        </w:rPr>
        <w:t>2024年预算1.89万元，比2023年预算减少0.08万元，下降4.06%，下降原因主要是人员变动预算减少。</w:t>
      </w:r>
    </w:p>
    <w:p>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4.卫生健康支出（类）行政事业单位医疗（款）行政单位医疗（项）</w:t>
      </w:r>
      <w:r>
        <w:rPr>
          <w:rFonts w:hint="eastAsia" w:ascii="仿宋_GB2312" w:hAnsi="仿宋" w:eastAsia="仿宋_GB2312"/>
          <w:sz w:val="32"/>
          <w:szCs w:val="32"/>
        </w:rPr>
        <w:t>2024年预算6.28万元，比2023年预算减少1.93万元，下降23.50%，下降原因主要是人员变动预算减少。</w:t>
      </w:r>
    </w:p>
    <w:p>
      <w:pPr>
        <w:adjustRightInd w:val="0"/>
        <w:snapToGrid w:val="0"/>
        <w:spacing w:line="60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4.卫生健康支出（类）行政事业单位医疗（款）事业单位医疗（项）</w:t>
      </w:r>
      <w:r>
        <w:rPr>
          <w:rFonts w:hint="eastAsia" w:ascii="仿宋_GB2312" w:hAnsi="仿宋" w:eastAsia="仿宋_GB2312"/>
          <w:sz w:val="32"/>
          <w:szCs w:val="32"/>
        </w:rPr>
        <w:t>2024年预算16.82万元，比2023年预算减少0.26万元，下降1.52%，下降原因主要是人员变动预算减少。</w:t>
      </w:r>
    </w:p>
    <w:p>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5.卫生健康支出（类）行政事业单位医疗（款）公务员医疗补助（项）</w:t>
      </w:r>
      <w:r>
        <w:rPr>
          <w:rFonts w:hint="eastAsia" w:ascii="仿宋_GB2312" w:hAnsi="仿宋" w:eastAsia="仿宋_GB2312"/>
          <w:sz w:val="32"/>
          <w:szCs w:val="32"/>
        </w:rPr>
        <w:t>2024年预算5.83万元，比2023年预算增加0.66万元，增长12.76%，增长原因主要是人员变动预算增加。</w:t>
      </w:r>
    </w:p>
    <w:p>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6.城乡社区支出（类）城乡社区管理事务（款）行政运行（项）</w:t>
      </w:r>
      <w:r>
        <w:rPr>
          <w:rFonts w:hint="eastAsia" w:ascii="仿宋_GB2312" w:hAnsi="仿宋" w:eastAsia="仿宋_GB2312"/>
          <w:sz w:val="32"/>
          <w:szCs w:val="32"/>
        </w:rPr>
        <w:t>2024年预算794.63万元，比2023年预算减少12.17万元，下降1.5%，下降原因主要是人员变动机关运行经费减少。</w:t>
      </w:r>
    </w:p>
    <w:p>
      <w:pPr>
        <w:adjustRightInd w:val="0"/>
        <w:snapToGrid w:val="0"/>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8.住房保障支出（类）住房改革支出（款）住房公积金（项）</w:t>
      </w:r>
      <w:r>
        <w:rPr>
          <w:rFonts w:hint="eastAsia" w:ascii="仿宋_GB2312" w:hAnsi="仿宋" w:eastAsia="仿宋_GB2312"/>
          <w:sz w:val="32"/>
          <w:szCs w:val="32"/>
        </w:rPr>
        <w:t>2024年预算53.35万元，比2023年预算减少4.51万元，下降7.79%，下降原因主要是人员变动预算减少。</w:t>
      </w:r>
    </w:p>
    <w:p>
      <w:pPr>
        <w:adjustRightInd w:val="0"/>
        <w:snapToGrid w:val="0"/>
        <w:spacing w:line="600" w:lineRule="exact"/>
        <w:ind w:firstLine="640" w:firstLineChars="200"/>
        <w:rPr>
          <w:rFonts w:hint="eastAsia" w:ascii="仿宋_GB2312" w:hAnsi="仿宋" w:eastAsia="仿宋_GB2312"/>
          <w:sz w:val="32"/>
          <w:szCs w:val="32"/>
        </w:rPr>
      </w:pP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六、关于2024年一般公共预算基本支出表的说明</w:t>
      </w:r>
    </w:p>
    <w:p>
      <w:pPr>
        <w:ind w:firstLine="640" w:firstLineChars="200"/>
        <w:rPr>
          <w:rFonts w:ascii="仿宋_GB2312" w:hAnsi="仿宋" w:eastAsia="仿宋_GB2312"/>
          <w:sz w:val="32"/>
          <w:szCs w:val="32"/>
        </w:rPr>
      </w:pPr>
      <w:r>
        <w:rPr>
          <w:rFonts w:hint="eastAsia" w:ascii="仿宋_GB2312" w:hAnsi="仿宋" w:eastAsia="仿宋_GB2312"/>
          <w:sz w:val="32"/>
          <w:szCs w:val="32"/>
        </w:rPr>
        <w:t>寿县住房和城乡建设局2024年一般公共预算基本支出741.49万元，其中，人员经费692.38万元，公用经费52.32万元。</w:t>
      </w:r>
    </w:p>
    <w:p>
      <w:pPr>
        <w:ind w:firstLine="640" w:firstLineChars="200"/>
        <w:rPr>
          <w:rFonts w:ascii="仿宋_GB2312" w:hAnsi="仿宋" w:eastAsia="仿宋_GB2312"/>
          <w:sz w:val="32"/>
          <w:szCs w:val="32"/>
        </w:rPr>
      </w:pPr>
      <w:r>
        <w:rPr>
          <w:rFonts w:hint="eastAsia" w:ascii="仿宋_GB2312" w:hAnsi="仿宋" w:eastAsia="仿宋_GB2312"/>
          <w:sz w:val="32"/>
          <w:szCs w:val="32"/>
        </w:rPr>
        <w:t>（一）人员经费692.38万元，主要包括:基本工资、津贴补贴、奖金、绩效工资、机关事业单位基本养老保险费、职业年金缴费、职工基本医疗保险缴费、公务员医疗补助缴费、其他社会保障缴费、其他工资福利支出、住房公积金、退休费、生活补助支出、其他对个人和家庭的补助、办公设备购置。</w:t>
      </w:r>
    </w:p>
    <w:p>
      <w:pPr>
        <w:ind w:firstLine="640" w:firstLineChars="200"/>
        <w:rPr>
          <w:rFonts w:ascii="楷体_GB2312" w:hAnsi="仿宋" w:eastAsia="仿宋_GB2312"/>
          <w:sz w:val="32"/>
          <w:szCs w:val="32"/>
        </w:rPr>
      </w:pPr>
      <w:r>
        <w:rPr>
          <w:rFonts w:hint="eastAsia" w:ascii="仿宋_GB2312" w:hAnsi="仿宋" w:eastAsia="仿宋_GB2312"/>
          <w:sz w:val="32"/>
          <w:szCs w:val="32"/>
        </w:rPr>
        <w:t>（二）公用经费52.32万元，主要包括：办公费、印刷费、　邮电费、差旅费、维修（护）费、会议费、公务接待费、劳务费、工会经费、其他交通费用、其他商品和服务支出。</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七、关于2024年政府性基金预算支出表的说明</w:t>
      </w:r>
    </w:p>
    <w:p>
      <w:pPr>
        <w:pStyle w:val="5"/>
        <w:adjustRightInd w:val="0"/>
        <w:snapToGrid w:val="0"/>
        <w:spacing w:beforeAutospacing="0" w:afterAutospacing="0" w:line="60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寿县住房和城乡建设局2024年没有政府性基金预算拨款收入，也没有使用政府性基金预算拨款安排的支出。</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八、关于2024年国有资本经营预算支出表的说明</w:t>
      </w:r>
    </w:p>
    <w:p>
      <w:pPr>
        <w:pStyle w:val="5"/>
        <w:topLinePunct/>
        <w:adjustRightInd w:val="0"/>
        <w:snapToGrid w:val="0"/>
        <w:spacing w:beforeAutospacing="0" w:afterAutospacing="0" w:line="58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寿县住房和城乡建设局2024年没有国有资本经营预算拨款收入，也没有使用国有资本经营预算拨款安排的支出。</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九、关于2024年项目支出表的说明</w:t>
      </w:r>
    </w:p>
    <w:p>
      <w:pPr>
        <w:pStyle w:val="5"/>
        <w:adjustRightInd w:val="0"/>
        <w:snapToGrid w:val="0"/>
        <w:spacing w:beforeAutospacing="0" w:afterAutospacing="0"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寿县住房和城乡建设局2024年预算共安排项目支出244万元，比2023年预算减少18.9万元，下降7.18%，下降原因主要是去除了人防办工作经费。主要包括：本年财政拨款安排244万元，全部为一般公共预算拨款安排244万元。</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十、关于2024年政府采购支出表的说明</w:t>
      </w:r>
    </w:p>
    <w:p>
      <w:pPr>
        <w:pStyle w:val="5"/>
        <w:adjustRightInd w:val="0"/>
        <w:snapToGrid w:val="0"/>
        <w:spacing w:beforeAutospacing="0" w:afterAutospacing="0" w:line="600" w:lineRule="exact"/>
        <w:ind w:firstLine="640" w:firstLineChars="200"/>
        <w:jc w:val="both"/>
        <w:outlineLvl w:val="0"/>
        <w:rPr>
          <w:rFonts w:ascii="仿宋_GB2312" w:hAnsi="仿宋" w:eastAsia="仿宋_GB2312"/>
          <w:sz w:val="32"/>
          <w:szCs w:val="32"/>
        </w:rPr>
      </w:pPr>
      <w:r>
        <w:rPr>
          <w:rFonts w:hint="eastAsia" w:ascii="仿宋_GB2312" w:hAnsi="仿宋" w:eastAsia="仿宋_GB2312"/>
          <w:sz w:val="32"/>
          <w:szCs w:val="32"/>
        </w:rPr>
        <w:t>寿县住房和城乡建设局2024年预算安排政府采购支出4万元，比2023年预算增加0.4万元，增长11.11%，增长原因主要是购买国产台式电脑。</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十一、关于2024年政府购买服务支出表的说明</w:t>
      </w:r>
    </w:p>
    <w:p>
      <w:pPr>
        <w:pStyle w:val="5"/>
        <w:adjustRightInd w:val="0"/>
        <w:snapToGrid w:val="0"/>
        <w:spacing w:beforeAutospacing="0" w:afterAutospacing="0" w:line="600" w:lineRule="exact"/>
        <w:ind w:firstLine="640" w:firstLineChars="200"/>
        <w:jc w:val="both"/>
        <w:outlineLvl w:val="0"/>
        <w:rPr>
          <w:rFonts w:ascii="仿宋_GB2312" w:hAnsi="仿宋" w:eastAsia="仿宋_GB2312"/>
          <w:sz w:val="32"/>
          <w:szCs w:val="32"/>
        </w:rPr>
      </w:pPr>
      <w:r>
        <w:rPr>
          <w:rFonts w:hint="eastAsia" w:ascii="仿宋_GB2312" w:hAnsi="仿宋" w:eastAsia="仿宋_GB2312"/>
          <w:sz w:val="32"/>
          <w:szCs w:val="32"/>
        </w:rPr>
        <w:t>寿县住房和城乡建设局2024年没有安排政府购买服务支出。</w:t>
      </w: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p>
    <w:p>
      <w:pPr>
        <w:pStyle w:val="5"/>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十二、其他重要事项情况说明</w:t>
      </w:r>
    </w:p>
    <w:p>
      <w:pPr>
        <w:topLinePunct/>
        <w:adjustRightInd w:val="0"/>
        <w:snapToGrid w:val="0"/>
        <w:spacing w:line="58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pPr>
        <w:topLinePunct/>
        <w:adjustRightInd w:val="0"/>
        <w:snapToGrid w:val="0"/>
        <w:spacing w:line="58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1.“保障日常运转项目”项目。</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1）项目概述：有局下属事业单位11个，分别为寿县建筑工程质量监督站，寿县市政园林建设所、9个寿县建设中心所，为了保障2024年以上局属事业单位（质监站、市政所、建设所）人员工资等工作经费，经研究，共申请2440000元工作经费。</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（2）立项依据：局下属事业单位11个，分别为寿县建筑工程质量监督站，寿县市政园林建设所、9个寿县建设中心所，为了保障2024年以上局属事业单位（质监站、市政所、建设所）人员工资等工作经费。</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（3）实施主体：寿县住房和城乡建设局。</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（4）起止时间：2024年全年。</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（5）项目内容：局下属事业单位11个，分别为寿县建筑工程质量监督站，寿县市政园林建设所、9个寿县建设中心所，为了保障2024年以上局属事业单位（质监站、市政所、建设所）人员工资等工作经费。</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（6）年度预算安排：年初预算244万。</w:t>
      </w:r>
    </w:p>
    <w:p>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pPr>
        <w:topLinePunct/>
        <w:adjustRightInd w:val="0"/>
        <w:snapToGrid w:val="0"/>
        <w:spacing w:line="580" w:lineRule="exact"/>
        <w:ind w:firstLine="640" w:firstLineChars="200"/>
        <w:rPr>
          <w:rFonts w:ascii="仿宋_GB2312" w:hAnsi="楷体" w:eastAsia="仿宋_GB2312"/>
          <w:sz w:val="32"/>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vAlign w:val="center"/>
          </w:tcPr>
          <w:p>
            <w:pPr>
              <w:spacing w:line="260" w:lineRule="exact"/>
              <w:jc w:val="center"/>
              <w:rPr>
                <w:rFonts w:ascii="宋体" w:cs="宋体"/>
                <w:sz w:val="18"/>
                <w:szCs w:val="18"/>
              </w:rPr>
            </w:pPr>
            <w:r>
              <w:rPr>
                <w:rFonts w:hint="eastAsia" w:ascii="宋体" w:cs="宋体"/>
                <w:sz w:val="18"/>
                <w:szCs w:val="18"/>
              </w:rPr>
              <w:t>保障日常运转项目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vAlign w:val="center"/>
          </w:tcPr>
          <w:p>
            <w:pPr>
              <w:spacing w:line="260" w:lineRule="exact"/>
              <w:jc w:val="center"/>
              <w:rPr>
                <w:rFonts w:ascii="宋体" w:cs="宋体"/>
                <w:sz w:val="18"/>
                <w:szCs w:val="18"/>
              </w:rPr>
            </w:pPr>
            <w:r>
              <w:rPr>
                <w:rFonts w:hint="eastAsia" w:ascii="宋体" w:cs="宋体"/>
                <w:sz w:val="18"/>
                <w:szCs w:val="18"/>
              </w:rPr>
              <w:t>[154]寿县住房和城乡建设局</w:t>
            </w:r>
          </w:p>
        </w:tc>
        <w:tc>
          <w:tcPr>
            <w:tcW w:w="1848" w:type="dxa"/>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vAlign w:val="center"/>
          </w:tcPr>
          <w:p>
            <w:pPr>
              <w:spacing w:line="260" w:lineRule="exact"/>
              <w:jc w:val="center"/>
              <w:rPr>
                <w:sz w:val="18"/>
                <w:szCs w:val="18"/>
              </w:rPr>
            </w:pPr>
            <w:r>
              <w:rPr>
                <w:rFonts w:hint="eastAsia" w:ascii="宋体" w:cs="宋体"/>
                <w:sz w:val="18"/>
                <w:szCs w:val="18"/>
              </w:rPr>
              <w:t>寿县住房和城乡建设局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vAlign w:val="center"/>
          </w:tcPr>
          <w:p>
            <w:pPr>
              <w:spacing w:line="260" w:lineRule="exact"/>
              <w:jc w:val="center"/>
              <w:rPr>
                <w:rFonts w:ascii="宋体" w:cs="宋体"/>
                <w:sz w:val="18"/>
                <w:szCs w:val="18"/>
              </w:rPr>
            </w:pPr>
            <w:r>
              <w:rPr>
                <w:rFonts w:hint="eastAsia" w:ascii="宋体" w:cs="宋体"/>
                <w:sz w:val="18"/>
                <w:szCs w:val="18"/>
              </w:rPr>
              <w:t>年初预算</w:t>
            </w:r>
          </w:p>
        </w:tc>
        <w:tc>
          <w:tcPr>
            <w:tcW w:w="1848" w:type="dxa"/>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vAlign w:val="center"/>
          </w:tcPr>
          <w:p>
            <w:pPr>
              <w:spacing w:line="260" w:lineRule="exact"/>
              <w:jc w:val="center"/>
              <w:rPr>
                <w:rFonts w:hint="eastAsia"/>
                <w:sz w:val="18"/>
                <w:szCs w:val="18"/>
              </w:rPr>
            </w:pPr>
            <w:r>
              <w:rPr>
                <w:rFonts w:hint="eastAsia"/>
                <w:sz w:val="18"/>
                <w:szCs w:val="18"/>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vAlign w:val="center"/>
          </w:tcPr>
          <w:p>
            <w:pPr>
              <w:spacing w:line="260" w:lineRule="exact"/>
              <w:ind w:right="720" w:firstLine="1800" w:firstLineChars="1000"/>
              <w:rPr>
                <w:rFonts w:hint="eastAsia" w:ascii="宋体" w:cs="宋体"/>
                <w:sz w:val="18"/>
                <w:szCs w:val="18"/>
              </w:rPr>
            </w:pPr>
            <w:r>
              <w:rPr>
                <w:rFonts w:hint="eastAsia" w:ascii="宋体" w:cs="宋体"/>
                <w:sz w:val="18"/>
                <w:szCs w:val="18"/>
              </w:rPr>
              <w:t>244万元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349"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vAlign w:val="center"/>
          </w:tcPr>
          <w:p>
            <w:pPr>
              <w:spacing w:line="260" w:lineRule="exact"/>
              <w:ind w:right="720" w:firstLine="1800" w:firstLineChars="1000"/>
              <w:rPr>
                <w:rFonts w:ascii="宋体" w:cs="宋体"/>
                <w:sz w:val="18"/>
                <w:szCs w:val="18"/>
              </w:rPr>
            </w:pPr>
            <w:r>
              <w:rPr>
                <w:rFonts w:hint="eastAsia" w:ascii="宋体" w:cs="宋体"/>
                <w:sz w:val="18"/>
                <w:szCs w:val="18"/>
              </w:rPr>
              <w:t>244万元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349"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349"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vAlign w:val="center"/>
          </w:tcPr>
          <w:p>
            <w:pPr>
              <w:spacing w:line="260" w:lineRule="exact"/>
              <w:jc w:val="right"/>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vAlign w:val="center"/>
          </w:tcPr>
          <w:p>
            <w:pPr>
              <w:spacing w:line="260" w:lineRule="exact"/>
              <w:jc w:val="left"/>
              <w:rPr>
                <w:rFonts w:ascii="宋体" w:cs="宋体"/>
                <w:sz w:val="18"/>
                <w:szCs w:val="18"/>
              </w:rPr>
            </w:pPr>
            <w:r>
              <w:rPr>
                <w:rFonts w:hint="eastAsia" w:ascii="宋体" w:cs="宋体"/>
                <w:sz w:val="18"/>
                <w:szCs w:val="18"/>
              </w:rPr>
              <w:t>有局下属事业单位11个，分别为寿县建筑工程质量监督站，寿县市政园林建设所、9个寿县建设中心所，为了保障2024年以上局属事业单位（质监站、市政所、建设所）人员工资等工作经费，经研究，共申请2440000元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保障单位</w:t>
            </w:r>
          </w:p>
        </w:tc>
        <w:tc>
          <w:tcPr>
            <w:tcW w:w="4228" w:type="dxa"/>
            <w:gridSpan w:val="2"/>
            <w:vAlign w:val="center"/>
          </w:tcPr>
          <w:p>
            <w:pPr>
              <w:widowControl/>
              <w:jc w:val="center"/>
              <w:rPr>
                <w:rFonts w:hint="eastAsia"/>
                <w:kern w:val="0"/>
                <w:sz w:val="20"/>
                <w:szCs w:val="20"/>
              </w:rPr>
            </w:pPr>
            <w:r>
              <w:rPr>
                <w:rFonts w:hint="eastAsia"/>
                <w:sz w:val="20"/>
                <w:szCs w:val="20"/>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vAlign w:val="center"/>
          </w:tcPr>
          <w:p>
            <w:pPr>
              <w:widowControl/>
              <w:jc w:val="left"/>
              <w:rPr>
                <w:rFonts w:hint="eastAsia"/>
                <w:kern w:val="0"/>
                <w:sz w:val="20"/>
                <w:szCs w:val="20"/>
              </w:rPr>
            </w:pPr>
            <w:r>
              <w:rPr>
                <w:rFonts w:hint="eastAsia"/>
                <w:sz w:val="20"/>
                <w:szCs w:val="20"/>
              </w:rPr>
              <w:t>对职工生活、工作产生的作用</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正向积极作用，保障职工正常福利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项目完成时间</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项目金额</w:t>
            </w:r>
          </w:p>
        </w:tc>
        <w:tc>
          <w:tcPr>
            <w:tcW w:w="4228" w:type="dxa"/>
            <w:gridSpan w:val="2"/>
            <w:vAlign w:val="center"/>
          </w:tcPr>
          <w:p>
            <w:pPr>
              <w:spacing w:line="260" w:lineRule="exact"/>
              <w:jc w:val="center"/>
              <w:rPr>
                <w:rFonts w:hint="eastAsia" w:ascii="宋体" w:cs="宋体"/>
                <w:sz w:val="18"/>
                <w:szCs w:val="18"/>
              </w:rPr>
            </w:pPr>
            <w:r>
              <w:rPr>
                <w:rFonts w:hint="eastAsia" w:ascii="宋体" w:cs="宋体"/>
                <w:sz w:val="18"/>
                <w:szCs w:val="18"/>
              </w:rPr>
              <w:t>244万元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w:t>
            </w:r>
          </w:p>
        </w:tc>
        <w:tc>
          <w:tcPr>
            <w:tcW w:w="2872" w:type="dxa"/>
            <w:vAlign w:val="center"/>
          </w:tcPr>
          <w:p>
            <w:pPr>
              <w:spacing w:line="260" w:lineRule="exact"/>
              <w:jc w:val="left"/>
              <w:rPr>
                <w:rFonts w:ascii="宋体" w:cs="宋体"/>
                <w:sz w:val="18"/>
                <w:szCs w:val="18"/>
              </w:rPr>
            </w:pP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职工生活工作得到保障后对经济社会发展的影响</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促进社会消费，刺激经济增长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职工利益得到保障后对社会发展的作用</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做好城乡建设工作的积极性提高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对生态环保的影响</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落实住建领域生态环保责任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cs="宋体"/>
                <w:sz w:val="18"/>
                <w:szCs w:val="18"/>
              </w:rPr>
            </w:pPr>
          </w:p>
        </w:tc>
        <w:tc>
          <w:tcPr>
            <w:tcW w:w="2872" w:type="dxa"/>
            <w:vAlign w:val="center"/>
          </w:tcPr>
          <w:p>
            <w:pPr>
              <w:spacing w:line="260" w:lineRule="exact"/>
              <w:jc w:val="left"/>
              <w:textAlignment w:val="center"/>
              <w:rPr>
                <w:rFonts w:ascii="汉仪中秀体简" w:hAnsi="汉仪中秀体简" w:eastAsia="汉仪中秀体简" w:cs="汉仪中秀体简"/>
                <w:color w:val="000000"/>
                <w:kern w:val="0"/>
                <w:sz w:val="18"/>
                <w:szCs w:val="18"/>
                <w:lang w:bidi="ar"/>
              </w:rPr>
            </w:pPr>
            <w:r>
              <w:rPr>
                <w:rFonts w:ascii="汉仪中秀体简" w:hAnsi="汉仪中秀体简" w:eastAsia="汉仪中秀体简" w:cs="汉仪中秀体简"/>
                <w:color w:val="000000"/>
                <w:kern w:val="0"/>
                <w:sz w:val="18"/>
                <w:szCs w:val="18"/>
                <w:lang w:bidi="ar"/>
              </w:rPr>
              <w:t>…</w:t>
            </w:r>
          </w:p>
        </w:tc>
        <w:tc>
          <w:tcPr>
            <w:tcW w:w="4228" w:type="dxa"/>
            <w:gridSpan w:val="2"/>
            <w:vAlign w:val="center"/>
          </w:tcPr>
          <w:p>
            <w:pPr>
              <w:spacing w:line="260" w:lineRule="exact"/>
              <w:jc w:val="left"/>
              <w:textAlignment w:val="center"/>
              <w:rPr>
                <w:rFonts w:ascii="汉仪中秀体简" w:hAnsi="汉仪中秀体简" w:eastAsia="汉仪中秀体简" w:cs="汉仪中秀体简"/>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restart"/>
            <w:vAlign w:val="center"/>
          </w:tcPr>
          <w:p>
            <w:pPr>
              <w:spacing w:line="260" w:lineRule="exact"/>
              <w:jc w:val="center"/>
              <w:rPr>
                <w:rFonts w:ascii="宋体" w:hAnsi="宋体" w:cs="宋体"/>
                <w:sz w:val="18"/>
                <w:szCs w:val="18"/>
              </w:rPr>
            </w:pPr>
            <w:r>
              <w:rPr>
                <w:rFonts w:hint="eastAsia" w:ascii="宋体" w:hAnsi="宋体" w:cs="宋体"/>
                <w:sz w:val="18"/>
                <w:szCs w:val="18"/>
              </w:rPr>
              <w:t>可持续影响指标</w:t>
            </w:r>
          </w:p>
        </w:tc>
        <w:tc>
          <w:tcPr>
            <w:tcW w:w="2872" w:type="dxa"/>
            <w:vAlign w:val="center"/>
          </w:tcPr>
          <w:p>
            <w:pPr>
              <w:spacing w:line="260" w:lineRule="exact"/>
              <w:jc w:val="left"/>
              <w:textAlignment w:val="center"/>
              <w:rPr>
                <w:rFonts w:ascii="宋体" w:hAnsi="宋体" w:cs="宋体"/>
                <w:sz w:val="18"/>
                <w:szCs w:val="18"/>
              </w:rPr>
            </w:pPr>
            <w:r>
              <w:rPr>
                <w:rFonts w:hint="eastAsia" w:ascii="宋体" w:hAnsi="宋体" w:cs="宋体"/>
                <w:color w:val="000000"/>
                <w:kern w:val="0"/>
                <w:sz w:val="18"/>
                <w:szCs w:val="18"/>
                <w:lang w:bidi="ar"/>
              </w:rPr>
              <w:t>对职工工作积极性的影响</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持续提高职工工作积极性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Merge w:val="continue"/>
            <w:vAlign w:val="center"/>
          </w:tcPr>
          <w:p>
            <w:pPr>
              <w:spacing w:line="260" w:lineRule="exact"/>
              <w:jc w:val="center"/>
              <w:rPr>
                <w:rFonts w:ascii="宋体" w:hAnsi="宋体" w:cs="宋体"/>
                <w:sz w:val="18"/>
                <w:szCs w:val="18"/>
              </w:rPr>
            </w:pPr>
          </w:p>
        </w:tc>
        <w:tc>
          <w:tcPr>
            <w:tcW w:w="2872" w:type="dxa"/>
            <w:vAlign w:val="center"/>
          </w:tcPr>
          <w:p>
            <w:pPr>
              <w:spacing w:line="26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cs="宋体"/>
                <w:sz w:val="18"/>
                <w:szCs w:val="18"/>
              </w:rPr>
            </w:pPr>
          </w:p>
        </w:tc>
        <w:tc>
          <w:tcPr>
            <w:tcW w:w="759" w:type="dxa"/>
            <w:gridSpan w:val="2"/>
            <w:vAlign w:val="center"/>
          </w:tcPr>
          <w:p>
            <w:pPr>
              <w:spacing w:line="260" w:lineRule="exact"/>
              <w:jc w:val="center"/>
              <w:rPr>
                <w:rFonts w:ascii="宋体" w:hAnsi="宋体" w:cs="宋体"/>
                <w:sz w:val="18"/>
                <w:szCs w:val="18"/>
              </w:rPr>
            </w:pPr>
            <w:r>
              <w:rPr>
                <w:rFonts w:hint="eastAsia" w:ascii="宋体" w:hAnsi="宋体" w:cs="宋体"/>
                <w:color w:val="000000"/>
                <w:kern w:val="0"/>
                <w:sz w:val="18"/>
                <w:szCs w:val="18"/>
                <w:lang w:bidi="ar"/>
              </w:rPr>
              <w:t>…</w:t>
            </w:r>
          </w:p>
        </w:tc>
        <w:tc>
          <w:tcPr>
            <w:tcW w:w="2872" w:type="dxa"/>
            <w:vAlign w:val="center"/>
          </w:tcPr>
          <w:p>
            <w:pPr>
              <w:spacing w:line="260" w:lineRule="exact"/>
              <w:jc w:val="left"/>
              <w:textAlignment w:val="center"/>
              <w:rPr>
                <w:rFonts w:ascii="宋体" w:hAnsi="宋体" w:cs="宋体"/>
                <w:color w:val="000000"/>
                <w:kern w:val="0"/>
                <w:sz w:val="18"/>
                <w:szCs w:val="18"/>
                <w:lang w:bidi="ar"/>
              </w:rPr>
            </w:pPr>
          </w:p>
        </w:tc>
        <w:tc>
          <w:tcPr>
            <w:tcW w:w="4228" w:type="dxa"/>
            <w:gridSpan w:val="2"/>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restart"/>
            <w:vAlign w:val="center"/>
          </w:tcPr>
          <w:p>
            <w:pPr>
              <w:spacing w:line="260" w:lineRule="exact"/>
              <w:jc w:val="center"/>
              <w:rPr>
                <w:rFonts w:ascii="宋体" w:hAnsi="宋体" w:cs="宋体"/>
                <w:sz w:val="18"/>
                <w:szCs w:val="18"/>
              </w:rPr>
            </w:pPr>
            <w:r>
              <w:rPr>
                <w:rFonts w:hint="eastAsia" w:ascii="宋体" w:hAnsi="宋体" w:cs="宋体"/>
                <w:sz w:val="18"/>
                <w:szCs w:val="18"/>
              </w:rPr>
              <w:t>满意度指标</w:t>
            </w:r>
          </w:p>
        </w:tc>
        <w:tc>
          <w:tcPr>
            <w:tcW w:w="759" w:type="dxa"/>
            <w:gridSpan w:val="2"/>
            <w:vMerge w:val="restart"/>
            <w:vAlign w:val="center"/>
          </w:tcPr>
          <w:p>
            <w:pPr>
              <w:spacing w:line="260" w:lineRule="exact"/>
              <w:jc w:val="center"/>
              <w:rPr>
                <w:rFonts w:ascii="宋体" w:hAnsi="宋体" w:cs="宋体"/>
                <w:sz w:val="18"/>
                <w:szCs w:val="18"/>
              </w:rPr>
            </w:pPr>
            <w:r>
              <w:rPr>
                <w:rFonts w:hint="eastAsia" w:ascii="宋体" w:hAnsi="宋体" w:cs="宋体"/>
                <w:sz w:val="18"/>
                <w:szCs w:val="18"/>
              </w:rPr>
              <w:t>满意度指标</w:t>
            </w:r>
          </w:p>
        </w:tc>
        <w:tc>
          <w:tcPr>
            <w:tcW w:w="2872" w:type="dxa"/>
            <w:vAlign w:val="center"/>
          </w:tcPr>
          <w:p>
            <w:pPr>
              <w:spacing w:line="260" w:lineRule="exact"/>
              <w:jc w:val="left"/>
              <w:textAlignment w:val="center"/>
              <w:rPr>
                <w:rFonts w:ascii="宋体" w:hAnsi="宋体" w:cs="宋体"/>
                <w:sz w:val="18"/>
                <w:szCs w:val="18"/>
              </w:rPr>
            </w:pPr>
            <w:r>
              <w:rPr>
                <w:rFonts w:hint="eastAsia" w:ascii="宋体" w:hAnsi="宋体" w:cs="宋体"/>
                <w:color w:val="000000"/>
                <w:kern w:val="0"/>
                <w:sz w:val="18"/>
                <w:szCs w:val="18"/>
                <w:lang w:bidi="ar"/>
              </w:rPr>
              <w:t>群众满意度</w:t>
            </w:r>
          </w:p>
        </w:tc>
        <w:tc>
          <w:tcPr>
            <w:tcW w:w="4228" w:type="dxa"/>
            <w:gridSpan w:val="2"/>
            <w:vAlign w:val="center"/>
          </w:tcPr>
          <w:p>
            <w:pPr>
              <w:spacing w:line="260" w:lineRule="exact"/>
              <w:jc w:val="center"/>
              <w:rPr>
                <w:rFonts w:ascii="宋体" w:cs="宋体"/>
                <w:sz w:val="18"/>
                <w:szCs w:val="18"/>
              </w:rPr>
            </w:pPr>
            <w:r>
              <w:rPr>
                <w:rFonts w:hint="eastAsia" w:ascii="宋体" w:cs="宋体"/>
                <w:sz w:val="18"/>
                <w:szCs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723" w:type="dxa"/>
            <w:vMerge w:val="continue"/>
            <w:vAlign w:val="center"/>
          </w:tcPr>
          <w:p>
            <w:pPr>
              <w:spacing w:line="260" w:lineRule="exact"/>
              <w:jc w:val="center"/>
              <w:rPr>
                <w:rFonts w:ascii="宋体" w:hAnsi="宋体" w:cs="宋体"/>
                <w:sz w:val="18"/>
                <w:szCs w:val="18"/>
              </w:rPr>
            </w:pPr>
          </w:p>
        </w:tc>
        <w:tc>
          <w:tcPr>
            <w:tcW w:w="759" w:type="dxa"/>
            <w:gridSpan w:val="2"/>
            <w:vMerge w:val="continue"/>
            <w:vAlign w:val="center"/>
          </w:tcPr>
          <w:p>
            <w:pPr>
              <w:spacing w:line="260" w:lineRule="exact"/>
              <w:jc w:val="center"/>
              <w:rPr>
                <w:rFonts w:ascii="宋体" w:hAnsi="宋体" w:cs="宋体"/>
                <w:sz w:val="18"/>
                <w:szCs w:val="18"/>
              </w:rPr>
            </w:pPr>
          </w:p>
        </w:tc>
        <w:tc>
          <w:tcPr>
            <w:tcW w:w="2872" w:type="dxa"/>
            <w:vAlign w:val="center"/>
          </w:tcPr>
          <w:p>
            <w:pPr>
              <w:spacing w:line="260" w:lineRule="exact"/>
              <w:jc w:val="left"/>
              <w:textAlignment w:val="center"/>
              <w:rPr>
                <w:rFonts w:ascii="宋体" w:hAnsi="宋体" w:cs="宋体"/>
                <w:sz w:val="18"/>
                <w:szCs w:val="18"/>
              </w:rPr>
            </w:pPr>
            <w:r>
              <w:rPr>
                <w:rFonts w:hint="eastAsia" w:ascii="宋体" w:hAnsi="宋体" w:cs="宋体"/>
                <w:color w:val="000000"/>
                <w:kern w:val="0"/>
                <w:sz w:val="18"/>
                <w:szCs w:val="18"/>
                <w:lang w:bidi="ar"/>
              </w:rPr>
              <w:t>…</w:t>
            </w:r>
          </w:p>
        </w:tc>
        <w:tc>
          <w:tcPr>
            <w:tcW w:w="4228" w:type="dxa"/>
            <w:gridSpan w:val="2"/>
            <w:vAlign w:val="center"/>
          </w:tcPr>
          <w:p>
            <w:pPr>
              <w:spacing w:line="260" w:lineRule="exact"/>
              <w:jc w:val="center"/>
              <w:rPr>
                <w:rFonts w:ascii="宋体" w:cs="宋体"/>
                <w:sz w:val="18"/>
                <w:szCs w:val="18"/>
              </w:rPr>
            </w:pPr>
          </w:p>
        </w:tc>
      </w:tr>
    </w:tbl>
    <w:p>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cs="宋体"/>
          <w:kern w:val="0"/>
          <w:sz w:val="32"/>
          <w:szCs w:val="32"/>
        </w:rPr>
        <w:t>寿县住房和城乡建设局</w:t>
      </w:r>
      <w:r>
        <w:rPr>
          <w:rFonts w:hint="eastAsia" w:ascii="仿宋_GB2312" w:hAnsi="仿宋" w:eastAsia="仿宋_GB2312"/>
          <w:sz w:val="32"/>
          <w:szCs w:val="32"/>
        </w:rPr>
        <w:t>2024年机关运行经费财政拨款预算52.32万元，比2023年预算减少5.22万元，减少9.07%，减少主要原因是下属事业单位人防办转入发改委。</w:t>
      </w:r>
    </w:p>
    <w:p>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pPr>
        <w:adjustRightInd w:val="0"/>
        <w:snapToGrid w:val="0"/>
        <w:spacing w:line="600" w:lineRule="exact"/>
        <w:ind w:firstLine="640" w:firstLineChars="200"/>
        <w:rPr>
          <w:rFonts w:ascii="仿宋_GB2312" w:hAnsi="楷体" w:eastAsia="仿宋_GB2312"/>
          <w:sz w:val="32"/>
          <w:szCs w:val="32"/>
        </w:rPr>
      </w:pPr>
      <w:r>
        <w:rPr>
          <w:rFonts w:hint="eastAsia" w:ascii="仿宋_GB2312" w:hAnsi="仿宋" w:eastAsia="仿宋_GB2312" w:cs="宋体"/>
          <w:kern w:val="0"/>
          <w:sz w:val="32"/>
          <w:szCs w:val="32"/>
        </w:rPr>
        <w:t>寿县住房和城乡建设局</w:t>
      </w:r>
      <w:r>
        <w:rPr>
          <w:rFonts w:hint="eastAsia" w:ascii="仿宋_GB2312" w:hAnsi="楷体" w:eastAsia="仿宋_GB2312"/>
          <w:sz w:val="32"/>
          <w:szCs w:val="32"/>
        </w:rPr>
        <w:t>2024年政府采购预算4万元。其中：政府采购货物预算4万元，</w:t>
      </w:r>
      <w:r>
        <w:rPr>
          <w:rFonts w:hint="eastAsia" w:ascii="仿宋_GB2312" w:hAnsi="仿宋" w:eastAsia="仿宋_GB2312"/>
          <w:sz w:val="32"/>
          <w:szCs w:val="32"/>
        </w:rPr>
        <w:t>无政府采购工程预算和政府采购服务预算。</w:t>
      </w:r>
    </w:p>
    <w:p>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pPr>
        <w:adjustRightInd w:val="0"/>
        <w:snapToGrid w:val="0"/>
        <w:spacing w:line="600" w:lineRule="exact"/>
        <w:ind w:firstLine="640" w:firstLineChars="200"/>
        <w:rPr>
          <w:rFonts w:ascii="仿宋_GB2312" w:hAnsi="楷体" w:eastAsia="仿宋_GB2312"/>
          <w:color w:val="3366FF"/>
          <w:sz w:val="32"/>
          <w:szCs w:val="32"/>
        </w:rPr>
      </w:pPr>
      <w:r>
        <w:rPr>
          <w:rFonts w:hint="eastAsia" w:ascii="仿宋_GB2312" w:hAnsi="仿宋" w:eastAsia="仿宋_GB2312"/>
          <w:sz w:val="32"/>
          <w:szCs w:val="32"/>
        </w:rPr>
        <w:t>截至2023年12月31日，</w:t>
      </w:r>
      <w:r>
        <w:rPr>
          <w:rFonts w:hint="eastAsia" w:ascii="仿宋_GB2312" w:hAnsi="仿宋" w:eastAsia="仿宋_GB2312" w:cs="宋体"/>
          <w:kern w:val="0"/>
          <w:sz w:val="32"/>
          <w:szCs w:val="32"/>
        </w:rPr>
        <w:t>寿县寿县住房和城乡建设局无车辆，无</w:t>
      </w:r>
      <w:r>
        <w:rPr>
          <w:rFonts w:hint="eastAsia" w:ascii="仿宋_GB2312" w:hAnsi="楷体" w:eastAsia="仿宋_GB2312"/>
          <w:sz w:val="32"/>
          <w:szCs w:val="32"/>
        </w:rPr>
        <w:t>单位价值50万元以上的通用设备。</w:t>
      </w:r>
    </w:p>
    <w:p>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pPr>
        <w:adjustRightInd w:val="0"/>
        <w:snapToGrid w:val="0"/>
        <w:spacing w:line="600" w:lineRule="exact"/>
        <w:ind w:firstLine="640" w:firstLineChars="200"/>
        <w:outlineLvl w:val="0"/>
        <w:rPr>
          <w:rFonts w:ascii="仿宋_GB2312" w:hAnsi="仿宋" w:eastAsia="仿宋_GB2312"/>
          <w:sz w:val="32"/>
          <w:szCs w:val="32"/>
        </w:rPr>
      </w:pPr>
      <w:r>
        <w:rPr>
          <w:rFonts w:hint="eastAsia" w:ascii="仿宋_GB2312" w:hAnsi="TimesNewRoman" w:eastAsia="仿宋_GB2312" w:cs="TimesNewRoman"/>
          <w:sz w:val="32"/>
          <w:szCs w:val="32"/>
        </w:rPr>
        <w:t>2024年，</w:t>
      </w:r>
      <w:r>
        <w:rPr>
          <w:rFonts w:hint="eastAsia" w:ascii="仿宋_GB2312" w:hAnsi="仿宋" w:eastAsia="仿宋_GB2312" w:cs="宋体"/>
          <w:kern w:val="0"/>
          <w:sz w:val="32"/>
          <w:szCs w:val="32"/>
        </w:rPr>
        <w:t>寿县住房和城乡建设局</w:t>
      </w:r>
      <w:r>
        <w:rPr>
          <w:rFonts w:hint="eastAsia" w:ascii="仿宋_GB2312" w:hAnsi="仿宋" w:eastAsia="仿宋_GB2312"/>
          <w:sz w:val="32"/>
          <w:szCs w:val="32"/>
        </w:rPr>
        <w:t>1个项目实行了绩效目标管理，涉及一般公共预算当年财政拨款244万元。</w:t>
      </w:r>
    </w:p>
    <w:p>
      <w:pPr>
        <w:topLinePunct/>
        <w:adjustRightInd w:val="0"/>
        <w:snapToGrid w:val="0"/>
        <w:spacing w:line="560" w:lineRule="exact"/>
        <w:ind w:firstLine="720" w:firstLineChars="200"/>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p>
    <w:p>
      <w:pPr>
        <w:topLinePunct/>
        <w:adjustRightInd w:val="0"/>
        <w:snapToGrid w:val="0"/>
        <w:spacing w:line="560" w:lineRule="exact"/>
        <w:rPr>
          <w:rFonts w:ascii="TimesNewRoman" w:hAnsi="TimesNewRoman" w:eastAsia="黑体" w:cs="TimesNewRoman"/>
          <w:szCs w:val="32"/>
        </w:rPr>
      </w:pPr>
    </w:p>
    <w:p>
      <w:pPr>
        <w:adjustRightInd w:val="0"/>
        <w:snapToGrid w:val="0"/>
        <w:spacing w:line="600" w:lineRule="exact"/>
        <w:jc w:val="center"/>
        <w:rPr>
          <w:rFonts w:ascii="方正小标宋简体" w:hAnsi="方正小标宋简体" w:eastAsia="方正小标宋简体" w:cs="宋体"/>
          <w:sz w:val="44"/>
          <w:szCs w:val="44"/>
        </w:rPr>
      </w:pPr>
      <w:r>
        <w:rPr>
          <w:rFonts w:hint="eastAsia" w:ascii="方正小标宋简体" w:hAnsi="方正小标宋简体" w:eastAsia="方正小标宋简体" w:cs="宋体"/>
          <w:sz w:val="44"/>
          <w:szCs w:val="44"/>
        </w:rPr>
        <w:t>第四部分 名词解释</w:t>
      </w:r>
    </w:p>
    <w:p>
      <w:pPr>
        <w:adjustRightInd w:val="0"/>
        <w:snapToGrid w:val="0"/>
        <w:spacing w:line="600" w:lineRule="exact"/>
        <w:jc w:val="center"/>
        <w:rPr>
          <w:rFonts w:ascii="仿宋_GB2312" w:hAnsi="黑体" w:eastAsia="仿宋_GB2312"/>
          <w:sz w:val="32"/>
          <w:szCs w:val="32"/>
        </w:rPr>
      </w:pPr>
    </w:p>
    <w:p>
      <w:pPr>
        <w:adjustRightInd w:val="0"/>
        <w:snapToGrid w:val="0"/>
        <w:spacing w:line="600" w:lineRule="exact"/>
        <w:ind w:firstLine="640" w:firstLineChars="200"/>
        <w:rPr>
          <w:rFonts w:ascii="仿宋_GB2312" w:hAnsi="仿宋" w:eastAsia="仿宋_GB2312"/>
          <w:sz w:val="32"/>
          <w:szCs w:val="32"/>
        </w:rPr>
      </w:pPr>
      <w:r>
        <w:rPr>
          <w:rFonts w:hint="eastAsia" w:ascii="黑体" w:hAnsi="仿宋" w:eastAsia="黑体"/>
          <w:sz w:val="32"/>
          <w:szCs w:val="32"/>
        </w:rPr>
        <w:t>一、财政拨款收入</w:t>
      </w:r>
      <w:r>
        <w:rPr>
          <w:rFonts w:hint="eastAsia" w:ascii="仿宋_GB2312" w:hAnsi="仿宋" w:eastAsia="仿宋_GB2312"/>
          <w:b/>
          <w:sz w:val="32"/>
          <w:szCs w:val="32"/>
        </w:rPr>
        <w:t>：</w:t>
      </w:r>
      <w:r>
        <w:rPr>
          <w:rFonts w:hint="eastAsia" w:ascii="仿宋_GB2312" w:hAnsi="仿宋" w:eastAsia="仿宋_GB2312"/>
          <w:sz w:val="32"/>
          <w:szCs w:val="32"/>
        </w:rPr>
        <w:t>指部门或单位从同级财政部门取得的财政预算资金。</w:t>
      </w:r>
    </w:p>
    <w:p>
      <w:pPr>
        <w:pStyle w:val="5"/>
        <w:adjustRightInd w:val="0"/>
        <w:snapToGrid w:val="0"/>
        <w:spacing w:beforeAutospacing="0" w:afterAutospacing="0" w:line="600" w:lineRule="exact"/>
        <w:ind w:firstLine="627" w:firstLineChars="196"/>
        <w:rPr>
          <w:rFonts w:ascii="仿宋_GB2312" w:hAnsi="黑体" w:eastAsia="仿宋_GB2312"/>
          <w:sz w:val="32"/>
          <w:szCs w:val="32"/>
        </w:rPr>
      </w:pPr>
      <w:r>
        <w:rPr>
          <w:rFonts w:hint="eastAsia" w:ascii="黑体" w:hAnsi="黑体" w:eastAsia="黑体"/>
          <w:sz w:val="32"/>
          <w:szCs w:val="32"/>
        </w:rPr>
        <w:t>二、基本支出</w:t>
      </w:r>
      <w:r>
        <w:rPr>
          <w:rFonts w:hint="eastAsia" w:ascii="仿宋_GB2312" w:hAnsi="黑体" w:eastAsia="仿宋_GB2312"/>
          <w:b/>
          <w:sz w:val="32"/>
          <w:szCs w:val="32"/>
        </w:rPr>
        <w:t>：</w:t>
      </w:r>
      <w:r>
        <w:rPr>
          <w:rFonts w:hint="eastAsia" w:ascii="仿宋_GB2312" w:hAnsi="黑体" w:eastAsia="仿宋_GB2312"/>
          <w:sz w:val="32"/>
          <w:szCs w:val="32"/>
        </w:rPr>
        <w:t>指为保障机构正常运转、完成日常工作任务而发生的人员支出和公用支出。</w:t>
      </w:r>
    </w:p>
    <w:p>
      <w:pPr>
        <w:pStyle w:val="5"/>
        <w:spacing w:beforeAutospacing="0" w:afterAutospacing="0" w:line="600" w:lineRule="exact"/>
        <w:ind w:firstLine="627" w:firstLineChars="196"/>
        <w:jc w:val="both"/>
        <w:rPr>
          <w:rFonts w:ascii="仿宋_GB2312" w:hAnsi="黑体" w:eastAsia="仿宋_GB2312"/>
          <w:sz w:val="32"/>
          <w:szCs w:val="32"/>
        </w:rPr>
      </w:pPr>
      <w:r>
        <w:rPr>
          <w:rFonts w:hint="eastAsia" w:ascii="黑体" w:hAnsi="黑体" w:eastAsia="黑体"/>
          <w:sz w:val="32"/>
          <w:szCs w:val="32"/>
        </w:rPr>
        <w:t>三、项目支出</w:t>
      </w:r>
      <w:r>
        <w:rPr>
          <w:rFonts w:hint="eastAsia" w:ascii="仿宋_GB2312" w:hAnsi="黑体" w:eastAsia="仿宋_GB2312"/>
          <w:b/>
          <w:sz w:val="32"/>
          <w:szCs w:val="32"/>
        </w:rPr>
        <w:t>：</w:t>
      </w:r>
      <w:r>
        <w:rPr>
          <w:rFonts w:hint="eastAsia" w:ascii="仿宋_GB2312" w:hAnsi="黑体" w:eastAsia="仿宋_GB2312"/>
          <w:sz w:val="32"/>
          <w:szCs w:val="32"/>
        </w:rPr>
        <w:t>指在除基本支出之外的支出，主要用于完成特定的工作任务和事业发展目标。</w:t>
      </w:r>
      <w:r>
        <w:rPr>
          <w:rFonts w:ascii="仿宋_GB2312" w:hAnsi="黑体" w:eastAsia="仿宋_GB2312"/>
          <w:sz w:val="32"/>
          <w:szCs w:val="32"/>
        </w:rPr>
        <w:br w:type="textWrapping"/>
      </w:r>
      <w:r>
        <w:rPr>
          <w:rFonts w:hint="eastAsia" w:ascii="仿宋_GB2312" w:hAnsi="黑体" w:eastAsia="仿宋_GB2312"/>
          <w:sz w:val="32"/>
          <w:szCs w:val="32"/>
        </w:rPr>
        <w:t xml:space="preserve">   </w:t>
      </w:r>
      <w:r>
        <w:rPr>
          <w:rFonts w:hint="eastAsia" w:ascii="黑体" w:hAnsi="黑体" w:eastAsia="黑体"/>
          <w:sz w:val="32"/>
          <w:szCs w:val="32"/>
        </w:rPr>
        <w:t xml:space="preserve"> 四、机关运行经费:</w:t>
      </w:r>
      <w:r>
        <w:rPr>
          <w:rFonts w:hint="eastAsia" w:ascii="仿宋_GB2312" w:hAnsi="黑体" w:eastAsia="仿宋_GB2312"/>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adjustRightInd w:val="0"/>
        <w:snapToGrid w:val="0"/>
        <w:spacing w:line="600" w:lineRule="exact"/>
        <w:ind w:firstLine="640" w:firstLineChars="200"/>
        <w:rPr>
          <w:rFonts w:ascii="仿宋_GB2312" w:hAnsi="仿宋" w:eastAsia="仿宋_GB2312"/>
          <w:bCs/>
          <w:sz w:val="32"/>
          <w:szCs w:val="32"/>
        </w:rPr>
      </w:pPr>
      <w:r>
        <w:rPr>
          <w:rFonts w:hint="eastAsia" w:ascii="黑体" w:hAnsi="黑体" w:eastAsia="黑体" w:cs="宋体"/>
          <w:kern w:val="0"/>
          <w:sz w:val="32"/>
          <w:szCs w:val="32"/>
        </w:rPr>
        <w:t>五、 社会保障和就业支出（类）行政事业单位养老支出（款）机关事业单位基本养老保险缴费支出（项）</w:t>
      </w:r>
      <w:r>
        <w:rPr>
          <w:rFonts w:hint="eastAsia" w:ascii="仿宋_GB2312" w:hAnsi="黑体" w:eastAsia="仿宋_GB2312" w:cs="宋体"/>
          <w:kern w:val="0"/>
          <w:sz w:val="32"/>
          <w:szCs w:val="32"/>
        </w:rPr>
        <w:t>：</w:t>
      </w:r>
      <w:r>
        <w:rPr>
          <w:rFonts w:hint="eastAsia" w:ascii="仿宋_GB2312" w:hAnsi="仿宋" w:eastAsia="仿宋_GB2312"/>
          <w:bCs/>
          <w:sz w:val="32"/>
          <w:szCs w:val="32"/>
        </w:rPr>
        <w:t>为本部门缴纳的机关事业单位基本养老保险费用。</w:t>
      </w:r>
    </w:p>
    <w:p>
      <w:pPr>
        <w:adjustRightInd w:val="0"/>
        <w:snapToGrid w:val="0"/>
        <w:spacing w:line="600" w:lineRule="exact"/>
        <w:ind w:firstLine="640" w:firstLineChars="200"/>
        <w:rPr>
          <w:rFonts w:ascii="仿宋_GB2312" w:hAnsi="仿宋" w:eastAsia="仿宋_GB2312"/>
          <w:bCs/>
          <w:sz w:val="32"/>
          <w:szCs w:val="32"/>
        </w:rPr>
      </w:pPr>
      <w:r>
        <w:rPr>
          <w:rFonts w:hint="eastAsia" w:ascii="黑体" w:hAnsi="黑体" w:eastAsia="黑体" w:cs="宋体"/>
          <w:kern w:val="0"/>
          <w:sz w:val="32"/>
          <w:szCs w:val="32"/>
        </w:rPr>
        <w:t>六、社会保障和就业支出（类）行政事业单位养老支出（款）机关事业单位职业年金缴费支出（项）：</w:t>
      </w:r>
      <w:r>
        <w:rPr>
          <w:rFonts w:hint="eastAsia" w:ascii="仿宋_GB2312" w:hAnsi="仿宋" w:eastAsia="仿宋_GB2312"/>
          <w:bCs/>
          <w:sz w:val="32"/>
          <w:szCs w:val="32"/>
        </w:rPr>
        <w:t>为本部门缴纳的机关事业单位职业年金缴费。</w:t>
      </w:r>
    </w:p>
    <w:p>
      <w:pPr>
        <w:adjustRightInd w:val="0"/>
        <w:snapToGrid w:val="0"/>
        <w:spacing w:line="600" w:lineRule="exact"/>
        <w:ind w:firstLine="640" w:firstLineChars="200"/>
        <w:rPr>
          <w:rFonts w:ascii="仿宋_GB2312" w:hAnsi="仿宋" w:eastAsia="仿宋_GB2312"/>
          <w:bCs/>
          <w:sz w:val="32"/>
          <w:szCs w:val="32"/>
        </w:rPr>
      </w:pPr>
      <w:r>
        <w:rPr>
          <w:rFonts w:hint="eastAsia" w:ascii="黑体" w:hAnsi="黑体" w:eastAsia="黑体" w:cs="宋体"/>
          <w:kern w:val="0"/>
          <w:sz w:val="32"/>
          <w:szCs w:val="32"/>
        </w:rPr>
        <w:t>七、卫生健康支出（类）行政事业单位医疗（款）行政单位医疗（项）：</w:t>
      </w:r>
      <w:r>
        <w:rPr>
          <w:rFonts w:hint="eastAsia" w:ascii="仿宋_GB2312" w:hAnsi="仿宋" w:eastAsia="仿宋_GB2312"/>
          <w:bCs/>
          <w:sz w:val="32"/>
          <w:szCs w:val="32"/>
        </w:rPr>
        <w:t>为本部门缴纳的行政人员医疗保险缴费。</w:t>
      </w:r>
    </w:p>
    <w:p>
      <w:pPr>
        <w:adjustRightInd w:val="0"/>
        <w:snapToGrid w:val="0"/>
        <w:spacing w:line="600" w:lineRule="exact"/>
        <w:ind w:firstLine="640" w:firstLineChars="200"/>
        <w:rPr>
          <w:rFonts w:ascii="仿宋_GB2312" w:hAnsi="仿宋" w:eastAsia="仿宋_GB2312"/>
          <w:bCs/>
          <w:sz w:val="32"/>
          <w:szCs w:val="32"/>
        </w:rPr>
      </w:pPr>
      <w:r>
        <w:rPr>
          <w:rFonts w:hint="eastAsia" w:ascii="黑体" w:hAnsi="黑体" w:eastAsia="黑体" w:cs="宋体"/>
          <w:kern w:val="0"/>
          <w:sz w:val="32"/>
          <w:szCs w:val="32"/>
        </w:rPr>
        <w:t>八、卫生健康支出（类）行政事业单位医疗（款）事业单位医疗（项）：</w:t>
      </w:r>
      <w:r>
        <w:rPr>
          <w:rFonts w:hint="eastAsia" w:ascii="仿宋_GB2312" w:hAnsi="仿宋" w:eastAsia="仿宋_GB2312"/>
          <w:bCs/>
          <w:sz w:val="32"/>
          <w:szCs w:val="32"/>
        </w:rPr>
        <w:t>为本部门缴纳的事业单位人员医疗保险缴费。</w:t>
      </w:r>
    </w:p>
    <w:p>
      <w:pPr>
        <w:adjustRightInd w:val="0"/>
        <w:snapToGrid w:val="0"/>
        <w:spacing w:line="600" w:lineRule="exact"/>
        <w:ind w:firstLine="640" w:firstLineChars="200"/>
        <w:rPr>
          <w:rFonts w:ascii="仿宋_GB2312" w:hAnsi="仿宋" w:eastAsia="仿宋_GB2312"/>
          <w:bCs/>
          <w:sz w:val="32"/>
          <w:szCs w:val="32"/>
        </w:rPr>
      </w:pPr>
      <w:r>
        <w:rPr>
          <w:rFonts w:hint="eastAsia" w:ascii="黑体" w:hAnsi="黑体" w:eastAsia="黑体" w:cs="宋体"/>
          <w:kern w:val="0"/>
          <w:sz w:val="32"/>
          <w:szCs w:val="32"/>
        </w:rPr>
        <w:t>九、卫生健康支出（类）行政事业单位医疗（款）公务员医疗补助（项）：</w:t>
      </w:r>
      <w:r>
        <w:rPr>
          <w:rFonts w:hint="eastAsia" w:ascii="仿宋_GB2312" w:hAnsi="仿宋" w:eastAsia="仿宋_GB2312"/>
          <w:bCs/>
          <w:sz w:val="32"/>
          <w:szCs w:val="32"/>
        </w:rPr>
        <w:t>为本部门缴纳的行政人员医疗补助。</w:t>
      </w:r>
    </w:p>
    <w:p>
      <w:pPr>
        <w:adjustRightInd w:val="0"/>
        <w:snapToGrid w:val="0"/>
        <w:spacing w:line="600" w:lineRule="exact"/>
        <w:ind w:firstLine="640" w:firstLineChars="200"/>
        <w:rPr>
          <w:rFonts w:ascii="仿宋_GB2312" w:hAnsi="仿宋" w:eastAsia="仿宋_GB2312"/>
          <w:sz w:val="32"/>
          <w:szCs w:val="32"/>
        </w:rPr>
      </w:pPr>
      <w:r>
        <w:rPr>
          <w:rFonts w:hint="eastAsia" w:ascii="黑体" w:hAnsi="黑体" w:eastAsia="黑体" w:cs="宋体"/>
          <w:kern w:val="0"/>
          <w:sz w:val="32"/>
          <w:szCs w:val="32"/>
        </w:rPr>
        <w:t>十、城乡社区支出（类）城乡社区管理事务（款）行政运行（项）：</w:t>
      </w:r>
      <w:r>
        <w:rPr>
          <w:rFonts w:hint="eastAsia" w:ascii="仿宋_GB2312" w:hAnsi="仿宋" w:eastAsia="仿宋_GB2312"/>
          <w:bCs/>
          <w:sz w:val="32"/>
          <w:szCs w:val="32"/>
        </w:rPr>
        <w:t>为本部门本级</w:t>
      </w:r>
      <w:r>
        <w:rPr>
          <w:rFonts w:hint="eastAsia" w:ascii="仿宋_GB2312" w:hAnsi="仿宋" w:eastAsia="仿宋_GB2312"/>
          <w:sz w:val="32"/>
          <w:szCs w:val="32"/>
        </w:rPr>
        <w:t>人员公用经费、工会经费</w:t>
      </w:r>
      <w:r>
        <w:rPr>
          <w:rFonts w:hint="eastAsia" w:ascii="仿宋_GB2312" w:hAnsi="仿宋" w:eastAsia="仿宋_GB2312"/>
          <w:bCs/>
          <w:sz w:val="32"/>
          <w:szCs w:val="32"/>
        </w:rPr>
        <w:t>及下属事业单位项目支出预算</w:t>
      </w:r>
      <w:r>
        <w:rPr>
          <w:rFonts w:hint="eastAsia" w:ascii="仿宋_GB2312" w:hAnsi="仿宋" w:eastAsia="仿宋_GB2312"/>
          <w:sz w:val="32"/>
          <w:szCs w:val="32"/>
        </w:rPr>
        <w:t>。</w:t>
      </w:r>
    </w:p>
    <w:p>
      <w:pPr>
        <w:adjustRightInd w:val="0"/>
        <w:snapToGrid w:val="0"/>
        <w:spacing w:line="600" w:lineRule="exact"/>
        <w:ind w:firstLine="640" w:firstLineChars="200"/>
        <w:rPr>
          <w:rFonts w:ascii="仿宋_GB2312" w:hAnsi="仿宋" w:eastAsia="仿宋_GB2312"/>
          <w:sz w:val="32"/>
          <w:szCs w:val="32"/>
        </w:rPr>
      </w:pPr>
      <w:r>
        <w:rPr>
          <w:rFonts w:hint="eastAsia" w:ascii="黑体" w:hAnsi="黑体" w:eastAsia="黑体" w:cs="宋体"/>
          <w:kern w:val="0"/>
          <w:sz w:val="32"/>
          <w:szCs w:val="32"/>
        </w:rPr>
        <w:t>十一、城乡社区支出（类）城乡社区管理事务（款）一般行政管理事务（项）：</w:t>
      </w:r>
      <w:r>
        <w:rPr>
          <w:rFonts w:hint="eastAsia" w:ascii="仿宋_GB2312" w:hAnsi="仿宋" w:eastAsia="仿宋_GB2312"/>
          <w:bCs/>
          <w:sz w:val="32"/>
          <w:szCs w:val="32"/>
        </w:rPr>
        <w:t>为本部门下属事业单位人员公</w:t>
      </w:r>
      <w:r>
        <w:rPr>
          <w:rFonts w:hint="eastAsia" w:ascii="仿宋_GB2312" w:hAnsi="仿宋" w:eastAsia="仿宋_GB2312"/>
          <w:sz w:val="32"/>
          <w:szCs w:val="32"/>
        </w:rPr>
        <w:t>用经费、工会经费等费用。</w:t>
      </w:r>
    </w:p>
    <w:p>
      <w:pPr>
        <w:adjustRightInd w:val="0"/>
        <w:snapToGrid w:val="0"/>
        <w:spacing w:line="600" w:lineRule="exact"/>
        <w:ind w:firstLine="640" w:firstLineChars="200"/>
        <w:rPr>
          <w:rFonts w:ascii="仿宋_GB2312" w:hAnsi="仿宋" w:eastAsia="仿宋_GB2312"/>
          <w:sz w:val="32"/>
          <w:szCs w:val="32"/>
        </w:rPr>
      </w:pPr>
      <w:r>
        <w:rPr>
          <w:rFonts w:hint="eastAsia" w:ascii="黑体" w:hAnsi="黑体" w:eastAsia="黑体" w:cs="宋体"/>
          <w:kern w:val="0"/>
          <w:sz w:val="32"/>
          <w:szCs w:val="32"/>
        </w:rPr>
        <w:t>十二、住房保障支出（类）住房改革支出（款）住房公积金（项）：</w:t>
      </w:r>
      <w:r>
        <w:rPr>
          <w:rFonts w:hint="eastAsia" w:ascii="仿宋_GB2312" w:hAnsi="仿宋" w:eastAsia="仿宋_GB2312"/>
          <w:bCs/>
          <w:sz w:val="32"/>
          <w:szCs w:val="32"/>
        </w:rPr>
        <w:t>为本部门本级及下属事业单位公积金缴费。</w:t>
      </w:r>
    </w:p>
    <w:p>
      <w:pPr>
        <w:pStyle w:val="5"/>
        <w:spacing w:beforeAutospacing="0" w:afterAutospacing="0" w:line="600" w:lineRule="exact"/>
        <w:ind w:firstLine="480" w:firstLineChars="150"/>
        <w:jc w:val="both"/>
        <w:rPr>
          <w:rFonts w:ascii="仿宋_GB2312" w:hAnsi="Times New Roman" w:eastAsia="仿宋_GB2312"/>
          <w:kern w:val="2"/>
          <w:sz w:val="32"/>
          <w:szCs w:val="32"/>
        </w:rPr>
      </w:pPr>
    </w:p>
    <w:p>
      <w:pPr>
        <w:pStyle w:val="5"/>
        <w:spacing w:beforeAutospacing="0" w:afterAutospacing="0" w:line="600" w:lineRule="exact"/>
        <w:ind w:firstLine="480" w:firstLineChars="150"/>
        <w:jc w:val="both"/>
        <w:rPr>
          <w:rFonts w:ascii="仿宋_GB2312" w:hAnsi="仿宋" w:eastAsia="仿宋_GB2312"/>
          <w:kern w:val="2"/>
          <w:sz w:val="32"/>
          <w:szCs w:val="32"/>
        </w:rPr>
      </w:pPr>
      <w:r>
        <w:rPr>
          <w:rFonts w:hint="eastAsia" w:ascii="仿宋_GB2312" w:hAnsi="Times New Roman" w:eastAsia="仿宋_GB2312"/>
          <w:kern w:val="2"/>
          <w:sz w:val="32"/>
          <w:szCs w:val="32"/>
        </w:rPr>
        <w:t>附表：</w:t>
      </w:r>
      <w:r>
        <w:rPr>
          <w:rFonts w:hint="eastAsia" w:ascii="仿宋_GB2312" w:hAnsi="仿宋" w:eastAsia="仿宋_GB2312"/>
          <w:bCs/>
          <w:color w:val="000000"/>
          <w:sz w:val="32"/>
          <w:szCs w:val="32"/>
        </w:rPr>
        <w:t>寿县</w:t>
      </w:r>
      <w:r>
        <w:rPr>
          <w:rFonts w:hint="eastAsia" w:ascii="仿宋_GB2312" w:hAnsi="仿宋" w:eastAsia="仿宋_GB2312" w:cs="宋体"/>
          <w:sz w:val="32"/>
          <w:szCs w:val="32"/>
        </w:rPr>
        <w:t>住房和城乡建设局</w:t>
      </w:r>
      <w:r>
        <w:rPr>
          <w:rFonts w:hint="eastAsia" w:ascii="仿宋_GB2312" w:hAnsi="仿宋" w:eastAsia="仿宋_GB2312"/>
          <w:bCs/>
          <w:sz w:val="32"/>
          <w:szCs w:val="32"/>
        </w:rPr>
        <w:t>2024年部门预算表</w:t>
      </w:r>
    </w:p>
    <w:p>
      <w:pPr>
        <w:pStyle w:val="5"/>
        <w:topLinePunct/>
        <w:spacing w:beforeAutospacing="0" w:afterAutospacing="0" w:line="560" w:lineRule="exact"/>
        <w:ind w:firstLine="480" w:firstLineChars="150"/>
        <w:jc w:val="both"/>
        <w:rPr>
          <w:rStyle w:val="8"/>
          <w:rFonts w:ascii="TimesNewRoman" w:hAnsi="TimesNewRoman" w:eastAsia="楷体_GB2312" w:cs="TimesNewRoman"/>
          <w:b w:val="0"/>
          <w:sz w:val="32"/>
          <w:szCs w:val="32"/>
        </w:rPr>
      </w:pPr>
    </w:p>
    <w:p/>
    <w:sectPr>
      <w:footerReference r:id="rId5"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
    <w:altName w:val="Segoe Print"/>
    <w:panose1 w:val="00000000000000000000"/>
    <w:charset w:val="00"/>
    <w:family w:val="auto"/>
    <w:pitch w:val="default"/>
    <w:sig w:usb0="00000000" w:usb1="00000000" w:usb2="00000029" w:usb3="00000000" w:csb0="600001FF" w:csb1="FFFF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汉仪中秀体简">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36</w:t>
    </w:r>
    <w:r>
      <w:rPr>
        <w:sz w:val="28"/>
        <w:szCs w:val="28"/>
      </w:rPr>
      <w:fldChar w:fldCharType="end"/>
    </w:r>
    <w:r>
      <w:rPr>
        <w:rFonts w:hint="eastAsia"/>
        <w:sz w:val="28"/>
        <w:szCs w:val="28"/>
      </w:rPr>
      <w:t xml:space="preserve"> </w:t>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38</w:t>
    </w:r>
    <w:r>
      <w:rPr>
        <w:rFonts w:hint="eastAsia" w:ascii="宋体" w:hAnsi="宋体"/>
        <w:sz w:val="28"/>
        <w:szCs w:val="28"/>
      </w:rPr>
      <w:fldChar w:fldCharType="end"/>
    </w:r>
    <w:r>
      <w:rPr>
        <w:rFonts w:hint="eastAsia" w:ascii="宋体" w:hAnsi="宋体"/>
        <w:sz w:val="28"/>
        <w:szCs w:val="28"/>
      </w:rPr>
      <w:t xml:space="preserve"> —</w: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2MzJiZGY2MWI1YTZlZGEyMTAyMGRkNzFmOGVhN2IifQ=="/>
  </w:docVars>
  <w:rsids>
    <w:rsidRoot w:val="34C97AC9"/>
    <w:rsid w:val="00013F95"/>
    <w:rsid w:val="00137F4E"/>
    <w:rsid w:val="001573DD"/>
    <w:rsid w:val="00163DC0"/>
    <w:rsid w:val="001842D0"/>
    <w:rsid w:val="00190EF6"/>
    <w:rsid w:val="001D75DB"/>
    <w:rsid w:val="00252949"/>
    <w:rsid w:val="002C4636"/>
    <w:rsid w:val="002C7076"/>
    <w:rsid w:val="002D1242"/>
    <w:rsid w:val="00335F3A"/>
    <w:rsid w:val="0050463E"/>
    <w:rsid w:val="00552363"/>
    <w:rsid w:val="0060140C"/>
    <w:rsid w:val="0061058B"/>
    <w:rsid w:val="0063718D"/>
    <w:rsid w:val="00677385"/>
    <w:rsid w:val="00707F2D"/>
    <w:rsid w:val="007D121E"/>
    <w:rsid w:val="008437D8"/>
    <w:rsid w:val="008641A0"/>
    <w:rsid w:val="00925FF5"/>
    <w:rsid w:val="00974077"/>
    <w:rsid w:val="00A1051D"/>
    <w:rsid w:val="00B454FA"/>
    <w:rsid w:val="00B52519"/>
    <w:rsid w:val="00B63079"/>
    <w:rsid w:val="00B941B4"/>
    <w:rsid w:val="00BC36B8"/>
    <w:rsid w:val="00BF7C58"/>
    <w:rsid w:val="00C9007A"/>
    <w:rsid w:val="00D07316"/>
    <w:rsid w:val="00D16ED5"/>
    <w:rsid w:val="00DC12C1"/>
    <w:rsid w:val="00DD208D"/>
    <w:rsid w:val="00E4654E"/>
    <w:rsid w:val="00E73B7A"/>
    <w:rsid w:val="00EB3A0F"/>
    <w:rsid w:val="00FB540A"/>
    <w:rsid w:val="34C97AC9"/>
    <w:rsid w:val="56B90AAD"/>
    <w:rsid w:val="59010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autoRedefine/>
    <w:qFormat/>
    <w:uiPriority w:val="0"/>
  </w:style>
  <w:style w:type="paragraph" w:styleId="5">
    <w:name w:val="Normal (Web)"/>
    <w:basedOn w:val="1"/>
    <w:autoRedefine/>
    <w:qFormat/>
    <w:uiPriority w:val="0"/>
    <w:pPr>
      <w:spacing w:beforeAutospacing="1" w:afterAutospacing="1"/>
      <w:jc w:val="left"/>
    </w:pPr>
    <w:rPr>
      <w:rFonts w:ascii="Calibri" w:hAnsi="Calibri"/>
      <w:kern w:val="0"/>
      <w:sz w:val="24"/>
    </w:rPr>
  </w:style>
  <w:style w:type="character" w:styleId="8">
    <w:name w:val="Strong"/>
    <w:basedOn w:val="7"/>
    <w:qFormat/>
    <w:uiPriority w:val="0"/>
    <w:rPr>
      <w:b/>
      <w:bCs/>
    </w:rPr>
  </w:style>
  <w:style w:type="character" w:customStyle="1" w:styleId="9">
    <w:name w:val="页眉 字符"/>
    <w:basedOn w:val="7"/>
    <w:link w:val="3"/>
    <w:autoRedefine/>
    <w:qFormat/>
    <w:uiPriority w:val="0"/>
    <w:rPr>
      <w:rFonts w:ascii="Times New Roman" w:hAnsi="Times New Roman" w:eastAsia="宋体" w:cs="Times New Roman"/>
      <w:kern w:val="2"/>
      <w:sz w:val="18"/>
      <w:szCs w:val="18"/>
    </w:rPr>
  </w:style>
  <w:style w:type="paragraph" w:customStyle="1" w:styleId="10">
    <w:name w:val="Char"/>
    <w:basedOn w:val="1"/>
    <w:autoRedefine/>
    <w:qFormat/>
    <w:uiPriority w:val="0"/>
    <w:pPr>
      <w:spacing w:line="360" w:lineRule="auto"/>
    </w:pPr>
  </w:style>
  <w:style w:type="character" w:customStyle="1" w:styleId="11">
    <w:name w:val="15"/>
    <w:basedOn w:val="7"/>
    <w:autoRedefine/>
    <w:uiPriority w:val="0"/>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38</Pages>
  <Words>10014</Words>
  <Characters>12194</Characters>
  <Lines>117</Lines>
  <Paragraphs>33</Paragraphs>
  <TotalTime>0</TotalTime>
  <ScaleCrop>false</ScaleCrop>
  <LinksUpToDate>false</LinksUpToDate>
  <CharactersWithSpaces>14057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2024-01-16T02:39:00Z</dcterms:created>
  <dc:creator>二蛋</dc:creator>
  <cp:lastModifiedBy>连城</cp:lastModifiedBy>
  <dcterms:modified xsi:type="dcterms:W3CDTF">2024-06-11T01:45:54Z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AB12261BCF484B528A5866483B2ED966_11</vt:lpwstr>
  </property>
</Properties>
</file>