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方正小标宋简体" w:hAnsi="宋体" w:eastAsia="方正小标宋简体" w:cs="ArialUnicodeMS-WinCharSetFFFF-H"/>
          <w:b w:val="0"/>
          <w:spacing w:val="6"/>
          <w:sz w:val="44"/>
          <w:szCs w:val="44"/>
        </w:rPr>
      </w:pPr>
    </w:p>
    <w:p>
      <w:pPr>
        <w:pStyle w:val="12"/>
        <w:rPr>
          <w:rFonts w:ascii="方正小标宋简体" w:hAnsi="宋体" w:eastAsia="方正小标宋简体" w:cs="ArialUnicodeMS-WinCharSetFFFF-H"/>
          <w:b w:val="0"/>
          <w:spacing w:val="6"/>
          <w:sz w:val="44"/>
          <w:szCs w:val="44"/>
        </w:rPr>
      </w:pPr>
    </w:p>
    <w:p>
      <w:pPr>
        <w:pStyle w:val="12"/>
        <w:rPr>
          <w:rFonts w:ascii="方正小标宋简体" w:hAnsi="宋体" w:eastAsia="方正小标宋简体" w:cs="ArialUnicodeMS-WinCharSetFFFF-H"/>
          <w:b w:val="0"/>
          <w:spacing w:val="6"/>
          <w:sz w:val="44"/>
          <w:szCs w:val="44"/>
        </w:rPr>
      </w:pPr>
    </w:p>
    <w:p>
      <w:pPr>
        <w:pStyle w:val="12"/>
        <w:rPr>
          <w:rFonts w:ascii="方正小标宋简体" w:hAnsi="宋体" w:eastAsia="方正小标宋简体" w:cs="ArialUnicodeMS-WinCharSetFFFF-H"/>
          <w:b w:val="0"/>
          <w:spacing w:val="6"/>
          <w:sz w:val="44"/>
          <w:szCs w:val="44"/>
        </w:rPr>
      </w:pPr>
    </w:p>
    <w:p>
      <w:pPr>
        <w:pStyle w:val="12"/>
        <w:rPr>
          <w:rFonts w:ascii="方正小标宋简体" w:hAnsi="宋体" w:eastAsia="方正小标宋简体" w:cs="ArialUnicodeMS-WinCharSetFFFF-H"/>
          <w:b w:val="0"/>
          <w:spacing w:val="6"/>
          <w:sz w:val="44"/>
          <w:szCs w:val="44"/>
        </w:rPr>
      </w:pPr>
    </w:p>
    <w:p>
      <w:pPr>
        <w:pStyle w:val="12"/>
        <w:jc w:val="left"/>
        <w:rPr>
          <w:rFonts w:ascii="方正小标宋简体" w:hAnsi="宋体" w:eastAsia="方正小标宋简体" w:cs="ArialUnicodeMS-WinCharSetFFFF-H"/>
          <w:b w:val="0"/>
          <w:spacing w:val="6"/>
          <w:sz w:val="44"/>
          <w:szCs w:val="44"/>
        </w:rPr>
      </w:pPr>
    </w:p>
    <w:p>
      <w:pPr>
        <w:pStyle w:val="12"/>
        <w:rPr>
          <w:rFonts w:ascii="仿宋" w:hAnsi="仿宋" w:eastAsia="仿宋"/>
          <w:b w:val="0"/>
          <w:spacing w:val="-2"/>
          <w:kern w:val="0"/>
          <w:sz w:val="32"/>
          <w:szCs w:val="32"/>
        </w:rPr>
      </w:pPr>
      <w:r>
        <w:rPr>
          <w:rFonts w:hint="eastAsia" w:ascii="仿宋" w:hAnsi="仿宋" w:eastAsia="仿宋"/>
          <w:b w:val="0"/>
          <w:spacing w:val="-2"/>
          <w:kern w:val="0"/>
          <w:sz w:val="32"/>
          <w:szCs w:val="32"/>
        </w:rPr>
        <w:t>堰发〔2024</w:t>
      </w:r>
      <w:r>
        <w:rPr>
          <w:rFonts w:hint="eastAsia" w:ascii="仿宋" w:hAnsi="仿宋" w:eastAsia="仿宋" w:cs="仿宋"/>
          <w:b w:val="0"/>
          <w:spacing w:val="-2"/>
          <w:kern w:val="0"/>
          <w:sz w:val="32"/>
          <w:szCs w:val="32"/>
        </w:rPr>
        <w:t>〕</w:t>
      </w:r>
      <w:r>
        <w:rPr>
          <w:rFonts w:hint="eastAsia" w:ascii="仿宋" w:hAnsi="仿宋" w:eastAsia="仿宋"/>
          <w:b w:val="0"/>
          <w:spacing w:val="-2"/>
          <w:kern w:val="0"/>
          <w:sz w:val="32"/>
          <w:szCs w:val="32"/>
        </w:rPr>
        <w:t>41号</w:t>
      </w:r>
    </w:p>
    <w:p>
      <w:pPr>
        <w:pStyle w:val="12"/>
        <w:rPr>
          <w:rFonts w:ascii="方正小标宋简体" w:hAnsi="宋体" w:eastAsia="方正小标宋简体" w:cs="ArialUnicodeMS-WinCharSetFFFF-H"/>
          <w:b w:val="0"/>
          <w:spacing w:val="6"/>
          <w:sz w:val="44"/>
          <w:szCs w:val="44"/>
        </w:rPr>
      </w:pPr>
    </w:p>
    <w:p>
      <w:pPr>
        <w:pStyle w:val="12"/>
        <w:rPr>
          <w:rFonts w:hint="eastAsia" w:ascii="宋体" w:hAnsi="宋体" w:cs="ArialUnicodeMS-WinCharSetFFFF-H"/>
          <w:b w:val="0"/>
          <w:spacing w:val="6"/>
          <w:sz w:val="44"/>
          <w:szCs w:val="44"/>
        </w:rPr>
      </w:pPr>
    </w:p>
    <w:p>
      <w:pPr>
        <w:pStyle w:val="12"/>
        <w:rPr>
          <w:rFonts w:ascii="宋体" w:hAnsi="宋体" w:cs="ArialUnicodeMS-WinCharSetFFFF-H"/>
          <w:b w:val="0"/>
          <w:spacing w:val="6"/>
          <w:sz w:val="44"/>
          <w:szCs w:val="44"/>
        </w:rPr>
      </w:pPr>
      <w:r>
        <w:rPr>
          <w:rFonts w:hint="eastAsia" w:ascii="宋体" w:hAnsi="宋体" w:cs="ArialUnicodeMS-WinCharSetFFFF-H"/>
          <w:b w:val="0"/>
          <w:spacing w:val="6"/>
          <w:sz w:val="44"/>
          <w:szCs w:val="44"/>
        </w:rPr>
        <w:t>关于印发堰口镇2024年秸秆禁烧工作方案的通      知</w:t>
      </w:r>
    </w:p>
    <w:p>
      <w:pPr>
        <w:pStyle w:val="12"/>
        <w:spacing w:line="320" w:lineRule="exact"/>
        <w:ind w:firstLine="632" w:firstLineChars="200"/>
        <w:jc w:val="both"/>
        <w:rPr>
          <w:rFonts w:ascii="仿宋_GB2312" w:hAnsi="Times New Roman" w:eastAsia="仿宋_GB2312"/>
          <w:b w:val="0"/>
          <w:spacing w:val="-2"/>
          <w:kern w:val="0"/>
          <w:sz w:val="32"/>
          <w:szCs w:val="32"/>
        </w:rPr>
      </w:pPr>
    </w:p>
    <w:p>
      <w:pPr>
        <w:pStyle w:val="12"/>
        <w:spacing w:line="560" w:lineRule="exact"/>
        <w:jc w:val="both"/>
        <w:rPr>
          <w:rFonts w:ascii="仿宋" w:hAnsi="仿宋" w:eastAsia="仿宋"/>
          <w:b w:val="0"/>
          <w:spacing w:val="-2"/>
          <w:kern w:val="0"/>
          <w:sz w:val="32"/>
          <w:szCs w:val="32"/>
        </w:rPr>
      </w:pPr>
      <w:r>
        <w:rPr>
          <w:rFonts w:hint="eastAsia" w:ascii="仿宋" w:hAnsi="仿宋" w:eastAsia="仿宋"/>
          <w:b w:val="0"/>
          <w:spacing w:val="-2"/>
          <w:kern w:val="0"/>
          <w:sz w:val="32"/>
          <w:szCs w:val="32"/>
        </w:rPr>
        <w:t>各村党组织、村委会，镇直各单位：</w:t>
      </w:r>
    </w:p>
    <w:p>
      <w:pPr>
        <w:pStyle w:val="12"/>
        <w:spacing w:line="560" w:lineRule="exact"/>
        <w:ind w:firstLine="632" w:firstLineChars="200"/>
        <w:jc w:val="both"/>
        <w:rPr>
          <w:rFonts w:ascii="仿宋" w:hAnsi="仿宋" w:eastAsia="仿宋"/>
          <w:b w:val="0"/>
          <w:spacing w:val="-2"/>
          <w:kern w:val="0"/>
          <w:sz w:val="32"/>
          <w:szCs w:val="32"/>
        </w:rPr>
      </w:pPr>
      <w:r>
        <w:rPr>
          <w:rFonts w:hint="eastAsia" w:ascii="仿宋" w:hAnsi="仿宋" w:eastAsia="仿宋"/>
          <w:b w:val="0"/>
          <w:spacing w:val="-2"/>
          <w:kern w:val="0"/>
          <w:sz w:val="32"/>
          <w:szCs w:val="32"/>
        </w:rPr>
        <w:t>《堰口镇2024年秸秆禁烧工作方案》已经2024年5月21日镇党委（扩大）会议研究通过，现印发给你们，请结合实际认真贯彻落实。</w:t>
      </w:r>
    </w:p>
    <w:p>
      <w:pPr>
        <w:pStyle w:val="12"/>
        <w:spacing w:line="560" w:lineRule="exact"/>
        <w:ind w:firstLine="632" w:firstLineChars="200"/>
        <w:jc w:val="both"/>
        <w:rPr>
          <w:rFonts w:ascii="仿宋" w:hAnsi="仿宋" w:eastAsia="仿宋"/>
          <w:b w:val="0"/>
          <w:spacing w:val="-2"/>
          <w:kern w:val="0"/>
          <w:sz w:val="32"/>
          <w:szCs w:val="32"/>
        </w:rPr>
      </w:pPr>
      <w:r>
        <w:rPr>
          <w:rFonts w:hint="eastAsia" w:ascii="仿宋" w:hAnsi="仿宋" w:eastAsia="仿宋"/>
          <w:b w:val="0"/>
          <w:spacing w:val="-2"/>
          <w:kern w:val="0"/>
          <w:sz w:val="32"/>
          <w:szCs w:val="32"/>
        </w:rPr>
        <w:t>特此通知</w:t>
      </w:r>
    </w:p>
    <w:p>
      <w:pPr>
        <w:pStyle w:val="12"/>
        <w:spacing w:line="560" w:lineRule="exact"/>
        <w:ind w:firstLine="632" w:firstLineChars="200"/>
        <w:jc w:val="both"/>
        <w:rPr>
          <w:rFonts w:ascii="仿宋" w:hAnsi="仿宋" w:eastAsia="仿宋"/>
          <w:b w:val="0"/>
          <w:spacing w:val="-2"/>
          <w:kern w:val="0"/>
          <w:sz w:val="32"/>
          <w:szCs w:val="32"/>
        </w:rPr>
      </w:pPr>
    </w:p>
    <w:p>
      <w:pPr>
        <w:pStyle w:val="12"/>
        <w:spacing w:line="560" w:lineRule="exact"/>
        <w:ind w:right="636" w:firstLine="632" w:firstLineChars="200"/>
        <w:jc w:val="right"/>
        <w:rPr>
          <w:rFonts w:ascii="仿宋" w:hAnsi="仿宋" w:eastAsia="仿宋"/>
          <w:b w:val="0"/>
          <w:spacing w:val="-2"/>
          <w:kern w:val="0"/>
          <w:sz w:val="32"/>
          <w:szCs w:val="32"/>
        </w:rPr>
      </w:pPr>
      <w:r>
        <w:rPr>
          <w:rFonts w:hint="eastAsia" w:ascii="仿宋" w:hAnsi="仿宋" w:eastAsia="仿宋"/>
          <w:b w:val="0"/>
          <w:spacing w:val="-2"/>
          <w:kern w:val="0"/>
          <w:sz w:val="32"/>
          <w:szCs w:val="32"/>
        </w:rPr>
        <w:t>中共寿县堰口镇委员会</w:t>
      </w:r>
    </w:p>
    <w:p>
      <w:pPr>
        <w:pStyle w:val="12"/>
        <w:spacing w:line="560" w:lineRule="exact"/>
        <w:ind w:right="636" w:firstLine="632" w:firstLineChars="200"/>
        <w:jc w:val="right"/>
        <w:rPr>
          <w:rFonts w:hint="eastAsia" w:ascii="仿宋" w:hAnsi="仿宋" w:eastAsia="仿宋"/>
          <w:b w:val="0"/>
          <w:spacing w:val="-2"/>
          <w:kern w:val="0"/>
          <w:sz w:val="32"/>
          <w:szCs w:val="32"/>
        </w:rPr>
      </w:pPr>
      <w:r>
        <w:rPr>
          <w:rFonts w:hint="eastAsia" w:ascii="仿宋" w:hAnsi="仿宋" w:eastAsia="仿宋"/>
          <w:b w:val="0"/>
          <w:spacing w:val="-2"/>
          <w:kern w:val="0"/>
          <w:sz w:val="32"/>
          <w:szCs w:val="32"/>
        </w:rPr>
        <w:t>寿县堰口镇人民政府</w:t>
      </w:r>
    </w:p>
    <w:p>
      <w:pPr>
        <w:pStyle w:val="12"/>
        <w:spacing w:line="560" w:lineRule="exact"/>
        <w:ind w:right="954" w:firstLine="632" w:firstLineChars="200"/>
        <w:jc w:val="right"/>
        <w:rPr>
          <w:rFonts w:ascii="仿宋" w:hAnsi="仿宋" w:eastAsia="仿宋"/>
          <w:b w:val="0"/>
          <w:spacing w:val="-2"/>
          <w:kern w:val="0"/>
          <w:sz w:val="32"/>
          <w:szCs w:val="32"/>
        </w:rPr>
      </w:pPr>
      <w:r>
        <w:rPr>
          <w:rFonts w:hint="eastAsia" w:ascii="仿宋" w:hAnsi="仿宋" w:eastAsia="仿宋"/>
          <w:b w:val="0"/>
          <w:spacing w:val="-2"/>
          <w:kern w:val="0"/>
          <w:sz w:val="32"/>
          <w:szCs w:val="32"/>
        </w:rPr>
        <w:t>2024年5月21日</w:t>
      </w:r>
    </w:p>
    <w:p>
      <w:pPr>
        <w:pStyle w:val="12"/>
        <w:spacing w:line="560" w:lineRule="exact"/>
        <w:ind w:right="636" w:firstLine="632" w:firstLineChars="200"/>
        <w:rPr>
          <w:rFonts w:ascii="仿宋" w:hAnsi="仿宋" w:eastAsia="仿宋"/>
          <w:b w:val="0"/>
          <w:spacing w:val="-2"/>
          <w:kern w:val="0"/>
          <w:sz w:val="32"/>
          <w:szCs w:val="32"/>
        </w:rPr>
      </w:pPr>
      <w:r>
        <w:rPr>
          <w:rFonts w:hint="eastAsia" w:ascii="仿宋" w:hAnsi="仿宋" w:eastAsia="仿宋"/>
          <w:b w:val="0"/>
          <w:spacing w:val="-2"/>
          <w:kern w:val="0"/>
          <w:sz w:val="32"/>
          <w:szCs w:val="32"/>
        </w:rPr>
        <w:t xml:space="preserve">                                                </w:t>
      </w:r>
    </w:p>
    <w:p>
      <w:pPr>
        <w:pStyle w:val="12"/>
        <w:jc w:val="left"/>
        <w:rPr>
          <w:rFonts w:hint="eastAsia" w:ascii="仿宋" w:hAnsi="仿宋" w:eastAsia="仿宋" w:cs="ArialUnicodeMS-WinCharSetFFFF-H"/>
          <w:b w:val="0"/>
          <w:spacing w:val="6"/>
          <w:sz w:val="44"/>
          <w:szCs w:val="44"/>
        </w:rPr>
      </w:pPr>
    </w:p>
    <w:p>
      <w:pPr>
        <w:pStyle w:val="12"/>
        <w:rPr>
          <w:rFonts w:hint="eastAsia" w:ascii="宋体" w:hAnsi="宋体" w:cs="ArialUnicodeMS-WinCharSetFFFF-H"/>
          <w:b w:val="0"/>
          <w:spacing w:val="6"/>
          <w:sz w:val="44"/>
          <w:szCs w:val="44"/>
        </w:rPr>
      </w:pPr>
    </w:p>
    <w:p>
      <w:pPr>
        <w:pStyle w:val="12"/>
        <w:rPr>
          <w:rFonts w:hint="eastAsia" w:ascii="宋体" w:hAnsi="宋体" w:cs="ArialUnicodeMS-WinCharSetFFFF-H"/>
          <w:b w:val="0"/>
          <w:spacing w:val="6"/>
          <w:sz w:val="44"/>
          <w:szCs w:val="44"/>
        </w:rPr>
      </w:pPr>
    </w:p>
    <w:p>
      <w:pPr>
        <w:pStyle w:val="12"/>
        <w:ind w:firstLine="1356" w:firstLineChars="300"/>
        <w:jc w:val="both"/>
        <w:rPr>
          <w:rFonts w:ascii="宋体" w:hAnsi="宋体" w:cs="ArialUnicodeMS-WinCharSetFFFF-H"/>
          <w:b w:val="0"/>
          <w:spacing w:val="6"/>
          <w:sz w:val="44"/>
          <w:szCs w:val="44"/>
        </w:rPr>
      </w:pPr>
      <w:r>
        <w:rPr>
          <w:rFonts w:hint="eastAsia" w:ascii="宋体" w:hAnsi="宋体" w:cs="ArialUnicodeMS-WinCharSetFFFF-H"/>
          <w:b w:val="0"/>
          <w:spacing w:val="6"/>
          <w:sz w:val="44"/>
          <w:szCs w:val="44"/>
        </w:rPr>
        <w:t>堰口镇2024年秸秆禁烧工作方案</w:t>
      </w:r>
    </w:p>
    <w:p>
      <w:pPr>
        <w:widowControl w:val="0"/>
        <w:spacing w:after="0" w:line="320" w:lineRule="exact"/>
        <w:jc w:val="center"/>
        <w:rPr>
          <w:rFonts w:ascii="楷体_GB2312" w:hAnsi="宋体" w:eastAsia="楷体_GB2312" w:cs="ArialUnicodeMS-WinCharSetFFFF-H"/>
          <w:b/>
          <w:sz w:val="32"/>
          <w:szCs w:val="32"/>
        </w:rPr>
      </w:pPr>
    </w:p>
    <w:p>
      <w:pPr>
        <w:widowControl w:val="0"/>
        <w:spacing w:after="0" w:line="560" w:lineRule="exact"/>
        <w:ind w:firstLine="632" w:firstLineChars="200"/>
        <w:jc w:val="both"/>
        <w:rPr>
          <w:rFonts w:ascii="仿宋" w:hAnsi="仿宋" w:eastAsia="仿宋"/>
          <w:spacing w:val="-2"/>
          <w:sz w:val="32"/>
          <w:szCs w:val="32"/>
        </w:rPr>
      </w:pPr>
      <w:r>
        <w:rPr>
          <w:rFonts w:hint="eastAsia" w:ascii="仿宋" w:hAnsi="仿宋" w:eastAsia="仿宋"/>
          <w:spacing w:val="-2"/>
          <w:sz w:val="32"/>
          <w:szCs w:val="32"/>
        </w:rPr>
        <w:t>为进一步抓好全镇秸秆禁烧工作，消除因秸秆焚烧造成的大气环境污染和资源浪费，维护人民群众的身体健康和公共安全，根据《国务院关于印发空气质量持续改善行动计划的通知》（国发〔2023〕24号）等文件精神，</w:t>
      </w:r>
      <w:r>
        <w:rPr>
          <w:rFonts w:hint="eastAsia" w:ascii="仿宋" w:hAnsi="仿宋" w:eastAsia="仿宋" w:cs="仿宋_GB2312"/>
          <w:spacing w:val="-2"/>
          <w:sz w:val="32"/>
          <w:szCs w:val="32"/>
        </w:rPr>
        <w:t>结合我镇实际</w:t>
      </w:r>
      <w:r>
        <w:rPr>
          <w:rFonts w:hint="eastAsia" w:ascii="仿宋" w:hAnsi="仿宋" w:eastAsia="仿宋" w:cs="宋体"/>
          <w:spacing w:val="-2"/>
          <w:sz w:val="32"/>
          <w:szCs w:val="32"/>
        </w:rPr>
        <w:t>，</w:t>
      </w:r>
      <w:r>
        <w:rPr>
          <w:rFonts w:hint="eastAsia" w:ascii="仿宋" w:hAnsi="仿宋" w:eastAsia="仿宋" w:cs="仿宋_GB2312"/>
          <w:spacing w:val="-2"/>
          <w:sz w:val="32"/>
          <w:szCs w:val="32"/>
        </w:rPr>
        <w:t>制定本方案</w:t>
      </w:r>
      <w:r>
        <w:rPr>
          <w:rFonts w:hint="eastAsia" w:ascii="仿宋" w:hAnsi="仿宋" w:eastAsia="仿宋" w:cs="宋体"/>
          <w:spacing w:val="-2"/>
          <w:sz w:val="32"/>
          <w:szCs w:val="32"/>
        </w:rPr>
        <w:t>。</w:t>
      </w:r>
    </w:p>
    <w:p>
      <w:pPr>
        <w:widowControl w:val="0"/>
        <w:adjustRightInd/>
        <w:snapToGrid/>
        <w:spacing w:after="0" w:line="560" w:lineRule="exact"/>
        <w:ind w:firstLine="640" w:firstLineChars="200"/>
        <w:rPr>
          <w:rFonts w:ascii="仿宋" w:hAnsi="仿宋" w:eastAsia="仿宋"/>
          <w:sz w:val="32"/>
          <w:szCs w:val="32"/>
        </w:rPr>
      </w:pPr>
      <w:r>
        <w:rPr>
          <w:rFonts w:hint="eastAsia" w:ascii="仿宋" w:hAnsi="仿宋" w:eastAsia="仿宋"/>
          <w:sz w:val="32"/>
          <w:szCs w:val="32"/>
        </w:rPr>
        <w:t>一、总体要求</w:t>
      </w:r>
    </w:p>
    <w:p>
      <w:pPr>
        <w:widowControl w:val="0"/>
        <w:adjustRightInd/>
        <w:snapToGrid/>
        <w:spacing w:after="0" w:line="560" w:lineRule="exact"/>
        <w:ind w:firstLine="640" w:firstLineChars="200"/>
        <w:rPr>
          <w:rFonts w:ascii="仿宋" w:hAnsi="仿宋" w:eastAsia="仿宋"/>
          <w:sz w:val="32"/>
          <w:szCs w:val="32"/>
        </w:rPr>
      </w:pPr>
      <w:r>
        <w:rPr>
          <w:rFonts w:hint="eastAsia" w:ascii="仿宋" w:hAnsi="仿宋" w:eastAsia="仿宋"/>
          <w:sz w:val="32"/>
          <w:szCs w:val="32"/>
        </w:rPr>
        <w:t>坚持源头防控、标本兼治，属地管理、综合治理，采取常态化管理和集中攻坚相结合的模式，着力控制秸秆露天焚烧，持续深化和巩固秸秆禁烧工作成果，构建农作物秸秆禁烧长效机制，坚决打赢蓝天保卫战，实现空气质量持续改善。</w:t>
      </w:r>
    </w:p>
    <w:p>
      <w:pPr>
        <w:widowControl w:val="0"/>
        <w:adjustRightInd/>
        <w:snapToGrid/>
        <w:spacing w:after="0" w:line="560" w:lineRule="exact"/>
        <w:ind w:firstLine="640" w:firstLineChars="200"/>
        <w:rPr>
          <w:rFonts w:ascii="仿宋" w:hAnsi="仿宋" w:eastAsia="仿宋"/>
          <w:sz w:val="32"/>
          <w:szCs w:val="32"/>
        </w:rPr>
      </w:pPr>
      <w:r>
        <w:rPr>
          <w:rFonts w:hint="eastAsia" w:ascii="仿宋" w:hAnsi="仿宋" w:eastAsia="仿宋"/>
          <w:sz w:val="32"/>
          <w:szCs w:val="32"/>
        </w:rPr>
        <w:t>二、工作目标</w:t>
      </w:r>
    </w:p>
    <w:p>
      <w:pPr>
        <w:widowControl w:val="0"/>
        <w:adjustRightInd/>
        <w:snapToGrid/>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继续实施全镇全年全区域秸秆禁烧，遏制午季（2024年5月1日0时至2024年8月31日24时）、秋季（2024年9月1日0时至2025年4月30日24时）露天焚烧秸秆、落叶、荒草、垃圾等产生烟尘污染的行为，其中5月20日至6月30日、9月20日至11月20日以及重大活动保障期间、重污染天气应急响应期间为重点时段，力争全年实现“零火点”，确保完成省、市、县下达的考核目标任务。</w:t>
      </w:r>
    </w:p>
    <w:p>
      <w:pPr>
        <w:widowControl w:val="0"/>
        <w:adjustRightInd/>
        <w:snapToGrid/>
        <w:spacing w:after="0" w:line="560" w:lineRule="exact"/>
        <w:ind w:firstLine="640" w:firstLineChars="200"/>
        <w:rPr>
          <w:rFonts w:ascii="仿宋" w:hAnsi="仿宋" w:eastAsia="仿宋" w:cs="ArialUnicodeMS-WinCharSetFFFF-H"/>
          <w:sz w:val="32"/>
          <w:szCs w:val="32"/>
        </w:rPr>
      </w:pPr>
      <w:r>
        <w:rPr>
          <w:rFonts w:hint="eastAsia" w:ascii="仿宋" w:hAnsi="仿宋" w:eastAsia="仿宋"/>
          <w:sz w:val="32"/>
          <w:szCs w:val="32"/>
        </w:rPr>
        <w:t>三、工作要求</w:t>
      </w:r>
    </w:p>
    <w:p>
      <w:pPr>
        <w:widowControl w:val="0"/>
        <w:autoSpaceDE w:val="0"/>
        <w:autoSpaceDN w:val="0"/>
        <w:spacing w:after="0" w:line="560" w:lineRule="exact"/>
        <w:ind w:firstLine="643" w:firstLineChars="200"/>
        <w:jc w:val="both"/>
        <w:rPr>
          <w:rFonts w:ascii="仿宋" w:hAnsi="仿宋" w:eastAsia="仿宋" w:cs="ArialUnicodeMS-WinCharSetFFFF-H"/>
          <w:sz w:val="32"/>
          <w:szCs w:val="32"/>
        </w:rPr>
      </w:pPr>
      <w:r>
        <w:rPr>
          <w:rFonts w:hint="eastAsia" w:ascii="仿宋" w:hAnsi="仿宋" w:eastAsia="仿宋" w:cs="楷体_GB2312"/>
          <w:b/>
          <w:sz w:val="32"/>
          <w:szCs w:val="32"/>
        </w:rPr>
        <w:t>（一）切实加强领导，提高政治站位。</w:t>
      </w:r>
      <w:r>
        <w:rPr>
          <w:rFonts w:hint="eastAsia" w:ascii="仿宋" w:hAnsi="仿宋" w:eastAsia="仿宋" w:cs="ArialUnicodeMS-WinCharSetFFFF-H"/>
          <w:sz w:val="32"/>
          <w:szCs w:val="32"/>
        </w:rPr>
        <w:t>秸秆禁烧是蓝天保卫战和空气质量持续改善计划的一项重要任务，直接关系空气质量改善。各村、镇直各单位要把抓好秸秆禁烧作为深入贯彻习近平生态文明思想的实践检验，全面落实党中央决策部署、省市县党委和政府工作要求，完善党委领导、政府主导、部门联动、群众参与、齐抓共管的工作格局，形成“责任明确、上下联动、横向到边、纵向到底”的监管体系，做到思想上高度重视、行动上高度自觉、措施上全面到位，继承好以往特别是2023年我镇自主探索总结出来行之有效的禁烧经验。继续</w:t>
      </w:r>
      <w:r>
        <w:rPr>
          <w:rFonts w:hint="eastAsia" w:ascii="仿宋" w:hAnsi="仿宋" w:eastAsia="仿宋" w:cs="宋体"/>
          <w:sz w:val="32"/>
          <w:szCs w:val="32"/>
        </w:rPr>
        <w:t>成立由镇党委、政府主要领导分别任政委、指挥长，镇班子成员任副指挥长，镇直有关单位主要负责人和各村主要负责人为成员的秸秆禁烧工作指挥部（见附件1），指挥调度年度禁烧工作。各村要比照镇级建立健全相应组织协调机构，切实强化对秸秆禁烧工作的组织领导。</w:t>
      </w:r>
    </w:p>
    <w:p>
      <w:pPr>
        <w:widowControl w:val="0"/>
        <w:autoSpaceDE w:val="0"/>
        <w:autoSpaceDN w:val="0"/>
        <w:spacing w:after="0" w:line="560" w:lineRule="exact"/>
        <w:ind w:firstLine="643" w:firstLineChars="200"/>
        <w:jc w:val="both"/>
        <w:rPr>
          <w:rFonts w:ascii="仿宋" w:hAnsi="仿宋" w:eastAsia="仿宋" w:cs="ArialUnicodeMS-WinCharSetFFFF-H"/>
          <w:sz w:val="32"/>
          <w:szCs w:val="32"/>
        </w:rPr>
      </w:pPr>
      <w:r>
        <w:rPr>
          <w:rFonts w:hint="eastAsia" w:ascii="仿宋" w:hAnsi="仿宋" w:eastAsia="仿宋" w:cs="楷体_GB2312"/>
          <w:b/>
          <w:sz w:val="32"/>
          <w:szCs w:val="32"/>
        </w:rPr>
        <w:t>（二）落实主体责任，强化包保机制。</w:t>
      </w:r>
      <w:r>
        <w:rPr>
          <w:rFonts w:hint="eastAsia" w:ascii="仿宋" w:hAnsi="仿宋" w:eastAsia="仿宋" w:cs="宋体"/>
          <w:sz w:val="32"/>
          <w:szCs w:val="32"/>
        </w:rPr>
        <w:t>全镇秸秆禁烧工作由镇党委、政府统一领导，镇禁烧办负责统筹调度。各村</w:t>
      </w:r>
      <w:r>
        <w:rPr>
          <w:rFonts w:hint="eastAsia" w:ascii="仿宋" w:hAnsi="仿宋" w:eastAsia="仿宋" w:cs="ArialUnicodeMS-WinCharSetFFFF-H"/>
          <w:sz w:val="32"/>
          <w:szCs w:val="32"/>
        </w:rPr>
        <w:t>按照工作要求，落实属地管理职责。村两委是辖区秸秆禁烧工作的责任主体，村主要负责人是第一责任人，做到亲自研究部署，认真谋划推动，加强工作统筹。村两委其他同志是具体责任人，做到靠前指挥调度，全力抓好各项工作措施落实。继续实行秸秆禁烧工作组包保责任制。镇包村、村“两委”干部包村民组、村民组包具体田块，织密秸秆禁烧“人防”网络，做到空间覆盖无空白、责任落实无盲区、监督管理无缝隙。包保镇工作组要到所包村做动员部署、检查督查，帮助解决实际问题，抓好政策、措施和人员落实；镇直有关单位按照职责分工严实做好禁烧工作，形成禁烧合力（见附件3）。</w:t>
      </w:r>
    </w:p>
    <w:p>
      <w:pPr>
        <w:widowControl w:val="0"/>
        <w:autoSpaceDE w:val="0"/>
        <w:autoSpaceDN w:val="0"/>
        <w:spacing w:after="0" w:line="560" w:lineRule="exact"/>
        <w:ind w:firstLine="643" w:firstLineChars="200"/>
        <w:jc w:val="both"/>
        <w:rPr>
          <w:rFonts w:ascii="仿宋" w:hAnsi="仿宋" w:eastAsia="仿宋" w:cs="ArialUnicodeMS-WinCharSetFFFF-H"/>
          <w:sz w:val="32"/>
          <w:szCs w:val="32"/>
        </w:rPr>
      </w:pPr>
      <w:r>
        <w:rPr>
          <w:rFonts w:hint="eastAsia" w:ascii="仿宋" w:hAnsi="仿宋" w:eastAsia="仿宋" w:cs="楷体_GB2312"/>
          <w:b/>
          <w:sz w:val="32"/>
          <w:szCs w:val="32"/>
        </w:rPr>
        <w:t>（三）加强巡查监管，做好重点防控。</w:t>
      </w:r>
      <w:r>
        <w:rPr>
          <w:rFonts w:hint="eastAsia" w:ascii="仿宋" w:hAnsi="仿宋" w:eastAsia="仿宋" w:cs="ArialUnicodeMS-WinCharSetFFFF-H"/>
          <w:sz w:val="32"/>
          <w:szCs w:val="32"/>
        </w:rPr>
        <w:t>各禁烧工作组和相关巡查组要持续保持严防死守的高压态势。</w:t>
      </w:r>
      <w:r>
        <w:rPr>
          <w:rFonts w:hint="eastAsia" w:ascii="仿宋" w:hAnsi="仿宋" w:eastAsia="仿宋" w:cs="ArialUnicodeMS-WinCharSetFFFF-H"/>
          <w:b/>
          <w:sz w:val="32"/>
          <w:szCs w:val="32"/>
        </w:rPr>
        <w:t>一要</w:t>
      </w:r>
      <w:r>
        <w:rPr>
          <w:rFonts w:hint="eastAsia" w:ascii="仿宋" w:hAnsi="仿宋" w:eastAsia="仿宋" w:cs="ArialUnicodeMS-WinCharSetFFFF-H"/>
          <w:sz w:val="32"/>
          <w:szCs w:val="32"/>
        </w:rPr>
        <w:t>建立健全焚烧火点发现-交办-扑灭-处置的15分钟快速反应机制，实行全天候驻守、巡查和值班制度。各村要组建应急小分队、设置监控点、组织流动哨，配备一定数量灭火工具，加强日常巡查和现场检查，一旦发现火情要及时扑灭、并对起火原因进行调查处理到位。包田责任人24小时驻守，保持手机畅通，实行人盯人、人盯地，确保每一地块、路段、沟道都有人监管，</w:t>
      </w:r>
      <w:r>
        <w:rPr>
          <w:rFonts w:hint="eastAsia" w:ascii="仿宋" w:hAnsi="仿宋" w:eastAsia="仿宋" w:cs="ArialUnicodeMS-WinCharSetFFFF-H"/>
          <w:b/>
          <w:sz w:val="32"/>
          <w:szCs w:val="32"/>
        </w:rPr>
        <w:t>二要</w:t>
      </w:r>
      <w:r>
        <w:rPr>
          <w:rFonts w:hint="eastAsia" w:ascii="仿宋" w:hAnsi="仿宋" w:eastAsia="仿宋" w:cs="ArialUnicodeMS-WinCharSetFFFF-H"/>
          <w:sz w:val="32"/>
          <w:szCs w:val="32"/>
        </w:rPr>
        <w:t>做到重点区域重点管控，对高速公路、国省道两侧，林地和重要通信、电力设施周边等重点区域实行24小时不间断巡查检查，对发现焚烧秸秆行为的，立即制止和查处。</w:t>
      </w:r>
      <w:r>
        <w:rPr>
          <w:rFonts w:hint="eastAsia" w:ascii="仿宋" w:hAnsi="仿宋" w:eastAsia="仿宋" w:cs="ArialUnicodeMS-WinCharSetFFFF-H"/>
          <w:b/>
          <w:bCs/>
          <w:sz w:val="32"/>
          <w:szCs w:val="32"/>
        </w:rPr>
        <w:t>三要</w:t>
      </w:r>
      <w:r>
        <w:rPr>
          <w:rFonts w:hint="eastAsia" w:ascii="仿宋" w:hAnsi="仿宋" w:eastAsia="仿宋" w:cs="ArialUnicodeMS-WinCharSetFFFF-H"/>
          <w:sz w:val="32"/>
          <w:szCs w:val="32"/>
        </w:rPr>
        <w:t>畅通“12345”市长热线等投诉渠道，及时受理相关举报。与信访人建立电话联系机制，随时接收群众信访信息并作出有效处置。</w:t>
      </w:r>
      <w:r>
        <w:rPr>
          <w:rFonts w:hint="eastAsia" w:ascii="仿宋" w:hAnsi="仿宋" w:eastAsia="仿宋" w:cs="ArialUnicodeMS-WinCharSetFFFF-H"/>
          <w:b/>
          <w:bCs/>
          <w:sz w:val="32"/>
          <w:szCs w:val="32"/>
        </w:rPr>
        <w:t>四要</w:t>
      </w:r>
      <w:r>
        <w:rPr>
          <w:rFonts w:hint="eastAsia" w:ascii="仿宋" w:hAnsi="仿宋" w:eastAsia="仿宋" w:cs="ArialUnicodeMS-WinCharSetFFFF-H"/>
          <w:sz w:val="32"/>
          <w:szCs w:val="32"/>
        </w:rPr>
        <w:t>创新工作方法，充分借力科技，切实发挥无人机、高塔视频监控、在禁烧工作的运用。镇</w:t>
      </w:r>
      <w:r>
        <w:rPr>
          <w:rFonts w:hint="eastAsia" w:ascii="仿宋" w:hAnsi="仿宋" w:eastAsia="仿宋" w:cs="宋体"/>
          <w:sz w:val="32"/>
          <w:szCs w:val="32"/>
        </w:rPr>
        <w:t>安排工作专班24小时盯控蓝天卫士，提升盯控质效，严格盯控纪律，对发现的火点，要及时固定证据，迅速通知到工作组和村及时赶赴现场扑灭并依法查处。</w:t>
      </w:r>
    </w:p>
    <w:p>
      <w:pPr>
        <w:widowControl w:val="0"/>
        <w:autoSpaceDE w:val="0"/>
        <w:autoSpaceDN w:val="0"/>
        <w:spacing w:after="0" w:line="560" w:lineRule="exact"/>
        <w:ind w:firstLine="643" w:firstLineChars="200"/>
        <w:jc w:val="both"/>
        <w:rPr>
          <w:rFonts w:hint="eastAsia" w:ascii="仿宋" w:hAnsi="仿宋" w:eastAsia="仿宋" w:cs="方正仿宋_GB2312"/>
          <w:color w:val="000000"/>
          <w:sz w:val="32"/>
          <w:szCs w:val="32"/>
        </w:rPr>
      </w:pPr>
      <w:r>
        <w:rPr>
          <w:rFonts w:hint="eastAsia" w:ascii="仿宋" w:hAnsi="仿宋" w:eastAsia="仿宋" w:cs="楷体_GB2312"/>
          <w:b/>
          <w:sz w:val="32"/>
          <w:szCs w:val="32"/>
        </w:rPr>
        <w:t>（四）落实分类管理，消除焚烧隐患。</w:t>
      </w:r>
      <w:r>
        <w:rPr>
          <w:rFonts w:hint="eastAsia" w:ascii="仿宋" w:hAnsi="仿宋" w:eastAsia="仿宋" w:cs="ArialUnicodeMS-WinCharSetFFFF-H"/>
          <w:b/>
          <w:sz w:val="32"/>
          <w:szCs w:val="32"/>
        </w:rPr>
        <w:t>一要实行非托管田块科学还田。</w:t>
      </w:r>
      <w:r>
        <w:rPr>
          <w:rFonts w:hint="eastAsia" w:ascii="仿宋" w:hAnsi="仿宋" w:eastAsia="仿宋" w:cs="ArialUnicodeMS-WinCharSetFFFF-H"/>
          <w:sz w:val="32"/>
          <w:szCs w:val="32"/>
        </w:rPr>
        <w:t>对所有非托管田块原则上必须进行低茬收割、粉碎还田。各村要通过加强农机管理、巡查督查、正确引导，确保非托管田块秸秆还田措施落到实处。对非托管田块具备打捆离田条件且承包人要求离田的，要签订承诺书，限期完成打捆离田。</w:t>
      </w:r>
      <w:r>
        <w:rPr>
          <w:rFonts w:hint="eastAsia" w:ascii="仿宋" w:hAnsi="仿宋" w:eastAsia="仿宋" w:cs="ArialUnicodeMS-WinCharSetFFFF-H"/>
          <w:b/>
          <w:sz w:val="32"/>
          <w:szCs w:val="32"/>
        </w:rPr>
        <w:t>二是科学推进托管田块打捆离田。</w:t>
      </w:r>
      <w:r>
        <w:rPr>
          <w:rFonts w:hint="eastAsia" w:ascii="仿宋" w:hAnsi="仿宋" w:eastAsia="仿宋" w:cs="ArialUnicodeMS-WinCharSetFFFF-H"/>
          <w:sz w:val="32"/>
          <w:szCs w:val="32"/>
        </w:rPr>
        <w:t>对托管田块具备较好机械打捆条件的，要大力推进秸秆打捆离田；对机械打捆条件较差、打捆效益不高的，各村要根据田块情况、市场行情科学指导，能打捆的尽量打捆，打捆困难的要提前安排粉碎还田。</w:t>
      </w:r>
      <w:r>
        <w:rPr>
          <w:rFonts w:hint="eastAsia" w:ascii="仿宋" w:hAnsi="仿宋" w:eastAsia="仿宋" w:cs="ArialUnicodeMS-WinCharSetFFFF-H"/>
          <w:b/>
          <w:sz w:val="32"/>
          <w:szCs w:val="32"/>
        </w:rPr>
        <w:t>三要切实做到“四离一集中”</w:t>
      </w:r>
      <w:r>
        <w:rPr>
          <w:rFonts w:hint="eastAsia" w:ascii="仿宋" w:hAnsi="仿宋" w:eastAsia="仿宋" w:cs="ArialUnicodeMS-WinCharSetFFFF-H"/>
          <w:sz w:val="32"/>
          <w:szCs w:val="32"/>
        </w:rPr>
        <w:t>（秸秆离田、离路、离河、离林和集中堆放），在夏收、秋收结束后，各村要集中时间进行秸秆焚烧隐患清理攻坚、攻坚期结束后逐村开展验收和分类还田、离田情况绩效评价，对验收不合格的重新进行清理；对绩效评价不达标的，责令要求整改。</w:t>
      </w:r>
      <w:r>
        <w:rPr>
          <w:rFonts w:hint="eastAsia" w:ascii="仿宋" w:hAnsi="仿宋" w:eastAsia="仿宋" w:cs="ArialUnicodeMS-WinCharSetFFFF-H"/>
          <w:b/>
          <w:sz w:val="32"/>
          <w:szCs w:val="32"/>
        </w:rPr>
        <w:t>四要解决好农民秸秆处置痛点难点问题。</w:t>
      </w:r>
      <w:r>
        <w:rPr>
          <w:rFonts w:hint="eastAsia" w:ascii="仿宋" w:hAnsi="仿宋" w:eastAsia="仿宋" w:cs="ArialUnicodeMS-WinCharSetFFFF-H"/>
          <w:sz w:val="32"/>
          <w:szCs w:val="32"/>
        </w:rPr>
        <w:t>要通过大力发展 “大托管”，让承包户能够享受农业生产平均成本降低和惠农政策支持的双重利好。要进一步加大合作社培育力度，通过优化构建和组织方式，让分散承包农民能充分享受国家惠农政策。</w:t>
      </w:r>
      <w:r>
        <w:rPr>
          <w:rFonts w:hint="eastAsia" w:ascii="仿宋" w:hAnsi="仿宋" w:eastAsia="仿宋" w:cs="ArialUnicodeMS-WinCharSetFFFF-H"/>
          <w:b/>
          <w:sz w:val="32"/>
          <w:szCs w:val="32"/>
        </w:rPr>
        <w:t>五要着力提升秸秆综合利用率。</w:t>
      </w:r>
      <w:r>
        <w:rPr>
          <w:rFonts w:hint="eastAsia" w:ascii="仿宋" w:hAnsi="仿宋" w:eastAsia="仿宋" w:cs="ArialUnicodeMS-WinCharSetFFFF-H"/>
          <w:sz w:val="32"/>
          <w:szCs w:val="32"/>
        </w:rPr>
        <w:t>积极协调生物质电厂、秸秆再利用企业增加秸秆收储量，全力消化我镇堆场暂存秸秆。完善秸秆收储体系建设，根据区域主要农作物秸秆产量、秸秆综合利用产业发展特点等，按照合理半径规划建设规范的秸秆标准化收储点，加快构建村村有标准化收储中心、村有固定收储点的“1+X”秸秆收储体系网格。</w:t>
      </w:r>
      <w:r>
        <w:rPr>
          <w:rFonts w:hint="eastAsia" w:ascii="仿宋" w:hAnsi="仿宋" w:eastAsia="仿宋" w:cs="方正仿宋_GB2312"/>
          <w:color w:val="000000"/>
          <w:sz w:val="32"/>
          <w:szCs w:val="32"/>
        </w:rPr>
        <w:t>推进秸秆养牛养羊，落实 “秸秆变肉”暨肉牛振兴计划各项政策，推广秸秆饲料化、基料化、生物质气化、沼气能源化等秸秆高值化利用模式，加大秸秆综合利用项目招商引资力度，加快发展以秸秆资源利用为基础的现代环保产业。</w:t>
      </w:r>
    </w:p>
    <w:p>
      <w:pPr>
        <w:widowControl w:val="0"/>
        <w:autoSpaceDE w:val="0"/>
        <w:autoSpaceDN w:val="0"/>
        <w:spacing w:after="0" w:line="560" w:lineRule="exact"/>
        <w:ind w:firstLine="643" w:firstLineChars="200"/>
        <w:jc w:val="both"/>
        <w:rPr>
          <w:rFonts w:ascii="仿宋" w:hAnsi="仿宋" w:eastAsia="仿宋" w:cs="楷体_GB2312"/>
          <w:sz w:val="32"/>
          <w:szCs w:val="32"/>
        </w:rPr>
      </w:pPr>
      <w:r>
        <w:rPr>
          <w:rFonts w:hint="eastAsia" w:ascii="仿宋" w:hAnsi="仿宋" w:eastAsia="仿宋" w:cs="楷体_GB2312"/>
          <w:b/>
          <w:sz w:val="32"/>
          <w:szCs w:val="32"/>
        </w:rPr>
        <w:t>（五）加强宣传引导，倡导移风易俗。</w:t>
      </w:r>
      <w:r>
        <w:rPr>
          <w:rFonts w:hint="eastAsia" w:ascii="仿宋" w:hAnsi="仿宋" w:eastAsia="仿宋" w:cs="ArialUnicodeMS-WinCharSetFFFF-H"/>
          <w:sz w:val="32"/>
          <w:szCs w:val="32"/>
        </w:rPr>
        <w:t>要充分发挥新闻媒体的舆论引导作用，通过倡议书、通告、标语条幅、宣传车、应急广播、大喇叭以及网络微信、手机短信、科技培训等多种形式，深入乡、村和田间地头开展宣传动员，全方位宣传秸秆禁烧的政策法规、露天焚烧秸秆的危害以及违规焚烧秸秆的严重后果。加大移风易俗宣传，杜绝祭祀焚烧造成的农地过火引燃现象的发生。加大安全知识普及，防止农机失火引燃秸秆等火灾事故的发生。要千方百计引导群众自觉承担禁烧的责任和义务，做好责任田秸秆、杂草的收整拉运，切实清除地块焚烧隐患。各村党组织要充分发挥农村党员干部的示范带头作用，建立党员干部联系农户责任制。充分发挥群众广泛参与，鼓励单位和个人通过“12345”政务服务便民热线等举报焚烧秸秆行为和各级巡查人员玩忽职守、履职不力等问题。及时对秸秆露天焚烧典型案例进行曝光，发挥警示作用。</w:t>
      </w:r>
    </w:p>
    <w:p>
      <w:pPr>
        <w:widowControl w:val="0"/>
        <w:autoSpaceDE w:val="0"/>
        <w:autoSpaceDN w:val="0"/>
        <w:spacing w:after="0" w:line="560" w:lineRule="exact"/>
        <w:ind w:firstLine="643" w:firstLineChars="200"/>
        <w:jc w:val="both"/>
        <w:rPr>
          <w:rFonts w:ascii="仿宋" w:hAnsi="仿宋" w:eastAsia="仿宋" w:cs="楷体_GB2312"/>
          <w:sz w:val="32"/>
          <w:szCs w:val="32"/>
        </w:rPr>
      </w:pPr>
      <w:r>
        <w:rPr>
          <w:rFonts w:hint="eastAsia" w:ascii="仿宋" w:hAnsi="仿宋" w:eastAsia="仿宋" w:cs="楷体_GB2312"/>
          <w:b/>
          <w:sz w:val="32"/>
          <w:szCs w:val="32"/>
        </w:rPr>
        <w:t>（六）加大处罚力度，严格奖惩兑现</w:t>
      </w:r>
    </w:p>
    <w:p>
      <w:pPr>
        <w:pStyle w:val="5"/>
        <w:spacing w:before="0" w:beforeAutospacing="0" w:after="0" w:afterAutospacing="0" w:line="560" w:lineRule="exact"/>
        <w:ind w:firstLine="643" w:firstLineChars="200"/>
        <w:rPr>
          <w:rFonts w:ascii="仿宋" w:hAnsi="仿宋" w:eastAsia="仿宋" w:cs="ArialUnicodeMS-WinCharSetFFFF-H"/>
          <w:sz w:val="32"/>
          <w:szCs w:val="32"/>
        </w:rPr>
      </w:pPr>
      <w:r>
        <w:rPr>
          <w:rFonts w:hint="eastAsia" w:ascii="仿宋" w:hAnsi="仿宋" w:eastAsia="仿宋" w:cs="ArialUnicodeMS-WinCharSetFFFF-H"/>
          <w:b/>
          <w:sz w:val="32"/>
          <w:szCs w:val="32"/>
        </w:rPr>
        <w:t>1.查处违法行为。</w:t>
      </w:r>
      <w:r>
        <w:rPr>
          <w:rFonts w:hint="eastAsia" w:ascii="仿宋" w:hAnsi="仿宋" w:eastAsia="仿宋" w:cs="ArialUnicodeMS-WinCharSetFFFF-H"/>
          <w:sz w:val="32"/>
          <w:szCs w:val="32"/>
        </w:rPr>
        <w:t>加大执法力度，严格责任追究。成立由公安派出所、交警三中队、交管站等单位组成的执法巡查和应急处置组，对露天焚烧秸秆、落叶、垃圾等产生烟尘污染物质的违法行为，由县生态环境分局委托镇人民政府依据《中华人民共和国大气污染防治法》《安徽省大气污染防治条例》规定，按每个火点不低于2000元的标准处罚到位；对“第一把火”的当事人同时予以行政拘留；对阻碍工作人员依法执行职务的，坚决从重从快予以打击；对恶意纵火，暴力抗法涉嫌犯罪的依法追究刑事责任。</w:t>
      </w:r>
    </w:p>
    <w:p>
      <w:pPr>
        <w:spacing w:after="0" w:line="560" w:lineRule="exact"/>
        <w:ind w:firstLine="643" w:firstLineChars="200"/>
        <w:rPr>
          <w:rFonts w:ascii="仿宋" w:hAnsi="仿宋" w:eastAsia="仿宋" w:cs="ArialUnicodeMS-WinCharSetFFFF-H"/>
          <w:sz w:val="32"/>
          <w:szCs w:val="32"/>
        </w:rPr>
      </w:pPr>
      <w:r>
        <w:rPr>
          <w:rFonts w:hint="eastAsia" w:ascii="仿宋" w:hAnsi="仿宋" w:eastAsia="仿宋" w:cs="ArialUnicodeMS-WinCharSetFFFF-H"/>
          <w:b/>
          <w:sz w:val="32"/>
          <w:szCs w:val="32"/>
        </w:rPr>
        <w:t>2.严格禁烧奖惩。</w:t>
      </w:r>
      <w:r>
        <w:rPr>
          <w:rFonts w:hint="eastAsia" w:ascii="仿宋" w:hAnsi="仿宋" w:eastAsia="仿宋" w:cs="ArialUnicodeMS-WinCharSetFFFF-H"/>
          <w:sz w:val="32"/>
          <w:szCs w:val="32"/>
        </w:rPr>
        <w:t>继续实行村集体履责保证金制度。堰口、十字路、青莲、红桥等四村缴纳保证金5万元，魏岗、高王、寿丰、双楼、小集、马厂、江黄、八沟等八村缴纳保证金4万元，许寺、江街等两村缴纳保证金2万元。实现零火点目标，全额退还保证金，并分别奖励5万元、4万元、2万元。奖励资金可用于本村禁烧工作经费，不得发放到个人。镇根据火点情况进行考核清算，被省市县发现1个火点的，按照省市县扣减我镇标准对火点所在村进行等额扣减。</w:t>
      </w:r>
    </w:p>
    <w:p>
      <w:pPr>
        <w:spacing w:after="0" w:line="560" w:lineRule="exact"/>
        <w:ind w:firstLine="643" w:firstLineChars="200"/>
        <w:rPr>
          <w:rFonts w:ascii="仿宋" w:hAnsi="仿宋" w:eastAsia="仿宋" w:cs="宋体"/>
          <w:sz w:val="32"/>
          <w:szCs w:val="32"/>
        </w:rPr>
      </w:pPr>
      <w:r>
        <w:rPr>
          <w:rFonts w:hint="eastAsia" w:ascii="仿宋" w:hAnsi="仿宋" w:eastAsia="仿宋" w:cs="ArialUnicodeMS-WinCharSetFFFF-H"/>
          <w:b/>
          <w:sz w:val="32"/>
          <w:szCs w:val="32"/>
        </w:rPr>
        <w:t>3.严格失责惩戒。</w:t>
      </w:r>
      <w:r>
        <w:rPr>
          <w:rFonts w:hint="eastAsia" w:ascii="仿宋" w:hAnsi="仿宋" w:eastAsia="仿宋" w:cs="宋体"/>
          <w:sz w:val="32"/>
          <w:szCs w:val="32"/>
        </w:rPr>
        <w:t>实行禁烧人员失职失责惩戒机制。</w:t>
      </w:r>
    </w:p>
    <w:p>
      <w:pPr>
        <w:spacing w:after="0" w:line="560" w:lineRule="exact"/>
        <w:ind w:firstLine="640" w:firstLineChars="200"/>
        <w:rPr>
          <w:rFonts w:ascii="仿宋" w:hAnsi="仿宋" w:eastAsia="仿宋" w:cs="宋体"/>
          <w:sz w:val="32"/>
          <w:szCs w:val="32"/>
        </w:rPr>
      </w:pPr>
      <w:r>
        <w:rPr>
          <w:rFonts w:hint="eastAsia" w:ascii="仿宋" w:hAnsi="仿宋" w:eastAsia="仿宋" w:cs="宋体"/>
          <w:sz w:val="32"/>
          <w:szCs w:val="32"/>
        </w:rPr>
        <w:t>（1）对卫星通报火点并核查属实的，每个火点扣除村主要负责人0.3万元绩效，扣除村包组干部</w:t>
      </w:r>
      <w:r>
        <w:rPr>
          <w:rFonts w:ascii="仿宋" w:hAnsi="仿宋" w:eastAsia="仿宋" w:cs="宋体"/>
          <w:sz w:val="32"/>
          <w:szCs w:val="32"/>
        </w:rPr>
        <w:t>0.</w:t>
      </w:r>
      <w:r>
        <w:rPr>
          <w:rFonts w:hint="eastAsia" w:ascii="仿宋" w:hAnsi="仿宋" w:eastAsia="仿宋" w:cs="宋体"/>
          <w:sz w:val="32"/>
          <w:szCs w:val="32"/>
        </w:rPr>
        <w:t>2万元绩效；扣除镇主要包村负责人0.3万元绩效，扣除镇（包括镇直单位，下同）其他包村人员</w:t>
      </w:r>
      <w:r>
        <w:rPr>
          <w:rFonts w:ascii="仿宋" w:hAnsi="仿宋" w:eastAsia="仿宋" w:cs="宋体"/>
          <w:sz w:val="32"/>
          <w:szCs w:val="32"/>
        </w:rPr>
        <w:t>0.2</w:t>
      </w:r>
      <w:r>
        <w:rPr>
          <w:rFonts w:hint="eastAsia" w:ascii="仿宋" w:hAnsi="仿宋" w:eastAsia="仿宋" w:cs="宋体"/>
          <w:sz w:val="32"/>
          <w:szCs w:val="32"/>
        </w:rPr>
        <w:t>万元绩效；全额扣除村集体</w:t>
      </w:r>
      <w:r>
        <w:rPr>
          <w:rFonts w:hint="eastAsia" w:ascii="仿宋" w:hAnsi="仿宋" w:eastAsia="仿宋" w:cs="ArialUnicodeMS-WinCharSetFFFF-H"/>
          <w:sz w:val="32"/>
          <w:szCs w:val="32"/>
        </w:rPr>
        <w:t>履责保证金</w:t>
      </w:r>
      <w:r>
        <w:rPr>
          <w:rFonts w:hint="eastAsia" w:ascii="仿宋" w:hAnsi="仿宋" w:eastAsia="仿宋" w:cs="宋体"/>
          <w:sz w:val="32"/>
          <w:szCs w:val="32"/>
        </w:rPr>
        <w:t>。</w:t>
      </w:r>
      <w:r>
        <w:rPr>
          <w:rFonts w:hint="eastAsia" w:ascii="仿宋" w:hAnsi="仿宋" w:eastAsia="仿宋" w:cs="仿宋_GB2312"/>
          <w:color w:val="000000"/>
          <w:kern w:val="2"/>
          <w:sz w:val="32"/>
          <w:szCs w:val="32"/>
        </w:rPr>
        <w:t>同时，给予村主要负责人、村包组干部党纪政务处分；给予镇包村干部</w:t>
      </w:r>
      <w:r>
        <w:rPr>
          <w:rFonts w:hint="eastAsia" w:ascii="仿宋" w:hAnsi="仿宋" w:eastAsia="仿宋" w:cs="仿宋_GB2312"/>
          <w:kern w:val="2"/>
          <w:sz w:val="32"/>
          <w:szCs w:val="32"/>
        </w:rPr>
        <w:t>诫勉处理，</w:t>
      </w:r>
      <w:r>
        <w:rPr>
          <w:rFonts w:hint="eastAsia" w:ascii="仿宋" w:hAnsi="仿宋" w:eastAsia="仿宋" w:cs="宋体"/>
          <w:sz w:val="32"/>
          <w:szCs w:val="32"/>
        </w:rPr>
        <w:t>年度考核不评先评优</w:t>
      </w:r>
      <w:r>
        <w:rPr>
          <w:rFonts w:hint="eastAsia" w:ascii="仿宋" w:hAnsi="仿宋" w:eastAsia="仿宋" w:cs="仿宋_GB2312"/>
          <w:kern w:val="2"/>
          <w:sz w:val="32"/>
          <w:szCs w:val="32"/>
        </w:rPr>
        <w:t>；给予禁烧督查执纪组、巡查执纪组通报批评</w:t>
      </w:r>
      <w:r>
        <w:rPr>
          <w:rFonts w:hint="eastAsia" w:ascii="仿宋" w:hAnsi="仿宋" w:eastAsia="仿宋" w:cs="宋体"/>
          <w:sz w:val="32"/>
          <w:szCs w:val="32"/>
        </w:rPr>
        <w:t>。</w:t>
      </w:r>
    </w:p>
    <w:p>
      <w:pPr>
        <w:spacing w:after="0" w:line="560" w:lineRule="exact"/>
        <w:ind w:firstLine="640" w:firstLineChars="200"/>
        <w:rPr>
          <w:rFonts w:ascii="仿宋" w:hAnsi="仿宋" w:eastAsia="仿宋" w:cs="宋体"/>
          <w:sz w:val="32"/>
          <w:szCs w:val="32"/>
        </w:rPr>
      </w:pPr>
      <w:r>
        <w:rPr>
          <w:rFonts w:hint="eastAsia" w:ascii="仿宋" w:hAnsi="仿宋" w:eastAsia="仿宋" w:cs="宋体"/>
          <w:sz w:val="32"/>
          <w:szCs w:val="32"/>
        </w:rPr>
        <w:t>（2）对被省市县督查巡查或上级蓝天卫士发现确认或通报的火点，每个火点扣除村主要负责人0.2万元绩效，扣除村包组干部</w:t>
      </w:r>
      <w:r>
        <w:rPr>
          <w:rFonts w:ascii="仿宋" w:hAnsi="仿宋" w:eastAsia="仿宋" w:cs="宋体"/>
          <w:sz w:val="32"/>
          <w:szCs w:val="32"/>
        </w:rPr>
        <w:t>0.</w:t>
      </w:r>
      <w:r>
        <w:rPr>
          <w:rFonts w:hint="eastAsia" w:ascii="仿宋" w:hAnsi="仿宋" w:eastAsia="仿宋" w:cs="宋体"/>
          <w:sz w:val="32"/>
          <w:szCs w:val="32"/>
        </w:rPr>
        <w:t>15万元绩效；扣除镇主要包村负责人0.2万元绩效，扣除镇其他包村人员</w:t>
      </w:r>
      <w:r>
        <w:rPr>
          <w:rFonts w:ascii="仿宋" w:hAnsi="仿宋" w:eastAsia="仿宋" w:cs="宋体"/>
          <w:sz w:val="32"/>
          <w:szCs w:val="32"/>
        </w:rPr>
        <w:t>0.</w:t>
      </w:r>
      <w:r>
        <w:rPr>
          <w:rFonts w:hint="eastAsia" w:ascii="仿宋" w:hAnsi="仿宋" w:eastAsia="仿宋" w:cs="宋体"/>
          <w:sz w:val="32"/>
          <w:szCs w:val="32"/>
        </w:rPr>
        <w:t>15万元绩效；扣除50%村集体</w:t>
      </w:r>
      <w:r>
        <w:rPr>
          <w:rFonts w:hint="eastAsia" w:ascii="仿宋" w:hAnsi="仿宋" w:eastAsia="仿宋" w:cs="ArialUnicodeMS-WinCharSetFFFF-H"/>
          <w:sz w:val="32"/>
          <w:szCs w:val="32"/>
        </w:rPr>
        <w:t>履责保证金</w:t>
      </w:r>
      <w:r>
        <w:rPr>
          <w:rFonts w:hint="eastAsia" w:ascii="仿宋" w:hAnsi="仿宋" w:eastAsia="仿宋" w:cs="宋体"/>
          <w:sz w:val="32"/>
          <w:szCs w:val="32"/>
        </w:rPr>
        <w:t>。</w:t>
      </w:r>
      <w:r>
        <w:rPr>
          <w:rFonts w:hint="eastAsia" w:ascii="仿宋" w:hAnsi="仿宋" w:eastAsia="仿宋" w:cs="仿宋_GB2312"/>
          <w:color w:val="000000"/>
          <w:kern w:val="2"/>
          <w:sz w:val="32"/>
          <w:szCs w:val="32"/>
        </w:rPr>
        <w:t>同时，给予村主要负责人诫勉处理；给予村包组干部党纪政务处分；给予镇包村干部</w:t>
      </w:r>
      <w:r>
        <w:rPr>
          <w:rFonts w:hint="eastAsia" w:ascii="仿宋" w:hAnsi="仿宋" w:eastAsia="仿宋" w:cs="仿宋_GB2312"/>
          <w:kern w:val="2"/>
          <w:sz w:val="32"/>
          <w:szCs w:val="32"/>
        </w:rPr>
        <w:t>通报批评，</w:t>
      </w:r>
      <w:r>
        <w:rPr>
          <w:rFonts w:hint="eastAsia" w:ascii="仿宋" w:hAnsi="仿宋" w:eastAsia="仿宋" w:cs="宋体"/>
          <w:sz w:val="32"/>
          <w:szCs w:val="32"/>
        </w:rPr>
        <w:t>年度考核不评先评优。若最终认定省考核火点的，参照卫星通报火点并核查属实情形执行。</w:t>
      </w:r>
    </w:p>
    <w:p>
      <w:pPr>
        <w:spacing w:after="0" w:line="560" w:lineRule="exact"/>
        <w:ind w:firstLine="640" w:firstLineChars="200"/>
        <w:rPr>
          <w:rFonts w:ascii="仿宋" w:hAnsi="仿宋" w:eastAsia="仿宋" w:cs="宋体"/>
          <w:sz w:val="32"/>
          <w:szCs w:val="32"/>
        </w:rPr>
      </w:pPr>
      <w:r>
        <w:rPr>
          <w:rFonts w:hint="eastAsia" w:ascii="仿宋" w:hAnsi="仿宋" w:eastAsia="仿宋" w:cs="宋体"/>
          <w:sz w:val="32"/>
          <w:szCs w:val="32"/>
        </w:rPr>
        <w:t>（3）对被镇督查巡查或镇蓝天卫士发现确认或通报的火点，每个火点扣除村主要负责人、村包组干部、镇主要包村负责人</w:t>
      </w:r>
      <w:r>
        <w:rPr>
          <w:rFonts w:hint="eastAsia" w:ascii="仿宋" w:hAnsi="仿宋" w:eastAsia="仿宋" w:cs="仿宋_GB2312"/>
          <w:color w:val="000000"/>
          <w:kern w:val="2"/>
          <w:sz w:val="32"/>
          <w:szCs w:val="32"/>
        </w:rPr>
        <w:t>每人各0.1万元绩效</w:t>
      </w:r>
      <w:r>
        <w:rPr>
          <w:rFonts w:hint="eastAsia" w:ascii="仿宋" w:hAnsi="仿宋" w:eastAsia="仿宋" w:cs="宋体"/>
          <w:sz w:val="32"/>
          <w:szCs w:val="32"/>
        </w:rPr>
        <w:t>。若最终认定省考核火点的，参照卫星通报火点并核查属实情形执行。</w:t>
      </w:r>
    </w:p>
    <w:p>
      <w:pPr>
        <w:spacing w:after="0" w:line="560" w:lineRule="exact"/>
        <w:ind w:firstLine="640" w:firstLineChars="200"/>
        <w:rPr>
          <w:rFonts w:ascii="仿宋" w:hAnsi="仿宋" w:eastAsia="仿宋" w:cs="宋体"/>
          <w:sz w:val="32"/>
          <w:szCs w:val="32"/>
        </w:rPr>
      </w:pPr>
      <w:r>
        <w:rPr>
          <w:rFonts w:hint="eastAsia" w:ascii="仿宋" w:hAnsi="仿宋" w:eastAsia="仿宋" w:cs="宋体"/>
          <w:sz w:val="32"/>
          <w:szCs w:val="32"/>
        </w:rPr>
        <w:t>（4）被确认为全市或全县第一把火的，一次性扣除村主要负责人1.2万元绩效，扣除村包组干部</w:t>
      </w:r>
      <w:r>
        <w:rPr>
          <w:rFonts w:ascii="仿宋" w:hAnsi="仿宋" w:eastAsia="仿宋" w:cs="宋体"/>
          <w:sz w:val="32"/>
          <w:szCs w:val="32"/>
        </w:rPr>
        <w:t>0.</w:t>
      </w:r>
      <w:r>
        <w:rPr>
          <w:rFonts w:hint="eastAsia" w:ascii="仿宋" w:hAnsi="仿宋" w:eastAsia="仿宋" w:cs="宋体"/>
          <w:sz w:val="32"/>
          <w:szCs w:val="32"/>
        </w:rPr>
        <w:t>8万元绩效；扣除镇主要包村负责人1.2万元绩效，扣除镇其他包村人员</w:t>
      </w:r>
      <w:r>
        <w:rPr>
          <w:rFonts w:ascii="仿宋" w:hAnsi="仿宋" w:eastAsia="仿宋" w:cs="宋体"/>
          <w:sz w:val="32"/>
          <w:szCs w:val="32"/>
        </w:rPr>
        <w:t>0.</w:t>
      </w:r>
      <w:r>
        <w:rPr>
          <w:rFonts w:hint="eastAsia" w:ascii="仿宋" w:hAnsi="仿宋" w:eastAsia="仿宋" w:cs="宋体"/>
          <w:sz w:val="32"/>
          <w:szCs w:val="32"/>
        </w:rPr>
        <w:t>6万元绩效；全额扣除村集体</w:t>
      </w:r>
      <w:r>
        <w:rPr>
          <w:rFonts w:hint="eastAsia" w:ascii="仿宋" w:hAnsi="仿宋" w:eastAsia="仿宋" w:cs="ArialUnicodeMS-WinCharSetFFFF-H"/>
          <w:sz w:val="32"/>
          <w:szCs w:val="32"/>
        </w:rPr>
        <w:t>履责保证金</w:t>
      </w:r>
      <w:r>
        <w:rPr>
          <w:rFonts w:hint="eastAsia" w:ascii="仿宋" w:hAnsi="仿宋" w:eastAsia="仿宋" w:cs="宋体"/>
          <w:sz w:val="32"/>
          <w:szCs w:val="32"/>
        </w:rPr>
        <w:t>。</w:t>
      </w:r>
      <w:r>
        <w:rPr>
          <w:rFonts w:hint="eastAsia" w:ascii="仿宋" w:hAnsi="仿宋" w:eastAsia="仿宋" w:cs="仿宋_GB2312"/>
          <w:color w:val="000000"/>
          <w:kern w:val="2"/>
          <w:sz w:val="32"/>
          <w:szCs w:val="32"/>
        </w:rPr>
        <w:t>同时，免去村主要负责人、村包组干部职务或责令辞去职务（按规定程序办理），</w:t>
      </w:r>
      <w:r>
        <w:rPr>
          <w:rFonts w:hint="eastAsia" w:ascii="仿宋" w:hAnsi="仿宋" w:eastAsia="仿宋" w:cs="宋体"/>
          <w:sz w:val="32"/>
          <w:szCs w:val="32"/>
        </w:rPr>
        <w:t>镇主要包村负责人就地主持村两委工作；</w:t>
      </w:r>
      <w:r>
        <w:rPr>
          <w:rFonts w:hint="eastAsia" w:ascii="仿宋" w:hAnsi="仿宋" w:eastAsia="仿宋" w:cs="仿宋_GB2312"/>
          <w:color w:val="000000"/>
          <w:kern w:val="2"/>
          <w:sz w:val="32"/>
          <w:szCs w:val="32"/>
        </w:rPr>
        <w:t>给予镇包村干部</w:t>
      </w:r>
      <w:r>
        <w:rPr>
          <w:rFonts w:hint="eastAsia" w:ascii="仿宋" w:hAnsi="仿宋" w:eastAsia="仿宋" w:cs="仿宋_GB2312"/>
          <w:kern w:val="2"/>
          <w:sz w:val="32"/>
          <w:szCs w:val="32"/>
        </w:rPr>
        <w:t>党纪政务处分，</w:t>
      </w:r>
      <w:r>
        <w:rPr>
          <w:rFonts w:hint="eastAsia" w:ascii="仿宋" w:hAnsi="仿宋" w:eastAsia="仿宋" w:cs="宋体"/>
          <w:sz w:val="32"/>
          <w:szCs w:val="32"/>
        </w:rPr>
        <w:t>年度考核定为“不合格”或“不称职”等次</w:t>
      </w:r>
      <w:r>
        <w:rPr>
          <w:rFonts w:hint="eastAsia" w:ascii="仿宋" w:hAnsi="仿宋" w:eastAsia="仿宋" w:cs="仿宋_GB2312"/>
          <w:kern w:val="2"/>
          <w:sz w:val="32"/>
          <w:szCs w:val="32"/>
        </w:rPr>
        <w:t>；给予禁烧督查执纪组、巡查执纪组等相关责任人通报批评</w:t>
      </w:r>
      <w:r>
        <w:rPr>
          <w:rFonts w:hint="eastAsia" w:ascii="仿宋" w:hAnsi="仿宋" w:eastAsia="仿宋" w:cs="宋体"/>
          <w:sz w:val="32"/>
          <w:szCs w:val="32"/>
        </w:rPr>
        <w:t>。</w:t>
      </w:r>
    </w:p>
    <w:p>
      <w:pPr>
        <w:spacing w:after="0" w:line="560" w:lineRule="exact"/>
        <w:ind w:firstLine="640" w:firstLineChars="200"/>
        <w:rPr>
          <w:rFonts w:ascii="仿宋" w:hAnsi="仿宋" w:eastAsia="仿宋" w:cs="宋体"/>
          <w:sz w:val="32"/>
          <w:szCs w:val="32"/>
        </w:rPr>
      </w:pPr>
      <w:r>
        <w:rPr>
          <w:rFonts w:hint="eastAsia" w:ascii="仿宋" w:hAnsi="仿宋" w:eastAsia="仿宋" w:cs="宋体"/>
          <w:sz w:val="32"/>
          <w:szCs w:val="32"/>
        </w:rPr>
        <w:t>（5）具备本项第（1）、第（2）两种情形之一，且在本年度午季或秋季第一次在被确认或通报的本镇火点（午秋两季分别认定），在本项（1）（2）相应项内加倍扣除相应责任人绩效。</w:t>
      </w:r>
    </w:p>
    <w:p>
      <w:pPr>
        <w:spacing w:after="0" w:line="560" w:lineRule="exact"/>
        <w:ind w:firstLine="640" w:firstLineChars="200"/>
        <w:rPr>
          <w:rFonts w:ascii="仿宋" w:hAnsi="仿宋" w:eastAsia="仿宋" w:cs="宋体"/>
          <w:sz w:val="32"/>
          <w:szCs w:val="32"/>
        </w:rPr>
      </w:pPr>
      <w:r>
        <w:rPr>
          <w:rFonts w:hint="eastAsia" w:ascii="仿宋" w:hAnsi="仿宋" w:eastAsia="仿宋" w:cs="宋体"/>
          <w:sz w:val="32"/>
          <w:szCs w:val="32"/>
        </w:rPr>
        <w:t>（6）具备上述第（1）至（5）情形之一的，禁烧</w:t>
      </w:r>
      <w:r>
        <w:rPr>
          <w:rFonts w:hint="eastAsia" w:ascii="仿宋" w:hAnsi="仿宋" w:eastAsia="仿宋" w:cs="ArialUnicodeMS-WinCharSetFFFF-H"/>
          <w:sz w:val="32"/>
          <w:szCs w:val="32"/>
        </w:rPr>
        <w:t>执法</w:t>
      </w:r>
      <w:r>
        <w:rPr>
          <w:rFonts w:hint="eastAsia" w:ascii="仿宋" w:hAnsi="仿宋" w:eastAsia="仿宋" w:cs="宋体"/>
          <w:sz w:val="32"/>
          <w:szCs w:val="32"/>
        </w:rPr>
        <w:t xml:space="preserve">巡查组和禁烧督查执纪组全体工作人员根据责任区域和时段，按镇主要包村负责人扣罚绩效的10%予以扣除。 </w:t>
      </w:r>
    </w:p>
    <w:p>
      <w:pPr>
        <w:spacing w:after="0" w:line="560" w:lineRule="exact"/>
        <w:ind w:firstLine="640" w:firstLineChars="200"/>
        <w:rPr>
          <w:rFonts w:ascii="仿宋" w:hAnsi="仿宋" w:eastAsia="仿宋" w:cs="宋体"/>
          <w:sz w:val="32"/>
          <w:szCs w:val="32"/>
        </w:rPr>
      </w:pPr>
      <w:r>
        <w:rPr>
          <w:rFonts w:hint="eastAsia" w:ascii="仿宋" w:hAnsi="仿宋" w:eastAsia="仿宋" w:cs="仿宋_GB2312"/>
          <w:color w:val="000000"/>
          <w:sz w:val="32"/>
          <w:szCs w:val="32"/>
        </w:rPr>
        <w:t>以上惩戒，涉及绩效考核事项，由分管绩效考核的领导同志牵头负责落实兑现；涉及资金处罚事项，由分管财经的领导同志牵头负责落实兑现</w:t>
      </w:r>
      <w:r>
        <w:rPr>
          <w:rFonts w:hint="eastAsia" w:ascii="仿宋" w:hAnsi="仿宋" w:eastAsia="仿宋" w:cs="宋体"/>
          <w:sz w:val="32"/>
          <w:szCs w:val="32"/>
        </w:rPr>
        <w:t>，不足部分由个人绩效补足</w:t>
      </w:r>
      <w:r>
        <w:rPr>
          <w:rFonts w:hint="eastAsia" w:ascii="仿宋" w:hAnsi="仿宋" w:eastAsia="仿宋" w:cs="仿宋_GB2312"/>
          <w:color w:val="000000"/>
          <w:sz w:val="32"/>
          <w:szCs w:val="32"/>
        </w:rPr>
        <w:t>；涉及纪律或组织措施的的事项，由分管纪检或组织的领导同志牵头负责落实兑现；涉及督查发现人员岗责效能事项，由禁烧督查执纪组径报主要领导同意后，由禁烧督查执纪组组长牵头负责落实兑现。</w:t>
      </w:r>
    </w:p>
    <w:p>
      <w:pPr>
        <w:spacing w:after="0" w:line="560" w:lineRule="exact"/>
        <w:ind w:firstLine="643" w:firstLineChars="200"/>
        <w:rPr>
          <w:rFonts w:ascii="仿宋" w:hAnsi="仿宋" w:eastAsia="仿宋" w:cs="宋体"/>
          <w:sz w:val="32"/>
          <w:szCs w:val="32"/>
        </w:rPr>
      </w:pPr>
      <w:r>
        <w:rPr>
          <w:rFonts w:hint="eastAsia" w:ascii="仿宋" w:hAnsi="仿宋" w:eastAsia="仿宋" w:cs="宋体"/>
          <w:b/>
          <w:sz w:val="32"/>
          <w:szCs w:val="32"/>
        </w:rPr>
        <w:t>4.加强先进激励。</w:t>
      </w:r>
      <w:r>
        <w:rPr>
          <w:rFonts w:hint="eastAsia" w:ascii="仿宋" w:hAnsi="仿宋" w:eastAsia="仿宋" w:cs="宋体"/>
          <w:sz w:val="32"/>
          <w:szCs w:val="32"/>
        </w:rPr>
        <w:t>秸秆禁烧工作纳入2024年度镇党委、政府重点工作考评。由镇秸秆禁烧工作指挥部按照定性与定量相结合的原则提出拟表扬的先进村，经相关审定程序后予以表扬激励。</w:t>
      </w:r>
    </w:p>
    <w:p>
      <w:pPr>
        <w:spacing w:after="0" w:line="560" w:lineRule="exact"/>
        <w:ind w:firstLine="643" w:firstLineChars="200"/>
        <w:rPr>
          <w:rFonts w:ascii="仿宋" w:hAnsi="仿宋" w:eastAsia="仿宋" w:cs="宋体"/>
          <w:sz w:val="32"/>
          <w:szCs w:val="32"/>
        </w:rPr>
      </w:pPr>
      <w:r>
        <w:rPr>
          <w:rFonts w:hint="eastAsia" w:ascii="仿宋" w:hAnsi="仿宋" w:eastAsia="仿宋" w:cs="宋体"/>
          <w:b/>
          <w:sz w:val="32"/>
          <w:szCs w:val="32"/>
        </w:rPr>
        <w:t>5.落实资金保障。</w:t>
      </w:r>
      <w:r>
        <w:rPr>
          <w:rFonts w:hint="eastAsia" w:ascii="仿宋" w:hAnsi="仿宋" w:eastAsia="仿宋" w:cs="宋体"/>
          <w:sz w:val="32"/>
          <w:szCs w:val="32"/>
        </w:rPr>
        <w:t>镇财政根据工作实际，安排资金用于秸秆禁烧期间镇村工作人员的保障性支出。村也要安排资金，用于保障禁烧物资装备采购养护及禁烧期间工作人员和网格员的交通、餐费等支出。</w:t>
      </w:r>
    </w:p>
    <w:p>
      <w:pPr>
        <w:widowControl w:val="0"/>
        <w:autoSpaceDE w:val="0"/>
        <w:autoSpaceDN w:val="0"/>
        <w:spacing w:after="0" w:line="560" w:lineRule="exact"/>
        <w:ind w:firstLine="643" w:firstLineChars="200"/>
        <w:jc w:val="both"/>
        <w:rPr>
          <w:rFonts w:ascii="仿宋" w:hAnsi="仿宋" w:eastAsia="仿宋" w:cs="楷体_GB2312"/>
          <w:sz w:val="32"/>
          <w:szCs w:val="32"/>
        </w:rPr>
      </w:pPr>
      <w:r>
        <w:rPr>
          <w:rFonts w:hint="eastAsia" w:ascii="仿宋" w:hAnsi="仿宋" w:eastAsia="仿宋" w:cs="楷体_GB2312"/>
          <w:b/>
          <w:sz w:val="32"/>
          <w:szCs w:val="32"/>
        </w:rPr>
        <w:t>（七）严格督查调度，强化考核力度</w:t>
      </w:r>
    </w:p>
    <w:p>
      <w:pPr>
        <w:spacing w:after="0" w:line="560" w:lineRule="exact"/>
        <w:ind w:firstLine="640" w:firstLineChars="200"/>
        <w:rPr>
          <w:rFonts w:ascii="仿宋" w:hAnsi="仿宋" w:eastAsia="仿宋" w:cs="宋体"/>
          <w:sz w:val="32"/>
          <w:szCs w:val="32"/>
        </w:rPr>
      </w:pPr>
      <w:r>
        <w:rPr>
          <w:rFonts w:hint="eastAsia" w:ascii="仿宋" w:hAnsi="仿宋" w:eastAsia="仿宋" w:cs="宋体"/>
          <w:sz w:val="32"/>
          <w:szCs w:val="32"/>
        </w:rPr>
        <w:t>成立两个镇级秸秆禁烧督查执纪组（见附件2），分别由分管领导和纪委书记任组长，定时不定时对各村禁烧工作进行全面督查。禁烧督查执纪组在重点时段对乡镇干部、村两委干部和禁烧网格员在岗在位、履行职责、工作成效等情况进行效能督查。督查执纪组应及时组织编发《秸秆禁烧督查通报》。</w:t>
      </w:r>
    </w:p>
    <w:p>
      <w:pPr>
        <w:spacing w:after="0" w:line="560" w:lineRule="exact"/>
        <w:ind w:firstLine="640" w:firstLineChars="200"/>
        <w:rPr>
          <w:rFonts w:ascii="仿宋" w:hAnsi="仿宋" w:eastAsia="仿宋" w:cs="宋体"/>
          <w:sz w:val="32"/>
          <w:szCs w:val="32"/>
        </w:rPr>
      </w:pPr>
      <w:r>
        <w:rPr>
          <w:rFonts w:hint="eastAsia" w:ascii="仿宋" w:hAnsi="仿宋" w:eastAsia="仿宋" w:cs="宋体"/>
          <w:sz w:val="32"/>
          <w:szCs w:val="32"/>
        </w:rPr>
        <w:t>1.对在各级督查巡查中发现镇村禁烧工作组人员在工作时有饮酒、打牌等现象的一律取消其工作任务，并在全镇通报；对不在岗的一次的，给予通报批评；对不在岗两次的，扣除0.05万元绩效，由纪委进行诫勉谈话，年度考核不评先评优；对不在岗三次的，年度考核中定为“不合格”或“不称职”，情节严重的给予党纪政务处分，直至停职待岗。</w:t>
      </w:r>
    </w:p>
    <w:p>
      <w:pPr>
        <w:spacing w:after="0" w:line="560" w:lineRule="exact"/>
        <w:ind w:firstLine="640" w:firstLineChars="200"/>
        <w:rPr>
          <w:rFonts w:ascii="仿宋" w:hAnsi="仿宋" w:eastAsia="仿宋" w:cs="宋体"/>
          <w:sz w:val="32"/>
          <w:szCs w:val="32"/>
        </w:rPr>
      </w:pPr>
      <w:r>
        <w:rPr>
          <w:rFonts w:hint="eastAsia" w:ascii="仿宋" w:hAnsi="仿宋" w:eastAsia="仿宋" w:cs="宋体"/>
          <w:sz w:val="32"/>
          <w:szCs w:val="32"/>
        </w:rPr>
        <w:t>2.对辖区内的焚烧“黑斑”实行倒查（原则上黑斑面积达50平方及以上），在处罚田主的同时，凡被镇督查巡查发现的，按镇发生火点的处罚标准处罚镇村有关责任人；被县及以上督查巡查发现或通报的，按上级发现火点的标准处罚镇村有关责任人。</w:t>
      </w:r>
    </w:p>
    <w:p>
      <w:pPr>
        <w:spacing w:after="0" w:line="560" w:lineRule="exact"/>
        <w:ind w:firstLine="640" w:firstLineChars="200"/>
        <w:rPr>
          <w:rFonts w:ascii="仿宋" w:hAnsi="仿宋" w:eastAsia="仿宋" w:cs="宋体"/>
          <w:sz w:val="32"/>
          <w:szCs w:val="32"/>
        </w:rPr>
      </w:pPr>
      <w:r>
        <w:rPr>
          <w:rFonts w:hint="eastAsia" w:ascii="仿宋" w:hAnsi="仿宋" w:eastAsia="仿宋" w:cs="宋体"/>
          <w:sz w:val="32"/>
          <w:szCs w:val="32"/>
        </w:rPr>
        <w:t>3.镇党委政府继续将秸秆禁烧工作纳入目标考核内容，对禁烧不力造成影响的年度考核不评先评优，对相关责任人给予党纪政务处理。</w:t>
      </w:r>
    </w:p>
    <w:p>
      <w:pPr>
        <w:spacing w:after="0" w:line="560" w:lineRule="exact"/>
        <w:ind w:firstLine="640" w:firstLineChars="200"/>
        <w:rPr>
          <w:rFonts w:ascii="仿宋" w:hAnsi="仿宋" w:eastAsia="仿宋" w:cs="宋体"/>
          <w:sz w:val="32"/>
          <w:szCs w:val="32"/>
        </w:rPr>
      </w:pPr>
      <w:r>
        <w:rPr>
          <w:rFonts w:hint="eastAsia" w:ascii="仿宋" w:hAnsi="仿宋" w:eastAsia="仿宋" w:cs="宋体"/>
          <w:sz w:val="32"/>
          <w:szCs w:val="32"/>
        </w:rPr>
        <w:t>同时具备上述几种问责情形的，按其应当受到问责追究的上限予以处理。</w:t>
      </w:r>
    </w:p>
    <w:p>
      <w:pPr>
        <w:spacing w:after="0" w:line="560" w:lineRule="exact"/>
        <w:ind w:firstLine="640" w:firstLineChars="200"/>
        <w:rPr>
          <w:rFonts w:ascii="仿宋" w:hAnsi="仿宋" w:eastAsia="仿宋" w:cs="仿宋_GB2312"/>
          <w:color w:val="000000"/>
          <w:sz w:val="32"/>
          <w:szCs w:val="32"/>
        </w:rPr>
      </w:pPr>
    </w:p>
    <w:p>
      <w:pPr>
        <w:spacing w:after="0" w:line="560" w:lineRule="exact"/>
        <w:ind w:firstLine="640" w:firstLineChars="200"/>
        <w:rPr>
          <w:rFonts w:hint="eastAsia" w:ascii="仿宋" w:hAnsi="仿宋" w:eastAsia="仿宋" w:cs="仿宋_GB2312"/>
          <w:color w:val="000000"/>
          <w:sz w:val="32"/>
          <w:szCs w:val="32"/>
        </w:rPr>
      </w:pPr>
    </w:p>
    <w:p>
      <w:pPr>
        <w:spacing w:after="0" w:line="560" w:lineRule="exact"/>
        <w:ind w:firstLine="640" w:firstLineChars="200"/>
        <w:rPr>
          <w:rFonts w:hint="eastAsia" w:ascii="仿宋" w:hAnsi="仿宋" w:eastAsia="仿宋" w:cs="仿宋_GB2312"/>
          <w:color w:val="000000"/>
          <w:sz w:val="32"/>
          <w:szCs w:val="32"/>
        </w:rPr>
      </w:pPr>
    </w:p>
    <w:p>
      <w:pPr>
        <w:spacing w:after="0" w:line="560" w:lineRule="exact"/>
        <w:ind w:firstLine="640" w:firstLineChars="200"/>
        <w:rPr>
          <w:rFonts w:hint="eastAsia" w:ascii="仿宋" w:hAnsi="仿宋" w:eastAsia="仿宋" w:cs="仿宋_GB2312"/>
          <w:color w:val="000000"/>
          <w:sz w:val="32"/>
          <w:szCs w:val="32"/>
        </w:rPr>
      </w:pPr>
    </w:p>
    <w:p>
      <w:pPr>
        <w:spacing w:after="0"/>
        <w:ind w:firstLine="640" w:firstLineChars="200"/>
        <w:rPr>
          <w:rFonts w:hint="eastAsia" w:ascii="楷体_GB2312" w:hAnsi="宋体" w:eastAsia="楷体_GB2312" w:cs="仿宋_GB2312"/>
          <w:color w:val="000000"/>
          <w:sz w:val="32"/>
          <w:szCs w:val="32"/>
        </w:rPr>
      </w:pPr>
    </w:p>
    <w:p>
      <w:pPr>
        <w:spacing w:after="0"/>
        <w:ind w:firstLine="640" w:firstLineChars="200"/>
        <w:rPr>
          <w:rFonts w:hint="eastAsia" w:ascii="楷体_GB2312" w:hAnsi="宋体" w:eastAsia="楷体_GB2312" w:cs="仿宋_GB2312"/>
          <w:color w:val="000000"/>
          <w:sz w:val="32"/>
          <w:szCs w:val="32"/>
        </w:rPr>
      </w:pPr>
    </w:p>
    <w:p>
      <w:pPr>
        <w:spacing w:after="0" w:line="56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附件：</w:t>
      </w:r>
    </w:p>
    <w:p>
      <w:pPr>
        <w:spacing w:after="0" w:line="56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1.堰口镇2024年秸秆禁烧工作指挥部成员名单</w:t>
      </w:r>
    </w:p>
    <w:p>
      <w:pPr>
        <w:spacing w:after="0" w:line="56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2.堰口镇2024年秸秆禁烧督查执纪组名单</w:t>
      </w:r>
    </w:p>
    <w:p>
      <w:pPr>
        <w:spacing w:after="0" w:line="56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3.堰口镇2024年秸秆禁烧执法办案组名单</w:t>
      </w:r>
    </w:p>
    <w:p>
      <w:pPr>
        <w:spacing w:after="0" w:line="56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4.堰口镇2024年秸秆禁烧执法巡查组名单</w:t>
      </w:r>
    </w:p>
    <w:p>
      <w:pPr>
        <w:spacing w:after="0" w:line="56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5.堰口镇2024年秸秆禁烧应急处置组名单</w:t>
      </w:r>
    </w:p>
    <w:p>
      <w:pPr>
        <w:spacing w:after="0" w:line="56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6.堰口镇2024年秸秆禁烧驻村工作组名单</w:t>
      </w:r>
    </w:p>
    <w:p>
      <w:pPr>
        <w:spacing w:after="0" w:line="56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7.堰口镇2024年秸秆禁烧蓝天卫士盯控组名单</w:t>
      </w:r>
    </w:p>
    <w:p>
      <w:pPr>
        <w:pStyle w:val="5"/>
        <w:spacing w:before="0" w:beforeAutospacing="0" w:after="0" w:afterAutospacing="0" w:line="560" w:lineRule="exact"/>
        <w:ind w:firstLine="600" w:firstLineChars="200"/>
        <w:rPr>
          <w:rFonts w:ascii="仿宋" w:hAnsi="仿宋" w:eastAsia="仿宋" w:cs="仿宋_GB2312"/>
          <w:color w:val="000000"/>
          <w:kern w:val="2"/>
          <w:sz w:val="30"/>
          <w:szCs w:val="30"/>
        </w:rPr>
      </w:pPr>
      <w:r>
        <w:rPr>
          <w:rFonts w:hint="eastAsia" w:ascii="仿宋" w:hAnsi="仿宋" w:eastAsia="仿宋" w:cs="仿宋_GB2312"/>
          <w:color w:val="000000"/>
          <w:kern w:val="2"/>
          <w:sz w:val="30"/>
          <w:szCs w:val="30"/>
        </w:rPr>
        <w:t xml:space="preserve">   </w:t>
      </w:r>
    </w:p>
    <w:p>
      <w:pPr>
        <w:pStyle w:val="5"/>
        <w:spacing w:before="0" w:beforeAutospacing="0" w:after="0" w:afterAutospacing="0" w:line="400" w:lineRule="exact"/>
        <w:rPr>
          <w:rFonts w:ascii="仿宋_GB2312" w:eastAsia="仿宋_GB2312" w:cs="仿宋_GB2312"/>
          <w:color w:val="000000"/>
          <w:kern w:val="2"/>
          <w:sz w:val="32"/>
          <w:szCs w:val="32"/>
        </w:rPr>
      </w:pPr>
    </w:p>
    <w:p>
      <w:pPr>
        <w:pStyle w:val="5"/>
        <w:spacing w:before="0" w:beforeAutospacing="0" w:after="0" w:afterAutospacing="0" w:line="400" w:lineRule="exact"/>
        <w:rPr>
          <w:rFonts w:ascii="仿宋_GB2312" w:eastAsia="仿宋_GB2312" w:cs="仿宋_GB2312"/>
          <w:color w:val="000000"/>
          <w:kern w:val="2"/>
          <w:sz w:val="32"/>
          <w:szCs w:val="32"/>
        </w:rPr>
      </w:pPr>
    </w:p>
    <w:p>
      <w:pPr>
        <w:pStyle w:val="5"/>
        <w:spacing w:before="0" w:beforeAutospacing="0" w:after="0" w:afterAutospacing="0" w:line="400" w:lineRule="exact"/>
        <w:rPr>
          <w:rFonts w:ascii="仿宋_GB2312" w:eastAsia="仿宋_GB2312" w:cs="仿宋_GB2312"/>
          <w:color w:val="000000"/>
          <w:kern w:val="2"/>
          <w:sz w:val="32"/>
          <w:szCs w:val="32"/>
        </w:rPr>
      </w:pPr>
    </w:p>
    <w:p>
      <w:pPr>
        <w:pStyle w:val="5"/>
        <w:spacing w:before="0" w:beforeAutospacing="0" w:after="0" w:afterAutospacing="0" w:line="400" w:lineRule="exact"/>
        <w:rPr>
          <w:rFonts w:ascii="仿宋_GB2312" w:eastAsia="仿宋_GB2312" w:cs="仿宋_GB2312"/>
          <w:color w:val="000000"/>
          <w:kern w:val="2"/>
          <w:sz w:val="32"/>
          <w:szCs w:val="32"/>
        </w:rPr>
      </w:pPr>
    </w:p>
    <w:p>
      <w:pPr>
        <w:pStyle w:val="5"/>
        <w:spacing w:before="0" w:beforeAutospacing="0" w:after="0" w:afterAutospacing="0" w:line="400" w:lineRule="exact"/>
        <w:rPr>
          <w:rFonts w:ascii="仿宋_GB2312" w:eastAsia="仿宋_GB2312" w:cs="仿宋_GB2312"/>
          <w:color w:val="000000"/>
          <w:kern w:val="2"/>
          <w:sz w:val="32"/>
          <w:szCs w:val="32"/>
        </w:rPr>
      </w:pPr>
    </w:p>
    <w:p>
      <w:pPr>
        <w:pStyle w:val="5"/>
        <w:spacing w:before="0" w:beforeAutospacing="0" w:after="0" w:afterAutospacing="0" w:line="400" w:lineRule="exact"/>
        <w:rPr>
          <w:rFonts w:ascii="仿宋_GB2312" w:eastAsia="仿宋_GB2312" w:cs="仿宋_GB2312"/>
          <w:color w:val="000000"/>
          <w:kern w:val="2"/>
          <w:sz w:val="32"/>
          <w:szCs w:val="32"/>
        </w:rPr>
      </w:pPr>
    </w:p>
    <w:p>
      <w:pPr>
        <w:pStyle w:val="5"/>
        <w:spacing w:before="0" w:beforeAutospacing="0" w:after="0" w:afterAutospacing="0" w:line="400" w:lineRule="exact"/>
        <w:rPr>
          <w:rFonts w:hint="eastAsia" w:ascii="仿宋_GB2312" w:eastAsia="仿宋_GB2312" w:cs="仿宋_GB2312"/>
          <w:color w:val="000000"/>
          <w:kern w:val="2"/>
          <w:sz w:val="32"/>
          <w:szCs w:val="32"/>
        </w:rPr>
      </w:pPr>
    </w:p>
    <w:p>
      <w:pPr>
        <w:pStyle w:val="5"/>
        <w:spacing w:before="0" w:beforeAutospacing="0" w:after="0" w:afterAutospacing="0" w:line="400" w:lineRule="exact"/>
        <w:rPr>
          <w:rFonts w:hint="eastAsia" w:ascii="仿宋_GB2312" w:eastAsia="仿宋_GB2312" w:cs="仿宋_GB2312"/>
          <w:color w:val="000000"/>
          <w:kern w:val="2"/>
          <w:sz w:val="32"/>
          <w:szCs w:val="32"/>
        </w:rPr>
      </w:pPr>
    </w:p>
    <w:p>
      <w:pPr>
        <w:pStyle w:val="5"/>
        <w:spacing w:before="0" w:beforeAutospacing="0" w:after="0" w:afterAutospacing="0" w:line="400" w:lineRule="exact"/>
        <w:rPr>
          <w:rFonts w:hint="eastAsia" w:ascii="仿宋_GB2312" w:eastAsia="仿宋_GB2312" w:cs="仿宋_GB2312"/>
          <w:color w:val="000000"/>
          <w:kern w:val="2"/>
          <w:sz w:val="32"/>
          <w:szCs w:val="32"/>
        </w:rPr>
      </w:pPr>
    </w:p>
    <w:p>
      <w:pPr>
        <w:pStyle w:val="5"/>
        <w:spacing w:before="0" w:beforeAutospacing="0" w:after="0" w:afterAutospacing="0" w:line="400" w:lineRule="exact"/>
        <w:rPr>
          <w:rFonts w:hint="eastAsia" w:ascii="仿宋_GB2312" w:eastAsia="仿宋_GB2312" w:cs="仿宋_GB2312"/>
          <w:color w:val="000000"/>
          <w:kern w:val="2"/>
          <w:sz w:val="32"/>
          <w:szCs w:val="32"/>
        </w:rPr>
      </w:pPr>
    </w:p>
    <w:p>
      <w:pPr>
        <w:pStyle w:val="5"/>
        <w:spacing w:before="0" w:beforeAutospacing="0" w:after="0" w:afterAutospacing="0" w:line="400" w:lineRule="exact"/>
        <w:rPr>
          <w:rFonts w:hint="eastAsia" w:ascii="仿宋" w:hAnsi="仿宋" w:eastAsia="仿宋" w:cs="仿宋_GB2312"/>
          <w:color w:val="000000"/>
          <w:kern w:val="2"/>
          <w:sz w:val="32"/>
          <w:szCs w:val="32"/>
        </w:rPr>
      </w:pPr>
      <w:r>
        <w:rPr>
          <w:rFonts w:hint="eastAsia" w:ascii="仿宋" w:hAnsi="仿宋" w:eastAsia="仿宋" w:cs="仿宋_GB2312"/>
          <w:color w:val="000000"/>
          <w:kern w:val="2"/>
          <w:sz w:val="32"/>
          <w:szCs w:val="32"/>
        </w:rPr>
        <w:t>附件1</w:t>
      </w:r>
    </w:p>
    <w:p>
      <w:pPr>
        <w:spacing w:after="0" w:line="600" w:lineRule="exact"/>
        <w:jc w:val="center"/>
        <w:rPr>
          <w:rFonts w:ascii="宋体" w:hAnsi="宋体" w:eastAsia="宋体" w:cs="仿宋_GB2312"/>
          <w:color w:val="000000"/>
          <w:sz w:val="44"/>
          <w:szCs w:val="44"/>
        </w:rPr>
      </w:pPr>
      <w:r>
        <w:rPr>
          <w:rFonts w:hint="eastAsia" w:ascii="宋体" w:hAnsi="宋体" w:eastAsia="宋体" w:cs="ArialUnicodeMS-WinCharSetFFFF-H"/>
          <w:kern w:val="2"/>
          <w:sz w:val="44"/>
          <w:szCs w:val="44"/>
        </w:rPr>
        <w:t>堰口镇2024年秸秆禁烧工作指挥部成员名单</w:t>
      </w:r>
    </w:p>
    <w:p>
      <w:pPr>
        <w:spacing w:after="0"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政　　委：汪道宏</w:t>
      </w:r>
    </w:p>
    <w:p>
      <w:pPr>
        <w:spacing w:after="0"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指 挥 长：毕禄昌</w:t>
      </w:r>
    </w:p>
    <w:p>
      <w:pPr>
        <w:spacing w:after="0"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副指挥长：邸云功  李先鹏  祝应炬  周茂昌  鲍  汗</w:t>
      </w:r>
    </w:p>
    <w:p>
      <w:pPr>
        <w:spacing w:after="0" w:line="560" w:lineRule="exact"/>
        <w:ind w:firstLine="2265" w:firstLineChars="708"/>
        <w:rPr>
          <w:rFonts w:ascii="仿宋" w:hAnsi="仿宋" w:eastAsia="仿宋" w:cs="仿宋_GB2312"/>
          <w:color w:val="000000"/>
          <w:sz w:val="32"/>
          <w:szCs w:val="32"/>
        </w:rPr>
      </w:pPr>
      <w:r>
        <w:rPr>
          <w:rFonts w:hint="eastAsia" w:ascii="仿宋" w:hAnsi="仿宋" w:eastAsia="仿宋" w:cs="仿宋_GB2312"/>
          <w:color w:val="000000"/>
          <w:sz w:val="32"/>
          <w:szCs w:val="32"/>
        </w:rPr>
        <w:t>孙  凤  余金保  张庆田  陈  越  王子君</w:t>
      </w:r>
    </w:p>
    <w:p>
      <w:pPr>
        <w:spacing w:after="0" w:line="560" w:lineRule="exact"/>
        <w:ind w:firstLine="2265" w:firstLineChars="708"/>
        <w:rPr>
          <w:rFonts w:ascii="仿宋" w:hAnsi="仿宋" w:eastAsia="仿宋" w:cs="仿宋_GB2312"/>
          <w:color w:val="000000"/>
          <w:sz w:val="32"/>
          <w:szCs w:val="32"/>
        </w:rPr>
      </w:pPr>
      <w:r>
        <w:rPr>
          <w:rFonts w:hint="eastAsia" w:ascii="仿宋" w:hAnsi="仿宋" w:eastAsia="仿宋" w:cs="仿宋_GB2312"/>
          <w:color w:val="000000"/>
          <w:sz w:val="32"/>
          <w:szCs w:val="32"/>
        </w:rPr>
        <w:t>李光永  齐庆凯</w:t>
      </w:r>
    </w:p>
    <w:p>
      <w:pPr>
        <w:spacing w:after="0" w:line="560" w:lineRule="exact"/>
        <w:ind w:left="2401" w:leftChars="73" w:hanging="2240" w:hangingChars="700"/>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   成    员：徐忠良  </w:t>
      </w:r>
      <w:r>
        <w:rPr>
          <w:rFonts w:hint="eastAsia" w:ascii="仿宋" w:hAnsi="仿宋" w:eastAsia="仿宋" w:cs="仿宋_GB2312"/>
          <w:color w:val="000000"/>
          <w:kern w:val="2"/>
          <w:sz w:val="32"/>
          <w:szCs w:val="32"/>
        </w:rPr>
        <w:t>赵俊芳</w:t>
      </w:r>
      <w:r>
        <w:rPr>
          <w:rFonts w:hint="eastAsia" w:ascii="仿宋" w:hAnsi="仿宋" w:eastAsia="仿宋" w:cs="仿宋_GB2312"/>
          <w:color w:val="000000"/>
          <w:sz w:val="32"/>
          <w:szCs w:val="32"/>
        </w:rPr>
        <w:t xml:space="preserve">  江  虹　程东宏  许圣君 </w:t>
      </w:r>
    </w:p>
    <w:p>
      <w:pPr>
        <w:spacing w:after="0" w:line="560" w:lineRule="exact"/>
        <w:ind w:firstLine="2240" w:firstLineChars="700"/>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朱继磊　陈长军  顾  明  孟  玉  赵  灿  </w:t>
      </w:r>
    </w:p>
    <w:p>
      <w:pPr>
        <w:spacing w:after="0" w:line="560" w:lineRule="exact"/>
        <w:ind w:firstLine="2240" w:firstLineChars="700"/>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李仁良　程  坦  杨光俊  张银全  李  杰  </w:t>
      </w:r>
    </w:p>
    <w:p>
      <w:pPr>
        <w:spacing w:after="0" w:line="560" w:lineRule="exact"/>
        <w:ind w:firstLine="2240" w:firstLineChars="700"/>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丁家枚　李海铨  顾  卫  申  劲  </w:t>
      </w:r>
    </w:p>
    <w:p>
      <w:pPr>
        <w:spacing w:after="0" w:line="560" w:lineRule="exact"/>
        <w:ind w:firstLine="2240" w:firstLineChars="700"/>
        <w:rPr>
          <w:rFonts w:ascii="仿宋" w:hAnsi="仿宋" w:eastAsia="仿宋" w:cs="仿宋_GB2312"/>
          <w:color w:val="000000"/>
          <w:sz w:val="32"/>
          <w:szCs w:val="32"/>
        </w:rPr>
      </w:pPr>
      <w:r>
        <w:rPr>
          <w:rFonts w:hint="eastAsia" w:ascii="仿宋" w:hAnsi="仿宋" w:eastAsia="仿宋" w:cs="仿宋_GB2312"/>
          <w:color w:val="000000"/>
          <w:sz w:val="32"/>
          <w:szCs w:val="32"/>
        </w:rPr>
        <w:t>各村党组织书记</w:t>
      </w:r>
    </w:p>
    <w:p>
      <w:pPr>
        <w:spacing w:after="0"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指挥部办公室设在党政办，徐忠良同志兼任办公室主任，从相关部门抽派</w:t>
      </w:r>
      <w:r>
        <w:rPr>
          <w:rFonts w:hint="eastAsia" w:ascii="仿宋" w:hAnsi="仿宋" w:eastAsia="仿宋" w:cs="仿宋_GB2312"/>
          <w:sz w:val="32"/>
          <w:szCs w:val="32"/>
        </w:rPr>
        <w:t>人员</w:t>
      </w:r>
      <w:r>
        <w:rPr>
          <w:rFonts w:hint="eastAsia" w:ascii="仿宋" w:hAnsi="仿宋" w:eastAsia="仿宋" w:cs="仿宋_GB2312"/>
          <w:color w:val="000000"/>
          <w:sz w:val="32"/>
          <w:szCs w:val="32"/>
        </w:rPr>
        <w:t>与党政办全体成员合署办公，负责指挥部办公室日常工作、上传下达，并参与秸秆禁烧蓝天卫士盯控组排班，全天候24小时全程盯控蓝天卫士视频监控。</w:t>
      </w:r>
    </w:p>
    <w:p>
      <w:pPr>
        <w:spacing w:after="0" w:line="56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指挥部及各专项工作组成员因工作调整或职务变动的，由其继任者履行职责，不再另行发文。</w:t>
      </w:r>
    </w:p>
    <w:p>
      <w:pPr>
        <w:spacing w:after="0" w:line="600" w:lineRule="exact"/>
        <w:rPr>
          <w:rFonts w:ascii="仿宋" w:hAnsi="仿宋" w:eastAsia="仿宋" w:cs="仿宋_GB2312"/>
          <w:color w:val="000000"/>
          <w:sz w:val="44"/>
          <w:szCs w:val="44"/>
        </w:rPr>
      </w:pPr>
      <w:r>
        <w:rPr>
          <w:rFonts w:hint="eastAsia" w:ascii="仿宋" w:hAnsi="仿宋" w:eastAsia="仿宋" w:cs="仿宋_GB2312"/>
          <w:color w:val="000000"/>
          <w:kern w:val="2"/>
          <w:sz w:val="32"/>
          <w:szCs w:val="32"/>
        </w:rPr>
        <w:t>附件2</w:t>
      </w:r>
    </w:p>
    <w:p>
      <w:pPr>
        <w:spacing w:after="0" w:line="600" w:lineRule="exact"/>
        <w:jc w:val="center"/>
        <w:rPr>
          <w:rFonts w:ascii="宋体" w:hAnsi="宋体" w:eastAsia="宋体" w:cs="仿宋_GB2312"/>
          <w:color w:val="000000"/>
          <w:kern w:val="2"/>
          <w:sz w:val="32"/>
          <w:szCs w:val="32"/>
        </w:rPr>
      </w:pPr>
      <w:r>
        <w:rPr>
          <w:rFonts w:hint="eastAsia" w:ascii="宋体" w:hAnsi="宋体" w:eastAsia="宋体" w:cs="ArialUnicodeMS-WinCharSetFFFF-H"/>
          <w:kern w:val="2"/>
          <w:sz w:val="44"/>
          <w:szCs w:val="44"/>
        </w:rPr>
        <w:t>堰口镇2024年秸秆禁烧督查执纪组名单</w:t>
      </w:r>
    </w:p>
    <w:tbl>
      <w:tblPr>
        <w:tblStyle w:val="6"/>
        <w:tblW w:w="9640" w:type="dxa"/>
        <w:tblInd w:w="-176" w:type="dxa"/>
        <w:tblLayout w:type="autofit"/>
        <w:tblCellMar>
          <w:top w:w="0" w:type="dxa"/>
          <w:left w:w="108" w:type="dxa"/>
          <w:bottom w:w="0" w:type="dxa"/>
          <w:right w:w="108" w:type="dxa"/>
        </w:tblCellMar>
      </w:tblPr>
      <w:tblGrid>
        <w:gridCol w:w="1702"/>
        <w:gridCol w:w="1276"/>
        <w:gridCol w:w="1559"/>
        <w:gridCol w:w="2693"/>
        <w:gridCol w:w="2410"/>
      </w:tblGrid>
      <w:tr>
        <w:trPr>
          <w:trHeight w:val="24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组 别</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组 长</w:t>
            </w:r>
          </w:p>
        </w:tc>
        <w:tc>
          <w:tcPr>
            <w:tcW w:w="1559"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副组长</w:t>
            </w:r>
          </w:p>
        </w:tc>
        <w:tc>
          <w:tcPr>
            <w:tcW w:w="2693"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成 员</w:t>
            </w:r>
          </w:p>
        </w:tc>
        <w:tc>
          <w:tcPr>
            <w:tcW w:w="2410"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督查日期</w:t>
            </w:r>
          </w:p>
        </w:tc>
      </w:tr>
      <w:tr>
        <w:tblPrEx>
          <w:tblCellMar>
            <w:top w:w="0" w:type="dxa"/>
            <w:left w:w="108" w:type="dxa"/>
            <w:bottom w:w="0" w:type="dxa"/>
            <w:right w:w="108" w:type="dxa"/>
          </w:tblCellMar>
        </w:tblPrEx>
        <w:trPr>
          <w:trHeight w:val="240"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第一督查执纪组</w:t>
            </w:r>
          </w:p>
        </w:tc>
        <w:tc>
          <w:tcPr>
            <w:tcW w:w="127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仿宋_GB2312"/>
                <w:color w:val="000000"/>
                <w:kern w:val="2"/>
                <w:sz w:val="32"/>
                <w:szCs w:val="32"/>
              </w:rPr>
              <w:t>邸云功</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仿宋_GB2312"/>
                <w:color w:val="000000"/>
                <w:kern w:val="2"/>
                <w:sz w:val="32"/>
                <w:szCs w:val="32"/>
              </w:rPr>
              <w:t>王子君</w:t>
            </w:r>
          </w:p>
        </w:tc>
        <w:tc>
          <w:tcPr>
            <w:tcW w:w="2693" w:type="dxa"/>
            <w:tcBorders>
              <w:top w:val="nil"/>
              <w:left w:val="nil"/>
              <w:bottom w:val="single" w:color="auto" w:sz="4" w:space="0"/>
              <w:right w:val="single" w:color="auto" w:sz="4" w:space="0"/>
            </w:tcBorders>
            <w:shd w:val="clear" w:color="auto" w:fill="auto"/>
            <w:vAlign w:val="center"/>
          </w:tcPr>
          <w:p>
            <w:pPr>
              <w:spacing w:after="0"/>
              <w:jc w:val="center"/>
              <w:rPr>
                <w:rFonts w:ascii="仿宋" w:hAnsi="仿宋" w:eastAsia="仿宋" w:cs="宋体"/>
                <w:color w:val="000000"/>
                <w:sz w:val="32"/>
                <w:szCs w:val="32"/>
              </w:rPr>
            </w:pPr>
            <w:r>
              <w:rPr>
                <w:rFonts w:hint="eastAsia" w:ascii="仿宋" w:hAnsi="仿宋" w:eastAsia="仿宋" w:cs="仿宋_GB2312"/>
                <w:color w:val="000000"/>
                <w:kern w:val="2"/>
                <w:sz w:val="32"/>
                <w:szCs w:val="32"/>
              </w:rPr>
              <w:t>孟令军  陈  悦</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重点时段</w:t>
            </w:r>
          </w:p>
          <w:p>
            <w:pPr>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每月单号</w:t>
            </w:r>
          </w:p>
        </w:tc>
      </w:tr>
      <w:tr>
        <w:tblPrEx>
          <w:tblCellMar>
            <w:top w:w="0" w:type="dxa"/>
            <w:left w:w="108" w:type="dxa"/>
            <w:bottom w:w="0" w:type="dxa"/>
            <w:right w:w="108" w:type="dxa"/>
          </w:tblCellMar>
        </w:tblPrEx>
        <w:trPr>
          <w:trHeight w:val="240"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第二督查执纪组</w:t>
            </w:r>
          </w:p>
        </w:tc>
        <w:tc>
          <w:tcPr>
            <w:tcW w:w="127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仿宋_GB2312"/>
                <w:color w:val="000000"/>
                <w:kern w:val="2"/>
                <w:sz w:val="32"/>
                <w:szCs w:val="32"/>
              </w:rPr>
              <w:t>鲍  汗</w:t>
            </w:r>
          </w:p>
        </w:tc>
        <w:tc>
          <w:tcPr>
            <w:tcW w:w="155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仿宋_GB2312"/>
                <w:color w:val="000000"/>
                <w:kern w:val="2"/>
                <w:sz w:val="32"/>
                <w:szCs w:val="32"/>
              </w:rPr>
              <w:t>张庆田</w:t>
            </w:r>
          </w:p>
        </w:tc>
        <w:tc>
          <w:tcPr>
            <w:tcW w:w="2693" w:type="dxa"/>
            <w:tcBorders>
              <w:top w:val="nil"/>
              <w:left w:val="nil"/>
              <w:bottom w:val="single" w:color="auto" w:sz="4" w:space="0"/>
              <w:right w:val="single" w:color="auto" w:sz="4" w:space="0"/>
            </w:tcBorders>
            <w:shd w:val="clear" w:color="auto" w:fill="auto"/>
            <w:vAlign w:val="center"/>
          </w:tcPr>
          <w:p>
            <w:pPr>
              <w:pStyle w:val="5"/>
              <w:spacing w:before="0" w:beforeAutospacing="0" w:after="0" w:afterAutospacing="0" w:line="460" w:lineRule="exact"/>
              <w:jc w:val="center"/>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赵俊芳  易金敏</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重点时段</w:t>
            </w:r>
          </w:p>
          <w:p>
            <w:pPr>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每月双号</w:t>
            </w:r>
          </w:p>
        </w:tc>
      </w:tr>
    </w:tbl>
    <w:p>
      <w:pPr>
        <w:pStyle w:val="5"/>
        <w:spacing w:before="0" w:beforeAutospacing="0" w:after="0" w:afterAutospacing="0" w:line="460" w:lineRule="exact"/>
        <w:rPr>
          <w:rFonts w:ascii="仿宋_GB2312" w:eastAsia="仿宋_GB2312" w:cs="仿宋_GB2312"/>
          <w:color w:val="000000"/>
          <w:kern w:val="2"/>
          <w:sz w:val="32"/>
          <w:szCs w:val="32"/>
        </w:rPr>
      </w:pPr>
    </w:p>
    <w:p>
      <w:pPr>
        <w:pStyle w:val="5"/>
        <w:spacing w:before="0" w:beforeAutospacing="0" w:after="0" w:afterAutospacing="0" w:line="460" w:lineRule="exact"/>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 xml:space="preserve">附件3 </w:t>
      </w:r>
    </w:p>
    <w:p>
      <w:pPr>
        <w:pStyle w:val="5"/>
        <w:spacing w:before="0" w:beforeAutospacing="0" w:after="0" w:afterAutospacing="0" w:line="460" w:lineRule="exact"/>
        <w:jc w:val="center"/>
        <w:rPr>
          <w:rFonts w:hint="eastAsia" w:ascii="宋体" w:hAnsi="宋体" w:cs="ArialUnicodeMS-WinCharSetFFFF-H"/>
          <w:kern w:val="2"/>
          <w:sz w:val="44"/>
          <w:szCs w:val="44"/>
        </w:rPr>
      </w:pPr>
    </w:p>
    <w:p>
      <w:pPr>
        <w:pStyle w:val="5"/>
        <w:spacing w:before="0" w:beforeAutospacing="0" w:after="0" w:afterAutospacing="0" w:line="460" w:lineRule="exact"/>
        <w:jc w:val="center"/>
        <w:rPr>
          <w:rFonts w:ascii="宋体" w:hAnsi="宋体" w:cs="仿宋_GB2312"/>
          <w:color w:val="000000"/>
          <w:kern w:val="2"/>
          <w:sz w:val="32"/>
          <w:szCs w:val="32"/>
        </w:rPr>
      </w:pPr>
      <w:r>
        <w:rPr>
          <w:rFonts w:hint="eastAsia" w:ascii="宋体" w:hAnsi="宋体" w:cs="ArialUnicodeMS-WinCharSetFFFF-H"/>
          <w:kern w:val="2"/>
          <w:sz w:val="44"/>
          <w:szCs w:val="44"/>
        </w:rPr>
        <w:t>堰口镇2024年秸秆禁烧执法办案组名单</w:t>
      </w:r>
    </w:p>
    <w:p>
      <w:pPr>
        <w:pStyle w:val="5"/>
        <w:spacing w:before="0" w:beforeAutospacing="0" w:after="0" w:afterAutospacing="0" w:line="46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组  长：余金保</w:t>
      </w:r>
    </w:p>
    <w:p>
      <w:pPr>
        <w:pStyle w:val="5"/>
        <w:spacing w:before="0" w:beforeAutospacing="0" w:after="0" w:afterAutospacing="0" w:line="46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 xml:space="preserve">副组长：李仁良  程  坦 </w:t>
      </w:r>
    </w:p>
    <w:p>
      <w:pPr>
        <w:pStyle w:val="5"/>
        <w:spacing w:before="0" w:beforeAutospacing="0" w:after="0" w:afterAutospacing="0" w:line="460" w:lineRule="exact"/>
        <w:ind w:firstLine="640" w:firstLineChars="2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成  员：赵  灿  高靳杰  王 灿  马可晴  马少东</w:t>
      </w:r>
    </w:p>
    <w:p>
      <w:pPr>
        <w:pStyle w:val="5"/>
        <w:spacing w:before="0" w:beforeAutospacing="0" w:after="0" w:afterAutospacing="0" w:line="460" w:lineRule="exact"/>
        <w:ind w:firstLine="1"/>
        <w:rPr>
          <w:rFonts w:hint="eastAsia" w:ascii="仿宋" w:hAnsi="仿宋" w:eastAsia="仿宋" w:cs="仿宋_GB2312"/>
          <w:color w:val="000000"/>
          <w:kern w:val="2"/>
          <w:sz w:val="32"/>
          <w:szCs w:val="32"/>
        </w:rPr>
      </w:pPr>
    </w:p>
    <w:p>
      <w:pPr>
        <w:pStyle w:val="5"/>
        <w:spacing w:before="0" w:beforeAutospacing="0" w:after="0" w:afterAutospacing="0" w:line="460" w:lineRule="exact"/>
        <w:ind w:firstLine="1"/>
        <w:rPr>
          <w:rFonts w:hint="eastAsia" w:ascii="仿宋" w:hAnsi="仿宋" w:eastAsia="仿宋" w:cs="仿宋_GB2312"/>
          <w:color w:val="000000"/>
          <w:kern w:val="2"/>
          <w:sz w:val="32"/>
          <w:szCs w:val="32"/>
        </w:rPr>
      </w:pPr>
    </w:p>
    <w:p>
      <w:pPr>
        <w:pStyle w:val="5"/>
        <w:spacing w:before="0" w:beforeAutospacing="0" w:after="0" w:afterAutospacing="0" w:line="460" w:lineRule="exact"/>
        <w:ind w:firstLine="1"/>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附件4</w:t>
      </w:r>
    </w:p>
    <w:p>
      <w:pPr>
        <w:pStyle w:val="5"/>
        <w:spacing w:before="0" w:beforeAutospacing="0" w:after="0" w:afterAutospacing="0" w:line="460" w:lineRule="exact"/>
        <w:ind w:firstLine="1"/>
        <w:jc w:val="center"/>
        <w:rPr>
          <w:rFonts w:hint="eastAsia" w:ascii="宋体" w:hAnsi="宋体" w:cs="ArialUnicodeMS-WinCharSetFFFF-H"/>
          <w:kern w:val="2"/>
          <w:sz w:val="44"/>
          <w:szCs w:val="44"/>
        </w:rPr>
      </w:pPr>
    </w:p>
    <w:p>
      <w:pPr>
        <w:pStyle w:val="5"/>
        <w:spacing w:before="0" w:beforeAutospacing="0" w:after="0" w:afterAutospacing="0" w:line="460" w:lineRule="exact"/>
        <w:ind w:firstLine="1"/>
        <w:jc w:val="center"/>
        <w:rPr>
          <w:rFonts w:ascii="宋体" w:hAnsi="宋体" w:cs="仿宋_GB2312"/>
          <w:color w:val="000000"/>
          <w:kern w:val="2"/>
          <w:sz w:val="32"/>
          <w:szCs w:val="32"/>
        </w:rPr>
      </w:pPr>
      <w:r>
        <w:rPr>
          <w:rFonts w:hint="eastAsia" w:ascii="宋体" w:hAnsi="宋体" w:cs="ArialUnicodeMS-WinCharSetFFFF-H"/>
          <w:kern w:val="2"/>
          <w:sz w:val="44"/>
          <w:szCs w:val="44"/>
        </w:rPr>
        <w:t>堰口镇2024年秸秆禁烧执法巡查组名单</w:t>
      </w:r>
    </w:p>
    <w:tbl>
      <w:tblPr>
        <w:tblStyle w:val="6"/>
        <w:tblW w:w="9498" w:type="dxa"/>
        <w:tblInd w:w="-34" w:type="dxa"/>
        <w:tblLayout w:type="autofit"/>
        <w:tblCellMar>
          <w:top w:w="0" w:type="dxa"/>
          <w:left w:w="108" w:type="dxa"/>
          <w:bottom w:w="0" w:type="dxa"/>
          <w:right w:w="108" w:type="dxa"/>
        </w:tblCellMar>
      </w:tblPr>
      <w:tblGrid>
        <w:gridCol w:w="1560"/>
        <w:gridCol w:w="1276"/>
        <w:gridCol w:w="2268"/>
        <w:gridCol w:w="2835"/>
        <w:gridCol w:w="1559"/>
      </w:tblGrid>
      <w:tr>
        <w:tblPrEx>
          <w:tblCellMar>
            <w:top w:w="0" w:type="dxa"/>
            <w:left w:w="108" w:type="dxa"/>
            <w:bottom w:w="0" w:type="dxa"/>
            <w:right w:w="108" w:type="dxa"/>
          </w:tblCellMar>
        </w:tblPrEx>
        <w:trPr>
          <w:trHeight w:val="24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组 别</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组 长</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成 员</w:t>
            </w:r>
          </w:p>
        </w:tc>
        <w:tc>
          <w:tcPr>
            <w:tcW w:w="2835"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责任区域</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车辆保障</w:t>
            </w:r>
          </w:p>
        </w:tc>
      </w:tr>
      <w:tr>
        <w:tblPrEx>
          <w:tblCellMar>
            <w:top w:w="0" w:type="dxa"/>
            <w:left w:w="108" w:type="dxa"/>
            <w:bottom w:w="0" w:type="dxa"/>
            <w:right w:w="108" w:type="dxa"/>
          </w:tblCellMar>
        </w:tblPrEx>
        <w:trPr>
          <w:trHeight w:val="24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第一执法巡查组</w:t>
            </w:r>
          </w:p>
        </w:tc>
        <w:tc>
          <w:tcPr>
            <w:tcW w:w="127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仿宋_GB2312"/>
                <w:color w:val="000000"/>
                <w:kern w:val="2"/>
                <w:sz w:val="32"/>
                <w:szCs w:val="32"/>
              </w:rPr>
              <w:t>赵  灿</w:t>
            </w:r>
          </w:p>
        </w:tc>
        <w:tc>
          <w:tcPr>
            <w:tcW w:w="226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仿宋_GB2312"/>
                <w:color w:val="000000"/>
                <w:kern w:val="2"/>
                <w:sz w:val="32"/>
                <w:szCs w:val="32"/>
              </w:rPr>
              <w:t>堰口公安派出所全体干警</w:t>
            </w:r>
          </w:p>
        </w:tc>
        <w:tc>
          <w:tcPr>
            <w:tcW w:w="2835" w:type="dxa"/>
            <w:tcBorders>
              <w:top w:val="nil"/>
              <w:left w:val="nil"/>
              <w:bottom w:val="single" w:color="auto" w:sz="4" w:space="0"/>
              <w:right w:val="single" w:color="auto" w:sz="4" w:space="0"/>
            </w:tcBorders>
            <w:shd w:val="clear" w:color="auto" w:fill="auto"/>
            <w:vAlign w:val="center"/>
          </w:tcPr>
          <w:p>
            <w:pPr>
              <w:spacing w:after="0" w:line="360" w:lineRule="exact"/>
              <w:jc w:val="center"/>
              <w:rPr>
                <w:rFonts w:ascii="仿宋" w:hAnsi="仿宋" w:eastAsia="仿宋" w:cs="宋体"/>
                <w:color w:val="000000"/>
                <w:sz w:val="32"/>
                <w:szCs w:val="32"/>
              </w:rPr>
            </w:pPr>
            <w:r>
              <w:rPr>
                <w:rFonts w:hint="eastAsia" w:ascii="仿宋" w:hAnsi="仿宋" w:eastAsia="仿宋" w:cs="仿宋_GB2312"/>
                <w:color w:val="000000"/>
                <w:kern w:val="2"/>
                <w:sz w:val="32"/>
                <w:szCs w:val="32"/>
              </w:rPr>
              <w:t>堰口片（堰口村、魏岗村、高王村、寿丰村）</w:t>
            </w:r>
          </w:p>
        </w:tc>
        <w:tc>
          <w:tcPr>
            <w:tcW w:w="1559" w:type="dxa"/>
            <w:tcBorders>
              <w:top w:val="nil"/>
              <w:left w:val="nil"/>
              <w:bottom w:val="single" w:color="auto" w:sz="4" w:space="0"/>
              <w:right w:val="single" w:color="auto" w:sz="4" w:space="0"/>
            </w:tcBorders>
            <w:shd w:val="clear" w:color="auto" w:fill="auto"/>
            <w:vAlign w:val="center"/>
          </w:tcPr>
          <w:p>
            <w:pPr>
              <w:spacing w:after="0"/>
              <w:jc w:val="center"/>
              <w:rPr>
                <w:rFonts w:ascii="仿宋" w:hAnsi="仿宋" w:eastAsia="仿宋" w:cs="宋体"/>
                <w:color w:val="000000"/>
                <w:sz w:val="32"/>
                <w:szCs w:val="32"/>
              </w:rPr>
            </w:pPr>
            <w:r>
              <w:rPr>
                <w:rFonts w:hint="eastAsia" w:ascii="仿宋" w:hAnsi="仿宋" w:eastAsia="仿宋" w:cs="仿宋_GB2312"/>
                <w:color w:val="000000"/>
                <w:kern w:val="2"/>
                <w:sz w:val="32"/>
                <w:szCs w:val="32"/>
              </w:rPr>
              <w:t>派出所车</w:t>
            </w:r>
          </w:p>
        </w:tc>
      </w:tr>
      <w:tr>
        <w:tblPrEx>
          <w:tblCellMar>
            <w:top w:w="0" w:type="dxa"/>
            <w:left w:w="108" w:type="dxa"/>
            <w:bottom w:w="0" w:type="dxa"/>
            <w:right w:w="108" w:type="dxa"/>
          </w:tblCellMar>
        </w:tblPrEx>
        <w:trPr>
          <w:trHeight w:val="24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第二执法巡查组</w:t>
            </w:r>
          </w:p>
        </w:tc>
        <w:tc>
          <w:tcPr>
            <w:tcW w:w="127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仿宋_GB2312"/>
                <w:color w:val="000000"/>
                <w:kern w:val="2"/>
                <w:sz w:val="32"/>
                <w:szCs w:val="32"/>
              </w:rPr>
              <w:t>程  坦</w:t>
            </w:r>
          </w:p>
        </w:tc>
        <w:tc>
          <w:tcPr>
            <w:tcW w:w="226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仿宋_GB2312"/>
                <w:color w:val="000000"/>
                <w:kern w:val="2"/>
                <w:sz w:val="32"/>
                <w:szCs w:val="32"/>
              </w:rPr>
              <w:t>高靳杰  交警三中队全体干警</w:t>
            </w:r>
          </w:p>
        </w:tc>
        <w:tc>
          <w:tcPr>
            <w:tcW w:w="2835" w:type="dxa"/>
            <w:tcBorders>
              <w:top w:val="nil"/>
              <w:left w:val="nil"/>
              <w:bottom w:val="single" w:color="auto" w:sz="4" w:space="0"/>
              <w:right w:val="single" w:color="auto" w:sz="4" w:space="0"/>
            </w:tcBorders>
            <w:shd w:val="clear" w:color="auto" w:fill="auto"/>
            <w:vAlign w:val="center"/>
          </w:tcPr>
          <w:p>
            <w:pPr>
              <w:pStyle w:val="5"/>
              <w:spacing w:before="0" w:beforeAutospacing="0" w:after="0" w:afterAutospacing="0" w:line="360" w:lineRule="exact"/>
              <w:jc w:val="center"/>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十字路片（十字路村、双楼村、小集村、青莲村）</w:t>
            </w:r>
          </w:p>
        </w:tc>
        <w:tc>
          <w:tcPr>
            <w:tcW w:w="1559" w:type="dxa"/>
            <w:tcBorders>
              <w:top w:val="nil"/>
              <w:left w:val="nil"/>
              <w:bottom w:val="single" w:color="auto" w:sz="4" w:space="0"/>
              <w:right w:val="single" w:color="auto" w:sz="4" w:space="0"/>
            </w:tcBorders>
            <w:shd w:val="clear" w:color="auto" w:fill="auto"/>
            <w:vAlign w:val="center"/>
          </w:tcPr>
          <w:p>
            <w:pPr>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三中队车</w:t>
            </w:r>
          </w:p>
        </w:tc>
      </w:tr>
      <w:tr>
        <w:tblPrEx>
          <w:tblCellMar>
            <w:top w:w="0" w:type="dxa"/>
            <w:left w:w="108" w:type="dxa"/>
            <w:bottom w:w="0" w:type="dxa"/>
            <w:right w:w="108" w:type="dxa"/>
          </w:tblCellMar>
        </w:tblPrEx>
        <w:trPr>
          <w:trHeight w:val="24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第三执法巡查组</w:t>
            </w:r>
          </w:p>
        </w:tc>
        <w:tc>
          <w:tcPr>
            <w:tcW w:w="1276"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仿宋_GB2312"/>
                <w:color w:val="000000"/>
                <w:kern w:val="2"/>
                <w:sz w:val="32"/>
                <w:szCs w:val="32"/>
              </w:rPr>
              <w:t>江宏海</w:t>
            </w:r>
          </w:p>
        </w:tc>
        <w:tc>
          <w:tcPr>
            <w:tcW w:w="226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仿宋_GB2312"/>
                <w:color w:val="000000"/>
                <w:kern w:val="2"/>
                <w:sz w:val="32"/>
                <w:szCs w:val="32"/>
              </w:rPr>
              <w:t>江 宏 张士可</w:t>
            </w:r>
          </w:p>
        </w:tc>
        <w:tc>
          <w:tcPr>
            <w:tcW w:w="2835" w:type="dxa"/>
            <w:tcBorders>
              <w:top w:val="nil"/>
              <w:left w:val="nil"/>
              <w:bottom w:val="single" w:color="auto" w:sz="4" w:space="0"/>
              <w:right w:val="single" w:color="auto" w:sz="4" w:space="0"/>
            </w:tcBorders>
            <w:shd w:val="clear" w:color="auto" w:fill="auto"/>
            <w:vAlign w:val="center"/>
          </w:tcPr>
          <w:p>
            <w:pPr>
              <w:spacing w:after="0" w:line="360" w:lineRule="exact"/>
              <w:jc w:val="center"/>
              <w:rPr>
                <w:rFonts w:ascii="仿宋" w:hAnsi="仿宋" w:eastAsia="仿宋" w:cs="宋体"/>
                <w:color w:val="000000"/>
                <w:sz w:val="32"/>
                <w:szCs w:val="32"/>
              </w:rPr>
            </w:pPr>
            <w:r>
              <w:rPr>
                <w:rFonts w:hint="eastAsia" w:ascii="仿宋" w:hAnsi="仿宋" w:eastAsia="仿宋" w:cs="仿宋_GB2312"/>
                <w:color w:val="000000"/>
                <w:kern w:val="2"/>
                <w:sz w:val="32"/>
                <w:szCs w:val="32"/>
              </w:rPr>
              <w:t>江黄片（红桥村、八沟村、江街村、许寺村、江黄村、马厂村）</w:t>
            </w:r>
          </w:p>
        </w:tc>
        <w:tc>
          <w:tcPr>
            <w:tcW w:w="1559" w:type="dxa"/>
            <w:tcBorders>
              <w:top w:val="nil"/>
              <w:left w:val="nil"/>
              <w:bottom w:val="single" w:color="auto" w:sz="4" w:space="0"/>
              <w:right w:val="single" w:color="auto" w:sz="4" w:space="0"/>
            </w:tcBorders>
            <w:shd w:val="clear" w:color="auto" w:fill="auto"/>
            <w:vAlign w:val="center"/>
          </w:tcPr>
          <w:p>
            <w:pPr>
              <w:spacing w:after="0"/>
              <w:jc w:val="center"/>
              <w:rPr>
                <w:rFonts w:ascii="仿宋" w:hAnsi="仿宋" w:eastAsia="仿宋" w:cs="宋体"/>
                <w:color w:val="000000"/>
                <w:sz w:val="32"/>
                <w:szCs w:val="32"/>
              </w:rPr>
            </w:pPr>
            <w:r>
              <w:rPr>
                <w:rFonts w:hint="eastAsia" w:ascii="仿宋" w:hAnsi="仿宋" w:eastAsia="仿宋" w:cs="仿宋_GB2312"/>
                <w:color w:val="000000"/>
                <w:kern w:val="2"/>
                <w:sz w:val="32"/>
                <w:szCs w:val="32"/>
              </w:rPr>
              <w:t>交管站车</w:t>
            </w:r>
          </w:p>
        </w:tc>
      </w:tr>
    </w:tbl>
    <w:p>
      <w:pPr>
        <w:pStyle w:val="5"/>
        <w:spacing w:before="0" w:beforeAutospacing="0" w:after="0" w:afterAutospacing="0" w:line="460" w:lineRule="exact"/>
        <w:rPr>
          <w:rFonts w:hint="eastAsia" w:ascii="仿宋" w:hAnsi="仿宋" w:eastAsia="仿宋" w:cs="仿宋_GB2312"/>
          <w:color w:val="000000"/>
          <w:kern w:val="2"/>
          <w:sz w:val="32"/>
          <w:szCs w:val="32"/>
        </w:rPr>
      </w:pPr>
    </w:p>
    <w:p>
      <w:pPr>
        <w:pStyle w:val="5"/>
        <w:spacing w:before="0" w:beforeAutospacing="0" w:after="0" w:afterAutospacing="0" w:line="460" w:lineRule="exact"/>
        <w:rPr>
          <w:rFonts w:hint="eastAsia" w:ascii="仿宋" w:hAnsi="仿宋" w:eastAsia="仿宋" w:cs="仿宋_GB2312"/>
          <w:color w:val="000000"/>
          <w:kern w:val="2"/>
          <w:sz w:val="32"/>
          <w:szCs w:val="32"/>
        </w:rPr>
      </w:pPr>
    </w:p>
    <w:p>
      <w:pPr>
        <w:pStyle w:val="5"/>
        <w:spacing w:before="0" w:beforeAutospacing="0" w:after="0" w:afterAutospacing="0" w:line="460" w:lineRule="exact"/>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附件5</w:t>
      </w:r>
    </w:p>
    <w:p>
      <w:pPr>
        <w:pStyle w:val="5"/>
        <w:spacing w:before="0" w:beforeAutospacing="0" w:after="0" w:afterAutospacing="0" w:line="460" w:lineRule="exact"/>
        <w:jc w:val="center"/>
        <w:rPr>
          <w:rFonts w:hint="eastAsia" w:ascii="宋体" w:hAnsi="宋体" w:cs="ArialUnicodeMS-WinCharSetFFFF-H"/>
          <w:kern w:val="2"/>
          <w:sz w:val="44"/>
          <w:szCs w:val="44"/>
        </w:rPr>
      </w:pPr>
    </w:p>
    <w:p>
      <w:pPr>
        <w:pStyle w:val="5"/>
        <w:spacing w:before="0" w:beforeAutospacing="0" w:after="0" w:afterAutospacing="0" w:line="460" w:lineRule="exact"/>
        <w:jc w:val="center"/>
        <w:rPr>
          <w:rFonts w:ascii="宋体" w:hAnsi="宋体" w:cs="仿宋_GB2312"/>
          <w:color w:val="000000"/>
          <w:kern w:val="2"/>
          <w:sz w:val="32"/>
          <w:szCs w:val="32"/>
        </w:rPr>
      </w:pPr>
      <w:r>
        <w:rPr>
          <w:rFonts w:hint="eastAsia" w:ascii="宋体" w:hAnsi="宋体" w:cs="ArialUnicodeMS-WinCharSetFFFF-H"/>
          <w:kern w:val="2"/>
          <w:sz w:val="44"/>
          <w:szCs w:val="44"/>
        </w:rPr>
        <w:t>堰口镇2024年秸秆禁烧应急处置组名单</w:t>
      </w:r>
    </w:p>
    <w:p>
      <w:pPr>
        <w:pStyle w:val="5"/>
        <w:spacing w:before="0" w:beforeAutospacing="0" w:after="0" w:afterAutospacing="0" w:line="460" w:lineRule="exact"/>
        <w:ind w:left="1280" w:hanging="1280" w:hangingChars="4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组长：赵  灿</w:t>
      </w:r>
    </w:p>
    <w:p>
      <w:pPr>
        <w:pStyle w:val="5"/>
        <w:spacing w:before="0" w:beforeAutospacing="0" w:after="0" w:afterAutospacing="0" w:line="460" w:lineRule="exact"/>
        <w:ind w:left="1280" w:hanging="1280" w:hangingChars="400"/>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 xml:space="preserve">成员：派出所全体干警 </w:t>
      </w:r>
    </w:p>
    <w:p>
      <w:pPr>
        <w:pStyle w:val="5"/>
        <w:spacing w:before="0" w:beforeAutospacing="0" w:after="0" w:afterAutospacing="0" w:line="460" w:lineRule="exact"/>
        <w:ind w:firstLine="320" w:firstLineChars="100"/>
        <w:rPr>
          <w:rFonts w:hint="eastAsia" w:ascii="仿宋_GB2312" w:eastAsia="仿宋_GB2312" w:cs="仿宋_GB2312"/>
          <w:color w:val="000000"/>
          <w:kern w:val="2"/>
          <w:sz w:val="32"/>
          <w:szCs w:val="32"/>
        </w:rPr>
      </w:pPr>
      <w:r>
        <w:rPr>
          <w:rFonts w:hint="eastAsia" w:ascii="仿宋_GB2312" w:eastAsia="仿宋_GB2312" w:cs="仿宋_GB2312"/>
          <w:color w:val="000000"/>
          <w:kern w:val="2"/>
          <w:sz w:val="32"/>
          <w:szCs w:val="32"/>
        </w:rPr>
        <w:t xml:space="preserve">                                                                                                                                                                                              </w:t>
      </w:r>
    </w:p>
    <w:p>
      <w:pPr>
        <w:pStyle w:val="5"/>
        <w:spacing w:before="0" w:beforeAutospacing="0" w:after="0" w:afterAutospacing="0" w:line="460" w:lineRule="exact"/>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附件6</w:t>
      </w:r>
    </w:p>
    <w:p>
      <w:pPr>
        <w:pStyle w:val="5"/>
        <w:spacing w:before="0" w:beforeAutospacing="0" w:after="0" w:afterAutospacing="0" w:line="460" w:lineRule="exact"/>
        <w:jc w:val="center"/>
        <w:rPr>
          <w:rFonts w:hint="eastAsia" w:ascii="宋体" w:hAnsi="宋体" w:cs="ArialUnicodeMS-WinCharSetFFFF-H"/>
          <w:kern w:val="2"/>
          <w:sz w:val="44"/>
          <w:szCs w:val="44"/>
        </w:rPr>
      </w:pPr>
    </w:p>
    <w:p>
      <w:pPr>
        <w:pStyle w:val="5"/>
        <w:spacing w:before="0" w:beforeAutospacing="0" w:after="0" w:afterAutospacing="0" w:line="460" w:lineRule="exact"/>
        <w:jc w:val="center"/>
        <w:rPr>
          <w:rFonts w:ascii="宋体" w:hAnsi="宋体" w:cs="仿宋_GB2312"/>
          <w:color w:val="000000"/>
          <w:kern w:val="2"/>
          <w:sz w:val="32"/>
          <w:szCs w:val="32"/>
        </w:rPr>
      </w:pPr>
      <w:r>
        <w:rPr>
          <w:rFonts w:hint="eastAsia" w:ascii="宋体" w:hAnsi="宋体" w:cs="ArialUnicodeMS-WinCharSetFFFF-H"/>
          <w:kern w:val="2"/>
          <w:sz w:val="44"/>
          <w:szCs w:val="44"/>
        </w:rPr>
        <w:t>堰口镇2024年秸秆禁烧驻村工作组名单</w:t>
      </w:r>
    </w:p>
    <w:tbl>
      <w:tblPr>
        <w:tblStyle w:val="6"/>
        <w:tblW w:w="8647" w:type="dxa"/>
        <w:tblInd w:w="392" w:type="dxa"/>
        <w:tblLayout w:type="autofit"/>
        <w:tblCellMar>
          <w:top w:w="0" w:type="dxa"/>
          <w:left w:w="108" w:type="dxa"/>
          <w:bottom w:w="0" w:type="dxa"/>
          <w:right w:w="108" w:type="dxa"/>
        </w:tblCellMar>
      </w:tblPr>
      <w:tblGrid>
        <w:gridCol w:w="2126"/>
        <w:gridCol w:w="2268"/>
        <w:gridCol w:w="4253"/>
      </w:tblGrid>
      <w:tr>
        <w:tblPrEx>
          <w:tblCellMar>
            <w:top w:w="0" w:type="dxa"/>
            <w:left w:w="108" w:type="dxa"/>
            <w:bottom w:w="0" w:type="dxa"/>
            <w:right w:w="108" w:type="dxa"/>
          </w:tblCellMar>
        </w:tblPrEx>
        <w:trPr>
          <w:trHeight w:val="240" w:hRule="atLeast"/>
        </w:trPr>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村 名</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组 长</w:t>
            </w:r>
          </w:p>
        </w:tc>
        <w:tc>
          <w:tcPr>
            <w:tcW w:w="4253"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成 员</w:t>
            </w:r>
          </w:p>
        </w:tc>
      </w:tr>
      <w:tr>
        <w:tblPrEx>
          <w:tblCellMar>
            <w:top w:w="0" w:type="dxa"/>
            <w:left w:w="108" w:type="dxa"/>
            <w:bottom w:w="0" w:type="dxa"/>
            <w:right w:w="108" w:type="dxa"/>
          </w:tblCellMar>
        </w:tblPrEx>
        <w:trPr>
          <w:trHeight w:val="240"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堰口村</w:t>
            </w:r>
          </w:p>
        </w:tc>
        <w:tc>
          <w:tcPr>
            <w:tcW w:w="226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徐忠良</w:t>
            </w:r>
          </w:p>
        </w:tc>
        <w:tc>
          <w:tcPr>
            <w:tcW w:w="425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sz w:val="32"/>
                <w:szCs w:val="32"/>
              </w:rPr>
            </w:pPr>
            <w:r>
              <w:rPr>
                <w:rFonts w:hint="eastAsia" w:ascii="仿宋" w:hAnsi="仿宋" w:eastAsia="仿宋" w:cs="宋体"/>
                <w:sz w:val="32"/>
                <w:szCs w:val="32"/>
              </w:rPr>
              <w:t>江  虹　程东宏</w:t>
            </w:r>
          </w:p>
        </w:tc>
      </w:tr>
      <w:tr>
        <w:tblPrEx>
          <w:tblCellMar>
            <w:top w:w="0" w:type="dxa"/>
            <w:left w:w="108" w:type="dxa"/>
            <w:bottom w:w="0" w:type="dxa"/>
            <w:right w:w="108" w:type="dxa"/>
          </w:tblCellMar>
        </w:tblPrEx>
        <w:trPr>
          <w:trHeight w:val="240"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魏岗村</w:t>
            </w:r>
          </w:p>
        </w:tc>
        <w:tc>
          <w:tcPr>
            <w:tcW w:w="226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李光永</w:t>
            </w:r>
          </w:p>
        </w:tc>
        <w:tc>
          <w:tcPr>
            <w:tcW w:w="425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葛广龙  余晓明</w:t>
            </w:r>
          </w:p>
        </w:tc>
      </w:tr>
      <w:tr>
        <w:tblPrEx>
          <w:tblCellMar>
            <w:top w:w="0" w:type="dxa"/>
            <w:left w:w="108" w:type="dxa"/>
            <w:bottom w:w="0" w:type="dxa"/>
            <w:right w:w="108" w:type="dxa"/>
          </w:tblCellMar>
        </w:tblPrEx>
        <w:trPr>
          <w:trHeight w:val="240"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高王村</w:t>
            </w:r>
          </w:p>
        </w:tc>
        <w:tc>
          <w:tcPr>
            <w:tcW w:w="226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邸云功</w:t>
            </w:r>
          </w:p>
        </w:tc>
        <w:tc>
          <w:tcPr>
            <w:tcW w:w="425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朱文涛  陈西宏</w:t>
            </w:r>
          </w:p>
        </w:tc>
      </w:tr>
      <w:tr>
        <w:tblPrEx>
          <w:tblCellMar>
            <w:top w:w="0" w:type="dxa"/>
            <w:left w:w="108" w:type="dxa"/>
            <w:bottom w:w="0" w:type="dxa"/>
            <w:right w:w="108" w:type="dxa"/>
          </w:tblCellMar>
        </w:tblPrEx>
        <w:trPr>
          <w:trHeight w:val="240"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青莲村</w:t>
            </w:r>
          </w:p>
        </w:tc>
        <w:tc>
          <w:tcPr>
            <w:tcW w:w="226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鲍  汗</w:t>
            </w:r>
          </w:p>
        </w:tc>
        <w:tc>
          <w:tcPr>
            <w:tcW w:w="425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张  毅</w:t>
            </w:r>
          </w:p>
        </w:tc>
      </w:tr>
      <w:tr>
        <w:tblPrEx>
          <w:tblCellMar>
            <w:top w:w="0" w:type="dxa"/>
            <w:left w:w="108" w:type="dxa"/>
            <w:bottom w:w="0" w:type="dxa"/>
            <w:right w:w="108" w:type="dxa"/>
          </w:tblCellMar>
        </w:tblPrEx>
        <w:trPr>
          <w:trHeight w:val="240"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十字路村</w:t>
            </w:r>
          </w:p>
        </w:tc>
        <w:tc>
          <w:tcPr>
            <w:tcW w:w="226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李先鹏</w:t>
            </w:r>
          </w:p>
        </w:tc>
        <w:tc>
          <w:tcPr>
            <w:tcW w:w="425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范宗锐</w:t>
            </w:r>
          </w:p>
        </w:tc>
      </w:tr>
      <w:tr>
        <w:tblPrEx>
          <w:tblCellMar>
            <w:top w:w="0" w:type="dxa"/>
            <w:left w:w="108" w:type="dxa"/>
            <w:bottom w:w="0" w:type="dxa"/>
            <w:right w:w="108" w:type="dxa"/>
          </w:tblCellMar>
        </w:tblPrEx>
        <w:trPr>
          <w:trHeight w:val="240"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寿丰村</w:t>
            </w:r>
          </w:p>
        </w:tc>
        <w:tc>
          <w:tcPr>
            <w:tcW w:w="226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周茂昌</w:t>
            </w:r>
          </w:p>
        </w:tc>
        <w:tc>
          <w:tcPr>
            <w:tcW w:w="425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程少杰  丁永辉  顾承新</w:t>
            </w:r>
          </w:p>
        </w:tc>
      </w:tr>
      <w:tr>
        <w:tblPrEx>
          <w:tblCellMar>
            <w:top w:w="0" w:type="dxa"/>
            <w:left w:w="108" w:type="dxa"/>
            <w:bottom w:w="0" w:type="dxa"/>
            <w:right w:w="108" w:type="dxa"/>
          </w:tblCellMar>
        </w:tblPrEx>
        <w:trPr>
          <w:trHeight w:val="240"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双楼村</w:t>
            </w:r>
          </w:p>
        </w:tc>
        <w:tc>
          <w:tcPr>
            <w:tcW w:w="226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张庆田</w:t>
            </w:r>
          </w:p>
        </w:tc>
        <w:tc>
          <w:tcPr>
            <w:tcW w:w="425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王守前</w:t>
            </w:r>
          </w:p>
        </w:tc>
      </w:tr>
      <w:tr>
        <w:tblPrEx>
          <w:tblCellMar>
            <w:top w:w="0" w:type="dxa"/>
            <w:left w:w="108" w:type="dxa"/>
            <w:bottom w:w="0" w:type="dxa"/>
            <w:right w:w="108" w:type="dxa"/>
          </w:tblCellMar>
        </w:tblPrEx>
        <w:trPr>
          <w:trHeight w:val="240"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小集村</w:t>
            </w:r>
          </w:p>
        </w:tc>
        <w:tc>
          <w:tcPr>
            <w:tcW w:w="226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齐庆凯</w:t>
            </w:r>
          </w:p>
        </w:tc>
        <w:tc>
          <w:tcPr>
            <w:tcW w:w="425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黄晓伍  程晋光  刘</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辉</w:t>
            </w:r>
          </w:p>
        </w:tc>
      </w:tr>
      <w:tr>
        <w:tblPrEx>
          <w:tblCellMar>
            <w:top w:w="0" w:type="dxa"/>
            <w:left w:w="108" w:type="dxa"/>
            <w:bottom w:w="0" w:type="dxa"/>
            <w:right w:w="108" w:type="dxa"/>
          </w:tblCellMar>
        </w:tblPrEx>
        <w:trPr>
          <w:trHeight w:val="240"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八沟村</w:t>
            </w:r>
          </w:p>
        </w:tc>
        <w:tc>
          <w:tcPr>
            <w:tcW w:w="226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祝应炬</w:t>
            </w:r>
          </w:p>
        </w:tc>
        <w:tc>
          <w:tcPr>
            <w:tcW w:w="425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陶  政  叶  奇</w:t>
            </w:r>
          </w:p>
        </w:tc>
      </w:tr>
      <w:tr>
        <w:tblPrEx>
          <w:tblCellMar>
            <w:top w:w="0" w:type="dxa"/>
            <w:left w:w="108" w:type="dxa"/>
            <w:bottom w:w="0" w:type="dxa"/>
            <w:right w:w="108" w:type="dxa"/>
          </w:tblCellMar>
        </w:tblPrEx>
        <w:trPr>
          <w:trHeight w:val="240"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许寺村</w:t>
            </w:r>
          </w:p>
        </w:tc>
        <w:tc>
          <w:tcPr>
            <w:tcW w:w="226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祝应炬</w:t>
            </w:r>
          </w:p>
        </w:tc>
        <w:tc>
          <w:tcPr>
            <w:tcW w:w="425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马  超</w:t>
            </w:r>
          </w:p>
        </w:tc>
      </w:tr>
      <w:tr>
        <w:tblPrEx>
          <w:tblCellMar>
            <w:top w:w="0" w:type="dxa"/>
            <w:left w:w="108" w:type="dxa"/>
            <w:bottom w:w="0" w:type="dxa"/>
            <w:right w:w="108" w:type="dxa"/>
          </w:tblCellMar>
        </w:tblPrEx>
        <w:trPr>
          <w:trHeight w:val="240"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江街村</w:t>
            </w:r>
          </w:p>
        </w:tc>
        <w:tc>
          <w:tcPr>
            <w:tcW w:w="226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王子君</w:t>
            </w:r>
          </w:p>
        </w:tc>
        <w:tc>
          <w:tcPr>
            <w:tcW w:w="425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夏多兵</w:t>
            </w:r>
          </w:p>
        </w:tc>
      </w:tr>
      <w:tr>
        <w:tblPrEx>
          <w:tblCellMar>
            <w:top w:w="0" w:type="dxa"/>
            <w:left w:w="108" w:type="dxa"/>
            <w:bottom w:w="0" w:type="dxa"/>
            <w:right w:w="108" w:type="dxa"/>
          </w:tblCellMar>
        </w:tblPrEx>
        <w:trPr>
          <w:trHeight w:val="240"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江黄村</w:t>
            </w:r>
          </w:p>
        </w:tc>
        <w:tc>
          <w:tcPr>
            <w:tcW w:w="226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陈  越</w:t>
            </w:r>
          </w:p>
        </w:tc>
        <w:tc>
          <w:tcPr>
            <w:tcW w:w="425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丁家枚   张银全</w:t>
            </w:r>
          </w:p>
        </w:tc>
      </w:tr>
      <w:tr>
        <w:tblPrEx>
          <w:tblCellMar>
            <w:top w:w="0" w:type="dxa"/>
            <w:left w:w="108" w:type="dxa"/>
            <w:bottom w:w="0" w:type="dxa"/>
            <w:right w:w="108" w:type="dxa"/>
          </w:tblCellMar>
        </w:tblPrEx>
        <w:trPr>
          <w:trHeight w:val="240"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红桥村</w:t>
            </w:r>
          </w:p>
        </w:tc>
        <w:tc>
          <w:tcPr>
            <w:tcW w:w="226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李仁良</w:t>
            </w:r>
          </w:p>
        </w:tc>
        <w:tc>
          <w:tcPr>
            <w:tcW w:w="425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 xml:space="preserve">陈  春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张  飞</w:t>
            </w:r>
          </w:p>
        </w:tc>
      </w:tr>
      <w:tr>
        <w:tblPrEx>
          <w:tblCellMar>
            <w:top w:w="0" w:type="dxa"/>
            <w:left w:w="108" w:type="dxa"/>
            <w:bottom w:w="0" w:type="dxa"/>
            <w:right w:w="108" w:type="dxa"/>
          </w:tblCellMar>
        </w:tblPrEx>
        <w:trPr>
          <w:trHeight w:val="240"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马厂村</w:t>
            </w:r>
          </w:p>
        </w:tc>
        <w:tc>
          <w:tcPr>
            <w:tcW w:w="226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仿宋" w:hAnsi="仿宋" w:eastAsia="仿宋" w:cs="宋体"/>
                <w:color w:val="000000"/>
                <w:sz w:val="32"/>
                <w:szCs w:val="32"/>
              </w:rPr>
            </w:pPr>
            <w:r>
              <w:rPr>
                <w:rFonts w:hint="eastAsia" w:ascii="仿宋" w:hAnsi="仿宋" w:eastAsia="仿宋" w:cs="宋体"/>
                <w:color w:val="000000"/>
                <w:sz w:val="32"/>
                <w:szCs w:val="32"/>
              </w:rPr>
              <w:t>孙  凤</w:t>
            </w:r>
          </w:p>
        </w:tc>
        <w:tc>
          <w:tcPr>
            <w:tcW w:w="4253" w:type="dxa"/>
            <w:tcBorders>
              <w:top w:val="nil"/>
              <w:left w:val="nil"/>
              <w:bottom w:val="single" w:color="auto" w:sz="4" w:space="0"/>
              <w:right w:val="single" w:color="auto" w:sz="4" w:space="0"/>
            </w:tcBorders>
            <w:shd w:val="clear" w:color="auto" w:fill="auto"/>
            <w:noWrap/>
            <w:vAlign w:val="center"/>
          </w:tcPr>
          <w:p>
            <w:pPr>
              <w:adjustRightInd/>
              <w:snapToGrid/>
              <w:spacing w:after="0"/>
              <w:ind w:firstLine="960" w:firstLineChars="300"/>
              <w:jc w:val="both"/>
              <w:rPr>
                <w:rFonts w:ascii="仿宋" w:hAnsi="仿宋" w:eastAsia="仿宋" w:cs="宋体"/>
                <w:color w:val="000000"/>
                <w:sz w:val="32"/>
                <w:szCs w:val="32"/>
              </w:rPr>
            </w:pPr>
            <w:r>
              <w:rPr>
                <w:rFonts w:hint="eastAsia" w:ascii="仿宋" w:hAnsi="仿宋" w:eastAsia="仿宋" w:cs="宋体"/>
                <w:color w:val="000000"/>
                <w:sz w:val="32"/>
                <w:szCs w:val="32"/>
              </w:rPr>
              <w:t>朱继磊</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  李</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杰</w:t>
            </w:r>
          </w:p>
        </w:tc>
      </w:tr>
    </w:tbl>
    <w:p>
      <w:pPr>
        <w:pStyle w:val="5"/>
        <w:spacing w:before="0" w:beforeAutospacing="0" w:after="0" w:afterAutospacing="0" w:line="460" w:lineRule="exact"/>
        <w:rPr>
          <w:rFonts w:hint="eastAsia" w:ascii="仿宋_GB2312" w:eastAsia="仿宋_GB2312" w:cs="仿宋_GB2312"/>
          <w:color w:val="000000"/>
          <w:kern w:val="2"/>
          <w:sz w:val="32"/>
          <w:szCs w:val="32"/>
        </w:rPr>
      </w:pPr>
    </w:p>
    <w:p>
      <w:pPr>
        <w:pStyle w:val="5"/>
        <w:spacing w:before="0" w:beforeAutospacing="0" w:after="0" w:afterAutospacing="0" w:line="460" w:lineRule="exact"/>
        <w:rPr>
          <w:rFonts w:hint="eastAsia" w:ascii="仿宋_GB2312" w:eastAsia="仿宋_GB2312" w:cs="仿宋_GB2312"/>
          <w:color w:val="000000"/>
          <w:kern w:val="2"/>
          <w:sz w:val="32"/>
          <w:szCs w:val="32"/>
        </w:rPr>
      </w:pPr>
    </w:p>
    <w:p>
      <w:pPr>
        <w:pStyle w:val="5"/>
        <w:spacing w:before="0" w:beforeAutospacing="0" w:after="0" w:afterAutospacing="0" w:line="460" w:lineRule="exact"/>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附件7</w:t>
      </w:r>
    </w:p>
    <w:p>
      <w:pPr>
        <w:pStyle w:val="5"/>
        <w:spacing w:before="0" w:beforeAutospacing="0" w:after="0" w:afterAutospacing="0" w:line="460" w:lineRule="exact"/>
        <w:jc w:val="center"/>
        <w:rPr>
          <w:rFonts w:hint="eastAsia" w:ascii="方正小标宋简体" w:hAnsi="宋体" w:eastAsia="方正小标宋简体" w:cs="ArialUnicodeMS-WinCharSetFFFF-H"/>
          <w:kern w:val="2"/>
          <w:sz w:val="44"/>
          <w:szCs w:val="44"/>
        </w:rPr>
      </w:pPr>
    </w:p>
    <w:p>
      <w:pPr>
        <w:pStyle w:val="5"/>
        <w:spacing w:before="0" w:beforeAutospacing="0" w:after="0" w:afterAutospacing="0" w:line="460" w:lineRule="exact"/>
        <w:jc w:val="center"/>
        <w:rPr>
          <w:rFonts w:ascii="宋体" w:hAnsi="宋体" w:cs="ArialUnicodeMS-WinCharSetFFFF-H"/>
          <w:kern w:val="2"/>
          <w:sz w:val="44"/>
          <w:szCs w:val="44"/>
        </w:rPr>
      </w:pPr>
      <w:r>
        <w:rPr>
          <w:rFonts w:hint="eastAsia" w:ascii="宋体" w:hAnsi="宋体" w:cs="ArialUnicodeMS-WinCharSetFFFF-H"/>
          <w:kern w:val="2"/>
          <w:sz w:val="44"/>
          <w:szCs w:val="44"/>
        </w:rPr>
        <w:t>堰口镇2024年秸秆禁烧蓝天卫士盯控组名单</w:t>
      </w:r>
    </w:p>
    <w:p>
      <w:pPr>
        <w:adjustRightInd/>
        <w:snapToGrid/>
        <w:spacing w:after="0"/>
        <w:rPr>
          <w:rFonts w:hint="eastAsia" w:ascii="仿宋" w:hAnsi="仿宋" w:eastAsia="仿宋" w:cs="宋体"/>
          <w:color w:val="000000"/>
          <w:sz w:val="32"/>
          <w:szCs w:val="32"/>
        </w:rPr>
      </w:pPr>
    </w:p>
    <w:p>
      <w:pPr>
        <w:adjustRightInd/>
        <w:snapToGrid/>
        <w:spacing w:after="0"/>
        <w:rPr>
          <w:rFonts w:ascii="仿宋" w:hAnsi="仿宋" w:eastAsia="仿宋" w:cs="宋体"/>
          <w:color w:val="000000"/>
          <w:sz w:val="32"/>
          <w:szCs w:val="32"/>
        </w:rPr>
      </w:pPr>
      <w:r>
        <w:rPr>
          <w:rFonts w:hint="eastAsia" w:ascii="仿宋" w:hAnsi="仿宋" w:eastAsia="仿宋" w:cs="宋体"/>
          <w:color w:val="000000"/>
          <w:sz w:val="32"/>
          <w:szCs w:val="32"/>
        </w:rPr>
        <w:t>组长：杨继业</w:t>
      </w:r>
    </w:p>
    <w:p>
      <w:pPr>
        <w:adjustRightInd/>
        <w:snapToGrid/>
        <w:spacing w:after="0"/>
        <w:ind w:left="960" w:hanging="960" w:hangingChars="300"/>
        <w:rPr>
          <w:rFonts w:ascii="仿宋" w:hAnsi="仿宋" w:eastAsia="仿宋" w:cs="宋体"/>
          <w:color w:val="000000"/>
          <w:sz w:val="32"/>
          <w:szCs w:val="32"/>
        </w:rPr>
      </w:pPr>
      <w:r>
        <w:rPr>
          <w:rFonts w:hint="eastAsia" w:ascii="仿宋" w:hAnsi="仿宋" w:eastAsia="仿宋" w:cs="宋体"/>
          <w:color w:val="000000"/>
          <w:sz w:val="32"/>
          <w:szCs w:val="32"/>
        </w:rPr>
        <w:t>成员：许圣君</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陈长军</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孟玉</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 顾明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李继福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刘庆艳 严宏伟</w:t>
      </w:r>
    </w:p>
    <w:sectPr>
      <w:footerReference r:id="rId5" w:type="default"/>
      <w:pgSz w:w="11906" w:h="16838"/>
      <w:pgMar w:top="1474" w:right="1474" w:bottom="1418" w:left="1474" w:header="851" w:footer="851" w:gutter="0"/>
      <w:pgNumType w:fmt="numberInDash"/>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FZXBSJW--GB1-0">
    <w:altName w:val="Times New Roman"/>
    <w:panose1 w:val="00000000000000000000"/>
    <w:charset w:val="00"/>
    <w:family w:val="roman"/>
    <w:pitch w:val="default"/>
    <w:sig w:usb0="00000000" w:usb1="00000000" w:usb2="00000000" w:usb3="00000000" w:csb0="00000001" w:csb1="00000000"/>
  </w:font>
  <w:font w:name="方正小标宋简体">
    <w:altName w:val="黑体"/>
    <w:panose1 w:val="00000000000000000000"/>
    <w:charset w:val="86"/>
    <w:family w:val="auto"/>
    <w:pitch w:val="default"/>
    <w:sig w:usb0="00000000" w:usb1="00000000" w:usb2="00000010" w:usb3="00000000" w:csb0="00040000" w:csb1="00000000"/>
  </w:font>
  <w:font w:name="ArialUnicodeMS-WinCharSetFFFF-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2312">
    <w:altName w:val="仿宋"/>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5455713"/>
      <w:docPartObj>
        <w:docPartGallery w:val="AutoText"/>
      </w:docPartObj>
    </w:sdtPr>
    <w:sdtEndPr>
      <w:rPr>
        <w:rFonts w:ascii="宋体" w:hAnsi="宋体" w:eastAsia="宋体"/>
        <w:sz w:val="24"/>
        <w:szCs w:val="24"/>
      </w:rPr>
    </w:sdtEndPr>
    <w:sdtContent>
      <w:p>
        <w:pPr>
          <w:pStyle w:val="3"/>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2 -</w:t>
        </w:r>
        <w:r>
          <w:rPr>
            <w:rFonts w:ascii="宋体" w:hAnsi="宋体" w:eastAsia="宋体"/>
            <w:sz w:val="24"/>
            <w:szCs w:val="24"/>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jA0MTk5MGMxYTViZGQxZTU2ZmIyMzlmNzUzYjQzYzcifQ=="/>
  </w:docVars>
  <w:rsids>
    <w:rsidRoot w:val="005E2EBE"/>
    <w:rsid w:val="0000100C"/>
    <w:rsid w:val="00007EE5"/>
    <w:rsid w:val="00012298"/>
    <w:rsid w:val="000209E7"/>
    <w:rsid w:val="00030E9E"/>
    <w:rsid w:val="00031F9D"/>
    <w:rsid w:val="00056CEF"/>
    <w:rsid w:val="00085D29"/>
    <w:rsid w:val="00087BD8"/>
    <w:rsid w:val="000960E5"/>
    <w:rsid w:val="00097454"/>
    <w:rsid w:val="000A302A"/>
    <w:rsid w:val="000C26A7"/>
    <w:rsid w:val="000C45FF"/>
    <w:rsid w:val="000D524D"/>
    <w:rsid w:val="000D64F2"/>
    <w:rsid w:val="000F5F56"/>
    <w:rsid w:val="00105A66"/>
    <w:rsid w:val="00105B5C"/>
    <w:rsid w:val="0011418C"/>
    <w:rsid w:val="00116D80"/>
    <w:rsid w:val="001179E9"/>
    <w:rsid w:val="00121AAD"/>
    <w:rsid w:val="0012464C"/>
    <w:rsid w:val="001260BD"/>
    <w:rsid w:val="00130937"/>
    <w:rsid w:val="00140410"/>
    <w:rsid w:val="00164C0B"/>
    <w:rsid w:val="00165836"/>
    <w:rsid w:val="001660BD"/>
    <w:rsid w:val="00173D53"/>
    <w:rsid w:val="001871E7"/>
    <w:rsid w:val="00193B10"/>
    <w:rsid w:val="001C0234"/>
    <w:rsid w:val="001D7C6D"/>
    <w:rsid w:val="001E2ECB"/>
    <w:rsid w:val="001F4E13"/>
    <w:rsid w:val="002034B0"/>
    <w:rsid w:val="00211F3A"/>
    <w:rsid w:val="002171B1"/>
    <w:rsid w:val="00222BDB"/>
    <w:rsid w:val="00224838"/>
    <w:rsid w:val="00225245"/>
    <w:rsid w:val="00246FE9"/>
    <w:rsid w:val="0025742B"/>
    <w:rsid w:val="00257B82"/>
    <w:rsid w:val="00270540"/>
    <w:rsid w:val="002A0BEE"/>
    <w:rsid w:val="002A1C27"/>
    <w:rsid w:val="002A6B11"/>
    <w:rsid w:val="002B0353"/>
    <w:rsid w:val="002B2BBF"/>
    <w:rsid w:val="002B660E"/>
    <w:rsid w:val="002C3DA8"/>
    <w:rsid w:val="002C425C"/>
    <w:rsid w:val="002C54E6"/>
    <w:rsid w:val="002F1197"/>
    <w:rsid w:val="00313BB5"/>
    <w:rsid w:val="00323B43"/>
    <w:rsid w:val="0033366F"/>
    <w:rsid w:val="00347762"/>
    <w:rsid w:val="00353504"/>
    <w:rsid w:val="00362BC7"/>
    <w:rsid w:val="00363981"/>
    <w:rsid w:val="00363CB3"/>
    <w:rsid w:val="00370C4D"/>
    <w:rsid w:val="00372B7E"/>
    <w:rsid w:val="00377281"/>
    <w:rsid w:val="0038022B"/>
    <w:rsid w:val="00390CD3"/>
    <w:rsid w:val="00390F3E"/>
    <w:rsid w:val="003A7572"/>
    <w:rsid w:val="003D204F"/>
    <w:rsid w:val="003D2E18"/>
    <w:rsid w:val="003D37D8"/>
    <w:rsid w:val="003F427D"/>
    <w:rsid w:val="00402BE3"/>
    <w:rsid w:val="004036F8"/>
    <w:rsid w:val="00411E2C"/>
    <w:rsid w:val="0041339D"/>
    <w:rsid w:val="004358AB"/>
    <w:rsid w:val="004431F5"/>
    <w:rsid w:val="004473A1"/>
    <w:rsid w:val="004500CA"/>
    <w:rsid w:val="00453D7C"/>
    <w:rsid w:val="0046368C"/>
    <w:rsid w:val="00464280"/>
    <w:rsid w:val="00477EF7"/>
    <w:rsid w:val="0049100D"/>
    <w:rsid w:val="004A7805"/>
    <w:rsid w:val="004C7059"/>
    <w:rsid w:val="004E313A"/>
    <w:rsid w:val="004E6E82"/>
    <w:rsid w:val="004F62D1"/>
    <w:rsid w:val="00507749"/>
    <w:rsid w:val="00511825"/>
    <w:rsid w:val="005255E9"/>
    <w:rsid w:val="005350A8"/>
    <w:rsid w:val="00536314"/>
    <w:rsid w:val="005409C3"/>
    <w:rsid w:val="00547ED1"/>
    <w:rsid w:val="00580F78"/>
    <w:rsid w:val="00582AC8"/>
    <w:rsid w:val="0058689A"/>
    <w:rsid w:val="005C1123"/>
    <w:rsid w:val="005E2EBE"/>
    <w:rsid w:val="005F307F"/>
    <w:rsid w:val="00601504"/>
    <w:rsid w:val="00602FCE"/>
    <w:rsid w:val="0061582C"/>
    <w:rsid w:val="00615EB0"/>
    <w:rsid w:val="006225F2"/>
    <w:rsid w:val="00625D44"/>
    <w:rsid w:val="00641881"/>
    <w:rsid w:val="006431AA"/>
    <w:rsid w:val="00643CA7"/>
    <w:rsid w:val="00645F3F"/>
    <w:rsid w:val="00664629"/>
    <w:rsid w:val="0068015A"/>
    <w:rsid w:val="00690099"/>
    <w:rsid w:val="0069027A"/>
    <w:rsid w:val="006A6D6E"/>
    <w:rsid w:val="006A7293"/>
    <w:rsid w:val="006C5B8A"/>
    <w:rsid w:val="006C6285"/>
    <w:rsid w:val="006D4E61"/>
    <w:rsid w:val="006E4E9C"/>
    <w:rsid w:val="006F032E"/>
    <w:rsid w:val="006F2411"/>
    <w:rsid w:val="00702794"/>
    <w:rsid w:val="007176FE"/>
    <w:rsid w:val="00727C72"/>
    <w:rsid w:val="007349EF"/>
    <w:rsid w:val="00736A27"/>
    <w:rsid w:val="00737CC7"/>
    <w:rsid w:val="00751C7A"/>
    <w:rsid w:val="0075395D"/>
    <w:rsid w:val="00771C3A"/>
    <w:rsid w:val="007819F7"/>
    <w:rsid w:val="007968BC"/>
    <w:rsid w:val="007B27AF"/>
    <w:rsid w:val="007C3052"/>
    <w:rsid w:val="007D03E4"/>
    <w:rsid w:val="007E7D3C"/>
    <w:rsid w:val="007F267F"/>
    <w:rsid w:val="00805765"/>
    <w:rsid w:val="00815587"/>
    <w:rsid w:val="00826374"/>
    <w:rsid w:val="008418B6"/>
    <w:rsid w:val="00842479"/>
    <w:rsid w:val="00844D81"/>
    <w:rsid w:val="0085766D"/>
    <w:rsid w:val="00865FAE"/>
    <w:rsid w:val="00867E2F"/>
    <w:rsid w:val="00874E9D"/>
    <w:rsid w:val="00881628"/>
    <w:rsid w:val="008A272A"/>
    <w:rsid w:val="008B7726"/>
    <w:rsid w:val="00903C7C"/>
    <w:rsid w:val="009242B3"/>
    <w:rsid w:val="00924DF8"/>
    <w:rsid w:val="0093488F"/>
    <w:rsid w:val="009410F4"/>
    <w:rsid w:val="00943696"/>
    <w:rsid w:val="009661AA"/>
    <w:rsid w:val="00970692"/>
    <w:rsid w:val="00982E64"/>
    <w:rsid w:val="00992342"/>
    <w:rsid w:val="009A0532"/>
    <w:rsid w:val="009B45B4"/>
    <w:rsid w:val="009B5EDB"/>
    <w:rsid w:val="009B5FFF"/>
    <w:rsid w:val="009C322A"/>
    <w:rsid w:val="009D6C81"/>
    <w:rsid w:val="009D7A2F"/>
    <w:rsid w:val="009E1663"/>
    <w:rsid w:val="00A120A4"/>
    <w:rsid w:val="00A219BA"/>
    <w:rsid w:val="00A35150"/>
    <w:rsid w:val="00A37479"/>
    <w:rsid w:val="00A740DA"/>
    <w:rsid w:val="00A7717C"/>
    <w:rsid w:val="00A7780D"/>
    <w:rsid w:val="00A92570"/>
    <w:rsid w:val="00A93732"/>
    <w:rsid w:val="00A95351"/>
    <w:rsid w:val="00A966A9"/>
    <w:rsid w:val="00AD689F"/>
    <w:rsid w:val="00AD701C"/>
    <w:rsid w:val="00AE20FB"/>
    <w:rsid w:val="00AF27AA"/>
    <w:rsid w:val="00B01E11"/>
    <w:rsid w:val="00B04DDC"/>
    <w:rsid w:val="00B078C0"/>
    <w:rsid w:val="00B07E27"/>
    <w:rsid w:val="00B6774B"/>
    <w:rsid w:val="00B71CA3"/>
    <w:rsid w:val="00B721CA"/>
    <w:rsid w:val="00B803BA"/>
    <w:rsid w:val="00BA1DB5"/>
    <w:rsid w:val="00BB11B0"/>
    <w:rsid w:val="00BB3D16"/>
    <w:rsid w:val="00BC4B14"/>
    <w:rsid w:val="00BC7FA1"/>
    <w:rsid w:val="00BD077E"/>
    <w:rsid w:val="00BD33B9"/>
    <w:rsid w:val="00BD43A6"/>
    <w:rsid w:val="00BD6E33"/>
    <w:rsid w:val="00BE4180"/>
    <w:rsid w:val="00BE5CBF"/>
    <w:rsid w:val="00BE5FFE"/>
    <w:rsid w:val="00C02617"/>
    <w:rsid w:val="00C05DE7"/>
    <w:rsid w:val="00C07964"/>
    <w:rsid w:val="00C275EF"/>
    <w:rsid w:val="00C63D6C"/>
    <w:rsid w:val="00C70780"/>
    <w:rsid w:val="00C86B17"/>
    <w:rsid w:val="00C94942"/>
    <w:rsid w:val="00C97798"/>
    <w:rsid w:val="00CA4CBD"/>
    <w:rsid w:val="00CC62EA"/>
    <w:rsid w:val="00CE2AC0"/>
    <w:rsid w:val="00CE2F6F"/>
    <w:rsid w:val="00CF0F76"/>
    <w:rsid w:val="00CF70DA"/>
    <w:rsid w:val="00CF75AE"/>
    <w:rsid w:val="00CF7A2D"/>
    <w:rsid w:val="00D35AAA"/>
    <w:rsid w:val="00D41A49"/>
    <w:rsid w:val="00D55ECD"/>
    <w:rsid w:val="00D62C03"/>
    <w:rsid w:val="00D764D6"/>
    <w:rsid w:val="00D80994"/>
    <w:rsid w:val="00D8368B"/>
    <w:rsid w:val="00D92D8D"/>
    <w:rsid w:val="00DB4BE4"/>
    <w:rsid w:val="00DC1E0C"/>
    <w:rsid w:val="00DD1478"/>
    <w:rsid w:val="00DE0677"/>
    <w:rsid w:val="00DE0EFC"/>
    <w:rsid w:val="00DE2D9B"/>
    <w:rsid w:val="00DE52FC"/>
    <w:rsid w:val="00DE6443"/>
    <w:rsid w:val="00E00729"/>
    <w:rsid w:val="00E01D0B"/>
    <w:rsid w:val="00E061F4"/>
    <w:rsid w:val="00E070C5"/>
    <w:rsid w:val="00E13EF1"/>
    <w:rsid w:val="00E35376"/>
    <w:rsid w:val="00E708EA"/>
    <w:rsid w:val="00E73EB2"/>
    <w:rsid w:val="00E910DA"/>
    <w:rsid w:val="00EA43D3"/>
    <w:rsid w:val="00EC15B4"/>
    <w:rsid w:val="00ED13FD"/>
    <w:rsid w:val="00ED200A"/>
    <w:rsid w:val="00EE587F"/>
    <w:rsid w:val="00EF4506"/>
    <w:rsid w:val="00F30A90"/>
    <w:rsid w:val="00F35E73"/>
    <w:rsid w:val="00F85901"/>
    <w:rsid w:val="00FA7192"/>
    <w:rsid w:val="00FC4D61"/>
    <w:rsid w:val="00FE1F0F"/>
    <w:rsid w:val="00FE7408"/>
    <w:rsid w:val="00FF16DB"/>
    <w:rsid w:val="089907F5"/>
    <w:rsid w:val="623A4199"/>
    <w:rsid w:val="64372EE3"/>
    <w:rsid w:val="72A7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iPriority w:val="0"/>
    <w:pPr>
      <w:spacing w:after="0"/>
    </w:pPr>
    <w:rPr>
      <w:sz w:val="18"/>
      <w:szCs w:val="18"/>
    </w:rPr>
  </w:style>
  <w:style w:type="paragraph" w:styleId="3">
    <w:name w:val="footer"/>
    <w:basedOn w:val="1"/>
    <w:link w:val="10"/>
    <w:uiPriority w:val="99"/>
    <w:pPr>
      <w:tabs>
        <w:tab w:val="center" w:pos="4153"/>
        <w:tab w:val="right" w:pos="8306"/>
      </w:tabs>
    </w:pPr>
    <w:rPr>
      <w:sz w:val="18"/>
      <w:szCs w:val="18"/>
    </w:rPr>
  </w:style>
  <w:style w:type="paragraph" w:styleId="4">
    <w:name w:val="header"/>
    <w:basedOn w:val="1"/>
    <w:link w:val="11"/>
    <w:semiHidden/>
    <w:uiPriority w:val="0"/>
    <w:pPr>
      <w:pBdr>
        <w:bottom w:val="single" w:color="auto" w:sz="6" w:space="1"/>
      </w:pBdr>
      <w:tabs>
        <w:tab w:val="center" w:pos="4153"/>
        <w:tab w:val="right" w:pos="8306"/>
      </w:tabs>
      <w:jc w:val="center"/>
    </w:pPr>
    <w:rPr>
      <w:sz w:val="18"/>
      <w:szCs w:val="18"/>
    </w:rPr>
  </w:style>
  <w:style w:type="paragraph" w:styleId="5">
    <w:name w:val="Normal (Web)"/>
    <w:basedOn w:val="1"/>
    <w:uiPriority w:val="0"/>
    <w:pPr>
      <w:widowControl w:val="0"/>
      <w:adjustRightInd/>
      <w:snapToGrid/>
      <w:spacing w:before="100" w:beforeAutospacing="1" w:after="100" w:afterAutospacing="1"/>
    </w:pPr>
    <w:rPr>
      <w:rFonts w:ascii="Calibri" w:hAnsi="Calibri" w:eastAsia="宋体"/>
      <w:sz w:val="24"/>
      <w:szCs w:val="24"/>
    </w:rPr>
  </w:style>
  <w:style w:type="table" w:styleId="7">
    <w:name w:val="Table Grid"/>
    <w:basedOn w:val="6"/>
    <w:uiPriority w:val="59"/>
    <w:pPr>
      <w:spacing w:after="0" w:line="240" w:lineRule="auto"/>
    </w:pPr>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rPr>
      <w:rFonts w:cs="Times New Roman"/>
    </w:rPr>
  </w:style>
  <w:style w:type="character" w:customStyle="1" w:styleId="10">
    <w:name w:val="页脚 Char"/>
    <w:basedOn w:val="8"/>
    <w:link w:val="3"/>
    <w:uiPriority w:val="99"/>
    <w:rPr>
      <w:rFonts w:ascii="Tahoma" w:hAnsi="Tahoma" w:cs="Times New Roman"/>
      <w:sz w:val="18"/>
      <w:szCs w:val="18"/>
    </w:rPr>
  </w:style>
  <w:style w:type="character" w:customStyle="1" w:styleId="11">
    <w:name w:val="页眉 Char"/>
    <w:basedOn w:val="8"/>
    <w:link w:val="4"/>
    <w:semiHidden/>
    <w:uiPriority w:val="0"/>
    <w:rPr>
      <w:rFonts w:ascii="Tahoma" w:hAnsi="Tahoma" w:cs="Times New Roman"/>
      <w:sz w:val="18"/>
      <w:szCs w:val="18"/>
    </w:rPr>
  </w:style>
  <w:style w:type="paragraph" w:customStyle="1" w:styleId="12">
    <w:name w:val="标题1"/>
    <w:basedOn w:val="1"/>
    <w:qFormat/>
    <w:uiPriority w:val="0"/>
    <w:pPr>
      <w:widowControl w:val="0"/>
      <w:suppressAutoHyphens/>
      <w:adjustRightInd/>
      <w:snapToGrid/>
      <w:spacing w:after="0"/>
      <w:jc w:val="center"/>
      <w:outlineLvl w:val="0"/>
    </w:pPr>
    <w:rPr>
      <w:rFonts w:ascii="Arial" w:hAnsi="Arial" w:eastAsia="宋体"/>
      <w:b/>
      <w:kern w:val="2"/>
      <w:sz w:val="21"/>
      <w:szCs w:val="24"/>
    </w:rPr>
  </w:style>
  <w:style w:type="character" w:customStyle="1" w:styleId="13">
    <w:name w:val="批注框文本 Char"/>
    <w:basedOn w:val="8"/>
    <w:link w:val="2"/>
    <w:uiPriority w:val="0"/>
    <w:rPr>
      <w:rFonts w:ascii="Tahoma" w:hAnsi="Tahoma" w:cs="Times New Roman"/>
      <w:sz w:val="18"/>
      <w:szCs w:val="18"/>
    </w:rPr>
  </w:style>
  <w:style w:type="character" w:customStyle="1" w:styleId="14">
    <w:name w:val="fontstyle01"/>
    <w:basedOn w:val="8"/>
    <w:uiPriority w:val="0"/>
    <w:rPr>
      <w:rFonts w:hint="default" w:ascii="FZXBSJW--GB1-0" w:hAnsi="FZXBSJW--GB1-0" w:cs="Times New Roman"/>
      <w:color w:val="000000"/>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6EF1D-4CBE-446C-B7D9-BC88E3C29A9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992</Words>
  <Characters>5661</Characters>
  <Lines>47</Lines>
  <Paragraphs>13</Paragraphs>
  <TotalTime>53</TotalTime>
  <ScaleCrop>false</ScaleCrop>
  <LinksUpToDate>false</LinksUpToDate>
  <CharactersWithSpaces>6640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2024-05-21T06:36:00Z</dcterms:created>
  <dc:creator>admin</dc:creator>
  <cp:lastModifiedBy>闲人</cp:lastModifiedBy>
  <cp:lastPrinted>2024-05-21T07:40:16Z</cp:lastPrinted>
  <dcterms:modified xsi:type="dcterms:W3CDTF">2024-05-21T07:42:02Z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7C063DC8ACDD4FD69C1855F8FD671FA5_12</vt:lpwstr>
  </property>
</Properties>
</file>