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spacing w:line="560" w:lineRule="exact"/>
        <w:rPr>
          <w:rFonts w:ascii="黑体" w:eastAsia="黑体" w:hAnsi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正阳关镇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人民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政府</w:t>
      </w:r>
      <w:r>
        <w:rPr>
          <w:rFonts w:ascii="方正小标宋_GBK" w:eastAsia="方正小标宋_GBK" w:hint="eastAsia"/>
          <w:sz w:val="44"/>
          <w:szCs w:val="44"/>
        </w:rPr>
        <w:t>2024年部门综合预算编制说明</w:t>
      </w:r>
    </w:p>
    <w:p>
      <w:pPr>
        <w:spacing w:line="30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根据《预算法》、《预算法实施条例》等法律法规的规定，按照2024年部门预算编制指导思想和原则，结合本部门2024年工作实际，编制本部门预算草案。</w:t>
      </w:r>
    </w:p>
    <w:p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部门基本概况</w:t>
      </w:r>
    </w:p>
    <w:p>
      <w:pPr>
        <w:spacing w:line="52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一、部门主要职责</w:t>
      </w: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职责是：1.促进各方面发展：制定科学的发展规划，加强对农村市场监督，营造良好的农村经济发展环境，搞活市场流通；推广农业技术，引导农民自行发展现代农业，调整产业结构，加强农村劳动力的技能培训，引导农村劳动力转移和就业。</w:t>
      </w: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2.宣传落实政策：宣传、落实好党的方针、政策和国家的法律、法规，坚持依法行政，推进政务公开，加强对村民委员会的指导，培养、提高村民委员会自治能力。</w:t>
      </w: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维护社会稳定：加强民主法制建设以及社会治安综合治理，建立、健全各种应急机制，增强应对突发事件的能力，做好防灾减灾工作；对民事纠纷及时进行调解，化解农村社会矛盾，开展农村扶贫和社会救助，切实保障农民合法权益，维护农村社会稳定。</w:t>
      </w: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4.加强管理：加强对民政、教育、卫生、安全生产、劳动保障和乡村规划等与人民密切相关的问题的管理；增强农村居民对环境保护的意识，努力改善农村的人居环境，提高农村人口素质和农民生活质量。</w:t>
      </w: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提供优质服务：要坚持“立党为公，执政为民”，紧紧围绕实现和维护群众利益开展工作，优先解决人民群众最关心的各种问题；进一步发展和完善农业社会化服务体系。加强农村基础设施建设，增加公共产品，提供政策、科技、市场信息和社会救济、救助服务，及时向上级党委、政府反映社情民意，进一步密切党群关系。</w:t>
      </w: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6.完成上级政府交办的其它各事项。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二、部门2024年主要工作任务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2024年主要工作任务是：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经济社会发展的主要预期目标是：全镇固定资产投资增长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15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 xml:space="preserve"> %以上，规模企业产值增长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15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%以上，财政收入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2000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万元以上，招商引资引进省外资金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1.3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亿元以上，城镇和农村常住居民人均可支配收入达到全县同步增长水平。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楷体_GB2312" w:eastAsia="楷体_GB2312" w:hAnsi="仿宋" w:cs="华文仿宋"/>
          <w:b/>
          <w:position w:val="4"/>
          <w:sz w:val="32"/>
          <w:szCs w:val="32"/>
        </w:rPr>
      </w:pPr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（一）全力以赴做强产业项目，实现经济发展上台阶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sz w:val="32"/>
          <w:szCs w:val="32"/>
        </w:rPr>
        <w:t>狠抓招商促发展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认真开展“双招双引”活动，不断加强招商引资力度，积极对接跟踪上海本特勒汽车零配件、武汉中谷联创光电科技有限公司超高强度热成形汽车零部件等4个亿元招商项目。计划培育规上企业1家，限上企业2家。依托现有的寿县中节能太阳能有限公司、绿洲森工、温氏养殖等企业的产业配套，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积极谋划实施一批经济带动强、工业附加值高、市场发展潜力优、惠民力度大的优势项目。加强基础设施投入，进一步完善小微产业园配套和招商同步推进；深入开展优化营商环境工作；强力推进扩、续建项目建设，尽快投产见效，增加企业规模和产出效益，促进经济增长；不断提升服务水平，为企业提供更高效、便利、优质的服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狠抓建设促提升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扎实推进全镇国土空间规划和村庄布点规划实施，加快推进驻地建成区建设，完善绿化、净化和给排水、垃圾处理等市政设施，提升城镇化水平；积极推进正阳关文旅融合发展，玄帝庙公园3A景区提升和古民居的修复实施；有序推进城镇土地综合开发，引导产业、资本、人口等要素向集镇集聚。加快商贸等第三产业发展，推进“互联网+”新兴产业暨“农村淘宝”项目发展；全力推进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寿霍路328国道正阳关段改扩建工程、东团路等8.04公里的农村道路提质改造工程、省级美乡村王祠凉井中心村建设工程；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稳步推进城乡供水一体化和正阳老街区的整治改造工作，着力改善镇区和村、社区环境整体质量，不断提升人民群众幸福指数。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狠抓产业促提质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紧紧围绕走好质量兴农、绿色发展、城乡融合、文化兴盛、乡村善治、共同富裕等“六个之路”，聚焦乡村产业、人才、文化、生态、组织“五个振兴”，严格落实“四个不摘”要求，健全完善防止返贫机制，持续跟踪收入变化和“两不愁三保障”巩固情况，着力发展产业就业，抓好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正阳关镇农事服务中心和红旗村农事服务中心项目实施；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补齐“双基”短板，全力推动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巩固拓展脱贫攻坚成果同乡村振兴有效衔接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严格落实耕地保护红线，实施好土地增减挂项目和140亩的土地复垦新增耕地计划。全力推进解阜、建设、红旗三村的800亩旱田改水田工作任务。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加强基层组织建设，提升乡村治理能力。巩固和完善农村基本经营制度，大力推进农村“三变”改革，抓好承包地确权登记成果应用。大力发展现代农业，全力实施11000亩董圩村和谭套村的高标农田建设项目和541户的农村改厕工作任务。逐步推进农村水、电、路等基础设施升级改造。继续实施农村人居环境综合整治行动，加快建设彰显徽风皖韵的宜居宜业和美乡村，切实改善群众生产生活环境，让广大人民群众过上更加幸福的美好生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狠抓特色促强村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大力发展壮大新型农村集体经济，实施强村计划。以“一村一品”带动现代高效农业发展，开展高效农业示范区建设，扩大优质粮食种植面积；发展特色产业，扩大反季节大棚蒿子、瓜蒌、葡萄等蔬果种植；以土地确权为基础，以农村集体资产清产核资工作为抓手，积极做好土地收储、信息收集、推介发布等工作，促进村企合作共建，加快经济果林、中草药、设施农业基地建设，完善和推广“龙头+基地+农户”的经营模式；大力扶植和培育综合养殖业，鼓励家禽养殖大户做大做强生猪、皖西白鹅、肉鸡等养殖产业；依托绿洲森工优势，加快林业发展，加快调整农业产业结构，促进农民收入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楷体_GB2312" w:eastAsia="楷体_GB2312" w:hAnsi="仿宋" w:cs="华文仿宋"/>
          <w:b/>
          <w:position w:val="4"/>
          <w:sz w:val="32"/>
          <w:szCs w:val="32"/>
        </w:rPr>
      </w:pPr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（二）全力以赴夯实民生基础，提升人民群众满意度指数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提升福祉抓民生工程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大力推进惠民工程，继续落实各类保险、扶助、救助、奖补以及建设性项目实施等工作，着力解决群众急难愁盼民生难题；进一步提升中小学师资力量；推进镇村医疗服务建设上水平，重点抓好群众关注的道路、电力、农村环境整治、农村安全饮用水工程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全面发展抓统筹推进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增强安全第一的责任意识，加大企业安全生产和农村道路交通安全的检查力度；严格执行信访工作责任制和社会治安“三级联防”工作机制，积极预防和妥善化解各类不稳定因素，确保社会政治稳定；认真开展“八五”普法，深入基层开展思想道德和法制教育。同时，围绕县委县政府重点工作安排，统筹做好依法行政、政务公开、宣传思想、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拥军优属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、人武群团、老年关工、民族宗教、环保节能、财政税收、耕地保护、林业水利、档案管理、殡葬改革以及教育、卫生、金融、粮食等其他各项社会事业发展。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楷体_GB2312" w:eastAsia="楷体_GB2312" w:hAnsi="仿宋" w:cs="华文仿宋"/>
          <w:b/>
          <w:position w:val="4"/>
          <w:sz w:val="32"/>
          <w:szCs w:val="32"/>
        </w:rPr>
      </w:pPr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（三）全力以赴抓作风促落实，在政府自身建设上见实效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全面提升服务水平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。深入开展建设服务型政府活动，加强镇村政务服务大厅软硬件建设，优化服务环境，提升服务水平，常态化开展“我为群众办实事”活动，办群众所盼，解群众所困，牢固树立为民服务宗旨。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全面推进依法行政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严格遵守宪法法律，加快法治政府建设，把政府活动全面纳入法治轨道。坚持严格规范、公正文明执法，有权不可任性，用权必受监督。依法接受人大的监督，主动接受社会和舆论监督，全面推进政务信息公开，坚持科学、民主、依法决策，凡涉及公众利益的重大事项，都要深入听取各方意见。政府的所有工作都要体现人民意愿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全面加强政治建设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“不忘初心、牢记使命”，严守政治纪律和政治规矩；严格落实党中央八项规定及实施细则精神，认真履行“一岗双责”；驰而不息整治“四风”，特别是力戒形式主义、官僚主义，坚决惩治腐败行为。政府工作人员要廉洁修身，勤勉尽责，干干净净为人民做事，决不辜负人民公仆的称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全面提高政府效能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提高政府公信力和执行力。大力精简会议文件，倡导少开会、开短会、快办事。强化效能建设，坚决杜绝不担当、不作为、慢作为、假作为、乱作为行为。要完善激励约束机制，要提高政治素质和工作本领，求真务实，干字当头，敢做敢为，善作善为，干出实打实的新业绩，干出群众的好口碑。用我们的“辛苦指数”换取百姓的“幸福指数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三、部门机构设置</w:t>
      </w:r>
    </w:p>
    <w:p>
      <w:pPr>
        <w:spacing w:line="520" w:lineRule="exact"/>
        <w:ind w:firstLine="614" w:firstLineChars="192"/>
        <w:rPr>
          <w:rFonts w:ascii="黑体" w:eastAsia="仿宋_GB2312" w:hAnsi="黑体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本部门机构由机关本级和</w:t>
      </w:r>
      <w:r>
        <w:rPr>
          <w:rFonts w:ascii="仿宋_GB2312" w:eastAsia="仿宋_GB2312" w:hint="eastAsia"/>
          <w:sz w:val="32"/>
          <w:szCs w:val="32"/>
          <w:u w:val="single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个行政单位（含参公管理事业单位）组成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>
      <w:pPr>
        <w:spacing w:line="56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2024年部门预算安排情况及增减变化情况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一、2024年部门收入预算总体情况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2024年部门组织收入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1162.40</w:t>
      </w:r>
      <w:r>
        <w:rPr>
          <w:rFonts w:eastAsia="仿宋" w:hint="eastAsia"/>
          <w:sz w:val="32"/>
          <w:szCs w:val="32"/>
          <w:u w:val="none"/>
          <w:lang w:val="en-US" w:eastAsia="zh-CN"/>
        </w:rPr>
        <w:t>万</w:t>
      </w:r>
      <w:r>
        <w:rPr>
          <w:rFonts w:eastAsia="仿宋"/>
          <w:sz w:val="32"/>
          <w:szCs w:val="32"/>
        </w:rPr>
        <w:t>元，其中：</w:t>
      </w:r>
      <w:r>
        <w:rPr>
          <w:rFonts w:eastAsia="仿宋" w:hint="eastAsia"/>
          <w:sz w:val="32"/>
          <w:szCs w:val="32"/>
        </w:rPr>
        <w:t>财政</w:t>
      </w:r>
      <w:r>
        <w:rPr>
          <w:rFonts w:eastAsia="仿宋"/>
          <w:sz w:val="32"/>
          <w:szCs w:val="32"/>
        </w:rPr>
        <w:t>预算拨款</w:t>
      </w:r>
      <w:r>
        <w:rPr>
          <w:rFonts w:eastAsia="仿宋" w:hint="eastAsia"/>
          <w:sz w:val="32"/>
          <w:szCs w:val="32"/>
        </w:rPr>
        <w:t>收入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1162.40</w:t>
      </w:r>
      <w:r>
        <w:rPr>
          <w:rFonts w:eastAsia="仿宋" w:hint="eastAsia"/>
          <w:sz w:val="32"/>
          <w:szCs w:val="32"/>
          <w:u w:val="none"/>
          <w:lang w:eastAsia="zh-CN"/>
        </w:rPr>
        <w:t>万</w:t>
      </w:r>
      <w:r>
        <w:rPr>
          <w:rFonts w:eastAsia="仿宋"/>
          <w:sz w:val="32"/>
          <w:szCs w:val="32"/>
        </w:rPr>
        <w:t>元，比上年增</w:t>
      </w:r>
      <w:r>
        <w:rPr>
          <w:rFonts w:eastAsia="仿宋" w:hint="eastAsia"/>
          <w:sz w:val="32"/>
          <w:szCs w:val="32"/>
          <w:lang w:eastAsia="zh-CN"/>
        </w:rPr>
        <w:t>加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48.02</w:t>
      </w:r>
      <w:r>
        <w:rPr>
          <w:rFonts w:eastAsia="仿宋" w:hint="eastAsia"/>
          <w:sz w:val="32"/>
          <w:szCs w:val="32"/>
          <w:u w:val="none"/>
          <w:lang w:val="en-US" w:eastAsia="zh-CN"/>
        </w:rPr>
        <w:t>万元</w:t>
      </w:r>
      <w:r>
        <w:rPr>
          <w:rFonts w:eastAsia="仿宋"/>
          <w:sz w:val="32"/>
          <w:szCs w:val="32"/>
        </w:rPr>
        <w:t>；政府性基金拨款收入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sz w:val="32"/>
          <w:szCs w:val="32"/>
        </w:rPr>
        <w:t>元，</w:t>
      </w:r>
      <w:r>
        <w:rPr>
          <w:rFonts w:eastAsia="仿宋" w:hint="eastAsia"/>
          <w:sz w:val="32"/>
          <w:szCs w:val="32"/>
          <w:lang w:eastAsia="zh-CN"/>
        </w:rPr>
        <w:t>与上年无变化</w:t>
      </w:r>
      <w:r>
        <w:rPr>
          <w:rFonts w:eastAsia="仿宋"/>
          <w:sz w:val="32"/>
          <w:szCs w:val="32"/>
        </w:rPr>
        <w:t>；纳入专户管理政府非税收入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sz w:val="32"/>
          <w:szCs w:val="32"/>
        </w:rPr>
        <w:t>元，</w:t>
      </w:r>
      <w:r>
        <w:rPr>
          <w:rFonts w:eastAsia="仿宋" w:hint="eastAsia"/>
          <w:sz w:val="32"/>
          <w:szCs w:val="32"/>
          <w:lang w:eastAsia="zh-CN"/>
        </w:rPr>
        <w:t>与上年无变化</w:t>
      </w:r>
      <w:r>
        <w:rPr>
          <w:rFonts w:eastAsia="仿宋"/>
          <w:sz w:val="32"/>
          <w:szCs w:val="32"/>
        </w:rPr>
        <w:t>；</w:t>
      </w:r>
      <w:r>
        <w:rPr>
          <w:rFonts w:eastAsia="仿宋" w:hint="eastAsia"/>
          <w:sz w:val="32"/>
          <w:szCs w:val="32"/>
        </w:rPr>
        <w:t>单位资金收入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sz w:val="32"/>
          <w:szCs w:val="32"/>
        </w:rPr>
        <w:t>元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int="eastAsia"/>
          <w:sz w:val="32"/>
          <w:szCs w:val="32"/>
          <w:lang w:eastAsia="zh-CN"/>
        </w:rPr>
        <w:t>与上年无变化</w:t>
      </w:r>
      <w:r>
        <w:rPr>
          <w:rFonts w:eastAsia="仿宋"/>
          <w:sz w:val="32"/>
          <w:szCs w:val="32"/>
        </w:rPr>
        <w:t>；上年结转结余收入</w:t>
      </w:r>
      <w:r>
        <w:rPr>
          <w:rFonts w:eastAsia="仿宋" w:hint="eastAsia"/>
          <w:sz w:val="32"/>
          <w:szCs w:val="32"/>
          <w:u w:val="single"/>
          <w:lang w:eastAsia="zh-CN"/>
        </w:rPr>
        <w:t>无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二、2024年部门支出预算总体情况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2024年部门支出预算总额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1162.40</w:t>
      </w:r>
      <w:r>
        <w:rPr>
          <w:rFonts w:eastAsia="仿宋" w:hint="eastAsia"/>
          <w:sz w:val="32"/>
          <w:szCs w:val="32"/>
          <w:u w:val="none"/>
          <w:lang w:val="en-US" w:eastAsia="zh-CN"/>
        </w:rPr>
        <w:t>万</w:t>
      </w:r>
      <w:r>
        <w:rPr>
          <w:rFonts w:eastAsia="仿宋"/>
          <w:sz w:val="32"/>
          <w:szCs w:val="32"/>
        </w:rPr>
        <w:t>元，同上年相比增加增</w:t>
      </w:r>
      <w:r>
        <w:rPr>
          <w:rFonts w:eastAsia="仿宋" w:hint="eastAsia"/>
          <w:sz w:val="32"/>
          <w:szCs w:val="32"/>
          <w:lang w:eastAsia="zh-CN"/>
        </w:rPr>
        <w:t>加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48.02</w:t>
      </w:r>
      <w:r>
        <w:rPr>
          <w:rFonts w:eastAsia="仿宋" w:hint="eastAsia"/>
          <w:sz w:val="32"/>
          <w:szCs w:val="32"/>
          <w:u w:val="none"/>
          <w:lang w:val="en-US" w:eastAsia="zh-CN"/>
        </w:rPr>
        <w:t>万元</w:t>
      </w:r>
      <w:r>
        <w:rPr>
          <w:rFonts w:eastAsia="仿宋"/>
          <w:sz w:val="32"/>
          <w:szCs w:val="32"/>
        </w:rPr>
        <w:t>。其中基本支出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798.53</w:t>
      </w:r>
      <w:r>
        <w:rPr>
          <w:rFonts w:eastAsia="仿宋" w:hint="eastAsia"/>
          <w:sz w:val="32"/>
          <w:szCs w:val="32"/>
          <w:u w:val="none"/>
          <w:lang w:val="en-US" w:eastAsia="zh-CN"/>
        </w:rPr>
        <w:t>万</w:t>
      </w:r>
      <w:r>
        <w:rPr>
          <w:rFonts w:eastAsia="仿宋"/>
          <w:sz w:val="32"/>
          <w:szCs w:val="32"/>
        </w:rPr>
        <w:t>元，项目支出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363.86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元，上缴上级支出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元，对附属单位补助支出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元，事业单位经营支出</w:t>
      </w:r>
      <w:r>
        <w:rPr>
          <w:rFonts w:eastAsia="仿宋"/>
          <w:bCs/>
          <w:sz w:val="32"/>
          <w:szCs w:val="32"/>
          <w:u w:val="single"/>
        </w:rPr>
        <w:t xml:space="preserve"> </w:t>
      </w:r>
      <w:r>
        <w:rPr>
          <w:rFonts w:eastAsia="仿宋" w:hint="eastAsia"/>
          <w:bCs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bCs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三、部门项目支出预算安排情况说明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根据部门行政事业发展目标，结合财力可能，2024年共安排项目支出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3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项，总金额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363.86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</w:t>
      </w:r>
      <w:r>
        <w:rPr>
          <w:rFonts w:eastAsia="仿宋" w:hint="eastAsia"/>
          <w:sz w:val="32"/>
          <w:szCs w:val="32"/>
        </w:rPr>
        <w:t>（仅指财政预算拨款收入安排）。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“三公”经费预算安排情况说明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“三公”经费预算安排总额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44.60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元（</w:t>
      </w:r>
      <w:r>
        <w:rPr>
          <w:rFonts w:eastAsia="仿宋" w:hint="eastAsia"/>
          <w:sz w:val="32"/>
          <w:szCs w:val="32"/>
        </w:rPr>
        <w:t>仅指</w:t>
      </w:r>
      <w:r>
        <w:rPr>
          <w:rFonts w:eastAsia="仿宋"/>
          <w:sz w:val="32"/>
          <w:szCs w:val="32"/>
        </w:rPr>
        <w:t>经常收入预算拨款</w:t>
      </w:r>
      <w:r>
        <w:rPr>
          <w:rFonts w:eastAsia="仿宋" w:hint="eastAsia"/>
          <w:sz w:val="32"/>
          <w:szCs w:val="32"/>
        </w:rPr>
        <w:t>安排</w:t>
      </w:r>
      <w:r>
        <w:rPr>
          <w:rFonts w:eastAsia="仿宋"/>
          <w:sz w:val="32"/>
          <w:szCs w:val="32"/>
        </w:rPr>
        <w:t>），同上年相比增加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18.00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元，其中：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 公务接待费预算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11.40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</w:t>
      </w:r>
      <w:r>
        <w:rPr>
          <w:rFonts w:eastAsia="仿宋"/>
          <w:bCs/>
          <w:sz w:val="32"/>
          <w:szCs w:val="32"/>
        </w:rPr>
        <w:t>与上年预算持平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2. 公务用车购置及运行</w:t>
      </w:r>
      <w:r>
        <w:rPr>
          <w:rFonts w:eastAsia="仿宋" w:hint="eastAsia"/>
          <w:sz w:val="32"/>
          <w:szCs w:val="32"/>
        </w:rPr>
        <w:t>维护</w:t>
      </w:r>
      <w:r>
        <w:rPr>
          <w:rFonts w:eastAsia="仿宋"/>
          <w:sz w:val="32"/>
          <w:szCs w:val="32"/>
        </w:rPr>
        <w:t>费预算</w:t>
      </w:r>
      <w:r>
        <w:rPr>
          <w:rFonts w:eastAsia="仿宋" w:hint="eastAsia"/>
          <w:strike w:val="0"/>
          <w:dstrike w:val="0"/>
          <w:sz w:val="32"/>
          <w:szCs w:val="32"/>
          <w:u w:val="single"/>
          <w:lang w:val="en-US" w:eastAsia="zh-CN"/>
        </w:rPr>
        <w:t>33.20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元，同上年相比增加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18.00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元，原因是：</w:t>
      </w:r>
      <w:r>
        <w:rPr>
          <w:rFonts w:eastAsia="仿宋" w:hint="eastAsia"/>
          <w:sz w:val="32"/>
          <w:szCs w:val="32"/>
          <w:u w:val="single"/>
        </w:rPr>
        <w:t>有车辆运行年限过久，新增车辆购置费用</w:t>
      </w:r>
      <w:r>
        <w:rPr>
          <w:rFonts w:eastAsia="仿宋"/>
          <w:sz w:val="32"/>
          <w:szCs w:val="32"/>
        </w:rPr>
        <w:t>；其中公务用车购置费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18.00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元，同上年相比增加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18.00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元元，原因：</w:t>
      </w:r>
      <w:r>
        <w:rPr>
          <w:rFonts w:eastAsia="仿宋" w:hint="eastAsia"/>
          <w:sz w:val="32"/>
          <w:szCs w:val="32"/>
          <w:u w:val="single"/>
        </w:rPr>
        <w:t>有车辆运行年限过久，新增车辆购置费用</w:t>
      </w:r>
      <w:r>
        <w:rPr>
          <w:rFonts w:eastAsia="仿宋"/>
          <w:sz w:val="32"/>
          <w:szCs w:val="32"/>
        </w:rPr>
        <w:t xml:space="preserve"> ；公务用车运行维护费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15.20</w:t>
      </w:r>
      <w:r>
        <w:rPr>
          <w:rFonts w:eastAsia="仿宋" w:hint="eastAsia"/>
          <w:sz w:val="32"/>
          <w:szCs w:val="32"/>
          <w:lang w:val="en-US" w:eastAsia="zh-CN"/>
        </w:rPr>
        <w:t>万</w:t>
      </w:r>
      <w:r>
        <w:rPr>
          <w:rFonts w:eastAsia="仿宋"/>
          <w:sz w:val="32"/>
          <w:szCs w:val="32"/>
        </w:rPr>
        <w:t>元，</w:t>
      </w:r>
      <w:r>
        <w:rPr>
          <w:rFonts w:eastAsia="仿宋"/>
          <w:bCs/>
          <w:sz w:val="32"/>
          <w:szCs w:val="32"/>
        </w:rPr>
        <w:t>与上年预算持平</w:t>
      </w:r>
      <w:r>
        <w:rPr>
          <w:rFonts w:eastAsia="仿宋"/>
          <w:sz w:val="32"/>
          <w:szCs w:val="32"/>
        </w:rPr>
        <w:t xml:space="preserve">；   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3. 因公出国（境）费预算</w:t>
      </w:r>
      <w:r>
        <w:rPr>
          <w:rFonts w:eastAsia="仿宋" w:hint="eastAsia"/>
          <w:sz w:val="32"/>
          <w:szCs w:val="32"/>
          <w:u w:val="single"/>
          <w:lang w:val="en-US" w:eastAsia="zh-CN"/>
        </w:rPr>
        <w:t>0</w:t>
      </w:r>
      <w:r>
        <w:rPr>
          <w:rFonts w:eastAsia="仿宋"/>
          <w:sz w:val="32"/>
          <w:szCs w:val="32"/>
        </w:rPr>
        <w:t>元，</w:t>
      </w:r>
      <w:r>
        <w:rPr>
          <w:rFonts w:eastAsia="仿宋"/>
          <w:bCs/>
          <w:sz w:val="32"/>
          <w:szCs w:val="32"/>
        </w:rPr>
        <w:t>与上年预算持平</w:t>
      </w:r>
      <w:r>
        <w:rPr>
          <w:rFonts w:eastAsia="仿宋"/>
          <w:sz w:val="32"/>
          <w:szCs w:val="32"/>
        </w:rPr>
        <w:t xml:space="preserve">。      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五、其他需要说明的问题及建议</w:t>
      </w:r>
    </w:p>
    <w:p>
      <w:pPr>
        <w:spacing w:line="520" w:lineRule="exact"/>
        <w:ind w:firstLine="640" w:firstLineChars="200"/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eastAsia="zh-CN"/>
        </w:rPr>
        <w:t>无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3624B"/>
    <w:rsid w:val="00045352"/>
    <w:rsid w:val="0010374C"/>
    <w:rsid w:val="003A1FC5"/>
    <w:rsid w:val="006327C3"/>
    <w:rsid w:val="00733EF2"/>
    <w:rsid w:val="007B4E98"/>
    <w:rsid w:val="00845A10"/>
    <w:rsid w:val="008855FD"/>
    <w:rsid w:val="008F6504"/>
    <w:rsid w:val="00961146"/>
    <w:rsid w:val="009706AB"/>
    <w:rsid w:val="00A94566"/>
    <w:rsid w:val="00BB2548"/>
    <w:rsid w:val="00DE48D0"/>
    <w:rsid w:val="00DE645B"/>
    <w:rsid w:val="00E31969"/>
    <w:rsid w:val="3314287C"/>
  </w:rsids>
  <w:docVars>
    <w:docVar w:name="commondata" w:val="eyJoZGlkIjoiNmMzYWFiMzI4NDQwYTI4YjA1NzNhY2JhNzNhNjgzN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897</Characters>
  <Application>Microsoft Office Word</Application>
  <DocSecurity>0</DocSecurity>
  <Lines>9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LTKJ13</dc:creator>
  <cp:lastModifiedBy>一鸣</cp:lastModifiedBy>
  <cp:revision>9</cp:revision>
  <dcterms:created xsi:type="dcterms:W3CDTF">2021-05-16T15:09:00Z</dcterms:created>
  <dcterms:modified xsi:type="dcterms:W3CDTF">2024-05-09T02:10:22Z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6EA0B9D44CDA4694B3084265F2CBD1F1</vt:lpwstr>
  </property>
  <property fmtid="{D5CDD505-2E9C-101B-9397-08002B2CF9AE}" pid="3" name="KSOProductBuildVer">
    <vt:lpwstr>2052-11.1.0.11744</vt:lpwstr>
  </property>
</Properties>
</file>