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宋体" w:eastAsia="方正小标宋简体" w:cs="宋体"/>
          <w:bCs/>
          <w:kern w:val="0"/>
          <w:sz w:val="36"/>
          <w:szCs w:val="36"/>
        </w:rPr>
      </w:pPr>
    </w:p>
    <w:p>
      <w:pPr>
        <w:jc w:val="center"/>
        <w:rPr>
          <w:rFonts w:ascii="方正小标宋简体" w:hAnsi="宋体" w:eastAsia="方正小标宋简体" w:cs="宋体"/>
          <w:bCs/>
          <w:kern w:val="0"/>
          <w:sz w:val="36"/>
          <w:szCs w:val="36"/>
        </w:rPr>
      </w:pPr>
      <w:bookmarkStart w:id="0" w:name="_GoBack"/>
      <w:r>
        <w:rPr>
          <w:rFonts w:hint="eastAsia" w:ascii="方正小标宋简体" w:hAnsi="宋体" w:eastAsia="方正小标宋简体" w:cs="宋体"/>
          <w:bCs/>
          <w:kern w:val="0"/>
          <w:sz w:val="36"/>
          <w:szCs w:val="36"/>
        </w:rPr>
        <w:t>寿县城市建设总指挥部档案鉴定整理著录加工</w:t>
      </w:r>
    </w:p>
    <w:p>
      <w:pPr>
        <w:jc w:val="center"/>
        <w:rPr>
          <w:rFonts w:ascii="方正小标宋简体" w:eastAsia="方正小标宋简体" w:cs="方正小标宋_GBK" w:hAnsiTheme="majorEastAsia"/>
          <w:sz w:val="36"/>
          <w:szCs w:val="36"/>
        </w:rPr>
      </w:pPr>
      <w:r>
        <w:rPr>
          <w:rFonts w:hint="eastAsia" w:ascii="方正小标宋简体" w:hAnsi="宋体" w:eastAsia="方正小标宋简体" w:cs="宋体"/>
          <w:bCs/>
          <w:kern w:val="0"/>
          <w:sz w:val="36"/>
          <w:szCs w:val="36"/>
        </w:rPr>
        <w:t>服务项目第三方服务</w:t>
      </w:r>
      <w:r>
        <w:rPr>
          <w:rFonts w:hint="eastAsia" w:ascii="方正小标宋简体" w:hAnsi="宋体" w:eastAsia="方正小标宋简体" w:cs="宋体"/>
          <w:bCs/>
          <w:sz w:val="36"/>
          <w:szCs w:val="36"/>
        </w:rPr>
        <w:t>竞争性谈判公告</w:t>
      </w:r>
    </w:p>
    <w:bookmarkEnd w:id="0"/>
    <w:p>
      <w:pPr>
        <w:widowControl/>
        <w:shd w:val="clear" w:color="auto" w:fill="FFFFFF"/>
        <w:spacing w:line="500" w:lineRule="exact"/>
        <w:ind w:firstLine="600" w:firstLineChars="200"/>
        <w:jc w:val="left"/>
        <w:rPr>
          <w:rFonts w:ascii="宋体" w:hAnsi="宋体" w:cs="宋体"/>
          <w:kern w:val="0"/>
          <w:sz w:val="30"/>
          <w:szCs w:val="30"/>
        </w:rPr>
      </w:pPr>
      <w:r>
        <w:rPr>
          <w:rFonts w:hint="eastAsia" w:ascii="宋体" w:hAnsi="宋体" w:cs="宋体"/>
          <w:kern w:val="0"/>
          <w:sz w:val="30"/>
          <w:szCs w:val="30"/>
        </w:rPr>
        <w:t>因本单位档案整理工作需要，现通过竞争性谈判方式采购“寿县城市建设总指挥部（2008-2023年度）档案鉴定、整理、著录加工服务项目”第三方服务，具体事宜公告如下：</w:t>
      </w:r>
    </w:p>
    <w:p>
      <w:pPr>
        <w:widowControl/>
        <w:shd w:val="clear" w:color="auto" w:fill="FFFFFF"/>
        <w:spacing w:line="500" w:lineRule="exact"/>
        <w:ind w:firstLine="600" w:firstLineChars="200"/>
        <w:jc w:val="left"/>
        <w:rPr>
          <w:rFonts w:ascii="黑体" w:hAnsi="黑体" w:eastAsia="黑体" w:cs="宋体"/>
          <w:kern w:val="0"/>
          <w:sz w:val="30"/>
          <w:szCs w:val="30"/>
        </w:rPr>
      </w:pPr>
      <w:r>
        <w:rPr>
          <w:rFonts w:hint="eastAsia" w:ascii="黑体" w:hAnsi="黑体" w:eastAsia="黑体" w:cs="宋体"/>
          <w:bCs/>
          <w:kern w:val="0"/>
          <w:sz w:val="30"/>
          <w:szCs w:val="30"/>
        </w:rPr>
        <w:t>一、采购基本情况</w:t>
      </w:r>
    </w:p>
    <w:p>
      <w:pPr>
        <w:widowControl/>
        <w:shd w:val="clear" w:color="auto" w:fill="FFFFFF"/>
        <w:spacing w:line="500" w:lineRule="exact"/>
        <w:ind w:firstLine="600" w:firstLineChars="200"/>
        <w:jc w:val="left"/>
        <w:rPr>
          <w:rFonts w:ascii="宋体" w:hAnsi="宋体" w:cs="宋体"/>
          <w:kern w:val="0"/>
          <w:sz w:val="30"/>
          <w:szCs w:val="30"/>
        </w:rPr>
      </w:pPr>
      <w:r>
        <w:rPr>
          <w:rFonts w:hint="eastAsia" w:ascii="宋体" w:hAnsi="宋体" w:cs="宋体"/>
          <w:bCs/>
          <w:kern w:val="0"/>
          <w:sz w:val="30"/>
          <w:szCs w:val="30"/>
        </w:rPr>
        <w:t>1.</w:t>
      </w:r>
      <w:r>
        <w:rPr>
          <w:rFonts w:hint="eastAsia" w:ascii="宋体" w:hAnsi="宋体" w:cs="宋体"/>
          <w:color w:val="333333"/>
          <w:kern w:val="0"/>
          <w:sz w:val="30"/>
          <w:szCs w:val="30"/>
        </w:rPr>
        <w:t>项目名称：</w:t>
      </w:r>
      <w:r>
        <w:rPr>
          <w:rFonts w:hint="eastAsia" w:ascii="宋体" w:hAnsi="宋体" w:cs="宋体"/>
          <w:kern w:val="0"/>
          <w:sz w:val="30"/>
          <w:szCs w:val="30"/>
        </w:rPr>
        <w:t>寿县城市建设总指挥部2008-2023年度档案鉴定、整理、著录加工服务项目第三方服务；</w:t>
      </w:r>
    </w:p>
    <w:p>
      <w:pPr>
        <w:widowControl/>
        <w:shd w:val="clear" w:color="auto" w:fill="FFFFFF"/>
        <w:spacing w:line="500" w:lineRule="exact"/>
        <w:ind w:firstLine="600" w:firstLineChars="200"/>
        <w:jc w:val="left"/>
        <w:rPr>
          <w:rFonts w:ascii="宋体" w:hAnsi="宋体" w:cs="宋体"/>
          <w:bCs/>
          <w:kern w:val="0"/>
          <w:sz w:val="30"/>
          <w:szCs w:val="30"/>
        </w:rPr>
      </w:pPr>
      <w:r>
        <w:rPr>
          <w:rFonts w:hint="eastAsia" w:ascii="宋体" w:hAnsi="宋体" w:cs="宋体"/>
          <w:bCs/>
          <w:kern w:val="0"/>
          <w:sz w:val="30"/>
          <w:szCs w:val="30"/>
        </w:rPr>
        <w:t>2.</w:t>
      </w:r>
      <w:r>
        <w:rPr>
          <w:rFonts w:hint="eastAsia" w:ascii="宋体" w:hAnsi="宋体" w:cs="宋体"/>
          <w:color w:val="333333"/>
          <w:kern w:val="0"/>
          <w:sz w:val="30"/>
          <w:szCs w:val="30"/>
        </w:rPr>
        <w:t>采购人名称：</w:t>
      </w:r>
      <w:r>
        <w:rPr>
          <w:rFonts w:hint="eastAsia" w:ascii="宋体" w:hAnsi="宋体" w:cs="宋体"/>
          <w:bCs/>
          <w:kern w:val="0"/>
          <w:sz w:val="30"/>
          <w:szCs w:val="30"/>
        </w:rPr>
        <w:t>寿县城市建设总指挥部办公室；</w:t>
      </w:r>
    </w:p>
    <w:p>
      <w:pPr>
        <w:spacing w:line="500" w:lineRule="exact"/>
        <w:ind w:firstLine="600" w:firstLineChars="200"/>
        <w:jc w:val="left"/>
        <w:rPr>
          <w:rFonts w:ascii="宋体" w:hAnsi="宋体" w:cs="宋体"/>
          <w:bCs/>
          <w:kern w:val="0"/>
          <w:sz w:val="30"/>
          <w:szCs w:val="30"/>
        </w:rPr>
      </w:pPr>
      <w:r>
        <w:rPr>
          <w:rFonts w:hint="eastAsia" w:ascii="宋体" w:hAnsi="宋体" w:cs="宋体"/>
          <w:bCs/>
          <w:kern w:val="0"/>
          <w:sz w:val="30"/>
          <w:szCs w:val="30"/>
        </w:rPr>
        <w:t>3.采购内容：选择第三方机构对单位档案鉴定、整理、归档、著录加工等进行相关服务，主要内容包括2008年度到2023年度的所有文书档案、工程质量监督档案的收集、整理、归档、著录、移交城建档案馆等档案咨询服务工作；</w:t>
      </w:r>
    </w:p>
    <w:p>
      <w:pPr>
        <w:spacing w:line="500" w:lineRule="exact"/>
        <w:ind w:firstLine="600" w:firstLineChars="200"/>
        <w:jc w:val="left"/>
        <w:rPr>
          <w:rFonts w:ascii="宋体" w:hAnsi="宋体" w:cs="宋体"/>
          <w:bCs/>
          <w:kern w:val="0"/>
          <w:sz w:val="30"/>
          <w:szCs w:val="30"/>
        </w:rPr>
      </w:pPr>
      <w:r>
        <w:rPr>
          <w:rFonts w:hint="eastAsia" w:ascii="宋体" w:hAnsi="宋体" w:cs="宋体"/>
          <w:bCs/>
          <w:kern w:val="0"/>
          <w:sz w:val="30"/>
          <w:szCs w:val="30"/>
        </w:rPr>
        <w:t>4.工期：90日历天；</w:t>
      </w:r>
    </w:p>
    <w:p>
      <w:pPr>
        <w:spacing w:line="500" w:lineRule="exact"/>
        <w:ind w:firstLine="600" w:firstLineChars="200"/>
        <w:jc w:val="left"/>
        <w:rPr>
          <w:rFonts w:ascii="宋体" w:hAnsi="宋体" w:cs="宋体"/>
          <w:bCs/>
          <w:kern w:val="0"/>
          <w:sz w:val="30"/>
          <w:szCs w:val="30"/>
        </w:rPr>
      </w:pPr>
      <w:r>
        <w:rPr>
          <w:rFonts w:hint="eastAsia" w:ascii="宋体" w:hAnsi="宋体" w:cs="宋体"/>
          <w:bCs/>
          <w:kern w:val="0"/>
          <w:sz w:val="30"/>
          <w:szCs w:val="30"/>
        </w:rPr>
        <w:t xml:space="preserve">5.标段划分：1个项目包； </w:t>
      </w:r>
    </w:p>
    <w:p>
      <w:pPr>
        <w:widowControl/>
        <w:shd w:val="clear" w:color="auto" w:fill="FFFFFF"/>
        <w:spacing w:line="500" w:lineRule="exact"/>
        <w:ind w:firstLine="600" w:firstLineChars="200"/>
        <w:jc w:val="left"/>
        <w:rPr>
          <w:rFonts w:ascii="宋体" w:hAnsi="宋体" w:cs="宋体"/>
          <w:color w:val="333333"/>
          <w:kern w:val="0"/>
          <w:sz w:val="30"/>
          <w:szCs w:val="30"/>
        </w:rPr>
      </w:pPr>
      <w:r>
        <w:rPr>
          <w:rFonts w:hint="eastAsia" w:ascii="宋体" w:hAnsi="宋体" w:cs="宋体"/>
          <w:bCs/>
          <w:kern w:val="0"/>
          <w:sz w:val="30"/>
          <w:szCs w:val="30"/>
        </w:rPr>
        <w:t>6.</w:t>
      </w:r>
      <w:r>
        <w:rPr>
          <w:rFonts w:hint="eastAsia" w:ascii="宋体" w:hAnsi="宋体" w:cs="宋体"/>
          <w:color w:val="333333"/>
          <w:kern w:val="0"/>
          <w:sz w:val="30"/>
          <w:szCs w:val="30"/>
        </w:rPr>
        <w:t>资金来源：财政资金；</w:t>
      </w:r>
    </w:p>
    <w:p>
      <w:pPr>
        <w:widowControl/>
        <w:shd w:val="clear" w:color="auto" w:fill="FFFFFF"/>
        <w:spacing w:line="500" w:lineRule="exact"/>
        <w:ind w:firstLine="600" w:firstLineChars="200"/>
        <w:jc w:val="left"/>
        <w:rPr>
          <w:rFonts w:ascii="宋体" w:hAnsi="宋体" w:cs="宋体"/>
          <w:color w:val="333333"/>
          <w:kern w:val="0"/>
          <w:sz w:val="30"/>
          <w:szCs w:val="30"/>
        </w:rPr>
      </w:pPr>
      <w:r>
        <w:rPr>
          <w:rFonts w:hint="eastAsia" w:ascii="宋体" w:hAnsi="宋体" w:cs="宋体"/>
          <w:bCs/>
          <w:kern w:val="0"/>
          <w:sz w:val="30"/>
          <w:szCs w:val="30"/>
        </w:rPr>
        <w:t>7.</w:t>
      </w:r>
      <w:r>
        <w:rPr>
          <w:rFonts w:hint="eastAsia" w:ascii="宋体" w:hAnsi="宋体" w:cs="宋体"/>
          <w:color w:val="333333"/>
          <w:kern w:val="0"/>
          <w:sz w:val="30"/>
          <w:szCs w:val="30"/>
        </w:rPr>
        <w:t>控制价：初步测算，人民币捌万捌仟伍佰元整（￥88500.00元）；</w:t>
      </w:r>
    </w:p>
    <w:p>
      <w:pPr>
        <w:spacing w:line="500" w:lineRule="exact"/>
        <w:ind w:firstLine="600" w:firstLineChars="200"/>
        <w:jc w:val="left"/>
        <w:rPr>
          <w:rFonts w:ascii="宋体" w:hAnsi="宋体" w:cs="宋体"/>
          <w:sz w:val="30"/>
          <w:szCs w:val="30"/>
        </w:rPr>
      </w:pPr>
      <w:r>
        <w:rPr>
          <w:rFonts w:hint="eastAsia" w:ascii="宋体" w:hAnsi="宋体" w:cs="宋体"/>
          <w:bCs/>
          <w:kern w:val="0"/>
          <w:sz w:val="30"/>
          <w:szCs w:val="30"/>
        </w:rPr>
        <w:t>8.采购方式：竞争性谈判。</w:t>
      </w:r>
    </w:p>
    <w:p>
      <w:pPr>
        <w:spacing w:line="480" w:lineRule="exact"/>
        <w:ind w:firstLine="600" w:firstLineChars="200"/>
        <w:jc w:val="left"/>
        <w:rPr>
          <w:rFonts w:ascii="黑体" w:hAnsi="黑体" w:eastAsia="黑体" w:cs="宋体"/>
          <w:kern w:val="0"/>
          <w:sz w:val="30"/>
          <w:szCs w:val="30"/>
        </w:rPr>
      </w:pPr>
      <w:r>
        <w:rPr>
          <w:rFonts w:hint="eastAsia" w:ascii="黑体" w:hAnsi="黑体" w:eastAsia="黑体" w:cs="宋体"/>
          <w:kern w:val="0"/>
          <w:sz w:val="30"/>
          <w:szCs w:val="30"/>
        </w:rPr>
        <w:t>二、响应要求</w:t>
      </w:r>
    </w:p>
    <w:p>
      <w:pPr>
        <w:spacing w:line="480" w:lineRule="exact"/>
        <w:ind w:firstLine="600" w:firstLineChars="200"/>
        <w:jc w:val="left"/>
        <w:rPr>
          <w:rFonts w:ascii="宋体" w:hAnsi="宋体" w:cs="宋体"/>
          <w:kern w:val="0"/>
          <w:sz w:val="30"/>
          <w:szCs w:val="30"/>
        </w:rPr>
      </w:pPr>
      <w:r>
        <w:rPr>
          <w:rFonts w:hint="eastAsia" w:ascii="宋体" w:hAnsi="宋体" w:cs="宋体"/>
          <w:kern w:val="0"/>
          <w:sz w:val="30"/>
          <w:szCs w:val="30"/>
        </w:rPr>
        <w:t>1.评审方式：最低评标价法。</w:t>
      </w:r>
    </w:p>
    <w:p>
      <w:pPr>
        <w:spacing w:line="480" w:lineRule="exact"/>
        <w:ind w:firstLine="600" w:firstLineChars="200"/>
        <w:jc w:val="left"/>
        <w:rPr>
          <w:rFonts w:ascii="宋体" w:hAnsi="宋体" w:cs="宋体"/>
          <w:kern w:val="0"/>
          <w:sz w:val="30"/>
          <w:szCs w:val="30"/>
        </w:rPr>
      </w:pPr>
      <w:r>
        <w:rPr>
          <w:rFonts w:hint="eastAsia" w:ascii="宋体" w:hAnsi="宋体" w:cs="宋体"/>
          <w:kern w:val="0"/>
          <w:sz w:val="30"/>
          <w:szCs w:val="30"/>
        </w:rPr>
        <w:t>2.资格审查方式：资格后审。</w:t>
      </w:r>
    </w:p>
    <w:p>
      <w:pPr>
        <w:spacing w:line="480" w:lineRule="exact"/>
        <w:ind w:firstLine="600" w:firstLineChars="200"/>
        <w:jc w:val="left"/>
        <w:rPr>
          <w:rFonts w:ascii="宋体" w:hAnsi="宋体" w:cs="宋体"/>
          <w:kern w:val="0"/>
          <w:sz w:val="30"/>
          <w:szCs w:val="30"/>
        </w:rPr>
      </w:pPr>
      <w:r>
        <w:rPr>
          <w:rFonts w:hint="eastAsia" w:ascii="宋体" w:hAnsi="宋体" w:cs="宋体"/>
          <w:kern w:val="0"/>
          <w:sz w:val="30"/>
          <w:szCs w:val="30"/>
        </w:rPr>
        <w:t>3.被依法设立的各级公共资源交易监管部门限制投标的供应商不得参与本项目谈判（处罚期已过除外）；</w:t>
      </w:r>
    </w:p>
    <w:p>
      <w:pPr>
        <w:spacing w:line="480" w:lineRule="exact"/>
        <w:ind w:firstLine="600" w:firstLineChars="200"/>
        <w:jc w:val="left"/>
        <w:rPr>
          <w:rFonts w:ascii="宋体" w:hAnsi="宋体" w:cs="宋体"/>
          <w:kern w:val="0"/>
          <w:sz w:val="30"/>
          <w:szCs w:val="30"/>
        </w:rPr>
      </w:pPr>
      <w:r>
        <w:rPr>
          <w:rFonts w:hint="eastAsia" w:ascii="宋体" w:hAnsi="宋体" w:cs="宋体"/>
          <w:kern w:val="0"/>
          <w:sz w:val="30"/>
          <w:szCs w:val="30"/>
        </w:rPr>
        <w:t>4.本项目不接受联合体谈判；</w:t>
      </w:r>
    </w:p>
    <w:p>
      <w:pPr>
        <w:spacing w:line="480" w:lineRule="exact"/>
        <w:ind w:firstLine="600" w:firstLineChars="200"/>
        <w:jc w:val="left"/>
        <w:rPr>
          <w:rFonts w:ascii="宋体" w:hAnsi="宋体" w:cs="宋体"/>
          <w:bCs/>
          <w:kern w:val="0"/>
          <w:sz w:val="30"/>
          <w:szCs w:val="30"/>
        </w:rPr>
      </w:pPr>
      <w:r>
        <w:rPr>
          <w:rFonts w:hint="eastAsia" w:ascii="宋体" w:hAnsi="宋体" w:cs="宋体"/>
          <w:kern w:val="0"/>
          <w:sz w:val="30"/>
          <w:szCs w:val="30"/>
        </w:rPr>
        <w:t>5.谈判供应商由采购人和专家推荐产生。采购人仅接受被推荐供应商参加谈判，不接受其他供应商参加谈判</w:t>
      </w:r>
      <w:r>
        <w:rPr>
          <w:rFonts w:hint="eastAsia" w:ascii="宋体" w:hAnsi="宋体" w:cs="宋体"/>
          <w:bCs/>
          <w:kern w:val="0"/>
          <w:sz w:val="30"/>
          <w:szCs w:val="30"/>
        </w:rPr>
        <w:t>。</w:t>
      </w:r>
    </w:p>
    <w:p>
      <w:pPr>
        <w:spacing w:line="480" w:lineRule="exact"/>
        <w:ind w:firstLine="600" w:firstLineChars="200"/>
        <w:jc w:val="left"/>
        <w:rPr>
          <w:rFonts w:ascii="黑体" w:hAnsi="黑体" w:eastAsia="黑体" w:cs="宋体"/>
          <w:sz w:val="30"/>
          <w:szCs w:val="30"/>
        </w:rPr>
      </w:pPr>
      <w:r>
        <w:rPr>
          <w:rFonts w:hint="eastAsia" w:ascii="黑体" w:hAnsi="黑体" w:eastAsia="黑体" w:cs="宋体"/>
          <w:sz w:val="30"/>
          <w:szCs w:val="30"/>
        </w:rPr>
        <w:t>三、公告期限</w:t>
      </w:r>
    </w:p>
    <w:p>
      <w:pPr>
        <w:spacing w:line="480" w:lineRule="exact"/>
        <w:ind w:firstLine="600" w:firstLineChars="200"/>
        <w:jc w:val="left"/>
        <w:rPr>
          <w:rFonts w:ascii="宋体" w:hAnsi="宋体" w:cs="宋体"/>
          <w:bCs/>
          <w:kern w:val="0"/>
          <w:sz w:val="30"/>
          <w:szCs w:val="30"/>
          <w:u w:val="single"/>
        </w:rPr>
      </w:pPr>
      <w:r>
        <w:rPr>
          <w:rFonts w:hint="eastAsia" w:ascii="宋体" w:hAnsi="宋体" w:cs="宋体"/>
          <w:sz w:val="30"/>
          <w:szCs w:val="30"/>
        </w:rPr>
        <w:t>本项目公告期限：2024年3月27日至2024年4月1日。</w:t>
      </w:r>
    </w:p>
    <w:p>
      <w:pPr>
        <w:widowControl/>
        <w:shd w:val="clear" w:color="auto" w:fill="FFFFFF"/>
        <w:spacing w:line="480" w:lineRule="exact"/>
        <w:ind w:firstLine="600" w:firstLineChars="200"/>
        <w:jc w:val="left"/>
        <w:rPr>
          <w:rFonts w:ascii="黑体" w:hAnsi="黑体" w:eastAsia="黑体" w:cs="宋体"/>
          <w:sz w:val="30"/>
          <w:szCs w:val="30"/>
        </w:rPr>
      </w:pPr>
      <w:r>
        <w:rPr>
          <w:rFonts w:hint="eastAsia" w:ascii="黑体" w:hAnsi="黑体" w:eastAsia="黑体" w:cs="宋体"/>
          <w:sz w:val="30"/>
          <w:szCs w:val="30"/>
        </w:rPr>
        <w:t>四、开启</w:t>
      </w:r>
    </w:p>
    <w:p>
      <w:pPr>
        <w:widowControl/>
        <w:shd w:val="clear" w:color="auto" w:fill="FFFFFF"/>
        <w:spacing w:line="480" w:lineRule="exact"/>
        <w:ind w:firstLine="600" w:firstLineChars="200"/>
        <w:jc w:val="left"/>
        <w:rPr>
          <w:rFonts w:ascii="宋体" w:hAnsi="宋体" w:cs="宋体"/>
          <w:kern w:val="0"/>
          <w:sz w:val="30"/>
          <w:szCs w:val="30"/>
        </w:rPr>
      </w:pPr>
      <w:r>
        <w:rPr>
          <w:rFonts w:hint="eastAsia" w:ascii="宋体" w:hAnsi="宋体" w:cs="宋体"/>
          <w:kern w:val="0"/>
          <w:sz w:val="30"/>
          <w:szCs w:val="30"/>
        </w:rPr>
        <w:t>1.</w:t>
      </w:r>
      <w:r>
        <w:rPr>
          <w:rFonts w:hint="eastAsia" w:ascii="微软雅黑" w:hAnsi="微软雅黑" w:eastAsia="微软雅黑" w:cs="宋体"/>
          <w:color w:val="333333"/>
          <w:kern w:val="0"/>
          <w:sz w:val="30"/>
          <w:szCs w:val="30"/>
        </w:rPr>
        <w:t xml:space="preserve"> </w:t>
      </w:r>
      <w:r>
        <w:rPr>
          <w:rFonts w:hint="eastAsia" w:ascii="宋体" w:hAnsi="宋体" w:cs="宋体"/>
          <w:kern w:val="0"/>
          <w:sz w:val="30"/>
          <w:szCs w:val="30"/>
        </w:rPr>
        <w:t>在2024年4月2日上午8时30分至9时30分将报价材料密封送达寿县城市建设总指挥部办公室(安徽省淮南市寿县时苗路与宾阳大道交叉口西80米)一楼会议室，规定时间段以外的报价为无效报价。纸质版投标文件需一正一副。</w:t>
      </w:r>
    </w:p>
    <w:p>
      <w:pPr>
        <w:widowControl/>
        <w:shd w:val="clear" w:color="auto" w:fill="FFFFFF"/>
        <w:spacing w:line="480" w:lineRule="exact"/>
        <w:ind w:firstLine="600" w:firstLineChars="200"/>
        <w:jc w:val="left"/>
        <w:rPr>
          <w:rFonts w:ascii="宋体" w:hAnsi="宋体" w:cs="宋体"/>
          <w:kern w:val="0"/>
          <w:sz w:val="30"/>
          <w:szCs w:val="30"/>
        </w:rPr>
      </w:pPr>
      <w:r>
        <w:rPr>
          <w:rFonts w:hint="eastAsia" w:ascii="宋体" w:hAnsi="宋体" w:cs="宋体"/>
          <w:kern w:val="0"/>
          <w:sz w:val="30"/>
          <w:szCs w:val="30"/>
        </w:rPr>
        <w:t>2.开启时间（响应文件截止时间）：2024年4月2日10时0分。</w:t>
      </w:r>
    </w:p>
    <w:p>
      <w:pPr>
        <w:widowControl/>
        <w:shd w:val="clear" w:color="auto" w:fill="FFFFFF"/>
        <w:spacing w:line="480" w:lineRule="exact"/>
        <w:ind w:firstLine="600" w:firstLineChars="200"/>
        <w:jc w:val="left"/>
        <w:rPr>
          <w:rFonts w:ascii="宋体" w:hAnsi="宋体" w:cs="宋体"/>
          <w:kern w:val="0"/>
          <w:sz w:val="30"/>
          <w:szCs w:val="30"/>
        </w:rPr>
      </w:pPr>
      <w:r>
        <w:rPr>
          <w:rFonts w:hint="eastAsia" w:ascii="宋体" w:hAnsi="宋体" w:cs="宋体"/>
          <w:kern w:val="0"/>
          <w:sz w:val="30"/>
          <w:szCs w:val="30"/>
        </w:rPr>
        <w:t>2.开启地点：</w:t>
      </w:r>
      <w:r>
        <w:rPr>
          <w:rFonts w:hint="eastAsia" w:ascii="宋体" w:hAnsi="宋体" w:cs="宋体"/>
          <w:bCs/>
          <w:kern w:val="0"/>
          <w:sz w:val="30"/>
          <w:szCs w:val="30"/>
        </w:rPr>
        <w:t>寿县城市建设总指挥部会议室</w:t>
      </w:r>
      <w:r>
        <w:rPr>
          <w:rFonts w:hint="eastAsia" w:ascii="宋体" w:hAnsi="宋体" w:cs="宋体"/>
          <w:kern w:val="0"/>
          <w:sz w:val="30"/>
          <w:szCs w:val="30"/>
        </w:rPr>
        <w:t>。</w:t>
      </w:r>
    </w:p>
    <w:p>
      <w:pPr>
        <w:widowControl/>
        <w:shd w:val="clear" w:color="auto" w:fill="FFFFFF"/>
        <w:spacing w:line="480" w:lineRule="exact"/>
        <w:ind w:firstLine="600" w:firstLineChars="200"/>
        <w:jc w:val="left"/>
        <w:rPr>
          <w:rFonts w:ascii="宋体" w:hAnsi="宋体" w:cs="宋体"/>
          <w:kern w:val="0"/>
          <w:sz w:val="30"/>
          <w:szCs w:val="30"/>
        </w:rPr>
      </w:pPr>
      <w:r>
        <w:rPr>
          <w:rFonts w:hint="eastAsia" w:ascii="宋体" w:hAnsi="宋体" w:cs="宋体"/>
          <w:kern w:val="0"/>
          <w:sz w:val="30"/>
          <w:szCs w:val="30"/>
        </w:rPr>
        <w:t>3.方式：各供应商应在报价截止时间前将报价材料（报价材料至少包含以下文件资料：营业执照（事业单位法人证书）；法定代表人身份证、委托代理人身份证、委托代理人持有的法人授权书；企业业绩证明；档案整理方案；报价单等）进行密封后并通过邮寄或现场递交的方式送达。复印件材料、密封袋需加盖单位公章。</w:t>
      </w:r>
    </w:p>
    <w:p>
      <w:pPr>
        <w:widowControl/>
        <w:shd w:val="clear" w:color="auto" w:fill="FFFFFF"/>
        <w:spacing w:line="480" w:lineRule="exact"/>
        <w:ind w:firstLine="600" w:firstLineChars="200"/>
        <w:jc w:val="left"/>
        <w:rPr>
          <w:rFonts w:ascii="宋体" w:hAnsi="宋体" w:cs="宋体"/>
          <w:kern w:val="0"/>
          <w:sz w:val="30"/>
          <w:szCs w:val="30"/>
        </w:rPr>
      </w:pPr>
      <w:r>
        <w:rPr>
          <w:rFonts w:hint="eastAsia" w:ascii="宋体" w:hAnsi="宋体" w:cs="宋体"/>
          <w:kern w:val="0"/>
          <w:sz w:val="30"/>
          <w:szCs w:val="30"/>
        </w:rPr>
        <w:t>4.报价单格式：</w:t>
      </w:r>
    </w:p>
    <w:p>
      <w:pPr>
        <w:widowControl/>
        <w:shd w:val="clear" w:color="auto" w:fill="FFFFFF"/>
        <w:spacing w:line="600" w:lineRule="auto"/>
        <w:jc w:val="center"/>
        <w:rPr>
          <w:rFonts w:ascii="宋体" w:hAnsi="宋体" w:cs="仿宋_GB2312"/>
          <w:b/>
          <w:kern w:val="0"/>
          <w:sz w:val="24"/>
        </w:rPr>
      </w:pPr>
      <w:r>
        <w:rPr>
          <w:rFonts w:hint="eastAsia" w:ascii="宋体" w:hAnsi="宋体" w:cs="仿宋_GB2312"/>
          <w:b/>
          <w:kern w:val="0"/>
          <w:sz w:val="24"/>
        </w:rPr>
        <w:t>报 价 单 格 式</w:t>
      </w:r>
    </w:p>
    <w:tbl>
      <w:tblPr>
        <w:tblStyle w:val="18"/>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8"/>
        <w:gridCol w:w="3252"/>
        <w:gridCol w:w="851"/>
        <w:gridCol w:w="1417"/>
        <w:gridCol w:w="2133"/>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783" w:type="dxa"/>
            <w:gridSpan w:val="2"/>
            <w:shd w:val="clear" w:color="auto" w:fill="auto"/>
            <w:vAlign w:val="center"/>
          </w:tcPr>
          <w:p>
            <w:pPr>
              <w:widowControl/>
              <w:spacing w:line="360" w:lineRule="auto"/>
              <w:jc w:val="center"/>
              <w:rPr>
                <w:rFonts w:ascii="宋体" w:hAnsi="宋体" w:cs="宋体"/>
                <w:bCs/>
                <w:color w:val="000000"/>
                <w:kern w:val="0"/>
                <w:sz w:val="22"/>
                <w:szCs w:val="22"/>
              </w:rPr>
            </w:pPr>
            <w:r>
              <w:rPr>
                <w:rFonts w:hint="eastAsia" w:ascii="宋体" w:hAnsi="宋体" w:cs="宋体"/>
                <w:bCs/>
                <w:color w:val="000000"/>
                <w:kern w:val="0"/>
                <w:sz w:val="22"/>
                <w:szCs w:val="22"/>
              </w:rPr>
              <w:t>序号</w:t>
            </w:r>
          </w:p>
        </w:tc>
        <w:tc>
          <w:tcPr>
            <w:tcW w:w="3252" w:type="dxa"/>
            <w:shd w:val="clear" w:color="auto" w:fill="auto"/>
            <w:vAlign w:val="center"/>
          </w:tcPr>
          <w:p>
            <w:pPr>
              <w:widowControl/>
              <w:spacing w:line="360" w:lineRule="auto"/>
              <w:jc w:val="center"/>
              <w:rPr>
                <w:rFonts w:ascii="宋体" w:hAnsi="宋体" w:cs="宋体"/>
                <w:bCs/>
                <w:color w:val="000000"/>
                <w:kern w:val="0"/>
                <w:sz w:val="22"/>
                <w:szCs w:val="22"/>
              </w:rPr>
            </w:pPr>
            <w:r>
              <w:rPr>
                <w:rFonts w:hint="eastAsia" w:ascii="宋体" w:hAnsi="宋体" w:cs="宋体"/>
                <w:bCs/>
                <w:color w:val="000000"/>
                <w:kern w:val="0"/>
                <w:sz w:val="22"/>
                <w:szCs w:val="22"/>
              </w:rPr>
              <w:t>名称</w:t>
            </w:r>
          </w:p>
        </w:tc>
        <w:tc>
          <w:tcPr>
            <w:tcW w:w="851" w:type="dxa"/>
          </w:tcPr>
          <w:p>
            <w:pPr>
              <w:widowControl/>
              <w:spacing w:line="360" w:lineRule="auto"/>
              <w:jc w:val="center"/>
              <w:rPr>
                <w:rFonts w:ascii="宋体" w:hAnsi="宋体" w:cs="宋体"/>
                <w:bCs/>
                <w:color w:val="000000"/>
                <w:kern w:val="0"/>
                <w:sz w:val="22"/>
                <w:szCs w:val="22"/>
              </w:rPr>
            </w:pPr>
            <w:r>
              <w:rPr>
                <w:rFonts w:hint="eastAsia" w:ascii="宋体" w:hAnsi="宋体" w:cs="宋体"/>
                <w:bCs/>
                <w:color w:val="000000"/>
                <w:kern w:val="0"/>
                <w:sz w:val="22"/>
                <w:szCs w:val="22"/>
              </w:rPr>
              <w:t>单位</w:t>
            </w:r>
          </w:p>
        </w:tc>
        <w:tc>
          <w:tcPr>
            <w:tcW w:w="1417" w:type="dxa"/>
          </w:tcPr>
          <w:p>
            <w:pPr>
              <w:widowControl/>
              <w:spacing w:line="360" w:lineRule="auto"/>
              <w:jc w:val="center"/>
              <w:rPr>
                <w:rFonts w:ascii="宋体" w:hAnsi="宋体" w:cs="宋体"/>
                <w:bCs/>
                <w:color w:val="000000"/>
                <w:kern w:val="0"/>
                <w:sz w:val="22"/>
                <w:szCs w:val="22"/>
              </w:rPr>
            </w:pPr>
            <w:r>
              <w:rPr>
                <w:rFonts w:hint="eastAsia" w:ascii="宋体" w:hAnsi="宋体" w:cs="宋体"/>
                <w:bCs/>
                <w:color w:val="000000"/>
                <w:kern w:val="0"/>
                <w:sz w:val="22"/>
                <w:szCs w:val="22"/>
              </w:rPr>
              <w:t>数量</w:t>
            </w:r>
          </w:p>
        </w:tc>
        <w:tc>
          <w:tcPr>
            <w:tcW w:w="2133" w:type="dxa"/>
            <w:shd w:val="clear" w:color="auto" w:fill="auto"/>
            <w:vAlign w:val="center"/>
          </w:tcPr>
          <w:p>
            <w:pPr>
              <w:widowControl/>
              <w:spacing w:line="360" w:lineRule="auto"/>
              <w:jc w:val="center"/>
              <w:rPr>
                <w:rFonts w:ascii="宋体" w:hAnsi="宋体" w:cs="宋体"/>
                <w:bCs/>
                <w:color w:val="000000"/>
                <w:kern w:val="0"/>
                <w:sz w:val="22"/>
                <w:szCs w:val="22"/>
              </w:rPr>
            </w:pPr>
            <w:r>
              <w:rPr>
                <w:rFonts w:hint="eastAsia" w:ascii="宋体" w:hAnsi="宋体" w:cs="宋体"/>
                <w:bCs/>
                <w:color w:val="000000"/>
                <w:kern w:val="0"/>
                <w:sz w:val="22"/>
                <w:szCs w:val="22"/>
              </w:rPr>
              <w:t>小计（元）</w:t>
            </w:r>
          </w:p>
        </w:tc>
        <w:tc>
          <w:tcPr>
            <w:tcW w:w="851" w:type="dxa"/>
            <w:shd w:val="clear" w:color="auto" w:fill="auto"/>
            <w:vAlign w:val="center"/>
          </w:tcPr>
          <w:p>
            <w:pPr>
              <w:widowControl/>
              <w:spacing w:line="360" w:lineRule="auto"/>
              <w:jc w:val="center"/>
              <w:rPr>
                <w:rFonts w:ascii="宋体" w:hAnsi="宋体" w:cs="宋体"/>
                <w:bCs/>
                <w:color w:val="000000"/>
                <w:kern w:val="0"/>
                <w:sz w:val="22"/>
                <w:szCs w:val="22"/>
              </w:rPr>
            </w:pPr>
            <w:r>
              <w:rPr>
                <w:rFonts w:hint="eastAsia" w:ascii="宋体" w:hAnsi="宋体" w:cs="宋体"/>
                <w:bCs/>
                <w:color w:val="000000"/>
                <w:kern w:val="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783" w:type="dxa"/>
            <w:gridSpan w:val="2"/>
            <w:shd w:val="clear" w:color="auto" w:fill="auto"/>
            <w:vAlign w:val="center"/>
          </w:tcPr>
          <w:p>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3252" w:type="dxa"/>
            <w:shd w:val="clear" w:color="auto" w:fill="auto"/>
            <w:vAlign w:val="center"/>
          </w:tcPr>
          <w:p>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文书档案（2008年度-2023年度）</w:t>
            </w:r>
          </w:p>
        </w:tc>
        <w:tc>
          <w:tcPr>
            <w:tcW w:w="851" w:type="dxa"/>
          </w:tcPr>
          <w:p>
            <w:pPr>
              <w:widowControl/>
              <w:spacing w:line="240" w:lineRule="exact"/>
              <w:jc w:val="center"/>
              <w:rPr>
                <w:rFonts w:ascii="宋体" w:hAnsi="宋体" w:cs="宋体"/>
                <w:color w:val="000000"/>
                <w:kern w:val="0"/>
                <w:sz w:val="22"/>
                <w:szCs w:val="22"/>
              </w:rPr>
            </w:pPr>
          </w:p>
          <w:p>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件</w:t>
            </w:r>
          </w:p>
        </w:tc>
        <w:tc>
          <w:tcPr>
            <w:tcW w:w="1417" w:type="dxa"/>
          </w:tcPr>
          <w:p>
            <w:pPr>
              <w:widowControl/>
              <w:spacing w:line="240" w:lineRule="exact"/>
              <w:jc w:val="center"/>
              <w:rPr>
                <w:rFonts w:ascii="宋体" w:hAnsi="宋体" w:cs="宋体"/>
                <w:color w:val="000000"/>
                <w:kern w:val="0"/>
                <w:sz w:val="22"/>
                <w:szCs w:val="22"/>
              </w:rPr>
            </w:pPr>
          </w:p>
          <w:p>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1500</w:t>
            </w:r>
          </w:p>
        </w:tc>
        <w:tc>
          <w:tcPr>
            <w:tcW w:w="2133" w:type="dxa"/>
            <w:shd w:val="clear" w:color="auto" w:fill="auto"/>
            <w:vAlign w:val="center"/>
          </w:tcPr>
          <w:p>
            <w:pPr>
              <w:widowControl/>
              <w:spacing w:line="360" w:lineRule="auto"/>
              <w:jc w:val="center"/>
              <w:rPr>
                <w:rFonts w:ascii="宋体" w:hAnsi="宋体" w:cs="宋体"/>
                <w:color w:val="000000"/>
                <w:kern w:val="0"/>
                <w:sz w:val="22"/>
                <w:szCs w:val="22"/>
              </w:rPr>
            </w:pPr>
          </w:p>
        </w:tc>
        <w:tc>
          <w:tcPr>
            <w:tcW w:w="851" w:type="dxa"/>
            <w:shd w:val="clear" w:color="auto" w:fill="auto"/>
            <w:vAlign w:val="center"/>
          </w:tcPr>
          <w:p>
            <w:pPr>
              <w:widowControl/>
              <w:spacing w:line="360" w:lineRule="auto"/>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783" w:type="dxa"/>
            <w:gridSpan w:val="2"/>
            <w:shd w:val="clear" w:color="auto" w:fill="auto"/>
            <w:vAlign w:val="center"/>
          </w:tcPr>
          <w:p>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3252" w:type="dxa"/>
            <w:shd w:val="clear" w:color="auto" w:fill="auto"/>
            <w:vAlign w:val="center"/>
          </w:tcPr>
          <w:p>
            <w:pPr>
              <w:widowControl/>
              <w:spacing w:line="360" w:lineRule="auto"/>
              <w:jc w:val="left"/>
              <w:rPr>
                <w:rFonts w:ascii="宋体" w:hAnsi="宋体" w:cs="宋体"/>
                <w:color w:val="000000"/>
                <w:kern w:val="0"/>
                <w:sz w:val="22"/>
                <w:szCs w:val="22"/>
              </w:rPr>
            </w:pPr>
            <w:r>
              <w:rPr>
                <w:rFonts w:hint="eastAsia" w:ascii="宋体" w:hAnsi="宋体" w:cs="宋体"/>
                <w:color w:val="000000"/>
                <w:kern w:val="0"/>
                <w:sz w:val="22"/>
                <w:szCs w:val="22"/>
              </w:rPr>
              <w:t>建设工程质量监督档案（2008年度-2023年度）</w:t>
            </w:r>
          </w:p>
        </w:tc>
        <w:tc>
          <w:tcPr>
            <w:tcW w:w="851" w:type="dxa"/>
          </w:tcPr>
          <w:p>
            <w:pPr>
              <w:widowControl/>
              <w:spacing w:line="240" w:lineRule="exact"/>
              <w:jc w:val="center"/>
              <w:rPr>
                <w:rFonts w:ascii="宋体" w:hAnsi="宋体" w:cs="宋体"/>
                <w:color w:val="000000"/>
                <w:kern w:val="0"/>
                <w:sz w:val="22"/>
                <w:szCs w:val="22"/>
              </w:rPr>
            </w:pPr>
          </w:p>
          <w:p>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卷</w:t>
            </w:r>
          </w:p>
        </w:tc>
        <w:tc>
          <w:tcPr>
            <w:tcW w:w="1417" w:type="dxa"/>
          </w:tcPr>
          <w:p>
            <w:pPr>
              <w:widowControl/>
              <w:spacing w:line="240" w:lineRule="exact"/>
              <w:jc w:val="center"/>
              <w:rPr>
                <w:rFonts w:ascii="宋体" w:hAnsi="宋体" w:cs="宋体"/>
                <w:color w:val="000000"/>
                <w:kern w:val="0"/>
                <w:sz w:val="22"/>
                <w:szCs w:val="22"/>
              </w:rPr>
            </w:pPr>
          </w:p>
          <w:p>
            <w:pPr>
              <w:widowControl/>
              <w:spacing w:line="360" w:lineRule="auto"/>
              <w:jc w:val="center"/>
              <w:rPr>
                <w:rFonts w:ascii="宋体" w:hAnsi="宋体" w:cs="宋体"/>
                <w:color w:val="000000"/>
                <w:kern w:val="0"/>
                <w:sz w:val="22"/>
                <w:szCs w:val="22"/>
              </w:rPr>
            </w:pPr>
            <w:r>
              <w:rPr>
                <w:rFonts w:hint="eastAsia" w:ascii="宋体" w:hAnsi="宋体" w:cs="宋体"/>
                <w:color w:val="000000"/>
                <w:kern w:val="0"/>
                <w:sz w:val="22"/>
                <w:szCs w:val="22"/>
              </w:rPr>
              <w:t>800</w:t>
            </w:r>
          </w:p>
        </w:tc>
        <w:tc>
          <w:tcPr>
            <w:tcW w:w="2133" w:type="dxa"/>
            <w:shd w:val="clear" w:color="auto" w:fill="auto"/>
            <w:vAlign w:val="center"/>
          </w:tcPr>
          <w:p>
            <w:pPr>
              <w:widowControl/>
              <w:spacing w:line="360" w:lineRule="auto"/>
              <w:jc w:val="center"/>
              <w:rPr>
                <w:rFonts w:ascii="宋体" w:hAnsi="宋体" w:cs="宋体"/>
                <w:color w:val="000000"/>
                <w:kern w:val="0"/>
                <w:sz w:val="22"/>
                <w:szCs w:val="22"/>
              </w:rPr>
            </w:pPr>
          </w:p>
        </w:tc>
        <w:tc>
          <w:tcPr>
            <w:tcW w:w="851" w:type="dxa"/>
            <w:shd w:val="clear" w:color="auto" w:fill="auto"/>
            <w:vAlign w:val="center"/>
          </w:tcPr>
          <w:p>
            <w:pPr>
              <w:widowControl/>
              <w:spacing w:line="360" w:lineRule="auto"/>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775" w:type="dxa"/>
          </w:tcPr>
          <w:p>
            <w:pPr>
              <w:widowControl/>
              <w:spacing w:line="360" w:lineRule="auto"/>
              <w:jc w:val="center"/>
              <w:rPr>
                <w:rFonts w:ascii="宋体" w:hAnsi="宋体" w:cs="宋体"/>
                <w:color w:val="000000"/>
                <w:kern w:val="0"/>
                <w:sz w:val="22"/>
                <w:szCs w:val="22"/>
              </w:rPr>
            </w:pPr>
          </w:p>
        </w:tc>
        <w:tc>
          <w:tcPr>
            <w:tcW w:w="3260" w:type="dxa"/>
            <w:gridSpan w:val="2"/>
          </w:tcPr>
          <w:p>
            <w:pPr>
              <w:widowControl/>
              <w:tabs>
                <w:tab w:val="left" w:pos="1995"/>
              </w:tabs>
              <w:spacing w:line="240" w:lineRule="exact"/>
              <w:jc w:val="left"/>
              <w:rPr>
                <w:rFonts w:ascii="宋体" w:hAnsi="宋体" w:cs="宋体"/>
                <w:b/>
                <w:color w:val="000000"/>
                <w:kern w:val="0"/>
                <w:sz w:val="22"/>
                <w:szCs w:val="22"/>
              </w:rPr>
            </w:pPr>
            <w:r>
              <w:rPr>
                <w:rFonts w:ascii="宋体" w:hAnsi="宋体" w:cs="宋体"/>
                <w:b/>
                <w:color w:val="000000"/>
                <w:kern w:val="0"/>
                <w:sz w:val="22"/>
                <w:szCs w:val="22"/>
              </w:rPr>
              <w:tab/>
            </w:r>
          </w:p>
          <w:p>
            <w:pPr>
              <w:widowControl/>
              <w:spacing w:line="360" w:lineRule="auto"/>
              <w:jc w:val="center"/>
              <w:rPr>
                <w:rFonts w:ascii="宋体" w:hAnsi="宋体" w:cs="宋体"/>
                <w:b/>
                <w:color w:val="000000"/>
                <w:kern w:val="0"/>
                <w:sz w:val="22"/>
                <w:szCs w:val="22"/>
              </w:rPr>
            </w:pPr>
            <w:r>
              <w:rPr>
                <w:rFonts w:hint="eastAsia" w:ascii="宋体" w:hAnsi="宋体" w:cs="宋体"/>
                <w:b/>
                <w:color w:val="000000"/>
                <w:kern w:val="0"/>
                <w:sz w:val="22"/>
                <w:szCs w:val="22"/>
              </w:rPr>
              <w:t>合计：</w:t>
            </w:r>
          </w:p>
        </w:tc>
        <w:tc>
          <w:tcPr>
            <w:tcW w:w="5252" w:type="dxa"/>
            <w:gridSpan w:val="4"/>
            <w:shd w:val="clear" w:color="auto" w:fill="auto"/>
            <w:vAlign w:val="center"/>
          </w:tcPr>
          <w:p>
            <w:pPr>
              <w:widowControl/>
              <w:spacing w:line="360" w:lineRule="auto"/>
              <w:rPr>
                <w:rFonts w:ascii="宋体" w:hAnsi="宋体" w:cs="宋体"/>
                <w:b/>
                <w:color w:val="000000"/>
                <w:kern w:val="0"/>
                <w:sz w:val="22"/>
                <w:szCs w:val="22"/>
              </w:rPr>
            </w:pPr>
            <w:r>
              <w:rPr>
                <w:rFonts w:hint="eastAsia" w:ascii="宋体" w:hAnsi="宋体" w:cs="宋体"/>
                <w:b/>
                <w:color w:val="000000"/>
                <w:kern w:val="0"/>
                <w:sz w:val="22"/>
                <w:szCs w:val="22"/>
              </w:rPr>
              <w:t xml:space="preserve">         元 （大写：                        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287" w:type="dxa"/>
            <w:gridSpan w:val="7"/>
          </w:tcPr>
          <w:p>
            <w:pPr>
              <w:widowControl/>
              <w:spacing w:line="360" w:lineRule="auto"/>
              <w:rPr>
                <w:rFonts w:ascii="宋体" w:hAnsi="宋体" w:cs="宋体"/>
                <w:b/>
                <w:color w:val="000000"/>
                <w:kern w:val="0"/>
                <w:sz w:val="22"/>
                <w:szCs w:val="22"/>
              </w:rPr>
            </w:pPr>
            <w:r>
              <w:rPr>
                <w:rFonts w:hint="eastAsia" w:ascii="宋体" w:hAnsi="宋体" w:cs="宋体"/>
                <w:b/>
                <w:color w:val="000000"/>
                <w:kern w:val="0"/>
                <w:sz w:val="22"/>
                <w:szCs w:val="22"/>
              </w:rPr>
              <w:t>备注：本表数量为估算量，供应商按件（卷）报价，按实际工作量结算。</w:t>
            </w:r>
          </w:p>
        </w:tc>
      </w:tr>
    </w:tbl>
    <w:p>
      <w:pPr>
        <w:widowControl/>
        <w:shd w:val="clear" w:color="auto" w:fill="FFFFFF"/>
        <w:spacing w:line="600" w:lineRule="exact"/>
        <w:ind w:right="480" w:firstLine="482" w:firstLineChars="200"/>
        <w:rPr>
          <w:rFonts w:ascii="宋体" w:hAnsi="宋体" w:cs="宋体"/>
          <w:b/>
          <w:bCs/>
          <w:color w:val="333333"/>
          <w:kern w:val="0"/>
          <w:sz w:val="24"/>
        </w:rPr>
      </w:pPr>
      <w:r>
        <w:rPr>
          <w:rFonts w:hint="eastAsia" w:ascii="宋体" w:hAnsi="宋体" w:cs="宋体"/>
          <w:b/>
          <w:bCs/>
          <w:color w:val="333333"/>
          <w:kern w:val="0"/>
          <w:sz w:val="24"/>
        </w:rPr>
        <w:t>报价单位（盖章）：             报价单位负责人签名：</w:t>
      </w:r>
    </w:p>
    <w:p>
      <w:pPr>
        <w:widowControl/>
        <w:shd w:val="clear" w:color="auto" w:fill="FFFFFF"/>
        <w:spacing w:line="600" w:lineRule="exact"/>
        <w:ind w:firstLine="640" w:firstLineChars="200"/>
        <w:jc w:val="left"/>
        <w:rPr>
          <w:rFonts w:ascii="黑体" w:hAnsi="黑体" w:eastAsia="黑体" w:cs="宋体"/>
          <w:sz w:val="32"/>
          <w:szCs w:val="32"/>
        </w:rPr>
      </w:pPr>
      <w:r>
        <w:rPr>
          <w:rFonts w:hint="eastAsia" w:ascii="黑体" w:hAnsi="黑体" w:eastAsia="黑体" w:cs="宋体"/>
          <w:sz w:val="32"/>
          <w:szCs w:val="32"/>
        </w:rPr>
        <w:t>五、联系方式</w:t>
      </w:r>
    </w:p>
    <w:p>
      <w:pPr>
        <w:widowControl/>
        <w:shd w:val="clear" w:color="auto" w:fill="FFFFFF"/>
        <w:spacing w:line="600" w:lineRule="exact"/>
        <w:ind w:firstLine="640" w:firstLineChars="200"/>
        <w:jc w:val="left"/>
        <w:rPr>
          <w:rFonts w:ascii="宋体" w:hAnsi="宋体" w:cs="宋体"/>
          <w:kern w:val="0"/>
          <w:sz w:val="32"/>
          <w:szCs w:val="32"/>
        </w:rPr>
      </w:pPr>
      <w:r>
        <w:rPr>
          <w:rFonts w:hint="eastAsia" w:ascii="宋体" w:hAnsi="宋体" w:cs="宋体"/>
          <w:kern w:val="0"/>
          <w:sz w:val="32"/>
          <w:szCs w:val="32"/>
        </w:rPr>
        <w:t>联系人：  秦先生             李先生</w:t>
      </w:r>
    </w:p>
    <w:p>
      <w:pPr>
        <w:widowControl/>
        <w:shd w:val="clear" w:color="auto" w:fill="FFFFFF"/>
        <w:spacing w:line="600" w:lineRule="exact"/>
        <w:ind w:firstLine="640" w:firstLineChars="200"/>
        <w:jc w:val="left"/>
        <w:rPr>
          <w:rFonts w:ascii="宋体" w:hAnsi="宋体" w:cs="宋体"/>
          <w:kern w:val="0"/>
          <w:sz w:val="32"/>
          <w:szCs w:val="32"/>
        </w:rPr>
      </w:pPr>
      <w:r>
        <w:rPr>
          <w:rFonts w:hint="eastAsia" w:ascii="宋体" w:hAnsi="宋体" w:cs="宋体"/>
          <w:kern w:val="0"/>
          <w:sz w:val="32"/>
          <w:szCs w:val="32"/>
        </w:rPr>
        <w:t>联系电话：05543127515、 18919786186、17755498020</w:t>
      </w:r>
    </w:p>
    <w:p>
      <w:pPr>
        <w:widowControl/>
        <w:shd w:val="clear" w:color="auto" w:fill="FFFFFF"/>
        <w:spacing w:line="600" w:lineRule="exact"/>
        <w:ind w:firstLine="640" w:firstLineChars="200"/>
        <w:jc w:val="left"/>
        <w:rPr>
          <w:rFonts w:ascii="宋体" w:hAnsi="宋体" w:cs="宋体"/>
          <w:kern w:val="0"/>
          <w:sz w:val="32"/>
          <w:szCs w:val="32"/>
        </w:rPr>
      </w:pPr>
      <w:r>
        <w:rPr>
          <w:rFonts w:hint="eastAsia" w:ascii="宋体" w:hAnsi="宋体" w:cs="宋体"/>
          <w:kern w:val="0"/>
          <w:sz w:val="32"/>
          <w:szCs w:val="32"/>
        </w:rPr>
        <w:t>联系地址：安徽省淮南市寿县时苗路与宾阳大道交叉口西80米寿县城市建设总指挥部。</w:t>
      </w:r>
    </w:p>
    <w:p>
      <w:pPr>
        <w:widowControl/>
        <w:shd w:val="clear" w:color="auto" w:fill="FFFFFF"/>
        <w:spacing w:line="600" w:lineRule="exact"/>
        <w:ind w:firstLine="640" w:firstLineChars="200"/>
        <w:jc w:val="left"/>
        <w:rPr>
          <w:rFonts w:ascii="宋体" w:hAnsi="宋体" w:cs="宋体"/>
          <w:kern w:val="0"/>
          <w:sz w:val="32"/>
          <w:szCs w:val="32"/>
        </w:rPr>
      </w:pPr>
    </w:p>
    <w:p>
      <w:pPr>
        <w:widowControl/>
        <w:shd w:val="clear" w:color="auto" w:fill="FFFFFF"/>
        <w:spacing w:line="600" w:lineRule="exact"/>
        <w:ind w:firstLine="640" w:firstLineChars="200"/>
        <w:jc w:val="left"/>
        <w:rPr>
          <w:rFonts w:ascii="宋体" w:hAnsi="宋体" w:cs="宋体"/>
          <w:kern w:val="0"/>
          <w:sz w:val="32"/>
          <w:szCs w:val="32"/>
        </w:rPr>
      </w:pPr>
      <w:r>
        <w:rPr>
          <w:rFonts w:hint="eastAsia" w:ascii="宋体" w:hAnsi="宋体" w:cs="宋体"/>
          <w:kern w:val="0"/>
          <w:sz w:val="32"/>
          <w:szCs w:val="32"/>
        </w:rPr>
        <w:t>附件：寿县城市建设总指挥部（2008-2023年度）档案鉴定整理著录加工服务项目采购要求</w:t>
      </w:r>
    </w:p>
    <w:p>
      <w:pPr>
        <w:widowControl/>
        <w:shd w:val="clear" w:color="auto" w:fill="FFFFFF"/>
        <w:spacing w:line="600" w:lineRule="exact"/>
        <w:ind w:firstLine="640" w:firstLineChars="200"/>
        <w:jc w:val="left"/>
        <w:rPr>
          <w:rFonts w:ascii="宋体" w:hAnsi="宋体" w:cs="宋体"/>
          <w:kern w:val="0"/>
          <w:sz w:val="32"/>
          <w:szCs w:val="32"/>
        </w:rPr>
      </w:pPr>
    </w:p>
    <w:p>
      <w:pPr>
        <w:widowControl/>
        <w:shd w:val="clear" w:color="auto" w:fill="FFFFFF"/>
        <w:spacing w:line="0" w:lineRule="atLeast"/>
        <w:ind w:firstLine="600" w:firstLineChars="250"/>
        <w:jc w:val="left"/>
        <w:rPr>
          <w:rFonts w:ascii="宋体" w:hAnsi="宋体" w:cs="宋体"/>
          <w:kern w:val="0"/>
          <w:sz w:val="24"/>
        </w:rPr>
      </w:pPr>
    </w:p>
    <w:p>
      <w:pPr>
        <w:rPr>
          <w:rFonts w:ascii="宋体" w:hAnsi="宋体" w:cs="宋体"/>
          <w:sz w:val="24"/>
        </w:rPr>
      </w:pPr>
      <w:r>
        <w:rPr>
          <w:rFonts w:hint="eastAsia" w:ascii="宋体" w:hAnsi="宋体" w:cs="宋体"/>
          <w:sz w:val="24"/>
        </w:rPr>
        <w:t xml:space="preserve">    </w:t>
      </w:r>
    </w:p>
    <w:p>
      <w:pPr>
        <w:jc w:val="center"/>
        <w:rPr>
          <w:rFonts w:ascii="宋体" w:hAnsi="宋体" w:cs="宋体"/>
          <w:sz w:val="24"/>
        </w:rPr>
      </w:pPr>
    </w:p>
    <w:p>
      <w:pPr>
        <w:jc w:val="right"/>
        <w:rPr>
          <w:rFonts w:ascii="宋体" w:hAnsi="宋体" w:cs="宋体"/>
          <w:sz w:val="32"/>
          <w:szCs w:val="32"/>
        </w:rPr>
      </w:pPr>
      <w:r>
        <w:rPr>
          <w:rFonts w:hint="eastAsia" w:ascii="宋体" w:hAnsi="宋体" w:cs="宋体"/>
          <w:sz w:val="32"/>
          <w:szCs w:val="32"/>
        </w:rPr>
        <w:t>2024年3月27日</w:t>
      </w:r>
    </w:p>
    <w:p>
      <w:pPr>
        <w:widowControl/>
        <w:shd w:val="clear" w:color="auto" w:fill="FFFFFF"/>
        <w:wordWrap w:val="0"/>
        <w:spacing w:line="480" w:lineRule="auto"/>
        <w:ind w:firstLine="480"/>
        <w:rPr>
          <w:rFonts w:ascii="微软雅黑" w:hAnsi="微软雅黑" w:eastAsia="微软雅黑" w:cs="宋体"/>
          <w:color w:val="333333"/>
          <w:kern w:val="0"/>
          <w:szCs w:val="21"/>
        </w:rPr>
      </w:pPr>
      <w:r>
        <w:rPr>
          <w:rFonts w:hint="eastAsia" w:ascii="宋体" w:hAnsi="宋体" w:cs="宋体"/>
          <w:b/>
          <w:bCs/>
          <w:color w:val="333333"/>
          <w:kern w:val="0"/>
          <w:sz w:val="24"/>
        </w:rPr>
        <w:t xml:space="preserve">           </w:t>
      </w:r>
    </w:p>
    <w:p>
      <w:pPr>
        <w:widowControl/>
        <w:shd w:val="clear" w:color="auto" w:fill="FFFFFF"/>
        <w:spacing w:line="600" w:lineRule="exact"/>
        <w:ind w:right="480"/>
        <w:jc w:val="center"/>
        <w:rPr>
          <w:rFonts w:hint="eastAsia" w:ascii="宋体" w:hAnsi="宋体" w:cs="宋体"/>
          <w:b/>
          <w:bCs/>
          <w:color w:val="333333"/>
          <w:kern w:val="0"/>
          <w:sz w:val="24"/>
        </w:rPr>
      </w:pPr>
      <w:r>
        <w:rPr>
          <w:rFonts w:hint="eastAsia" w:ascii="宋体" w:hAnsi="宋体" w:cs="宋体"/>
          <w:b/>
          <w:bCs/>
          <w:color w:val="333333"/>
          <w:kern w:val="0"/>
          <w:sz w:val="24"/>
        </w:rPr>
        <w:t xml:space="preserve">           </w:t>
      </w:r>
    </w:p>
    <w:p>
      <w:pPr>
        <w:rPr>
          <w:rFonts w:hint="eastAsia" w:ascii="宋体" w:hAnsi="宋体" w:cs="宋体"/>
          <w:b/>
          <w:bCs/>
          <w:color w:val="333333"/>
          <w:kern w:val="0"/>
          <w:sz w:val="24"/>
        </w:rPr>
      </w:pPr>
      <w:r>
        <w:rPr>
          <w:rFonts w:hint="eastAsia" w:ascii="宋体" w:hAnsi="宋体" w:cs="宋体"/>
          <w:b/>
          <w:bCs/>
          <w:color w:val="333333"/>
          <w:kern w:val="0"/>
          <w:sz w:val="24"/>
        </w:rPr>
        <w:br w:type="page"/>
      </w:r>
    </w:p>
    <w:p>
      <w:pPr>
        <w:spacing w:after="0" w:line="500" w:lineRule="exact"/>
        <w:jc w:val="left"/>
        <w:rPr>
          <w:rFonts w:hint="eastAsia" w:ascii="宋体" w:hAnsi="宋体" w:cs="宋体"/>
          <w:kern w:val="0"/>
          <w:sz w:val="32"/>
          <w:szCs w:val="32"/>
        </w:rPr>
      </w:pPr>
      <w:r>
        <w:rPr>
          <w:rFonts w:hint="eastAsia" w:ascii="宋体" w:hAnsi="宋体" w:cs="宋体"/>
          <w:kern w:val="0"/>
          <w:sz w:val="32"/>
          <w:szCs w:val="32"/>
        </w:rPr>
        <w:t>附件</w:t>
      </w:r>
    </w:p>
    <w:p>
      <w:pPr>
        <w:spacing w:after="0" w:line="500" w:lineRule="exact"/>
        <w:jc w:val="left"/>
        <w:rPr>
          <w:rFonts w:hint="eastAsia" w:ascii="宋体" w:hAnsi="宋体" w:cs="宋体"/>
          <w:kern w:val="0"/>
          <w:sz w:val="32"/>
          <w:szCs w:val="32"/>
        </w:rPr>
      </w:pPr>
    </w:p>
    <w:p>
      <w:pPr>
        <w:spacing w:after="0" w:line="500" w:lineRule="exact"/>
        <w:jc w:val="center"/>
        <w:rPr>
          <w:rFonts w:ascii="方正小标宋简体" w:hAnsi="黑体" w:eastAsia="方正小标宋简体" w:cs="宋体"/>
          <w:kern w:val="44"/>
          <w:sz w:val="38"/>
          <w:szCs w:val="38"/>
        </w:rPr>
      </w:pPr>
      <w:r>
        <w:rPr>
          <w:rFonts w:hint="eastAsia" w:ascii="方正小标宋简体" w:hAnsi="黑体" w:eastAsia="方正小标宋简体" w:cs="宋体"/>
          <w:kern w:val="44"/>
          <w:sz w:val="38"/>
          <w:szCs w:val="38"/>
        </w:rPr>
        <w:t>寿县城市建设总指挥部（2008-2023年度）档案</w:t>
      </w:r>
    </w:p>
    <w:p>
      <w:pPr>
        <w:spacing w:after="0" w:line="500" w:lineRule="exact"/>
        <w:jc w:val="center"/>
        <w:rPr>
          <w:rFonts w:ascii="方正小标宋简体" w:hAnsi="黑体" w:eastAsia="方正小标宋简体" w:cs="宋体"/>
          <w:kern w:val="44"/>
          <w:sz w:val="32"/>
          <w:szCs w:val="32"/>
        </w:rPr>
      </w:pPr>
      <w:r>
        <w:rPr>
          <w:rFonts w:hint="eastAsia" w:ascii="方正小标宋简体" w:hAnsi="黑体" w:eastAsia="方正小标宋简体" w:cs="宋体"/>
          <w:kern w:val="44"/>
          <w:sz w:val="38"/>
          <w:szCs w:val="38"/>
        </w:rPr>
        <w:t>鉴定整理著录加工服务项目采购要求</w:t>
      </w:r>
    </w:p>
    <w:p>
      <w:pPr>
        <w:spacing w:after="0" w:line="480" w:lineRule="exact"/>
        <w:ind w:firstLine="480" w:firstLineChars="150"/>
        <w:jc w:val="left"/>
        <w:rPr>
          <w:rFonts w:ascii="宋体" w:hAnsi="宋体" w:cs="宋体"/>
          <w:kern w:val="44"/>
          <w:sz w:val="32"/>
          <w:szCs w:val="32"/>
        </w:rPr>
      </w:pPr>
    </w:p>
    <w:p>
      <w:pPr>
        <w:spacing w:after="0" w:line="500" w:lineRule="exact"/>
        <w:ind w:firstLine="480" w:firstLineChars="200"/>
        <w:jc w:val="left"/>
        <w:rPr>
          <w:rFonts w:ascii="黑体" w:hAnsi="黑体" w:eastAsia="黑体" w:cs="宋体"/>
          <w:bCs/>
          <w:kern w:val="0"/>
          <w:sz w:val="24"/>
        </w:rPr>
      </w:pPr>
      <w:r>
        <w:rPr>
          <w:rFonts w:hint="eastAsia" w:ascii="黑体" w:hAnsi="黑体" w:eastAsia="黑体" w:cs="宋体"/>
          <w:bCs/>
          <w:kern w:val="0"/>
          <w:sz w:val="24"/>
        </w:rPr>
        <w:t>一、寿县城市建设总指挥部2008-2023年度档案鉴定、整理、著录加工服务项目第三方服务工程量清单表</w:t>
      </w:r>
    </w:p>
    <w:tbl>
      <w:tblPr>
        <w:tblStyle w:val="18"/>
        <w:tblW w:w="88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610"/>
        <w:gridCol w:w="1225"/>
        <w:gridCol w:w="1752"/>
        <w:gridCol w:w="3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59" w:type="dxa"/>
            <w:shd w:val="clear" w:color="auto" w:fill="auto"/>
            <w:vAlign w:val="center"/>
          </w:tcPr>
          <w:p>
            <w:pPr>
              <w:widowControl/>
              <w:spacing w:after="0" w:line="360" w:lineRule="auto"/>
              <w:jc w:val="center"/>
              <w:rPr>
                <w:rFonts w:ascii="宋体" w:hAnsi="宋体" w:cs="宋体"/>
                <w:bCs/>
                <w:color w:val="000000"/>
                <w:kern w:val="0"/>
                <w:sz w:val="32"/>
                <w:szCs w:val="32"/>
              </w:rPr>
            </w:pPr>
            <w:r>
              <w:rPr>
                <w:rFonts w:hint="eastAsia" w:ascii="宋体" w:hAnsi="宋体" w:cs="宋体"/>
                <w:bCs/>
                <w:color w:val="000000"/>
                <w:kern w:val="0"/>
                <w:sz w:val="32"/>
                <w:szCs w:val="32"/>
              </w:rPr>
              <w:t>序号</w:t>
            </w:r>
          </w:p>
        </w:tc>
        <w:tc>
          <w:tcPr>
            <w:tcW w:w="1610" w:type="dxa"/>
            <w:shd w:val="clear" w:color="auto" w:fill="auto"/>
            <w:vAlign w:val="center"/>
          </w:tcPr>
          <w:p>
            <w:pPr>
              <w:widowControl/>
              <w:spacing w:after="0" w:line="360" w:lineRule="auto"/>
              <w:jc w:val="center"/>
              <w:rPr>
                <w:rFonts w:ascii="宋体" w:hAnsi="宋体" w:cs="宋体"/>
                <w:bCs/>
                <w:color w:val="000000"/>
                <w:kern w:val="0"/>
                <w:sz w:val="32"/>
                <w:szCs w:val="32"/>
              </w:rPr>
            </w:pPr>
            <w:r>
              <w:rPr>
                <w:rFonts w:hint="eastAsia" w:ascii="宋体" w:hAnsi="宋体" w:cs="宋体"/>
                <w:bCs/>
                <w:color w:val="000000"/>
                <w:kern w:val="0"/>
                <w:sz w:val="32"/>
                <w:szCs w:val="32"/>
              </w:rPr>
              <w:t>名称</w:t>
            </w:r>
          </w:p>
        </w:tc>
        <w:tc>
          <w:tcPr>
            <w:tcW w:w="1225" w:type="dxa"/>
            <w:shd w:val="clear" w:color="auto" w:fill="auto"/>
            <w:vAlign w:val="center"/>
          </w:tcPr>
          <w:p>
            <w:pPr>
              <w:widowControl/>
              <w:spacing w:after="0" w:line="360" w:lineRule="auto"/>
              <w:jc w:val="center"/>
              <w:rPr>
                <w:rFonts w:ascii="宋体" w:hAnsi="宋体" w:cs="宋体"/>
                <w:bCs/>
                <w:color w:val="000000"/>
                <w:kern w:val="0"/>
                <w:sz w:val="32"/>
                <w:szCs w:val="32"/>
              </w:rPr>
            </w:pPr>
            <w:r>
              <w:rPr>
                <w:rFonts w:hint="eastAsia" w:ascii="宋体" w:hAnsi="宋体" w:cs="宋体"/>
                <w:bCs/>
                <w:color w:val="000000"/>
                <w:kern w:val="0"/>
                <w:sz w:val="32"/>
                <w:szCs w:val="32"/>
              </w:rPr>
              <w:t>单位</w:t>
            </w:r>
          </w:p>
        </w:tc>
        <w:tc>
          <w:tcPr>
            <w:tcW w:w="1752" w:type="dxa"/>
            <w:shd w:val="clear" w:color="auto" w:fill="auto"/>
            <w:vAlign w:val="center"/>
          </w:tcPr>
          <w:p>
            <w:pPr>
              <w:widowControl/>
              <w:spacing w:after="0" w:line="360" w:lineRule="auto"/>
              <w:jc w:val="center"/>
              <w:rPr>
                <w:rFonts w:ascii="宋体" w:hAnsi="宋体" w:cs="宋体"/>
                <w:bCs/>
                <w:color w:val="000000"/>
                <w:kern w:val="0"/>
                <w:sz w:val="32"/>
                <w:szCs w:val="32"/>
              </w:rPr>
            </w:pPr>
            <w:r>
              <w:rPr>
                <w:rFonts w:hint="eastAsia" w:ascii="宋体" w:hAnsi="宋体" w:cs="宋体"/>
                <w:bCs/>
                <w:color w:val="000000"/>
                <w:kern w:val="0"/>
                <w:sz w:val="32"/>
                <w:szCs w:val="32"/>
              </w:rPr>
              <w:t>数量</w:t>
            </w:r>
          </w:p>
        </w:tc>
        <w:tc>
          <w:tcPr>
            <w:tcW w:w="3260" w:type="dxa"/>
            <w:shd w:val="clear" w:color="auto" w:fill="auto"/>
            <w:vAlign w:val="center"/>
          </w:tcPr>
          <w:p>
            <w:pPr>
              <w:widowControl/>
              <w:spacing w:after="0" w:line="360" w:lineRule="auto"/>
              <w:jc w:val="center"/>
              <w:rPr>
                <w:rFonts w:ascii="宋体" w:hAnsi="宋体" w:cs="宋体"/>
                <w:bCs/>
                <w:color w:val="000000"/>
                <w:kern w:val="0"/>
                <w:sz w:val="32"/>
                <w:szCs w:val="32"/>
              </w:rPr>
            </w:pPr>
            <w:r>
              <w:rPr>
                <w:rFonts w:hint="eastAsia" w:ascii="宋体" w:hAnsi="宋体" w:cs="宋体"/>
                <w:bCs/>
                <w:color w:val="000000"/>
                <w:kern w:val="0"/>
                <w:sz w:val="32"/>
                <w:szCs w:val="32"/>
              </w:rPr>
              <w:t>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1" w:hRule="atLeast"/>
          <w:jc w:val="center"/>
        </w:trPr>
        <w:tc>
          <w:tcPr>
            <w:tcW w:w="959" w:type="dxa"/>
            <w:shd w:val="clear" w:color="auto" w:fill="auto"/>
            <w:vAlign w:val="center"/>
          </w:tcPr>
          <w:p>
            <w:pPr>
              <w:widowControl/>
              <w:spacing w:after="0" w:line="500" w:lineRule="exact"/>
              <w:jc w:val="center"/>
              <w:rPr>
                <w:rFonts w:ascii="宋体" w:hAnsi="宋体" w:cs="宋体"/>
                <w:color w:val="000000"/>
                <w:kern w:val="0"/>
                <w:sz w:val="28"/>
                <w:szCs w:val="28"/>
              </w:rPr>
            </w:pPr>
            <w:r>
              <w:rPr>
                <w:rFonts w:hint="eastAsia" w:ascii="宋体" w:hAnsi="宋体" w:cs="宋体"/>
                <w:color w:val="000000"/>
                <w:kern w:val="0"/>
                <w:sz w:val="28"/>
                <w:szCs w:val="28"/>
              </w:rPr>
              <w:t>1</w:t>
            </w:r>
          </w:p>
        </w:tc>
        <w:tc>
          <w:tcPr>
            <w:tcW w:w="1610" w:type="dxa"/>
            <w:shd w:val="clear" w:color="auto" w:fill="auto"/>
            <w:vAlign w:val="center"/>
          </w:tcPr>
          <w:p>
            <w:pPr>
              <w:widowControl/>
              <w:spacing w:after="0" w:line="500" w:lineRule="exact"/>
              <w:jc w:val="left"/>
              <w:rPr>
                <w:rFonts w:ascii="宋体" w:hAnsi="宋体" w:cs="宋体"/>
                <w:color w:val="000000"/>
                <w:kern w:val="0"/>
                <w:sz w:val="24"/>
              </w:rPr>
            </w:pPr>
            <w:r>
              <w:rPr>
                <w:rFonts w:hint="eastAsia" w:ascii="宋体" w:hAnsi="宋体" w:cs="宋体"/>
                <w:color w:val="000000"/>
                <w:kern w:val="0"/>
                <w:sz w:val="24"/>
              </w:rPr>
              <w:t>文书档案（2008年度-2023年度）</w:t>
            </w:r>
          </w:p>
        </w:tc>
        <w:tc>
          <w:tcPr>
            <w:tcW w:w="1225" w:type="dxa"/>
            <w:shd w:val="clear" w:color="auto" w:fill="auto"/>
            <w:vAlign w:val="center"/>
          </w:tcPr>
          <w:p>
            <w:pPr>
              <w:widowControl/>
              <w:spacing w:after="0" w:line="500" w:lineRule="exact"/>
              <w:jc w:val="center"/>
              <w:rPr>
                <w:rFonts w:ascii="宋体" w:hAnsi="宋体" w:cs="宋体"/>
                <w:color w:val="000000"/>
                <w:kern w:val="0"/>
                <w:sz w:val="24"/>
              </w:rPr>
            </w:pPr>
            <w:r>
              <w:rPr>
                <w:rFonts w:hint="eastAsia" w:ascii="宋体" w:hAnsi="宋体" w:cs="宋体"/>
                <w:color w:val="000000"/>
                <w:kern w:val="0"/>
                <w:sz w:val="24"/>
              </w:rPr>
              <w:t>件</w:t>
            </w:r>
          </w:p>
        </w:tc>
        <w:tc>
          <w:tcPr>
            <w:tcW w:w="1752" w:type="dxa"/>
            <w:shd w:val="clear" w:color="auto" w:fill="auto"/>
            <w:vAlign w:val="center"/>
          </w:tcPr>
          <w:p>
            <w:pPr>
              <w:widowControl/>
              <w:spacing w:after="0" w:line="500" w:lineRule="exact"/>
              <w:jc w:val="left"/>
              <w:rPr>
                <w:rFonts w:ascii="宋体" w:hAnsi="宋体" w:cs="宋体"/>
                <w:color w:val="000000"/>
                <w:kern w:val="0"/>
                <w:sz w:val="24"/>
              </w:rPr>
            </w:pPr>
            <w:r>
              <w:rPr>
                <w:rFonts w:hint="eastAsia" w:ascii="宋体" w:hAnsi="宋体" w:cs="宋体"/>
                <w:color w:val="000000"/>
                <w:kern w:val="0"/>
                <w:sz w:val="24"/>
              </w:rPr>
              <w:t>一批（约1500件）</w:t>
            </w:r>
          </w:p>
        </w:tc>
        <w:tc>
          <w:tcPr>
            <w:tcW w:w="3260" w:type="dxa"/>
            <w:shd w:val="clear" w:color="auto" w:fill="auto"/>
            <w:vAlign w:val="center"/>
          </w:tcPr>
          <w:p>
            <w:pPr>
              <w:widowControl/>
              <w:spacing w:after="0" w:line="360" w:lineRule="exact"/>
              <w:jc w:val="left"/>
              <w:rPr>
                <w:rFonts w:ascii="宋体" w:hAnsi="宋体" w:cs="宋体"/>
                <w:color w:val="000000"/>
                <w:kern w:val="0"/>
                <w:sz w:val="24"/>
              </w:rPr>
            </w:pPr>
            <w:r>
              <w:rPr>
                <w:rFonts w:hint="eastAsia" w:ascii="宋体" w:hAnsi="宋体" w:cs="宋体"/>
                <w:color w:val="000000"/>
                <w:kern w:val="0"/>
                <w:sz w:val="24"/>
              </w:rPr>
              <w:t>收文、发文、会议记录、工作总结、登记统计类材料等；符合《归档文件整理规范》（DA/T22-2015）的标准；分类、收集、整理、组卷、编码、编目、装订、背脊制作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1" w:hRule="atLeast"/>
          <w:jc w:val="center"/>
        </w:trPr>
        <w:tc>
          <w:tcPr>
            <w:tcW w:w="959" w:type="dxa"/>
            <w:shd w:val="clear" w:color="auto" w:fill="auto"/>
            <w:vAlign w:val="center"/>
          </w:tcPr>
          <w:p>
            <w:pPr>
              <w:widowControl/>
              <w:spacing w:after="0" w:line="500" w:lineRule="exact"/>
              <w:jc w:val="center"/>
              <w:rPr>
                <w:rFonts w:ascii="宋体" w:hAnsi="宋体" w:cs="宋体"/>
                <w:color w:val="000000"/>
                <w:kern w:val="0"/>
                <w:sz w:val="28"/>
                <w:szCs w:val="28"/>
              </w:rPr>
            </w:pPr>
            <w:r>
              <w:rPr>
                <w:rFonts w:hint="eastAsia" w:ascii="宋体" w:hAnsi="宋体" w:cs="宋体"/>
                <w:color w:val="000000"/>
                <w:kern w:val="0"/>
                <w:sz w:val="28"/>
                <w:szCs w:val="28"/>
              </w:rPr>
              <w:t>2</w:t>
            </w:r>
          </w:p>
        </w:tc>
        <w:tc>
          <w:tcPr>
            <w:tcW w:w="1610" w:type="dxa"/>
            <w:shd w:val="clear" w:color="auto" w:fill="auto"/>
            <w:vAlign w:val="center"/>
          </w:tcPr>
          <w:p>
            <w:pPr>
              <w:widowControl/>
              <w:spacing w:after="0" w:line="500" w:lineRule="exact"/>
              <w:jc w:val="left"/>
              <w:rPr>
                <w:rFonts w:ascii="宋体" w:hAnsi="宋体" w:cs="宋体"/>
                <w:color w:val="000000"/>
                <w:kern w:val="0"/>
                <w:sz w:val="24"/>
              </w:rPr>
            </w:pPr>
            <w:r>
              <w:rPr>
                <w:rFonts w:hint="eastAsia" w:ascii="宋体" w:hAnsi="宋体" w:cs="宋体"/>
                <w:color w:val="000000"/>
                <w:kern w:val="0"/>
                <w:sz w:val="24"/>
              </w:rPr>
              <w:t>建设工程质量监督档案（2008年度-2023年度）</w:t>
            </w:r>
          </w:p>
        </w:tc>
        <w:tc>
          <w:tcPr>
            <w:tcW w:w="1225" w:type="dxa"/>
            <w:shd w:val="clear" w:color="auto" w:fill="auto"/>
            <w:vAlign w:val="center"/>
          </w:tcPr>
          <w:p>
            <w:pPr>
              <w:widowControl/>
              <w:spacing w:after="0" w:line="500" w:lineRule="exact"/>
              <w:jc w:val="left"/>
              <w:rPr>
                <w:rFonts w:ascii="宋体" w:hAnsi="宋体" w:cs="宋体"/>
                <w:color w:val="000000"/>
                <w:kern w:val="0"/>
                <w:sz w:val="24"/>
              </w:rPr>
            </w:pPr>
            <w:r>
              <w:rPr>
                <w:rFonts w:hint="eastAsia" w:ascii="宋体" w:hAnsi="宋体" w:cs="宋体"/>
                <w:color w:val="000000"/>
                <w:kern w:val="0"/>
                <w:sz w:val="24"/>
              </w:rPr>
              <w:t>卷（背脊厚度4公分）</w:t>
            </w:r>
          </w:p>
        </w:tc>
        <w:tc>
          <w:tcPr>
            <w:tcW w:w="1752" w:type="dxa"/>
            <w:shd w:val="clear" w:color="auto" w:fill="auto"/>
            <w:vAlign w:val="center"/>
          </w:tcPr>
          <w:p>
            <w:pPr>
              <w:widowControl/>
              <w:spacing w:after="0" w:line="500" w:lineRule="exact"/>
              <w:jc w:val="left"/>
              <w:rPr>
                <w:rFonts w:ascii="宋体" w:hAnsi="宋体" w:cs="宋体"/>
                <w:color w:val="000000"/>
                <w:kern w:val="0"/>
                <w:sz w:val="24"/>
              </w:rPr>
            </w:pPr>
            <w:r>
              <w:rPr>
                <w:rFonts w:hint="eastAsia" w:ascii="宋体" w:hAnsi="宋体" w:cs="宋体"/>
                <w:color w:val="000000"/>
                <w:kern w:val="0"/>
                <w:sz w:val="24"/>
              </w:rPr>
              <w:t>一批（约800卷）</w:t>
            </w:r>
          </w:p>
        </w:tc>
        <w:tc>
          <w:tcPr>
            <w:tcW w:w="3260" w:type="dxa"/>
            <w:shd w:val="clear" w:color="auto" w:fill="auto"/>
            <w:vAlign w:val="center"/>
          </w:tcPr>
          <w:p>
            <w:pPr>
              <w:widowControl/>
              <w:spacing w:after="0" w:line="360" w:lineRule="exact"/>
              <w:jc w:val="left"/>
              <w:rPr>
                <w:rFonts w:ascii="宋体" w:hAnsi="宋体" w:cs="宋体"/>
                <w:color w:val="000000"/>
                <w:kern w:val="0"/>
                <w:sz w:val="24"/>
              </w:rPr>
            </w:pPr>
            <w:r>
              <w:rPr>
                <w:rFonts w:hint="eastAsia" w:ascii="宋体" w:hAnsi="宋体" w:cs="宋体"/>
                <w:color w:val="000000"/>
                <w:kern w:val="0"/>
                <w:sz w:val="24"/>
              </w:rPr>
              <w:t>建设工程质量监督档案，以项目分类、一卷一盒；按照《科学技术档案案卷构成的一般要求》（GB/T 11822-2008）标准及城建档案管理规范；分类、收集、整理、组卷、编码、编目、装订、背脊制作</w:t>
            </w:r>
          </w:p>
        </w:tc>
      </w:tr>
    </w:tbl>
    <w:p>
      <w:pPr>
        <w:spacing w:after="0" w:line="340" w:lineRule="exact"/>
        <w:jc w:val="left"/>
        <w:rPr>
          <w:rFonts w:ascii="宋体" w:hAnsi="宋体" w:cs="宋体"/>
          <w:kern w:val="44"/>
          <w:sz w:val="24"/>
        </w:rPr>
      </w:pPr>
      <w:r>
        <w:rPr>
          <w:rFonts w:hint="eastAsia" w:ascii="宋体" w:hAnsi="宋体" w:cs="宋体"/>
          <w:kern w:val="44"/>
          <w:sz w:val="24"/>
        </w:rPr>
        <w:t>备注：本表数量为估算量，供应商按件（卷）报价，按实际工作量结算。</w:t>
      </w:r>
    </w:p>
    <w:p>
      <w:pPr>
        <w:spacing w:after="0" w:line="340" w:lineRule="exact"/>
        <w:ind w:firstLine="360" w:firstLineChars="150"/>
        <w:jc w:val="left"/>
        <w:rPr>
          <w:rFonts w:ascii="黑体" w:hAnsi="黑体" w:eastAsia="黑体" w:cs="宋体"/>
          <w:kern w:val="44"/>
          <w:sz w:val="24"/>
        </w:rPr>
      </w:pPr>
      <w:r>
        <w:rPr>
          <w:rFonts w:hint="eastAsia" w:ascii="黑体" w:hAnsi="黑体" w:eastAsia="黑体" w:cs="宋体"/>
          <w:kern w:val="44"/>
          <w:sz w:val="24"/>
        </w:rPr>
        <w:t>二、档案整理服务技术要求</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1.总体质量要求：</w:t>
      </w:r>
    </w:p>
    <w:p>
      <w:pPr>
        <w:spacing w:after="0" w:line="340" w:lineRule="exact"/>
        <w:ind w:firstLine="240" w:firstLineChars="100"/>
        <w:jc w:val="left"/>
        <w:rPr>
          <w:rFonts w:ascii="宋体" w:hAnsi="宋体" w:cs="宋体"/>
          <w:kern w:val="44"/>
          <w:sz w:val="24"/>
        </w:rPr>
      </w:pPr>
      <w:r>
        <w:rPr>
          <w:rFonts w:hint="eastAsia" w:ascii="宋体" w:hAnsi="宋体" w:cs="宋体"/>
          <w:kern w:val="44"/>
          <w:sz w:val="24"/>
        </w:rPr>
        <w:t>（1）确保所有档案实体安全和数据安全、完整。</w:t>
      </w:r>
    </w:p>
    <w:p>
      <w:pPr>
        <w:spacing w:after="0" w:line="340" w:lineRule="exact"/>
        <w:ind w:firstLine="240" w:firstLineChars="100"/>
        <w:jc w:val="left"/>
        <w:rPr>
          <w:rFonts w:ascii="宋体" w:hAnsi="宋体" w:cs="宋体"/>
          <w:kern w:val="44"/>
          <w:sz w:val="24"/>
        </w:rPr>
      </w:pPr>
      <w:r>
        <w:rPr>
          <w:rFonts w:hint="eastAsia" w:ascii="宋体" w:hAnsi="宋体" w:cs="宋体"/>
          <w:kern w:val="44"/>
          <w:sz w:val="24"/>
        </w:rPr>
        <w:t>（2）确保在整理及数字化过程中不对档案原件造成损伤。</w:t>
      </w:r>
    </w:p>
    <w:p>
      <w:pPr>
        <w:spacing w:after="0" w:line="340" w:lineRule="exact"/>
        <w:ind w:firstLine="240" w:firstLineChars="100"/>
        <w:jc w:val="left"/>
        <w:rPr>
          <w:rFonts w:ascii="宋体" w:hAnsi="宋体" w:cs="宋体"/>
          <w:kern w:val="44"/>
          <w:sz w:val="24"/>
        </w:rPr>
      </w:pPr>
      <w:r>
        <w:rPr>
          <w:rFonts w:hint="eastAsia" w:ascii="宋体" w:hAnsi="宋体" w:cs="宋体"/>
          <w:kern w:val="44"/>
          <w:sz w:val="24"/>
        </w:rPr>
        <w:t>（3）整理归档符合安徽省和淮南市及寿县城建档案标准。</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2.档案整理要求。档案整理必须按照对应档案类别的国家规范及采购人标准执行：</w:t>
      </w:r>
    </w:p>
    <w:p>
      <w:pPr>
        <w:spacing w:after="0" w:line="340" w:lineRule="exact"/>
        <w:ind w:firstLine="240" w:firstLineChars="100"/>
        <w:jc w:val="left"/>
        <w:rPr>
          <w:rFonts w:ascii="宋体" w:hAnsi="宋体" w:cs="宋体"/>
          <w:kern w:val="44"/>
          <w:sz w:val="24"/>
        </w:rPr>
      </w:pPr>
      <w:r>
        <w:rPr>
          <w:rFonts w:hint="eastAsia" w:ascii="宋体" w:hAnsi="宋体" w:cs="宋体"/>
          <w:kern w:val="44"/>
          <w:sz w:val="24"/>
        </w:rPr>
        <w:t>（1）成交供应商需按照上级档案主管部门相关业务规定，制定采购人档案分类方案。</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（2）业务档案整理中的分类、组卷、卷内文件排列、编写页号、编制（卷内目录、卷内备考表、案卷封面）、案卷装订与文件、案卷排列、编制案卷目录要符合上级主管部门和采购单位的业务要求。</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（3）档案整理、装订要求：</w:t>
      </w:r>
    </w:p>
    <w:p>
      <w:pPr>
        <w:spacing w:after="0" w:line="340" w:lineRule="exact"/>
        <w:ind w:firstLine="480" w:firstLineChars="200"/>
        <w:jc w:val="left"/>
        <w:rPr>
          <w:rFonts w:ascii="宋体" w:hAnsi="宋体" w:cs="宋体"/>
          <w:kern w:val="44"/>
          <w:sz w:val="24"/>
        </w:rPr>
      </w:pPr>
      <w:r>
        <w:rPr>
          <w:rFonts w:hint="eastAsia" w:ascii="宋体" w:hAnsi="宋体" w:cs="宋体"/>
          <w:kern w:val="44"/>
          <w:sz w:val="24"/>
        </w:rPr>
        <w:t>①整理后卷内文件材料必须做到统一（标准尺寸：297mmX210mm(A4)）。卷内其他不同尺寸的材料通过折叠、裱贴等达到统一。</w:t>
      </w:r>
    </w:p>
    <w:p>
      <w:pPr>
        <w:spacing w:after="0" w:line="340" w:lineRule="exact"/>
        <w:ind w:firstLine="480" w:firstLineChars="200"/>
        <w:jc w:val="left"/>
        <w:rPr>
          <w:rFonts w:ascii="宋体" w:hAnsi="宋体" w:cs="宋体"/>
          <w:kern w:val="44"/>
          <w:sz w:val="24"/>
        </w:rPr>
      </w:pPr>
      <w:r>
        <w:rPr>
          <w:rFonts w:hint="eastAsia" w:ascii="宋体" w:hAnsi="宋体" w:cs="宋体"/>
          <w:kern w:val="44"/>
          <w:sz w:val="24"/>
        </w:rPr>
        <w:t>②图纸应按要求统一折成手风琴式四号图幅规格（297mmX210mm），图签外露于右下角，图纸不应露白。</w:t>
      </w:r>
    </w:p>
    <w:p>
      <w:pPr>
        <w:spacing w:after="0" w:line="340" w:lineRule="exact"/>
        <w:ind w:firstLine="480" w:firstLineChars="200"/>
        <w:jc w:val="left"/>
        <w:rPr>
          <w:rFonts w:ascii="宋体" w:hAnsi="宋体" w:cs="宋体"/>
          <w:kern w:val="44"/>
          <w:sz w:val="24"/>
        </w:rPr>
      </w:pPr>
      <w:r>
        <w:rPr>
          <w:rFonts w:hint="eastAsia" w:ascii="宋体" w:hAnsi="宋体" w:cs="宋体"/>
          <w:kern w:val="44"/>
          <w:sz w:val="24"/>
        </w:rPr>
        <w:t>③档案装订必须采用专业装订线进行装订，不可使用金属装订物；如原始档案中发现金属装订物，应予以剔除。</w:t>
      </w:r>
    </w:p>
    <w:p>
      <w:pPr>
        <w:spacing w:after="0" w:line="340" w:lineRule="exact"/>
        <w:ind w:firstLine="480" w:firstLineChars="200"/>
        <w:jc w:val="left"/>
        <w:rPr>
          <w:rFonts w:ascii="宋体" w:hAnsi="宋体" w:cs="宋体"/>
          <w:kern w:val="44"/>
          <w:sz w:val="24"/>
        </w:rPr>
      </w:pPr>
      <w:r>
        <w:rPr>
          <w:rFonts w:hint="eastAsia" w:ascii="宋体" w:hAnsi="宋体" w:cs="宋体"/>
          <w:kern w:val="44"/>
          <w:sz w:val="24"/>
        </w:rPr>
        <w:t>④档案装订，应遵循“两对齐”要求，即装订线一侧边缘对齐，档案内页下边缘对齐。</w:t>
      </w:r>
    </w:p>
    <w:p>
      <w:pPr>
        <w:spacing w:after="0" w:line="340" w:lineRule="exact"/>
        <w:ind w:firstLine="480" w:firstLineChars="200"/>
        <w:jc w:val="left"/>
        <w:rPr>
          <w:rFonts w:ascii="宋体" w:hAnsi="宋体" w:cs="宋体"/>
          <w:kern w:val="44"/>
          <w:sz w:val="24"/>
        </w:rPr>
      </w:pPr>
      <w:r>
        <w:rPr>
          <w:rFonts w:hint="eastAsia" w:ascii="宋体" w:hAnsi="宋体" w:cs="宋体"/>
          <w:kern w:val="44"/>
          <w:sz w:val="24"/>
        </w:rPr>
        <w:t>⑤对整理后的档案进行装盒，并按要求完善档案盒脊。</w:t>
      </w:r>
    </w:p>
    <w:p>
      <w:pPr>
        <w:spacing w:after="0" w:line="340" w:lineRule="exact"/>
        <w:ind w:firstLine="480" w:firstLineChars="200"/>
        <w:jc w:val="left"/>
        <w:rPr>
          <w:rFonts w:ascii="宋体" w:hAnsi="宋体" w:cs="宋体"/>
          <w:kern w:val="44"/>
          <w:sz w:val="24"/>
        </w:rPr>
      </w:pPr>
      <w:r>
        <w:rPr>
          <w:rFonts w:hint="eastAsia" w:ascii="宋体" w:hAnsi="宋体" w:cs="宋体"/>
          <w:kern w:val="44"/>
          <w:sz w:val="24"/>
        </w:rPr>
        <w:t>3.整理加工前处理要求：</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（1）档案实体出库要求。成交供应商从档案库房中领取实体档案时，应填写相关登记表，主要记录事项有：出库日期、全宗号、年度、档号、数量、交接人员、备注事项等。</w:t>
      </w:r>
    </w:p>
    <w:p>
      <w:pPr>
        <w:spacing w:after="0" w:line="340" w:lineRule="exact"/>
        <w:ind w:firstLine="480" w:firstLineChars="200"/>
        <w:jc w:val="left"/>
        <w:rPr>
          <w:rFonts w:ascii="宋体" w:hAnsi="宋体" w:cs="宋体"/>
          <w:kern w:val="44"/>
          <w:sz w:val="24"/>
        </w:rPr>
      </w:pPr>
      <w:r>
        <w:rPr>
          <w:rFonts w:hint="eastAsia" w:ascii="宋体" w:hAnsi="宋体" w:cs="宋体"/>
          <w:kern w:val="44"/>
          <w:sz w:val="24"/>
        </w:rPr>
        <w:t>（2）档案拆卷。拆卷时不得对档案造成伤害，如造成档案损毁，由此产生的一切责任均由成交供应商自行承担。</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（3）档案检查。应对没有页号、页号不正确或档案排序有误的档案重新编制页号；重新编制页号时，应按相应的档案整理规范标准等要求重新对档案进行整理。</w:t>
      </w:r>
    </w:p>
    <w:p>
      <w:pPr>
        <w:spacing w:after="0" w:line="340" w:lineRule="exact"/>
        <w:ind w:firstLine="480" w:firstLineChars="200"/>
        <w:jc w:val="left"/>
        <w:rPr>
          <w:rFonts w:ascii="宋体" w:hAnsi="宋体" w:cs="宋体"/>
          <w:kern w:val="44"/>
          <w:sz w:val="24"/>
        </w:rPr>
      </w:pPr>
      <w:r>
        <w:rPr>
          <w:rFonts w:hint="eastAsia" w:ascii="宋体" w:hAnsi="宋体" w:cs="宋体"/>
          <w:kern w:val="44"/>
          <w:sz w:val="24"/>
        </w:rPr>
        <w:t>4.档案著录、数据挂接和处理要求：</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（1）档案著录根据《档案著录规格》DA/T18-2022及采购人要求进行著录。</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（2）数据挂接和处理：成交供应商应根据档案整理规范确保文件与案卷目录、卷内目录挂接正确，成果在采购人所使用的档案管理系统中有效检索和显示。</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（3）卷皮、卷内目录、卷内备考表打印：对审核已通过的项目打印卷皮、卷内目录、卷内备考表并放至原档案材料内一并装订。</w:t>
      </w:r>
    </w:p>
    <w:p>
      <w:pPr>
        <w:spacing w:after="0" w:line="340" w:lineRule="exact"/>
        <w:ind w:firstLine="480" w:firstLineChars="200"/>
        <w:jc w:val="left"/>
        <w:rPr>
          <w:rFonts w:ascii="宋体" w:hAnsi="宋体" w:cs="宋体"/>
          <w:kern w:val="44"/>
          <w:sz w:val="24"/>
        </w:rPr>
      </w:pPr>
      <w:r>
        <w:rPr>
          <w:rFonts w:hint="eastAsia" w:ascii="宋体" w:hAnsi="宋体" w:cs="宋体"/>
          <w:kern w:val="44"/>
          <w:sz w:val="24"/>
        </w:rPr>
        <w:t>5.时间、场地、设备、人员、安全管理等要求：</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（1）时间：工作时间为国家法定工作日，如需要在非工作时间和节假日开展工作，须征得采购人同意。</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（2）场地：采购人指定地点进行。</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（3）设备：成交供应商须自行提供整理装订硬件设备及打印设备、存储设备等相关设备。</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4）人员：项目需配备相应的管理人员、操作人员和质检人员，本项目应配备人员不少于8人。项目负责人和管理人员需有较强的项目管理、技术服务和组织实施能力；操作人员需经验丰富、有实际操作能力。项目负责人和管理人员必须进驻现场，全程陪同开展具体工作，负责项目全过程的管理和技术保障，确保项目质量。</w:t>
      </w:r>
    </w:p>
    <w:p>
      <w:pPr>
        <w:spacing w:after="0" w:line="340" w:lineRule="exact"/>
        <w:ind w:firstLine="480" w:firstLineChars="200"/>
        <w:jc w:val="left"/>
        <w:rPr>
          <w:rFonts w:ascii="宋体" w:hAnsi="宋体" w:cs="宋体"/>
          <w:kern w:val="44"/>
          <w:sz w:val="24"/>
        </w:rPr>
      </w:pPr>
      <w:r>
        <w:rPr>
          <w:rFonts w:hint="eastAsia" w:ascii="宋体" w:hAnsi="宋体" w:cs="宋体"/>
          <w:kern w:val="44"/>
          <w:sz w:val="24"/>
        </w:rPr>
        <w:t>成交供应商需按照上述对人员的要求提交满足要求的资料，经采购人验证通过后，方可进场施工。如弄虚作假，采购人有权按相关规定处理。</w:t>
      </w:r>
    </w:p>
    <w:p>
      <w:pPr>
        <w:spacing w:after="0" w:line="340" w:lineRule="exact"/>
        <w:ind w:firstLine="480" w:firstLineChars="200"/>
        <w:jc w:val="left"/>
        <w:rPr>
          <w:rFonts w:ascii="宋体" w:hAnsi="宋体" w:cs="宋体"/>
          <w:kern w:val="44"/>
          <w:sz w:val="24"/>
        </w:rPr>
      </w:pPr>
      <w:r>
        <w:rPr>
          <w:rFonts w:hint="eastAsia" w:ascii="宋体" w:hAnsi="宋体" w:cs="宋体"/>
          <w:kern w:val="44"/>
          <w:sz w:val="24"/>
        </w:rPr>
        <w:t>6.其他要求：</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1）档案整理及著录处理所有工作人员需具有档案人员岗前培训合格证书或档案专业人员继续教育证书；成交供应商提供的现场管理人员若因不熟悉业务流程导致档案整理及著录服务错误率高，报经采购人同意，须进行整改，若整改后，仍不符合采购人要求，报采购监督管理部门按有关规定处理，供应商自行考虑风险。以上证书合同签订后服务实施前提供给采购人核实。</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（2）参与本项目的工作人员须与采购人签订保密协议，严守秘密，对因工作需要接触到的纸质档案、实物档案、档案目录以及电子文件等，不得以任何方式带出工作场所或向外泄露。</w:t>
      </w:r>
    </w:p>
    <w:p>
      <w:pPr>
        <w:spacing w:after="0" w:line="340" w:lineRule="exact"/>
        <w:ind w:firstLine="360" w:firstLineChars="150"/>
        <w:jc w:val="left"/>
        <w:rPr>
          <w:rFonts w:ascii="宋体" w:hAnsi="宋体" w:cs="宋体"/>
          <w:kern w:val="44"/>
          <w:sz w:val="24"/>
        </w:rPr>
      </w:pPr>
      <w:r>
        <w:rPr>
          <w:rFonts w:hint="eastAsia" w:ascii="宋体" w:hAnsi="宋体" w:cs="宋体"/>
          <w:kern w:val="44"/>
          <w:sz w:val="24"/>
        </w:rPr>
        <w:t>（3）成交供应商在服务实施前，将有关设备安装完毕并进入现场，人员及时到位。</w:t>
      </w:r>
    </w:p>
    <w:p>
      <w:pPr>
        <w:spacing w:after="0" w:line="340" w:lineRule="exact"/>
        <w:ind w:firstLine="480" w:firstLineChars="200"/>
        <w:jc w:val="left"/>
        <w:rPr>
          <w:rFonts w:ascii="黑体" w:hAnsi="黑体" w:eastAsia="黑体" w:cs="宋体"/>
          <w:bCs/>
          <w:kern w:val="0"/>
          <w:sz w:val="24"/>
          <w:u w:val="single"/>
        </w:rPr>
      </w:pPr>
      <w:r>
        <w:rPr>
          <w:rFonts w:hint="eastAsia" w:ascii="黑体" w:hAnsi="黑体" w:eastAsia="黑体" w:cs="宋体"/>
          <w:kern w:val="44"/>
          <w:sz w:val="24"/>
        </w:rPr>
        <w:t>三、</w:t>
      </w:r>
      <w:r>
        <w:rPr>
          <w:rFonts w:hint="eastAsia" w:ascii="黑体" w:hAnsi="黑体" w:eastAsia="黑体" w:cs="宋体"/>
          <w:sz w:val="24"/>
        </w:rPr>
        <w:t>供应商有关要求</w:t>
      </w:r>
    </w:p>
    <w:p>
      <w:pPr>
        <w:spacing w:after="0" w:line="340" w:lineRule="exact"/>
        <w:ind w:firstLine="480" w:firstLineChars="200"/>
        <w:jc w:val="left"/>
        <w:rPr>
          <w:rFonts w:ascii="宋体" w:hAnsi="宋体" w:cs="宋体"/>
          <w:kern w:val="0"/>
          <w:sz w:val="24"/>
        </w:rPr>
      </w:pPr>
      <w:r>
        <w:rPr>
          <w:rFonts w:hint="eastAsia" w:ascii="宋体" w:hAnsi="宋体" w:cs="宋体"/>
          <w:kern w:val="0"/>
          <w:sz w:val="24"/>
        </w:rPr>
        <w:t>1.资质要求。供应商需具备持有营业执照或事业单位法人证书。</w:t>
      </w:r>
    </w:p>
    <w:p>
      <w:pPr>
        <w:spacing w:after="0" w:line="340" w:lineRule="exact"/>
        <w:ind w:firstLine="480" w:firstLineChars="200"/>
        <w:jc w:val="left"/>
        <w:rPr>
          <w:rFonts w:ascii="宋体" w:hAnsi="宋体" w:cs="宋体"/>
          <w:sz w:val="24"/>
        </w:rPr>
      </w:pPr>
      <w:r>
        <w:rPr>
          <w:rFonts w:hint="eastAsia" w:ascii="宋体" w:hAnsi="宋体" w:cs="宋体"/>
          <w:kern w:val="0"/>
          <w:sz w:val="24"/>
        </w:rPr>
        <w:t>2.业绩要求。至少提供1个自2020年1月1日以来，单项合同额不低于8万元的档案整理业绩。</w:t>
      </w:r>
    </w:p>
    <w:p>
      <w:pPr>
        <w:spacing w:after="0" w:line="340" w:lineRule="exact"/>
        <w:ind w:firstLine="480" w:firstLineChars="200"/>
        <w:jc w:val="left"/>
        <w:rPr>
          <w:rFonts w:ascii="宋体" w:hAnsi="宋体" w:cs="宋体"/>
          <w:kern w:val="0"/>
          <w:sz w:val="24"/>
        </w:rPr>
      </w:pPr>
      <w:r>
        <w:rPr>
          <w:rFonts w:hint="eastAsia" w:ascii="宋体" w:hAnsi="宋体" w:cs="宋体"/>
          <w:kern w:val="0"/>
          <w:sz w:val="24"/>
        </w:rPr>
        <w:t>3.信誉要求：</w:t>
      </w:r>
    </w:p>
    <w:p>
      <w:pPr>
        <w:spacing w:after="0" w:line="340" w:lineRule="exact"/>
        <w:ind w:firstLine="480" w:firstLineChars="200"/>
        <w:jc w:val="left"/>
        <w:rPr>
          <w:rFonts w:ascii="宋体" w:hAnsi="宋体" w:cs="宋体"/>
          <w:kern w:val="0"/>
          <w:sz w:val="24"/>
        </w:rPr>
      </w:pPr>
      <w:r>
        <w:rPr>
          <w:rFonts w:hint="eastAsia" w:ascii="宋体" w:hAnsi="宋体" w:cs="宋体"/>
          <w:kern w:val="0"/>
          <w:sz w:val="24"/>
        </w:rPr>
        <w:t>①未被责令停业，暂扣或吊销执照，或吊销资质证书；</w:t>
      </w:r>
    </w:p>
    <w:p>
      <w:pPr>
        <w:spacing w:after="0" w:line="340" w:lineRule="exact"/>
        <w:ind w:firstLine="480" w:firstLineChars="200"/>
        <w:jc w:val="left"/>
        <w:rPr>
          <w:rFonts w:ascii="宋体" w:hAnsi="宋体" w:cs="宋体"/>
          <w:kern w:val="0"/>
          <w:sz w:val="24"/>
        </w:rPr>
      </w:pPr>
      <w:r>
        <w:rPr>
          <w:rFonts w:hint="eastAsia" w:ascii="宋体" w:hAnsi="宋体" w:cs="宋体"/>
          <w:kern w:val="0"/>
          <w:sz w:val="24"/>
        </w:rPr>
        <w:t>②未进入清算程序，或被宣告破产，或其他丧失履约能力的情形；</w:t>
      </w:r>
    </w:p>
    <w:p>
      <w:pPr>
        <w:spacing w:after="0" w:line="340" w:lineRule="exact"/>
        <w:ind w:firstLine="480" w:firstLineChars="200"/>
        <w:jc w:val="left"/>
        <w:rPr>
          <w:rFonts w:ascii="宋体" w:hAnsi="宋体" w:cs="宋体"/>
          <w:kern w:val="0"/>
          <w:sz w:val="24"/>
        </w:rPr>
      </w:pPr>
      <w:r>
        <w:rPr>
          <w:rFonts w:hint="eastAsia" w:ascii="宋体" w:hAnsi="宋体" w:cs="宋体"/>
          <w:kern w:val="0"/>
          <w:sz w:val="24"/>
        </w:rPr>
        <w:t>③在国家企业信用信息公示系统（http://www.gsxt.gov.cn）中未被列入严重违法失信企业名单；</w:t>
      </w:r>
    </w:p>
    <w:p>
      <w:pPr>
        <w:spacing w:after="0" w:line="340" w:lineRule="exact"/>
        <w:ind w:firstLine="480" w:firstLineChars="200"/>
        <w:jc w:val="left"/>
        <w:rPr>
          <w:rFonts w:ascii="宋体" w:hAnsi="宋体" w:cs="宋体"/>
          <w:kern w:val="0"/>
          <w:sz w:val="24"/>
        </w:rPr>
      </w:pPr>
      <w:r>
        <w:rPr>
          <w:rFonts w:hint="eastAsia" w:ascii="宋体" w:hAnsi="宋体" w:cs="宋体"/>
          <w:kern w:val="0"/>
          <w:sz w:val="24"/>
        </w:rPr>
        <w:t>④在“信用中国”网站（http://www.creditchina.gov.cn）中未被列入失信被执行人名单；</w:t>
      </w:r>
    </w:p>
    <w:p>
      <w:pPr>
        <w:spacing w:after="0" w:line="340" w:lineRule="exact"/>
        <w:ind w:firstLine="480" w:firstLineChars="200"/>
        <w:jc w:val="left"/>
        <w:rPr>
          <w:rFonts w:ascii="宋体" w:hAnsi="宋体" w:cs="宋体"/>
          <w:kern w:val="0"/>
          <w:sz w:val="24"/>
        </w:rPr>
      </w:pPr>
      <w:r>
        <w:rPr>
          <w:rFonts w:hint="eastAsia" w:ascii="宋体" w:hAnsi="宋体" w:cs="宋体"/>
          <w:kern w:val="0"/>
          <w:sz w:val="24"/>
        </w:rPr>
        <w:t>⑤在近三年内（自响应文件递交截止之日向前追溯3年）供应商或其法定代表人未有行贿犯罪行为。</w:t>
      </w:r>
    </w:p>
    <w:p>
      <w:pPr>
        <w:spacing w:after="0" w:line="340" w:lineRule="exact"/>
        <w:ind w:firstLine="480" w:firstLineChars="200"/>
        <w:rPr>
          <w:sz w:val="24"/>
        </w:rPr>
      </w:pPr>
      <w:r>
        <w:rPr>
          <w:rFonts w:hint="eastAsia" w:ascii="宋体" w:hAnsi="宋体" w:cs="宋体"/>
          <w:kern w:val="0"/>
          <w:sz w:val="24"/>
        </w:rPr>
        <w:t>4.其他要求。单位负责人为同一人或者存在控股、管理关系的不同单位，不得同时参加同一合同包报价，否则相关响应文件均无效。</w:t>
      </w:r>
    </w:p>
    <w:p>
      <w:pPr>
        <w:widowControl/>
        <w:shd w:val="clear" w:color="auto" w:fill="FFFFFF"/>
        <w:spacing w:line="600" w:lineRule="exact"/>
        <w:ind w:right="480"/>
        <w:jc w:val="both"/>
        <w:rPr>
          <w:rFonts w:hint="eastAsia" w:ascii="宋体" w:hAnsi="宋体" w:cs="宋体"/>
          <w:b/>
          <w:bCs/>
          <w:color w:val="333333"/>
          <w:kern w:val="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方正小标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Y2MzJiZGY2MWI1YTZlZGEyMTAyMGRkNzFmOGVhN2IifQ=="/>
  </w:docVars>
  <w:rsids>
    <w:rsidRoot w:val="00EA67E3"/>
    <w:rsid w:val="00063BB5"/>
    <w:rsid w:val="00067F24"/>
    <w:rsid w:val="000A51EC"/>
    <w:rsid w:val="000C2E82"/>
    <w:rsid w:val="000E06EF"/>
    <w:rsid w:val="0011010B"/>
    <w:rsid w:val="001324F9"/>
    <w:rsid w:val="00177C29"/>
    <w:rsid w:val="001C27DA"/>
    <w:rsid w:val="001F59BF"/>
    <w:rsid w:val="001F6262"/>
    <w:rsid w:val="00207466"/>
    <w:rsid w:val="00212FF3"/>
    <w:rsid w:val="00234B8C"/>
    <w:rsid w:val="0024267B"/>
    <w:rsid w:val="0026523C"/>
    <w:rsid w:val="00293A22"/>
    <w:rsid w:val="002969D8"/>
    <w:rsid w:val="002B77C5"/>
    <w:rsid w:val="002F6818"/>
    <w:rsid w:val="0030585A"/>
    <w:rsid w:val="00314458"/>
    <w:rsid w:val="00315E2B"/>
    <w:rsid w:val="00383312"/>
    <w:rsid w:val="003B186B"/>
    <w:rsid w:val="003B5A19"/>
    <w:rsid w:val="003C5E0E"/>
    <w:rsid w:val="004206F0"/>
    <w:rsid w:val="004C76D6"/>
    <w:rsid w:val="00505254"/>
    <w:rsid w:val="00515DD4"/>
    <w:rsid w:val="00554AA6"/>
    <w:rsid w:val="005B1E61"/>
    <w:rsid w:val="005D0892"/>
    <w:rsid w:val="00626C4C"/>
    <w:rsid w:val="00633B98"/>
    <w:rsid w:val="00642491"/>
    <w:rsid w:val="00654142"/>
    <w:rsid w:val="006751C2"/>
    <w:rsid w:val="00693C57"/>
    <w:rsid w:val="006A61A5"/>
    <w:rsid w:val="0071308F"/>
    <w:rsid w:val="007142D8"/>
    <w:rsid w:val="00780860"/>
    <w:rsid w:val="007830D4"/>
    <w:rsid w:val="00786403"/>
    <w:rsid w:val="007A0162"/>
    <w:rsid w:val="00806C57"/>
    <w:rsid w:val="008114C6"/>
    <w:rsid w:val="008556EC"/>
    <w:rsid w:val="00994457"/>
    <w:rsid w:val="009A29B1"/>
    <w:rsid w:val="009E1909"/>
    <w:rsid w:val="009E5D25"/>
    <w:rsid w:val="00A656FA"/>
    <w:rsid w:val="00AC4A5E"/>
    <w:rsid w:val="00AC5124"/>
    <w:rsid w:val="00AF438B"/>
    <w:rsid w:val="00B13077"/>
    <w:rsid w:val="00B54919"/>
    <w:rsid w:val="00B85EC3"/>
    <w:rsid w:val="00B87E43"/>
    <w:rsid w:val="00BA4CC2"/>
    <w:rsid w:val="00BA75FA"/>
    <w:rsid w:val="00BC4A13"/>
    <w:rsid w:val="00BE498F"/>
    <w:rsid w:val="00C452E8"/>
    <w:rsid w:val="00CA59BD"/>
    <w:rsid w:val="00CD28A2"/>
    <w:rsid w:val="00D44F9B"/>
    <w:rsid w:val="00D6745F"/>
    <w:rsid w:val="00D93641"/>
    <w:rsid w:val="00DD0D5C"/>
    <w:rsid w:val="00E255B6"/>
    <w:rsid w:val="00E7374A"/>
    <w:rsid w:val="00E94D0E"/>
    <w:rsid w:val="00EA67E3"/>
    <w:rsid w:val="00F251F8"/>
    <w:rsid w:val="00F272C8"/>
    <w:rsid w:val="00F40708"/>
    <w:rsid w:val="00F40725"/>
    <w:rsid w:val="00F40A79"/>
    <w:rsid w:val="00F42037"/>
    <w:rsid w:val="00F710FD"/>
    <w:rsid w:val="00F74DCF"/>
    <w:rsid w:val="00FA1984"/>
    <w:rsid w:val="00FD11A9"/>
    <w:rsid w:val="042F306D"/>
    <w:rsid w:val="14701FB7"/>
    <w:rsid w:val="48B40401"/>
    <w:rsid w:val="65D774B5"/>
    <w:rsid w:val="689D11E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2"/>
    <w:autoRedefine/>
    <w:qFormat/>
    <w:uiPriority w:val="9"/>
    <w:pPr>
      <w:keepNext/>
      <w:keepLines/>
      <w:widowControl/>
      <w:spacing w:before="480" w:line="276" w:lineRule="auto"/>
      <w:jc w:val="left"/>
      <w:outlineLvl w:val="0"/>
    </w:pPr>
    <w:rPr>
      <w:rFonts w:asciiTheme="majorHAnsi" w:hAnsiTheme="majorHAnsi" w:eastAsiaTheme="majorEastAsia" w:cstheme="majorBidi"/>
      <w:b/>
      <w:bCs/>
      <w:color w:val="366091" w:themeColor="accent1" w:themeShade="BF"/>
      <w:kern w:val="0"/>
      <w:sz w:val="28"/>
      <w:szCs w:val="28"/>
      <w:lang w:eastAsia="en-US" w:bidi="en-US"/>
    </w:rPr>
  </w:style>
  <w:style w:type="paragraph" w:styleId="3">
    <w:name w:val="heading 2"/>
    <w:basedOn w:val="1"/>
    <w:next w:val="1"/>
    <w:link w:val="23"/>
    <w:autoRedefine/>
    <w:semiHidden/>
    <w:unhideWhenUsed/>
    <w:qFormat/>
    <w:uiPriority w:val="9"/>
    <w:pPr>
      <w:keepNext/>
      <w:keepLines/>
      <w:widowControl/>
      <w:spacing w:before="200" w:line="276" w:lineRule="auto"/>
      <w:jc w:val="left"/>
      <w:outlineLvl w:val="1"/>
    </w:pPr>
    <w:rPr>
      <w:rFonts w:asciiTheme="majorHAnsi" w:hAnsiTheme="majorHAnsi" w:eastAsiaTheme="majorEastAsia" w:cstheme="majorBidi"/>
      <w:b/>
      <w:bCs/>
      <w:color w:val="4F81BD" w:themeColor="accent1"/>
      <w:kern w:val="0"/>
      <w:sz w:val="26"/>
      <w:szCs w:val="26"/>
      <w:lang w:eastAsia="en-US" w:bidi="en-US"/>
    </w:rPr>
  </w:style>
  <w:style w:type="paragraph" w:styleId="4">
    <w:name w:val="heading 3"/>
    <w:basedOn w:val="1"/>
    <w:next w:val="1"/>
    <w:link w:val="24"/>
    <w:autoRedefine/>
    <w:unhideWhenUsed/>
    <w:qFormat/>
    <w:uiPriority w:val="0"/>
    <w:pPr>
      <w:keepNext/>
      <w:keepLines/>
      <w:widowControl/>
      <w:spacing w:before="200" w:line="276" w:lineRule="auto"/>
      <w:jc w:val="left"/>
      <w:outlineLvl w:val="2"/>
    </w:pPr>
    <w:rPr>
      <w:rFonts w:asciiTheme="majorHAnsi" w:hAnsiTheme="majorHAnsi" w:eastAsiaTheme="majorEastAsia" w:cstheme="majorBidi"/>
      <w:b/>
      <w:bCs/>
      <w:color w:val="4F81BD" w:themeColor="accent1"/>
      <w:kern w:val="0"/>
      <w:sz w:val="22"/>
      <w:szCs w:val="22"/>
      <w:lang w:eastAsia="en-US" w:bidi="en-US"/>
    </w:rPr>
  </w:style>
  <w:style w:type="paragraph" w:styleId="5">
    <w:name w:val="heading 4"/>
    <w:basedOn w:val="1"/>
    <w:next w:val="1"/>
    <w:link w:val="25"/>
    <w:autoRedefine/>
    <w:semiHidden/>
    <w:unhideWhenUsed/>
    <w:qFormat/>
    <w:uiPriority w:val="9"/>
    <w:pPr>
      <w:keepNext/>
      <w:keepLines/>
      <w:widowControl/>
      <w:spacing w:before="200" w:line="276" w:lineRule="auto"/>
      <w:jc w:val="left"/>
      <w:outlineLvl w:val="3"/>
    </w:pPr>
    <w:rPr>
      <w:rFonts w:asciiTheme="majorHAnsi" w:hAnsiTheme="majorHAnsi" w:eastAsiaTheme="majorEastAsia" w:cstheme="majorBidi"/>
      <w:b/>
      <w:bCs/>
      <w:i/>
      <w:iCs/>
      <w:color w:val="4F81BD" w:themeColor="accent1"/>
      <w:kern w:val="0"/>
      <w:sz w:val="22"/>
      <w:szCs w:val="22"/>
      <w:lang w:eastAsia="en-US" w:bidi="en-US"/>
    </w:rPr>
  </w:style>
  <w:style w:type="paragraph" w:styleId="6">
    <w:name w:val="heading 5"/>
    <w:basedOn w:val="1"/>
    <w:next w:val="1"/>
    <w:link w:val="26"/>
    <w:autoRedefine/>
    <w:semiHidden/>
    <w:unhideWhenUsed/>
    <w:qFormat/>
    <w:uiPriority w:val="9"/>
    <w:pPr>
      <w:keepNext/>
      <w:keepLines/>
      <w:widowControl/>
      <w:spacing w:before="200" w:line="276" w:lineRule="auto"/>
      <w:jc w:val="left"/>
      <w:outlineLvl w:val="4"/>
    </w:pPr>
    <w:rPr>
      <w:rFonts w:asciiTheme="majorHAnsi" w:hAnsiTheme="majorHAnsi" w:eastAsiaTheme="majorEastAsia" w:cstheme="majorBidi"/>
      <w:color w:val="244061" w:themeColor="accent1" w:themeShade="80"/>
      <w:kern w:val="0"/>
      <w:sz w:val="22"/>
      <w:szCs w:val="22"/>
      <w:lang w:eastAsia="en-US" w:bidi="en-US"/>
    </w:rPr>
  </w:style>
  <w:style w:type="paragraph" w:styleId="7">
    <w:name w:val="heading 6"/>
    <w:basedOn w:val="1"/>
    <w:next w:val="1"/>
    <w:link w:val="27"/>
    <w:autoRedefine/>
    <w:semiHidden/>
    <w:unhideWhenUsed/>
    <w:qFormat/>
    <w:uiPriority w:val="9"/>
    <w:pPr>
      <w:keepNext/>
      <w:keepLines/>
      <w:widowControl/>
      <w:spacing w:before="200" w:line="276" w:lineRule="auto"/>
      <w:jc w:val="left"/>
      <w:outlineLvl w:val="5"/>
    </w:pPr>
    <w:rPr>
      <w:rFonts w:asciiTheme="majorHAnsi" w:hAnsiTheme="majorHAnsi" w:eastAsiaTheme="majorEastAsia" w:cstheme="majorBidi"/>
      <w:i/>
      <w:iCs/>
      <w:color w:val="244061" w:themeColor="accent1" w:themeShade="80"/>
      <w:kern w:val="0"/>
      <w:sz w:val="22"/>
      <w:szCs w:val="22"/>
      <w:lang w:eastAsia="en-US" w:bidi="en-US"/>
    </w:rPr>
  </w:style>
  <w:style w:type="paragraph" w:styleId="8">
    <w:name w:val="heading 7"/>
    <w:basedOn w:val="1"/>
    <w:next w:val="1"/>
    <w:link w:val="28"/>
    <w:autoRedefine/>
    <w:semiHidden/>
    <w:unhideWhenUsed/>
    <w:qFormat/>
    <w:uiPriority w:val="9"/>
    <w:pPr>
      <w:keepNext/>
      <w:keepLines/>
      <w:widowControl/>
      <w:spacing w:before="200" w:line="276" w:lineRule="auto"/>
      <w:jc w:val="left"/>
      <w:outlineLvl w:val="6"/>
    </w:pPr>
    <w:rPr>
      <w:rFonts w:asciiTheme="majorHAnsi" w:hAnsiTheme="majorHAnsi" w:eastAsiaTheme="majorEastAsia" w:cstheme="majorBidi"/>
      <w:i/>
      <w:iCs/>
      <w:color w:val="3F3F3F" w:themeColor="text1" w:themeTint="BF"/>
      <w:kern w:val="0"/>
      <w:sz w:val="22"/>
      <w:szCs w:val="22"/>
      <w:lang w:eastAsia="en-US" w:bidi="en-US"/>
    </w:rPr>
  </w:style>
  <w:style w:type="paragraph" w:styleId="9">
    <w:name w:val="heading 8"/>
    <w:basedOn w:val="1"/>
    <w:next w:val="1"/>
    <w:link w:val="29"/>
    <w:autoRedefine/>
    <w:semiHidden/>
    <w:unhideWhenUsed/>
    <w:qFormat/>
    <w:uiPriority w:val="9"/>
    <w:pPr>
      <w:keepNext/>
      <w:keepLines/>
      <w:widowControl/>
      <w:spacing w:before="200" w:line="276" w:lineRule="auto"/>
      <w:jc w:val="left"/>
      <w:outlineLvl w:val="7"/>
    </w:pPr>
    <w:rPr>
      <w:rFonts w:asciiTheme="majorHAnsi" w:hAnsiTheme="majorHAnsi" w:eastAsiaTheme="majorEastAsia" w:cstheme="majorBidi"/>
      <w:color w:val="4F81BD" w:themeColor="accent1"/>
      <w:kern w:val="0"/>
      <w:sz w:val="20"/>
      <w:szCs w:val="20"/>
      <w:lang w:eastAsia="en-US" w:bidi="en-US"/>
    </w:rPr>
  </w:style>
  <w:style w:type="paragraph" w:styleId="10">
    <w:name w:val="heading 9"/>
    <w:basedOn w:val="1"/>
    <w:next w:val="1"/>
    <w:link w:val="30"/>
    <w:autoRedefine/>
    <w:semiHidden/>
    <w:unhideWhenUsed/>
    <w:qFormat/>
    <w:uiPriority w:val="9"/>
    <w:pPr>
      <w:keepNext/>
      <w:keepLines/>
      <w:widowControl/>
      <w:spacing w:before="200" w:line="276" w:lineRule="auto"/>
      <w:jc w:val="left"/>
      <w:outlineLvl w:val="8"/>
    </w:pPr>
    <w:rPr>
      <w:rFonts w:asciiTheme="majorHAnsi" w:hAnsiTheme="majorHAnsi" w:eastAsiaTheme="majorEastAsia" w:cstheme="majorBidi"/>
      <w:i/>
      <w:iCs/>
      <w:color w:val="3F3F3F" w:themeColor="text1" w:themeTint="BF"/>
      <w:kern w:val="0"/>
      <w:sz w:val="20"/>
      <w:szCs w:val="20"/>
      <w:lang w:eastAsia="en-US" w:bidi="en-US"/>
    </w:rPr>
  </w:style>
  <w:style w:type="character" w:default="1" w:styleId="19">
    <w:name w:val="Default Paragraph Font"/>
    <w:autoRedefine/>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widowControl/>
      <w:spacing w:after="200"/>
      <w:jc w:val="left"/>
    </w:pPr>
    <w:rPr>
      <w:rFonts w:asciiTheme="minorHAnsi" w:hAnsiTheme="minorHAnsi" w:eastAsiaTheme="minorEastAsia" w:cstheme="minorBidi"/>
      <w:b/>
      <w:bCs/>
      <w:color w:val="4F81BD" w:themeColor="accent1"/>
      <w:kern w:val="0"/>
      <w:sz w:val="18"/>
      <w:szCs w:val="18"/>
      <w:lang w:eastAsia="en-US" w:bidi="en-US"/>
    </w:rPr>
  </w:style>
  <w:style w:type="paragraph" w:styleId="12">
    <w:name w:val="Body Text"/>
    <w:basedOn w:val="1"/>
    <w:link w:val="45"/>
    <w:autoRedefine/>
    <w:semiHidden/>
    <w:unhideWhenUsed/>
    <w:qFormat/>
    <w:uiPriority w:val="99"/>
    <w:pPr>
      <w:spacing w:after="120"/>
    </w:pPr>
  </w:style>
  <w:style w:type="paragraph" w:styleId="13">
    <w:name w:val="Date"/>
    <w:basedOn w:val="1"/>
    <w:next w:val="1"/>
    <w:link w:val="48"/>
    <w:autoRedefine/>
    <w:semiHidden/>
    <w:unhideWhenUsed/>
    <w:qFormat/>
    <w:uiPriority w:val="99"/>
    <w:pPr>
      <w:ind w:left="100" w:leftChars="2500"/>
    </w:pPr>
  </w:style>
  <w:style w:type="paragraph" w:styleId="14">
    <w:name w:val="footer"/>
    <w:basedOn w:val="1"/>
    <w:link w:val="47"/>
    <w:autoRedefine/>
    <w:semiHidden/>
    <w:unhideWhenUsed/>
    <w:qFormat/>
    <w:uiPriority w:val="99"/>
    <w:pPr>
      <w:tabs>
        <w:tab w:val="center" w:pos="4153"/>
        <w:tab w:val="right" w:pos="8306"/>
      </w:tabs>
      <w:snapToGrid w:val="0"/>
      <w:jc w:val="left"/>
    </w:pPr>
    <w:rPr>
      <w:sz w:val="18"/>
      <w:szCs w:val="18"/>
    </w:rPr>
  </w:style>
  <w:style w:type="paragraph" w:styleId="15">
    <w:name w:val="header"/>
    <w:basedOn w:val="1"/>
    <w:link w:val="4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2"/>
    <w:autoRedefine/>
    <w:qFormat/>
    <w:uiPriority w:val="11"/>
    <w:pPr>
      <w:widowControl/>
      <w:spacing w:after="200" w:line="276" w:lineRule="auto"/>
      <w:jc w:val="left"/>
    </w:pPr>
    <w:rPr>
      <w:rFonts w:asciiTheme="majorHAnsi" w:hAnsiTheme="majorHAnsi" w:eastAsiaTheme="majorEastAsia" w:cstheme="majorBidi"/>
      <w:i/>
      <w:iCs/>
      <w:color w:val="4F81BD" w:themeColor="accent1"/>
      <w:spacing w:val="15"/>
      <w:kern w:val="0"/>
      <w:sz w:val="24"/>
      <w:lang w:eastAsia="en-US" w:bidi="en-US"/>
    </w:rPr>
  </w:style>
  <w:style w:type="paragraph" w:styleId="17">
    <w:name w:val="Title"/>
    <w:basedOn w:val="1"/>
    <w:next w:val="1"/>
    <w:link w:val="31"/>
    <w:autoRedefine/>
    <w:qFormat/>
    <w:uiPriority w:val="10"/>
    <w:pPr>
      <w:widowControl/>
      <w:pBdr>
        <w:bottom w:val="single" w:color="4F81BD" w:themeColor="accent1" w:sz="8" w:space="4"/>
      </w:pBdr>
      <w:spacing w:after="300"/>
      <w:contextualSpacing/>
      <w:jc w:val="left"/>
    </w:pPr>
    <w:rPr>
      <w:rFonts w:asciiTheme="majorHAnsi" w:hAnsiTheme="majorHAnsi" w:eastAsiaTheme="majorEastAsia" w:cstheme="majorBidi"/>
      <w:color w:val="17365D" w:themeColor="text2" w:themeShade="BF"/>
      <w:spacing w:val="5"/>
      <w:kern w:val="28"/>
      <w:sz w:val="52"/>
      <w:szCs w:val="52"/>
      <w:lang w:eastAsia="en-US" w:bidi="en-US"/>
    </w:rPr>
  </w:style>
  <w:style w:type="character" w:styleId="20">
    <w:name w:val="Strong"/>
    <w:basedOn w:val="19"/>
    <w:autoRedefine/>
    <w:qFormat/>
    <w:uiPriority w:val="22"/>
    <w:rPr>
      <w:b/>
      <w:bCs/>
    </w:rPr>
  </w:style>
  <w:style w:type="character" w:styleId="21">
    <w:name w:val="Emphasis"/>
    <w:basedOn w:val="19"/>
    <w:autoRedefine/>
    <w:qFormat/>
    <w:uiPriority w:val="20"/>
    <w:rPr>
      <w:i/>
      <w:iCs/>
    </w:rPr>
  </w:style>
  <w:style w:type="character" w:customStyle="1" w:styleId="22">
    <w:name w:val="标题 1 Char"/>
    <w:basedOn w:val="19"/>
    <w:link w:val="2"/>
    <w:autoRedefine/>
    <w:qFormat/>
    <w:uiPriority w:val="9"/>
    <w:rPr>
      <w:rFonts w:asciiTheme="majorHAnsi" w:hAnsiTheme="majorHAnsi" w:eastAsiaTheme="majorEastAsia" w:cstheme="majorBidi"/>
      <w:b/>
      <w:bCs/>
      <w:color w:val="366091" w:themeColor="accent1" w:themeShade="BF"/>
      <w:sz w:val="28"/>
      <w:szCs w:val="28"/>
    </w:rPr>
  </w:style>
  <w:style w:type="character" w:customStyle="1" w:styleId="23">
    <w:name w:val="标题 2 Char"/>
    <w:basedOn w:val="19"/>
    <w:link w:val="3"/>
    <w:autoRedefine/>
    <w:semiHidden/>
    <w:qFormat/>
    <w:uiPriority w:val="9"/>
    <w:rPr>
      <w:rFonts w:asciiTheme="majorHAnsi" w:hAnsiTheme="majorHAnsi" w:eastAsiaTheme="majorEastAsia" w:cstheme="majorBidi"/>
      <w:b/>
      <w:bCs/>
      <w:color w:val="4F81BD" w:themeColor="accent1"/>
      <w:sz w:val="26"/>
      <w:szCs w:val="26"/>
    </w:rPr>
  </w:style>
  <w:style w:type="character" w:customStyle="1" w:styleId="24">
    <w:name w:val="标题 3 Char"/>
    <w:basedOn w:val="19"/>
    <w:link w:val="4"/>
    <w:autoRedefine/>
    <w:qFormat/>
    <w:uiPriority w:val="0"/>
    <w:rPr>
      <w:rFonts w:asciiTheme="majorHAnsi" w:hAnsiTheme="majorHAnsi" w:eastAsiaTheme="majorEastAsia" w:cstheme="majorBidi"/>
      <w:b/>
      <w:bCs/>
      <w:color w:val="4F81BD" w:themeColor="accent1"/>
    </w:rPr>
  </w:style>
  <w:style w:type="character" w:customStyle="1" w:styleId="25">
    <w:name w:val="标题 4 Char"/>
    <w:basedOn w:val="19"/>
    <w:link w:val="5"/>
    <w:autoRedefine/>
    <w:qFormat/>
    <w:uiPriority w:val="9"/>
    <w:rPr>
      <w:rFonts w:asciiTheme="majorHAnsi" w:hAnsiTheme="majorHAnsi" w:eastAsiaTheme="majorEastAsia" w:cstheme="majorBidi"/>
      <w:b/>
      <w:bCs/>
      <w:i/>
      <w:iCs/>
      <w:color w:val="4F81BD" w:themeColor="accent1"/>
    </w:rPr>
  </w:style>
  <w:style w:type="character" w:customStyle="1" w:styleId="26">
    <w:name w:val="标题 5 Char"/>
    <w:basedOn w:val="19"/>
    <w:link w:val="6"/>
    <w:autoRedefine/>
    <w:qFormat/>
    <w:uiPriority w:val="9"/>
    <w:rPr>
      <w:rFonts w:asciiTheme="majorHAnsi" w:hAnsiTheme="majorHAnsi" w:eastAsiaTheme="majorEastAsia" w:cstheme="majorBidi"/>
      <w:color w:val="244061" w:themeColor="accent1" w:themeShade="80"/>
    </w:rPr>
  </w:style>
  <w:style w:type="character" w:customStyle="1" w:styleId="27">
    <w:name w:val="标题 6 Char"/>
    <w:basedOn w:val="19"/>
    <w:link w:val="7"/>
    <w:autoRedefine/>
    <w:qFormat/>
    <w:uiPriority w:val="9"/>
    <w:rPr>
      <w:rFonts w:asciiTheme="majorHAnsi" w:hAnsiTheme="majorHAnsi" w:eastAsiaTheme="majorEastAsia" w:cstheme="majorBidi"/>
      <w:i/>
      <w:iCs/>
      <w:color w:val="244061" w:themeColor="accent1" w:themeShade="80"/>
    </w:rPr>
  </w:style>
  <w:style w:type="character" w:customStyle="1" w:styleId="28">
    <w:name w:val="标题 7 Char"/>
    <w:basedOn w:val="19"/>
    <w:link w:val="8"/>
    <w:autoRedefine/>
    <w:qFormat/>
    <w:uiPriority w:val="9"/>
    <w:rPr>
      <w:rFonts w:asciiTheme="majorHAnsi" w:hAnsiTheme="majorHAnsi" w:eastAsiaTheme="majorEastAsia" w:cstheme="majorBidi"/>
      <w:i/>
      <w:iCs/>
      <w:color w:val="3F3F3F" w:themeColor="text1" w:themeTint="BF"/>
    </w:rPr>
  </w:style>
  <w:style w:type="character" w:customStyle="1" w:styleId="29">
    <w:name w:val="标题 8 Char"/>
    <w:basedOn w:val="19"/>
    <w:link w:val="9"/>
    <w:autoRedefine/>
    <w:qFormat/>
    <w:uiPriority w:val="9"/>
    <w:rPr>
      <w:rFonts w:asciiTheme="majorHAnsi" w:hAnsiTheme="majorHAnsi" w:eastAsiaTheme="majorEastAsia" w:cstheme="majorBidi"/>
      <w:color w:val="4F81BD" w:themeColor="accent1"/>
      <w:sz w:val="20"/>
      <w:szCs w:val="20"/>
    </w:rPr>
  </w:style>
  <w:style w:type="character" w:customStyle="1" w:styleId="30">
    <w:name w:val="标题 9 Char"/>
    <w:basedOn w:val="19"/>
    <w:link w:val="10"/>
    <w:autoRedefine/>
    <w:qFormat/>
    <w:uiPriority w:val="9"/>
    <w:rPr>
      <w:rFonts w:asciiTheme="majorHAnsi" w:hAnsiTheme="majorHAnsi" w:eastAsiaTheme="majorEastAsia" w:cstheme="majorBidi"/>
      <w:i/>
      <w:iCs/>
      <w:color w:val="3F3F3F" w:themeColor="text1" w:themeTint="BF"/>
      <w:sz w:val="20"/>
      <w:szCs w:val="20"/>
    </w:rPr>
  </w:style>
  <w:style w:type="character" w:customStyle="1" w:styleId="31">
    <w:name w:val="标题 Char"/>
    <w:basedOn w:val="19"/>
    <w:link w:val="17"/>
    <w:autoRedefine/>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32">
    <w:name w:val="副标题 Char"/>
    <w:basedOn w:val="19"/>
    <w:link w:val="16"/>
    <w:autoRedefine/>
    <w:qFormat/>
    <w:uiPriority w:val="11"/>
    <w:rPr>
      <w:rFonts w:asciiTheme="majorHAnsi" w:hAnsiTheme="majorHAnsi" w:eastAsiaTheme="majorEastAsia" w:cstheme="majorBidi"/>
      <w:i/>
      <w:iCs/>
      <w:color w:val="4F81BD" w:themeColor="accent1"/>
      <w:spacing w:val="15"/>
      <w:sz w:val="24"/>
      <w:szCs w:val="24"/>
    </w:rPr>
  </w:style>
  <w:style w:type="paragraph" w:styleId="33">
    <w:name w:val="No Spacing"/>
    <w:qFormat/>
    <w:uiPriority w:val="1"/>
    <w:rPr>
      <w:rFonts w:asciiTheme="minorHAnsi" w:hAnsiTheme="minorHAnsi" w:eastAsiaTheme="minorEastAsia" w:cstheme="minorBidi"/>
      <w:sz w:val="22"/>
      <w:szCs w:val="22"/>
      <w:lang w:val="en-US" w:eastAsia="en-US" w:bidi="en-US"/>
    </w:rPr>
  </w:style>
  <w:style w:type="paragraph" w:styleId="34">
    <w:name w:val="List Paragraph"/>
    <w:basedOn w:val="1"/>
    <w:autoRedefine/>
    <w:qFormat/>
    <w:uiPriority w:val="34"/>
    <w:pPr>
      <w:widowControl/>
      <w:spacing w:after="200" w:line="276" w:lineRule="auto"/>
      <w:ind w:left="720"/>
      <w:contextualSpacing/>
      <w:jc w:val="left"/>
    </w:pPr>
    <w:rPr>
      <w:rFonts w:asciiTheme="minorHAnsi" w:hAnsiTheme="minorHAnsi" w:eastAsiaTheme="minorEastAsia" w:cstheme="minorBidi"/>
      <w:kern w:val="0"/>
      <w:sz w:val="22"/>
      <w:szCs w:val="22"/>
      <w:lang w:eastAsia="en-US" w:bidi="en-US"/>
    </w:rPr>
  </w:style>
  <w:style w:type="paragraph" w:styleId="35">
    <w:name w:val="Quote"/>
    <w:basedOn w:val="1"/>
    <w:next w:val="1"/>
    <w:link w:val="36"/>
    <w:autoRedefine/>
    <w:qFormat/>
    <w:uiPriority w:val="29"/>
    <w:pPr>
      <w:widowControl/>
      <w:spacing w:after="200" w:line="276" w:lineRule="auto"/>
      <w:jc w:val="left"/>
    </w:pPr>
    <w:rPr>
      <w:rFonts w:asciiTheme="minorHAnsi" w:hAnsiTheme="minorHAnsi" w:eastAsiaTheme="minorEastAsia" w:cstheme="minorBidi"/>
      <w:i/>
      <w:iCs/>
      <w:color w:val="000000" w:themeColor="text1"/>
      <w:kern w:val="0"/>
      <w:sz w:val="22"/>
      <w:szCs w:val="22"/>
      <w:lang w:eastAsia="en-US" w:bidi="en-US"/>
    </w:rPr>
  </w:style>
  <w:style w:type="character" w:customStyle="1" w:styleId="36">
    <w:name w:val="引用 Char"/>
    <w:basedOn w:val="19"/>
    <w:link w:val="35"/>
    <w:autoRedefine/>
    <w:qFormat/>
    <w:uiPriority w:val="29"/>
    <w:rPr>
      <w:i/>
      <w:iCs/>
      <w:color w:val="000000" w:themeColor="text1"/>
    </w:rPr>
  </w:style>
  <w:style w:type="paragraph" w:styleId="37">
    <w:name w:val="Intense Quote"/>
    <w:basedOn w:val="1"/>
    <w:next w:val="1"/>
    <w:link w:val="38"/>
    <w:autoRedefine/>
    <w:qFormat/>
    <w:uiPriority w:val="30"/>
    <w:pPr>
      <w:widowControl/>
      <w:pBdr>
        <w:bottom w:val="single" w:color="4F81BD" w:themeColor="accent1" w:sz="4" w:space="4"/>
      </w:pBdr>
      <w:spacing w:before="200" w:after="280" w:line="276" w:lineRule="auto"/>
      <w:ind w:left="936" w:right="936"/>
      <w:jc w:val="left"/>
    </w:pPr>
    <w:rPr>
      <w:rFonts w:asciiTheme="minorHAnsi" w:hAnsiTheme="minorHAnsi" w:eastAsiaTheme="minorEastAsia" w:cstheme="minorBidi"/>
      <w:b/>
      <w:bCs/>
      <w:i/>
      <w:iCs/>
      <w:color w:val="4F81BD" w:themeColor="accent1"/>
      <w:kern w:val="0"/>
      <w:sz w:val="22"/>
      <w:szCs w:val="22"/>
      <w:lang w:eastAsia="en-US" w:bidi="en-US"/>
    </w:rPr>
  </w:style>
  <w:style w:type="character" w:customStyle="1" w:styleId="38">
    <w:name w:val="明显引用 Char"/>
    <w:basedOn w:val="19"/>
    <w:link w:val="37"/>
    <w:autoRedefine/>
    <w:qFormat/>
    <w:uiPriority w:val="30"/>
    <w:rPr>
      <w:b/>
      <w:bCs/>
      <w:i/>
      <w:iCs/>
      <w:color w:val="4F81BD" w:themeColor="accent1"/>
    </w:rPr>
  </w:style>
  <w:style w:type="character" w:customStyle="1" w:styleId="39">
    <w:name w:val="不明显强调1"/>
    <w:basedOn w:val="19"/>
    <w:autoRedefine/>
    <w:qFormat/>
    <w:uiPriority w:val="19"/>
    <w:rPr>
      <w:i/>
      <w:iCs/>
      <w:color w:val="7E7E7E" w:themeColor="text1" w:themeTint="80"/>
    </w:rPr>
  </w:style>
  <w:style w:type="character" w:customStyle="1" w:styleId="40">
    <w:name w:val="明显强调1"/>
    <w:basedOn w:val="19"/>
    <w:autoRedefine/>
    <w:qFormat/>
    <w:uiPriority w:val="21"/>
    <w:rPr>
      <w:b/>
      <w:bCs/>
      <w:i/>
      <w:iCs/>
      <w:color w:val="4F81BD" w:themeColor="accent1"/>
    </w:rPr>
  </w:style>
  <w:style w:type="character" w:customStyle="1" w:styleId="41">
    <w:name w:val="不明显参考1"/>
    <w:basedOn w:val="19"/>
    <w:autoRedefine/>
    <w:qFormat/>
    <w:uiPriority w:val="31"/>
    <w:rPr>
      <w:smallCaps/>
      <w:color w:val="C0504D" w:themeColor="accent2"/>
      <w:u w:val="single"/>
    </w:rPr>
  </w:style>
  <w:style w:type="character" w:customStyle="1" w:styleId="42">
    <w:name w:val="明显参考1"/>
    <w:basedOn w:val="19"/>
    <w:autoRedefine/>
    <w:qFormat/>
    <w:uiPriority w:val="32"/>
    <w:rPr>
      <w:b/>
      <w:bCs/>
      <w:smallCaps/>
      <w:color w:val="C0504D" w:themeColor="accent2"/>
      <w:spacing w:val="5"/>
      <w:u w:val="single"/>
    </w:rPr>
  </w:style>
  <w:style w:type="character" w:customStyle="1" w:styleId="43">
    <w:name w:val="书籍标题1"/>
    <w:basedOn w:val="19"/>
    <w:autoRedefine/>
    <w:qFormat/>
    <w:uiPriority w:val="33"/>
    <w:rPr>
      <w:b/>
      <w:bCs/>
      <w:smallCaps/>
      <w:spacing w:val="5"/>
    </w:rPr>
  </w:style>
  <w:style w:type="paragraph" w:customStyle="1" w:styleId="44">
    <w:name w:val="TOC 标题1"/>
    <w:basedOn w:val="2"/>
    <w:next w:val="1"/>
    <w:autoRedefine/>
    <w:semiHidden/>
    <w:unhideWhenUsed/>
    <w:qFormat/>
    <w:uiPriority w:val="39"/>
    <w:pPr>
      <w:outlineLvl w:val="9"/>
    </w:pPr>
  </w:style>
  <w:style w:type="character" w:customStyle="1" w:styleId="45">
    <w:name w:val="正文文本 Char"/>
    <w:basedOn w:val="19"/>
    <w:link w:val="12"/>
    <w:semiHidden/>
    <w:uiPriority w:val="99"/>
    <w:rPr>
      <w:rFonts w:ascii="Calibri" w:hAnsi="Calibri" w:eastAsia="宋体" w:cs="Times New Roman"/>
      <w:kern w:val="2"/>
      <w:sz w:val="21"/>
      <w:szCs w:val="24"/>
      <w:lang w:eastAsia="zh-CN" w:bidi="ar-SA"/>
    </w:rPr>
  </w:style>
  <w:style w:type="character" w:customStyle="1" w:styleId="46">
    <w:name w:val="页眉 Char"/>
    <w:basedOn w:val="19"/>
    <w:link w:val="15"/>
    <w:semiHidden/>
    <w:uiPriority w:val="99"/>
    <w:rPr>
      <w:rFonts w:ascii="Calibri" w:hAnsi="Calibri" w:eastAsia="宋体" w:cs="Times New Roman"/>
      <w:kern w:val="2"/>
      <w:sz w:val="18"/>
      <w:szCs w:val="18"/>
    </w:rPr>
  </w:style>
  <w:style w:type="character" w:customStyle="1" w:styleId="47">
    <w:name w:val="页脚 Char"/>
    <w:basedOn w:val="19"/>
    <w:link w:val="14"/>
    <w:semiHidden/>
    <w:uiPriority w:val="99"/>
    <w:rPr>
      <w:rFonts w:ascii="Calibri" w:hAnsi="Calibri" w:eastAsia="宋体" w:cs="Times New Roman"/>
      <w:kern w:val="2"/>
      <w:sz w:val="18"/>
      <w:szCs w:val="18"/>
    </w:rPr>
  </w:style>
  <w:style w:type="character" w:customStyle="1" w:styleId="48">
    <w:name w:val="日期 Char"/>
    <w:basedOn w:val="19"/>
    <w:link w:val="13"/>
    <w:autoRedefine/>
    <w:semiHidden/>
    <w:qFormat/>
    <w:uiPriority w:val="99"/>
    <w:rPr>
      <w:rFonts w:ascii="Calibri" w:hAnsi="Calibri" w:eastAsia="宋体" w:cs="Times New Roman"/>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199</Words>
  <Characters>1137</Characters>
  <Lines>9</Lines>
  <Paragraphs>2</Paragraphs>
  <TotalTime>0</TotalTime>
  <ScaleCrop>false</ScaleCrop>
  <LinksUpToDate>false</LinksUpToDate>
  <CharactersWithSpaces>1334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2024-03-25T22:21:00Z</dcterms:created>
  <dc:creator>kt</dc:creator>
  <cp:lastModifiedBy>连城</cp:lastModifiedBy>
  <dcterms:modified xsi:type="dcterms:W3CDTF">2024-03-26T09:15:58Z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1F8D4A75259A4602A8C424529F5304C6_13</vt:lpwstr>
  </property>
</Properties>
</file>