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NewRoman"/>
          <w:sz w:val="32"/>
          <w:szCs w:val="32"/>
        </w:rPr>
      </w:pPr>
      <w:r>
        <w:rPr>
          <w:rFonts w:hint="eastAsia" w:ascii="黑体" w:hAnsi="黑体" w:eastAsia="黑体" w:cs="TimesNewRoman"/>
          <w:sz w:val="32"/>
          <w:szCs w:val="32"/>
          <w:lang w:val="en"/>
        </w:rPr>
        <w:t>附件</w:t>
      </w:r>
      <w:r>
        <w:rPr>
          <w:rFonts w:hint="eastAsia" w:ascii="黑体" w:hAnsi="黑体" w:eastAsia="黑体" w:cs="TimesNewRoman"/>
          <w:sz w:val="32"/>
          <w:szCs w:val="32"/>
        </w:rPr>
        <w:t>1</w:t>
      </w:r>
    </w:p>
    <w:p>
      <w:pPr>
        <w:spacing w:line="560" w:lineRule="exact"/>
        <w:rPr>
          <w:rFonts w:ascii="TimesNewRoman" w:hAnsi="TimesNewRoman" w:eastAsia="黑体" w:cs="TimesNewRoman"/>
          <w:szCs w:val="32"/>
        </w:rPr>
      </w:pPr>
    </w:p>
    <w:p>
      <w:pPr>
        <w:spacing w:line="560" w:lineRule="exact"/>
        <w:jc w:val="center"/>
        <w:rPr>
          <w:rFonts w:ascii="方正小标宋_GBK" w:hAnsi="TimesNewRoman" w:eastAsia="方正小标宋_GBK" w:cs="TimesNewRoman"/>
          <w:szCs w:val="32"/>
        </w:rPr>
      </w:pPr>
    </w:p>
    <w:p>
      <w:pPr>
        <w:spacing w:line="560" w:lineRule="exact"/>
        <w:jc w:val="center"/>
        <w:rPr>
          <w:rFonts w:ascii="方正小标宋_GBK" w:hAnsi="TimesNewRoman" w:eastAsia="方正小标宋_GBK" w:cs="TimesNewRoman"/>
          <w:sz w:val="44"/>
          <w:szCs w:val="44"/>
        </w:rPr>
      </w:pPr>
      <w:r>
        <w:rPr>
          <w:rFonts w:hint="eastAsia" w:ascii="方正小标宋_GBK" w:hAnsi="TimesNewRoman" w:eastAsia="方正小标宋_GBK" w:cs="TimesNewRoman"/>
          <w:sz w:val="44"/>
          <w:szCs w:val="44"/>
        </w:rPr>
        <w:t>寿县人社局本级2024年单位预算</w:t>
      </w:r>
    </w:p>
    <w:p>
      <w:pPr>
        <w:pStyle w:val="4"/>
        <w:adjustRightInd w:val="0"/>
        <w:snapToGrid w:val="0"/>
        <w:spacing w:line="560" w:lineRule="exact"/>
        <w:jc w:val="center"/>
        <w:outlineLvl w:val="0"/>
        <w:rPr>
          <w:rFonts w:ascii="方正小标宋_GBK" w:hAnsi="TimesNewRoman" w:eastAsia="方正小标宋_GBK" w:cs="TimesNewRoman"/>
          <w:sz w:val="32"/>
          <w:szCs w:val="32"/>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仿宋_GB2312" w:hAnsi="TimesNewRoman" w:eastAsia="仿宋_GB2312" w:cs="TimesNewRoman"/>
          <w:bCs/>
          <w:sz w:val="32"/>
          <w:szCs w:val="32"/>
        </w:rPr>
      </w:pPr>
    </w:p>
    <w:p>
      <w:pPr>
        <w:pStyle w:val="4"/>
        <w:adjustRightInd w:val="0"/>
        <w:snapToGrid w:val="0"/>
        <w:spacing w:line="560" w:lineRule="exact"/>
        <w:jc w:val="center"/>
        <w:rPr>
          <w:rFonts w:ascii="仿宋_GB2312" w:hAnsi="TimesNewRoman" w:eastAsia="仿宋_GB2312" w:cs="TimesNewRoman"/>
          <w:bCs/>
          <w:sz w:val="32"/>
          <w:szCs w:val="32"/>
        </w:rPr>
      </w:pPr>
    </w:p>
    <w:p>
      <w:pPr>
        <w:pStyle w:val="4"/>
        <w:adjustRightInd w:val="0"/>
        <w:snapToGrid w:val="0"/>
        <w:spacing w:line="560" w:lineRule="exact"/>
        <w:jc w:val="center"/>
        <w:rPr>
          <w:rFonts w:ascii="仿宋_GB2312" w:hAnsi="TimesNewRoman" w:eastAsia="仿宋_GB2312" w:cs="TimesNewRoman"/>
          <w:bCs/>
          <w:sz w:val="32"/>
          <w:szCs w:val="32"/>
        </w:rPr>
      </w:pPr>
    </w:p>
    <w:p>
      <w:pPr>
        <w:pStyle w:val="4"/>
        <w:adjustRightInd w:val="0"/>
        <w:snapToGrid w:val="0"/>
        <w:spacing w:line="560" w:lineRule="exact"/>
        <w:jc w:val="center"/>
        <w:rPr>
          <w:rFonts w:ascii="仿宋_GB2312" w:hAnsi="TimesNewRoman" w:eastAsia="仿宋_GB2312" w:cs="TimesNewRoman"/>
          <w:bCs/>
          <w:sz w:val="32"/>
          <w:szCs w:val="32"/>
        </w:rPr>
      </w:pPr>
    </w:p>
    <w:p>
      <w:pPr>
        <w:pStyle w:val="4"/>
        <w:adjustRightInd w:val="0"/>
        <w:snapToGrid w:val="0"/>
        <w:spacing w:line="560" w:lineRule="exact"/>
        <w:jc w:val="center"/>
        <w:rPr>
          <w:rFonts w:ascii="仿宋_GB2312" w:hAnsi="TimesNewRoman" w:eastAsia="仿宋_GB2312" w:cs="TimesNewRoman"/>
          <w:bCs/>
          <w:sz w:val="32"/>
          <w:szCs w:val="32"/>
        </w:rPr>
      </w:pPr>
    </w:p>
    <w:p>
      <w:pPr>
        <w:pStyle w:val="4"/>
        <w:adjustRightInd w:val="0"/>
        <w:snapToGrid w:val="0"/>
        <w:spacing w:line="560" w:lineRule="exact"/>
        <w:jc w:val="center"/>
        <w:rPr>
          <w:rFonts w:ascii="仿宋_GB2312" w:hAnsi="TimesNewRoman" w:eastAsia="仿宋_GB2312" w:cs="TimesNewRoman"/>
          <w:bCs/>
          <w:sz w:val="36"/>
          <w:szCs w:val="32"/>
        </w:rPr>
      </w:pPr>
      <w:r>
        <w:rPr>
          <w:rFonts w:hint="eastAsia" w:ascii="仿宋_GB2312" w:hAnsi="TimesNewRoman" w:eastAsia="仿宋_GB2312" w:cs="TimesNewRoman"/>
          <w:bCs/>
          <w:sz w:val="36"/>
          <w:szCs w:val="32"/>
        </w:rPr>
        <w:t>2024年1月</w:t>
      </w:r>
    </w:p>
    <w:p>
      <w:pPr>
        <w:pStyle w:val="4"/>
        <w:adjustRightInd w:val="0"/>
        <w:snapToGrid w:val="0"/>
        <w:spacing w:line="560" w:lineRule="exact"/>
        <w:jc w:val="center"/>
        <w:rPr>
          <w:rFonts w:ascii="方正小标宋_GBK" w:hAnsi="TimesNewRoman" w:eastAsia="方正小标宋_GBK" w:cs="TimesNewRoman"/>
          <w:bCs/>
          <w:sz w:val="44"/>
          <w:szCs w:val="44"/>
        </w:rPr>
      </w:pPr>
      <w:r>
        <w:rPr>
          <w:rFonts w:hint="eastAsia" w:ascii="方正小标宋_GBK" w:hAnsi="TimesNewRoman" w:eastAsia="方正小标宋_GBK" w:cs="TimesNewRoman"/>
          <w:bCs/>
          <w:sz w:val="44"/>
          <w:szCs w:val="44"/>
        </w:rPr>
        <w:t>目  录</w:t>
      </w:r>
    </w:p>
    <w:p>
      <w:pPr>
        <w:pStyle w:val="4"/>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p>
    <w:p>
      <w:pPr>
        <w:pStyle w:val="4"/>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第一部分 </w:t>
      </w:r>
      <w:r>
        <w:rPr>
          <w:rFonts w:hint="eastAsia" w:ascii="黑体" w:hAnsi="黑体" w:eastAsia="黑体" w:cs="TimesNewRoman"/>
          <w:sz w:val="32"/>
          <w:szCs w:val="32"/>
        </w:rPr>
        <w:t>单位</w:t>
      </w:r>
      <w:r>
        <w:rPr>
          <w:rFonts w:ascii="黑体" w:hAnsi="黑体" w:eastAsia="黑体" w:cs="TimesNewRoman"/>
          <w:sz w:val="32"/>
          <w:szCs w:val="32"/>
        </w:rPr>
        <w:t>概况</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hint="eastAsia" w:ascii="仿宋_GB2312" w:hAnsi="TimesNewRoman" w:eastAsia="仿宋_GB2312" w:cs="TimesNewRoman"/>
          <w:bCs/>
          <w:sz w:val="32"/>
          <w:szCs w:val="32"/>
        </w:rPr>
        <w:t>1.主要职责</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hint="eastAsia" w:ascii="仿宋_GB2312" w:hAnsi="TimesNewRoman" w:eastAsia="仿宋_GB2312" w:cs="TimesNewRoman"/>
          <w:bCs/>
          <w:sz w:val="32"/>
          <w:szCs w:val="32"/>
        </w:rPr>
        <w:t>2.单位预算构成</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hint="eastAsia" w:ascii="仿宋_GB2312" w:hAnsi="TimesNewRoman" w:eastAsia="仿宋_GB2312" w:cs="TimesNewRoman"/>
          <w:bCs/>
          <w:sz w:val="32"/>
          <w:szCs w:val="32"/>
        </w:rPr>
        <w:t>3.2024年度主要工作任务</w:t>
      </w:r>
    </w:p>
    <w:p>
      <w:pPr>
        <w:pStyle w:val="4"/>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第二部分 </w:t>
      </w:r>
      <w:r>
        <w:rPr>
          <w:rFonts w:hint="eastAsia" w:ascii="黑体" w:hAnsi="黑体" w:eastAsia="黑体" w:cs="TimesNewRoman"/>
          <w:sz w:val="32"/>
          <w:szCs w:val="32"/>
        </w:rPr>
        <w:t>2024</w:t>
      </w:r>
      <w:r>
        <w:rPr>
          <w:rFonts w:ascii="黑体" w:hAnsi="黑体" w:eastAsia="黑体" w:cs="TimesNewRoman"/>
          <w:sz w:val="32"/>
          <w:szCs w:val="32"/>
        </w:rPr>
        <w:t>年单位预算表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w:t>
      </w:r>
      <w:r>
        <w:rPr>
          <w:rFonts w:hint="eastAsia" w:ascii="仿宋_GB2312" w:hAnsi="TimesNewRoman" w:eastAsia="仿宋_GB2312" w:cs="TimesNewRoman"/>
          <w:bCs/>
          <w:sz w:val="32"/>
          <w:szCs w:val="32"/>
        </w:rPr>
        <w:t>寿县人社局2024</w:t>
      </w:r>
      <w:r>
        <w:rPr>
          <w:rFonts w:ascii="仿宋_GB2312" w:hAnsi="TimesNewRoman" w:eastAsia="仿宋_GB2312" w:cs="TimesNewRoman"/>
          <w:bCs/>
          <w:sz w:val="32"/>
          <w:szCs w:val="32"/>
        </w:rPr>
        <w:t>年收支总表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w:t>
      </w:r>
      <w:r>
        <w:rPr>
          <w:rFonts w:hint="eastAsia" w:ascii="仿宋_GB2312" w:hAnsi="TimesNewRoman" w:eastAsia="仿宋_GB2312" w:cs="TimesNewRoman"/>
          <w:bCs/>
          <w:sz w:val="32"/>
          <w:szCs w:val="32"/>
        </w:rPr>
        <w:t>寿县人社局2024</w:t>
      </w:r>
      <w:r>
        <w:rPr>
          <w:rFonts w:ascii="仿宋_GB2312" w:hAnsi="TimesNewRoman" w:eastAsia="仿宋_GB2312" w:cs="TimesNewRoman"/>
          <w:bCs/>
          <w:sz w:val="32"/>
          <w:szCs w:val="32"/>
        </w:rPr>
        <w:t>年收入总表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w:t>
      </w:r>
      <w:r>
        <w:rPr>
          <w:rFonts w:hint="eastAsia" w:ascii="仿宋_GB2312" w:hAnsi="TimesNewRoman" w:eastAsia="仿宋_GB2312" w:cs="TimesNewRoman"/>
          <w:bCs/>
          <w:sz w:val="32"/>
          <w:szCs w:val="32"/>
        </w:rPr>
        <w:t>寿县人社局2024</w:t>
      </w:r>
      <w:r>
        <w:rPr>
          <w:rFonts w:ascii="仿宋_GB2312" w:hAnsi="TimesNewRoman" w:eastAsia="仿宋_GB2312" w:cs="TimesNewRoman"/>
          <w:bCs/>
          <w:sz w:val="32"/>
          <w:szCs w:val="32"/>
        </w:rPr>
        <w:t>年支出总表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w:t>
      </w:r>
      <w:r>
        <w:rPr>
          <w:rFonts w:hint="eastAsia" w:ascii="仿宋_GB2312" w:hAnsi="TimesNewRoman" w:eastAsia="仿宋_GB2312" w:cs="TimesNewRoman"/>
          <w:bCs/>
          <w:sz w:val="32"/>
          <w:szCs w:val="32"/>
        </w:rPr>
        <w:t>寿县人社局2024</w:t>
      </w:r>
      <w:r>
        <w:rPr>
          <w:rFonts w:ascii="仿宋_GB2312" w:hAnsi="TimesNewRoman" w:eastAsia="仿宋_GB2312" w:cs="TimesNewRoman"/>
          <w:bCs/>
          <w:sz w:val="32"/>
          <w:szCs w:val="32"/>
        </w:rPr>
        <w:t>年财政拨款收支总表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w:t>
      </w:r>
      <w:r>
        <w:rPr>
          <w:rFonts w:hint="eastAsia" w:ascii="仿宋_GB2312" w:hAnsi="TimesNewRoman" w:eastAsia="仿宋_GB2312" w:cs="TimesNewRoman"/>
          <w:bCs/>
          <w:sz w:val="32"/>
          <w:szCs w:val="32"/>
        </w:rPr>
        <w:t>寿县人社局2024</w:t>
      </w:r>
      <w:r>
        <w:rPr>
          <w:rFonts w:ascii="仿宋_GB2312" w:hAnsi="TimesNewRoman" w:eastAsia="仿宋_GB2312" w:cs="TimesNewRoman"/>
          <w:bCs/>
          <w:sz w:val="32"/>
          <w:szCs w:val="32"/>
        </w:rPr>
        <w:t>年一般公共预算支出表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w:t>
      </w:r>
      <w:r>
        <w:rPr>
          <w:rFonts w:hint="eastAsia" w:ascii="仿宋_GB2312" w:hAnsi="TimesNewRoman" w:eastAsia="仿宋_GB2312" w:cs="TimesNewRoman"/>
          <w:bCs/>
          <w:sz w:val="32"/>
          <w:szCs w:val="32"/>
        </w:rPr>
        <w:t>寿县人社局2024</w:t>
      </w:r>
      <w:r>
        <w:rPr>
          <w:rFonts w:ascii="仿宋_GB2312" w:hAnsi="TimesNewRoman" w:eastAsia="仿宋_GB2312" w:cs="TimesNewRoman"/>
          <w:bCs/>
          <w:sz w:val="32"/>
          <w:szCs w:val="32"/>
        </w:rPr>
        <w:t>年一般公共预算基本支出表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w:t>
      </w:r>
      <w:r>
        <w:rPr>
          <w:rFonts w:hint="eastAsia" w:ascii="仿宋_GB2312" w:hAnsi="TimesNewRoman" w:eastAsia="仿宋_GB2312" w:cs="TimesNewRoman"/>
          <w:bCs/>
          <w:sz w:val="32"/>
          <w:szCs w:val="32"/>
        </w:rPr>
        <w:t>寿县人社局2024</w:t>
      </w:r>
      <w:r>
        <w:rPr>
          <w:rFonts w:ascii="仿宋_GB2312" w:hAnsi="TimesNewRoman" w:eastAsia="仿宋_GB2312" w:cs="TimesNewRoman"/>
          <w:bCs/>
          <w:sz w:val="32"/>
          <w:szCs w:val="32"/>
        </w:rPr>
        <w:t>年政府性基金预算支出表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w:t>
      </w:r>
      <w:r>
        <w:rPr>
          <w:rFonts w:hint="eastAsia" w:ascii="仿宋_GB2312" w:hAnsi="TimesNewRoman" w:eastAsia="仿宋_GB2312" w:cs="TimesNewRoman"/>
          <w:bCs/>
          <w:sz w:val="32"/>
          <w:szCs w:val="32"/>
        </w:rPr>
        <w:t>寿县人社局2024</w:t>
      </w:r>
      <w:r>
        <w:rPr>
          <w:rFonts w:ascii="仿宋_GB2312" w:hAnsi="TimesNewRoman" w:eastAsia="仿宋_GB2312" w:cs="TimesNewRoman"/>
          <w:bCs/>
          <w:sz w:val="32"/>
          <w:szCs w:val="32"/>
        </w:rPr>
        <w:t>年国有资本经营预算支出表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w:t>
      </w:r>
      <w:r>
        <w:rPr>
          <w:rFonts w:hint="eastAsia" w:ascii="仿宋_GB2312" w:hAnsi="TimesNewRoman" w:eastAsia="仿宋_GB2312" w:cs="TimesNewRoman"/>
          <w:bCs/>
          <w:sz w:val="32"/>
          <w:szCs w:val="32"/>
        </w:rPr>
        <w:t>寿县人社局2024</w:t>
      </w:r>
      <w:r>
        <w:rPr>
          <w:rFonts w:ascii="仿宋_GB2312" w:hAnsi="TimesNewRoman" w:eastAsia="仿宋_GB2312" w:cs="TimesNewRoman"/>
          <w:bCs/>
          <w:sz w:val="32"/>
          <w:szCs w:val="32"/>
        </w:rPr>
        <w:t>年项目支出表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w:t>
      </w:r>
      <w:r>
        <w:rPr>
          <w:rFonts w:hint="eastAsia" w:ascii="仿宋_GB2312" w:hAnsi="TimesNewRoman" w:eastAsia="仿宋_GB2312" w:cs="TimesNewRoman"/>
          <w:bCs/>
          <w:sz w:val="32"/>
          <w:szCs w:val="32"/>
        </w:rPr>
        <w:t>寿县人社局2024</w:t>
      </w:r>
      <w:r>
        <w:rPr>
          <w:rFonts w:ascii="仿宋_GB2312" w:hAnsi="TimesNewRoman" w:eastAsia="仿宋_GB2312" w:cs="TimesNewRoman"/>
          <w:bCs/>
          <w:sz w:val="32"/>
          <w:szCs w:val="32"/>
        </w:rPr>
        <w:t>年政府采购支出表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w:t>
      </w:r>
      <w:r>
        <w:rPr>
          <w:rFonts w:hint="eastAsia" w:ascii="仿宋_GB2312" w:hAnsi="TimesNewRoman" w:eastAsia="仿宋_GB2312" w:cs="TimesNewRoman"/>
          <w:bCs/>
          <w:sz w:val="32"/>
          <w:szCs w:val="32"/>
        </w:rPr>
        <w:t>寿县人社局2024</w:t>
      </w:r>
      <w:r>
        <w:rPr>
          <w:rFonts w:ascii="仿宋_GB2312" w:hAnsi="TimesNewRoman" w:eastAsia="仿宋_GB2312" w:cs="TimesNewRoman"/>
          <w:bCs/>
          <w:sz w:val="32"/>
          <w:szCs w:val="32"/>
        </w:rPr>
        <w:t>年政府购买服务支出表</w:t>
      </w:r>
    </w:p>
    <w:p>
      <w:pPr>
        <w:pStyle w:val="4"/>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第三部分 </w:t>
      </w:r>
      <w:r>
        <w:rPr>
          <w:rFonts w:hint="eastAsia" w:ascii="黑体" w:hAnsi="黑体" w:eastAsia="黑体" w:cs="TimesNewRoman"/>
          <w:sz w:val="32"/>
          <w:szCs w:val="32"/>
        </w:rPr>
        <w:t>2024</w:t>
      </w:r>
      <w:r>
        <w:rPr>
          <w:rFonts w:ascii="黑体" w:hAnsi="黑体" w:eastAsia="黑体" w:cs="TimesNewRoman"/>
          <w:sz w:val="32"/>
          <w:szCs w:val="32"/>
        </w:rPr>
        <w:t>年</w:t>
      </w:r>
      <w:r>
        <w:rPr>
          <w:rFonts w:hint="eastAsia" w:ascii="黑体" w:hAnsi="黑体" w:eastAsia="黑体" w:cs="TimesNewRoman"/>
          <w:sz w:val="32"/>
          <w:szCs w:val="32"/>
        </w:rPr>
        <w:t>单位</w:t>
      </w:r>
      <w:r>
        <w:rPr>
          <w:rFonts w:ascii="黑体" w:hAnsi="黑体" w:eastAsia="黑体" w:cs="TimesNewRoman"/>
          <w:sz w:val="32"/>
          <w:szCs w:val="32"/>
        </w:rPr>
        <w:t>预算情况说明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年收支总表的说明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年收入总表的说明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年支出总表的说明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年财政拨款收支总表的说明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年一般公共预算基本支出表的说明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年政府性基金预算支出表的说明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年国有资本经营预算支出表的说明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年项目支出表的说明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年政府采购支出表的说明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年政府购买服务支出表的说明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12.其他重要事项情况说明</w:t>
      </w:r>
    </w:p>
    <w:p>
      <w:pPr>
        <w:pStyle w:val="4"/>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第四部分 名词解释</w:t>
      </w:r>
    </w:p>
    <w:p>
      <w:pPr>
        <w:pStyle w:val="4"/>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4"/>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4"/>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4"/>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4"/>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4"/>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 xml:space="preserve">第一部分 </w:t>
      </w:r>
      <w:r>
        <w:rPr>
          <w:rFonts w:hint="eastAsia" w:ascii="TimesNewRoman" w:hAnsi="TimesNewRoman" w:eastAsia="黑体" w:cs="TimesNewRoman"/>
          <w:bCs/>
          <w:sz w:val="36"/>
          <w:szCs w:val="36"/>
        </w:rPr>
        <w:t>单位</w:t>
      </w:r>
      <w:r>
        <w:rPr>
          <w:rFonts w:ascii="TimesNewRoman" w:hAnsi="TimesNewRoman" w:eastAsia="黑体" w:cs="TimesNewRoman"/>
          <w:bCs/>
          <w:sz w:val="36"/>
          <w:szCs w:val="36"/>
        </w:rPr>
        <w:t>概况</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bCs/>
          <w:sz w:val="32"/>
          <w:szCs w:val="32"/>
        </w:rPr>
      </w:pPr>
      <w:r>
        <w:rPr>
          <w:rFonts w:hint="eastAsia" w:ascii="楷体_GB2312" w:hAnsi="TimesNewRoman" w:eastAsia="楷体_GB2312" w:cs="TimesNewRoman"/>
          <w:b/>
          <w:bCs/>
          <w:sz w:val="32"/>
          <w:szCs w:val="32"/>
        </w:rPr>
        <w:t>一、主要职责</w:t>
      </w:r>
    </w:p>
    <w:p>
      <w:pPr>
        <w:ind w:firstLine="656" w:firstLineChars="200"/>
        <w:rPr>
          <w:rFonts w:ascii="仿宋_GB2312" w:hAnsi="Verdana" w:eastAsia="仿宋_GB2312" w:cs="宋体"/>
          <w:spacing w:val="4"/>
          <w:kern w:val="0"/>
          <w:sz w:val="32"/>
          <w:szCs w:val="32"/>
        </w:rPr>
      </w:pPr>
      <w:r>
        <w:rPr>
          <w:rFonts w:hint="eastAsia" w:ascii="仿宋_GB2312" w:hAnsi="宋体" w:eastAsia="仿宋_GB2312" w:cs="宋体"/>
          <w:spacing w:val="4"/>
          <w:kern w:val="0"/>
          <w:sz w:val="32"/>
          <w:szCs w:val="32"/>
        </w:rPr>
        <w:t>(一）贯彻执行国家、省、市人力资源和社会保障工作的方针政策和法律法规，起草有关地方性规范性文件草案；拟订全县人力资源和社会保障事业发展规划、政策并组织实施和监督检查</w:t>
      </w:r>
      <w:r>
        <w:rPr>
          <w:rFonts w:hint="eastAsia" w:ascii="仿宋_GB2312" w:hAnsi="Verdana" w:eastAsia="仿宋_GB2312" w:cs="宋体"/>
          <w:spacing w:val="4"/>
          <w:kern w:val="0"/>
          <w:sz w:val="32"/>
          <w:szCs w:val="32"/>
        </w:rPr>
        <w:t>。</w:t>
      </w:r>
    </w:p>
    <w:p>
      <w:pPr>
        <w:ind w:firstLine="640" w:firstLineChars="200"/>
        <w:rPr>
          <w:rFonts w:ascii="仿宋_GB2312" w:hAnsi="宋体" w:eastAsia="仿宋_GB2312" w:cs="宋体"/>
          <w:kern w:val="0"/>
          <w:sz w:val="32"/>
          <w:szCs w:val="32"/>
        </w:rPr>
      </w:pPr>
      <w:r>
        <w:rPr>
          <w:rFonts w:hint="eastAsia" w:ascii="仿宋_GB2312" w:eastAsia="仿宋_GB2312"/>
          <w:sz w:val="32"/>
          <w:szCs w:val="32"/>
        </w:rPr>
        <w:t>（二）拟订并组织实施全县人力资源市场发展规划，建立统一规范的人力资源市场</w:t>
      </w:r>
      <w:r>
        <w:rPr>
          <w:rFonts w:hint="eastAsia" w:ascii="仿宋_GB2312" w:hAnsi="宋体" w:eastAsia="仿宋_GB2312" w:cs="宋体"/>
          <w:kern w:val="0"/>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（三）负责促进就业工作，拟订统筹城乡就业发展的规划和政策，完善公共就业服务体系，实施就业援助制度；完善职业资格制度，</w:t>
      </w:r>
      <w:r>
        <w:rPr>
          <w:rFonts w:hint="eastAsia" w:ascii="仿宋_GB2312" w:hAnsi="Verdana" w:eastAsia="仿宋_GB2312" w:cs="宋体"/>
          <w:kern w:val="0"/>
          <w:sz w:val="32"/>
          <w:szCs w:val="32"/>
        </w:rPr>
        <w:t>统筹建立面向城乡劳动者的职业培训制度；</w:t>
      </w:r>
      <w:r>
        <w:rPr>
          <w:rFonts w:hint="eastAsia" w:ascii="仿宋_GB2312" w:eastAsia="仿宋_GB2312"/>
          <w:sz w:val="32"/>
          <w:szCs w:val="32"/>
        </w:rPr>
        <w:t>贯彻落实高校毕业生就业政策</w:t>
      </w:r>
      <w:r>
        <w:rPr>
          <w:rFonts w:hint="eastAsia" w:ascii="仿宋_GB2312" w:hAnsi="Verdana" w:eastAsia="仿宋_GB2312" w:cs="宋体"/>
          <w:kern w:val="0"/>
          <w:sz w:val="32"/>
          <w:szCs w:val="32"/>
        </w:rPr>
        <w:t>，会同有关部门拟订高技能人才、农村实用人才培养和激励政策</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四）统筹建立覆盖全县城乡的社会保障体系，组织实施城乡社会保险及其补充保险有关政策和标准；贯彻实施全国统一的社会保险关系转续办法和基础养老金统筹办法；执行企业职工养老保险基金省级统筹政策,落实省、市机关企事业单位基本养老保险有关政策及提高基金统筹层次；会同有关部门拟订社会保险及其补充保险基金管理和监督的有关办法，并组织实施；编制全县社会保险基金预决算草案。</w:t>
      </w:r>
    </w:p>
    <w:p>
      <w:pPr>
        <w:ind w:firstLine="640" w:firstLineChars="200"/>
        <w:rPr>
          <w:rFonts w:ascii="仿宋_GB2312" w:eastAsia="仿宋_GB2312"/>
          <w:sz w:val="32"/>
          <w:szCs w:val="32"/>
        </w:rPr>
      </w:pPr>
      <w:r>
        <w:rPr>
          <w:rFonts w:hint="eastAsia" w:ascii="仿宋_GB2312" w:eastAsia="仿宋_GB2312"/>
          <w:sz w:val="32"/>
          <w:szCs w:val="32"/>
        </w:rPr>
        <w:t>（五）负责全县就业、失业、社会保险基金预测预警和信息引导；拟订应对预案，实施预防、调节和控制，保持就业形势稳定和社会保险基金总体收支平衡。</w:t>
      </w:r>
    </w:p>
    <w:p>
      <w:pPr>
        <w:ind w:firstLine="640" w:firstLineChars="200"/>
        <w:rPr>
          <w:rFonts w:ascii="仿宋_GB2312" w:eastAsia="仿宋_GB2312"/>
          <w:sz w:val="32"/>
          <w:szCs w:val="32"/>
        </w:rPr>
      </w:pPr>
      <w:r>
        <w:rPr>
          <w:rFonts w:hint="eastAsia" w:ascii="仿宋_GB2312" w:eastAsia="仿宋_GB2312"/>
          <w:sz w:val="32"/>
          <w:szCs w:val="32"/>
        </w:rPr>
        <w:t>（六）组织实施事业单位人员工资收入分配的有关政策，建立机关企事业单位人员工资正常增长和支付保障机制，贯彻落实机关企事业单位人员福利和退（离）休的相关政策。</w:t>
      </w:r>
    </w:p>
    <w:p>
      <w:pPr>
        <w:ind w:firstLine="640" w:firstLineChars="200"/>
        <w:rPr>
          <w:rFonts w:ascii="仿宋_GB2312" w:eastAsia="仿宋_GB2312"/>
          <w:sz w:val="32"/>
          <w:szCs w:val="32"/>
        </w:rPr>
      </w:pPr>
      <w:r>
        <w:rPr>
          <w:rFonts w:hint="eastAsia" w:ascii="仿宋_GB2312" w:eastAsia="仿宋_GB2312"/>
          <w:sz w:val="32"/>
          <w:szCs w:val="32"/>
        </w:rPr>
        <w:t>（七）负责事业单位人事制度改革工作，拟订相关改革配套政策并组织实施；参与人才管理工作，负责专业技术人员管理和继续教育工作；推进专业技术人员职称制度改革工作，完善专业技术人员职务聘任制度；贯彻落实吸引国（境）外专家、留学人员工作或定居政策；负责高层次专业技术人才选拔和培养工作。</w:t>
      </w:r>
    </w:p>
    <w:p>
      <w:pPr>
        <w:ind w:firstLine="640" w:firstLineChars="200"/>
        <w:rPr>
          <w:rFonts w:ascii="仿宋_GB2312" w:eastAsia="仿宋_GB2312"/>
          <w:sz w:val="32"/>
          <w:szCs w:val="32"/>
        </w:rPr>
      </w:pPr>
      <w:r>
        <w:rPr>
          <w:rFonts w:hint="eastAsia" w:ascii="仿宋_GB2312" w:eastAsia="仿宋_GB2312"/>
          <w:sz w:val="32"/>
          <w:szCs w:val="32"/>
        </w:rPr>
        <w:t>（八）负责全县城镇居民增收计划的统计上报工作。</w:t>
      </w:r>
    </w:p>
    <w:p>
      <w:pPr>
        <w:ind w:firstLine="640" w:firstLineChars="200"/>
        <w:rPr>
          <w:rFonts w:ascii="仿宋_GB2312" w:eastAsia="仿宋_GB2312"/>
          <w:sz w:val="32"/>
          <w:szCs w:val="32"/>
        </w:rPr>
      </w:pPr>
      <w:r>
        <w:rPr>
          <w:rFonts w:hint="eastAsia" w:ascii="仿宋_GB2312" w:eastAsia="仿宋_GB2312"/>
          <w:sz w:val="32"/>
          <w:szCs w:val="32"/>
        </w:rPr>
        <w:t>（九）负责农民工资清欠工作。建立农民工工资保障金制度，加强劳动监察队伍建设，依法惩处违背劳动保障法律法规的案件。</w:t>
      </w:r>
    </w:p>
    <w:p>
      <w:pPr>
        <w:ind w:firstLine="640" w:firstLineChars="200"/>
        <w:rPr>
          <w:rFonts w:ascii="仿宋_GB2312" w:eastAsia="仿宋_GB2312"/>
          <w:sz w:val="32"/>
          <w:szCs w:val="32"/>
        </w:rPr>
      </w:pPr>
      <w:r>
        <w:rPr>
          <w:rFonts w:hint="eastAsia" w:ascii="仿宋_GB2312" w:eastAsia="仿宋_GB2312"/>
          <w:sz w:val="32"/>
          <w:szCs w:val="32"/>
        </w:rPr>
        <w:t>（十）负责劳动人事仲裁工作。推动建立和完善和谐劳动关系。</w:t>
      </w:r>
    </w:p>
    <w:p>
      <w:pPr>
        <w:ind w:firstLine="640" w:firstLineChars="200"/>
        <w:rPr>
          <w:rFonts w:ascii="仿宋_GB2312" w:eastAsia="仿宋_GB2312"/>
          <w:sz w:val="32"/>
          <w:szCs w:val="32"/>
        </w:rPr>
      </w:pPr>
      <w:r>
        <w:rPr>
          <w:rFonts w:hint="eastAsia" w:ascii="仿宋_GB2312" w:eastAsia="仿宋_GB2312"/>
          <w:sz w:val="32"/>
          <w:szCs w:val="32"/>
        </w:rPr>
        <w:t>（十一）会同有关部门拟订全县农民工工作综合性政策和规划，推动农民工相关政策落实，协调解决重点难点问题。</w:t>
      </w:r>
    </w:p>
    <w:p>
      <w:pPr>
        <w:ind w:firstLine="640" w:firstLineChars="200"/>
        <w:rPr>
          <w:rFonts w:ascii="仿宋_GB2312" w:eastAsia="仿宋_GB2312"/>
          <w:sz w:val="32"/>
          <w:szCs w:val="32"/>
        </w:rPr>
      </w:pPr>
      <w:r>
        <w:rPr>
          <w:rFonts w:hint="eastAsia" w:ascii="仿宋_GB2312" w:eastAsia="仿宋_GB2312"/>
          <w:sz w:val="32"/>
          <w:szCs w:val="32"/>
        </w:rPr>
        <w:t>（十二）贯彻落实国家、省市劳动关系有关法律法规及政策，完善劳动关系协调机制；贯彻实施消除非法使用童工和女工、未成年工特殊劳动保护的相关政策办法；组织实施劳动监察，协调劳动者维权工作，依法查处有关案件；协调处理有关人力资源和社会保障方面的信访事项。</w:t>
      </w:r>
    </w:p>
    <w:p>
      <w:pPr>
        <w:ind w:firstLine="640" w:firstLineChars="200"/>
        <w:rPr>
          <w:rFonts w:ascii="仿宋_GB2312" w:eastAsia="仿宋_GB2312"/>
          <w:sz w:val="32"/>
          <w:szCs w:val="32"/>
        </w:rPr>
      </w:pPr>
      <w:r>
        <w:rPr>
          <w:rFonts w:hint="eastAsia" w:ascii="仿宋_GB2312" w:eastAsia="仿宋_GB2312"/>
          <w:sz w:val="32"/>
          <w:szCs w:val="32"/>
        </w:rPr>
        <w:t>（十三）承办县政府交办的其他事项。</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bCs/>
          <w:sz w:val="32"/>
          <w:szCs w:val="32"/>
        </w:rPr>
      </w:pPr>
      <w:r>
        <w:rPr>
          <w:rFonts w:hint="eastAsia" w:ascii="楷体_GB2312" w:hAnsi="TimesNewRoman" w:eastAsia="楷体_GB2312" w:cs="TimesNewRoman"/>
          <w:b/>
          <w:bCs/>
          <w:sz w:val="32"/>
          <w:szCs w:val="32"/>
        </w:rPr>
        <w:t>二、单位</w:t>
      </w:r>
      <w:r>
        <w:rPr>
          <w:rFonts w:ascii="楷体_GB2312" w:hAnsi="TimesNewRoman" w:eastAsia="楷体_GB2312" w:cs="TimesNewRoman"/>
          <w:b/>
          <w:bCs/>
          <w:sz w:val="32"/>
          <w:szCs w:val="32"/>
        </w:rPr>
        <w:t>预算构成</w:t>
      </w:r>
    </w:p>
    <w:p>
      <w:pPr>
        <w:pStyle w:val="4"/>
        <w:topLinePunct/>
        <w:adjustRightInd w:val="0"/>
        <w:snapToGrid w:val="0"/>
        <w:spacing w:beforeAutospacing="0" w:afterAutospacing="0" w:line="580" w:lineRule="exact"/>
        <w:ind w:firstLine="640" w:firstLineChars="200"/>
        <w:jc w:val="both"/>
        <w:rPr>
          <w:rFonts w:ascii="仿宋_GB2312" w:hAnsi="TimesNewRoman" w:eastAsia="仿宋_GB2312" w:cs="TimesNewRoman"/>
          <w:bCs/>
          <w:sz w:val="32"/>
          <w:szCs w:val="32"/>
        </w:rPr>
      </w:pPr>
      <w:r>
        <w:rPr>
          <w:rFonts w:hint="eastAsia" w:ascii="仿宋_GB2312" w:hAnsi="TimesNewRoman" w:eastAsia="仿宋_GB2312" w:cs="TimesNewRoman"/>
          <w:bCs/>
          <w:sz w:val="32"/>
          <w:szCs w:val="32"/>
        </w:rPr>
        <w:t>寿县人社局本级2024年度单位预算仅包括单位本级预算，无其他下属单位预算。</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bCs/>
          <w:sz w:val="32"/>
          <w:szCs w:val="32"/>
        </w:rPr>
      </w:pPr>
      <w:r>
        <w:rPr>
          <w:rFonts w:hint="eastAsia" w:ascii="楷体_GB2312" w:hAnsi="TimesNewRoman" w:eastAsia="楷体_GB2312" w:cs="TimesNewRoman"/>
          <w:b/>
          <w:bCs/>
          <w:sz w:val="32"/>
          <w:szCs w:val="32"/>
        </w:rPr>
        <w:t>三、2024年度主要工作任务</w:t>
      </w:r>
    </w:p>
    <w:p>
      <w:pPr>
        <w:spacing w:line="600" w:lineRule="exact"/>
        <w:ind w:firstLine="640" w:firstLineChars="200"/>
        <w:rPr>
          <w:rFonts w:ascii="仿宋_GB2312" w:hAnsi="仿宋_GB2312" w:eastAsia="仿宋_GB2312"/>
          <w:sz w:val="32"/>
          <w:szCs w:val="28"/>
        </w:rPr>
      </w:pPr>
      <w:r>
        <w:rPr>
          <w:rFonts w:hint="eastAsia" w:ascii="仿宋_GB2312" w:eastAsia="仿宋_GB2312"/>
          <w:sz w:val="32"/>
          <w:szCs w:val="32"/>
        </w:rPr>
        <w:t>2024是县人社局继续深入贯彻落实党的二十大精神，实施就业优先战略，统筹推进城乡社会保障体系建设，进一步深化干部人事制度改革，着力构建和谐劳动关系，切实按照县委、县政府总体部署，健全人才管理机制，加大人才引进力度，大力实施“新徽菜名徽厨”和“就业促进”两项暖民心行动</w:t>
      </w:r>
      <w:r>
        <w:rPr>
          <w:rFonts w:hint="eastAsia" w:ascii="仿宋_GB2312" w:eastAsia="仿宋_GB2312"/>
          <w:sz w:val="32"/>
          <w:szCs w:val="32"/>
          <w:lang w:eastAsia="zh-CN"/>
        </w:rPr>
        <w:t>，</w:t>
      </w:r>
      <w:bookmarkStart w:id="0" w:name="_GoBack"/>
      <w:bookmarkEnd w:id="0"/>
      <w:r>
        <w:rPr>
          <w:rFonts w:hint="eastAsia" w:ascii="仿宋_GB2312" w:eastAsia="仿宋_GB2312"/>
          <w:sz w:val="32"/>
          <w:szCs w:val="32"/>
        </w:rPr>
        <w:t>解放思想，</w:t>
      </w:r>
      <w:r>
        <w:rPr>
          <w:rFonts w:hint="eastAsia" w:ascii="仿宋_GB2312" w:hAnsi="仿宋_GB2312" w:eastAsia="仿宋_GB2312"/>
          <w:sz w:val="32"/>
          <w:szCs w:val="28"/>
        </w:rPr>
        <w:t>团结拼搏，真抓实干，推动人力资源和社会保障事业又好又快发展。</w:t>
      </w:r>
    </w:p>
    <w:p>
      <w:pPr>
        <w:autoSpaceDE w:val="0"/>
        <w:autoSpaceDN w:val="0"/>
        <w:adjustRightInd w:val="0"/>
        <w:spacing w:line="600" w:lineRule="exact"/>
        <w:ind w:firstLine="643" w:firstLineChars="200"/>
        <w:rPr>
          <w:rFonts w:ascii="仿宋_GB2312" w:eastAsia="仿宋_GB2312" w:cs="仿宋_GB2312"/>
          <w:kern w:val="0"/>
          <w:sz w:val="32"/>
          <w:szCs w:val="32"/>
          <w:highlight w:val="white"/>
          <w:lang w:val="zh-CN"/>
        </w:rPr>
      </w:pPr>
      <w:r>
        <w:rPr>
          <w:rFonts w:hint="eastAsia" w:ascii="仿宋_GB2312" w:eastAsia="仿宋_GB2312" w:cs="仿宋_GB2312"/>
          <w:b/>
          <w:bCs/>
          <w:kern w:val="0"/>
          <w:sz w:val="32"/>
          <w:szCs w:val="32"/>
          <w:lang w:val="zh-CN"/>
        </w:rPr>
        <w:t>（一）进一步实施高质量就业。</w:t>
      </w:r>
      <w:r>
        <w:rPr>
          <w:rFonts w:hint="eastAsia" w:ascii="仿宋_GB2312" w:eastAsia="仿宋_GB2312" w:cs="仿宋_GB2312"/>
          <w:kern w:val="0"/>
          <w:sz w:val="32"/>
          <w:szCs w:val="32"/>
          <w:highlight w:val="white"/>
          <w:lang w:val="zh-CN"/>
        </w:rPr>
        <w:t>统筹做好各类群体就业，重点做好高校毕业生、农民工、就业困难人员就业工作。实施“三公里”就业圈和充分就业社区建设工程，提高阳光就业网上办事系统的全面运行，提高乡镇社区就业服务业务工作水平。建立健全就业信息监测平台和失业动态监测制度，加强失业预防和调控，做好市场供求状况分析。落实创业担保贷款优惠政策。完善和维护劳动力资源信息数据库。开展创业培训，健全和完善创业培训后续服务体系。落实就业脱贫政策，确保完成就业脱贫任务。做好创业担保贷款工作和稳岗补贴、社保补贴发放工作。</w:t>
      </w:r>
    </w:p>
    <w:p>
      <w:pPr>
        <w:autoSpaceDE w:val="0"/>
        <w:autoSpaceDN w:val="0"/>
        <w:adjustRightInd w:val="0"/>
        <w:spacing w:line="600" w:lineRule="exact"/>
        <w:ind w:firstLine="627"/>
        <w:rPr>
          <w:rFonts w:ascii="仿宋_GB2312" w:eastAsia="仿宋_GB2312" w:cs="仿宋_GB2312"/>
          <w:kern w:val="0"/>
          <w:sz w:val="32"/>
          <w:szCs w:val="32"/>
          <w:highlight w:val="white"/>
          <w:lang w:val="zh-CN"/>
        </w:rPr>
      </w:pPr>
      <w:r>
        <w:rPr>
          <w:rFonts w:hint="eastAsia" w:ascii="仿宋_GB2312" w:eastAsia="仿宋_GB2312" w:cs="仿宋_GB2312"/>
          <w:b/>
          <w:bCs/>
          <w:kern w:val="0"/>
          <w:sz w:val="32"/>
          <w:szCs w:val="32"/>
          <w:lang w:val="zh-CN"/>
        </w:rPr>
        <w:t>（二）进一步做好社会保险工作。</w:t>
      </w:r>
      <w:r>
        <w:rPr>
          <w:rFonts w:hint="eastAsia" w:ascii="仿宋_GB2312" w:eastAsia="仿宋_GB2312" w:cs="仿宋_GB2312"/>
          <w:kern w:val="0"/>
          <w:sz w:val="32"/>
          <w:szCs w:val="32"/>
          <w:highlight w:val="white"/>
          <w:lang w:val="zh-CN"/>
        </w:rPr>
        <w:t>以私营企业、机关事业单位非在编人员、灵活就业人员为扩面重点，努力做好扩面参保工作。</w:t>
      </w:r>
      <w:r>
        <w:rPr>
          <w:rFonts w:hint="eastAsia" w:ascii="仿宋_GB2312" w:eastAsia="仿宋_GB2312" w:cs="仿宋_GB2312"/>
          <w:kern w:val="0"/>
          <w:sz w:val="32"/>
          <w:szCs w:val="32"/>
          <w:lang w:val="zh-CN"/>
        </w:rPr>
        <w:t>依托全民参保计划信息，动员符合参保条件的未参保人员尽快参保。加快推进四不出村建设力度，最大程度服务群众“最后一公里”。继续做好社会保险降费工作，贯彻落实企业职工养老保险基金省级统筹策政，扎实推进机关事业单位养老保险参保缴费、待遇支付及基本养老待遇重新核算工作。及时做好工伤认定工作，开设工伤认定“绿色通道”。配合审计部门，做好养老保险全国审计工作。</w:t>
      </w:r>
    </w:p>
    <w:p>
      <w:pPr>
        <w:autoSpaceDE w:val="0"/>
        <w:autoSpaceDN w:val="0"/>
        <w:adjustRightInd w:val="0"/>
        <w:spacing w:line="600" w:lineRule="exact"/>
        <w:rPr>
          <w:rFonts w:ascii="仿宋_GB2312" w:eastAsia="仿宋_GB2312" w:cs="仿宋_GB2312"/>
          <w:kern w:val="0"/>
          <w:sz w:val="32"/>
          <w:szCs w:val="32"/>
          <w:highlight w:val="white"/>
          <w:lang w:val="zh-CN"/>
        </w:rPr>
      </w:pPr>
      <w:r>
        <w:rPr>
          <w:rFonts w:ascii="仿宋_GB2312" w:eastAsia="仿宋_GB2312" w:cs="仿宋_GB2312"/>
          <w:b/>
          <w:bCs/>
          <w:kern w:val="0"/>
          <w:sz w:val="32"/>
          <w:szCs w:val="32"/>
          <w:lang w:val="zh-CN"/>
        </w:rPr>
        <w:t xml:space="preserve">    </w:t>
      </w:r>
      <w:r>
        <w:rPr>
          <w:rFonts w:hint="eastAsia" w:ascii="仿宋_GB2312" w:eastAsia="仿宋_GB2312" w:cs="仿宋_GB2312"/>
          <w:b/>
          <w:bCs/>
          <w:kern w:val="0"/>
          <w:sz w:val="32"/>
          <w:szCs w:val="32"/>
          <w:lang w:val="zh-CN"/>
        </w:rPr>
        <w:t>（三） 进一步推进人社暖民心行动的实施。</w:t>
      </w:r>
      <w:r>
        <w:rPr>
          <w:rFonts w:hint="eastAsia" w:ascii="仿宋_GB2312" w:eastAsia="仿宋_GB2312" w:cs="仿宋_GB2312"/>
          <w:kern w:val="0"/>
          <w:sz w:val="32"/>
          <w:szCs w:val="32"/>
          <w:highlight w:val="white"/>
          <w:lang w:val="zh-CN"/>
        </w:rPr>
        <w:t>大力宣传民生工程，通过新闻媒体、短信平台等方式，进一步提高群众知晓率和满意度。强化暖民心行动工作实施，着力解决社区（村）“三公里”内困难群体就业不充分、劳动力用工信息不对称等突出问题，进一步发挥政府促进、市场调节就业的作用。加强公益性岗位开发、引导高校毕业生来寿就业。聚焦提升徽菜烹饪水平，开展徽菜职业技能培训；聚焦打造徽菜美食文化品牌，着力将寿州菜打造成代表皖北、淮河两岸风味徽菜美食。</w:t>
      </w:r>
    </w:p>
    <w:p>
      <w:pPr>
        <w:autoSpaceDE w:val="0"/>
        <w:autoSpaceDN w:val="0"/>
        <w:adjustRightInd w:val="0"/>
        <w:spacing w:line="600" w:lineRule="exact"/>
        <w:ind w:firstLine="642"/>
        <w:rPr>
          <w:rFonts w:ascii="仿宋_GB2312" w:eastAsia="仿宋_GB2312" w:cs="仿宋_GB2312"/>
          <w:kern w:val="0"/>
          <w:sz w:val="32"/>
          <w:szCs w:val="32"/>
          <w:lang w:val="zh-CN"/>
        </w:rPr>
      </w:pPr>
      <w:r>
        <w:rPr>
          <w:rFonts w:hint="eastAsia" w:ascii="仿宋_GB2312" w:eastAsia="仿宋_GB2312" w:cs="仿宋_GB2312"/>
          <w:b/>
          <w:bCs/>
          <w:kern w:val="0"/>
          <w:sz w:val="32"/>
          <w:szCs w:val="32"/>
          <w:lang w:val="zh-CN"/>
        </w:rPr>
        <w:t>（四）进一步推进人事人才工作上台阶。</w:t>
      </w:r>
      <w:r>
        <w:rPr>
          <w:rFonts w:hint="eastAsia" w:ascii="仿宋_GB2312" w:eastAsia="仿宋_GB2312" w:cs="仿宋_GB2312"/>
          <w:kern w:val="0"/>
          <w:sz w:val="32"/>
          <w:szCs w:val="32"/>
          <w:highlight w:val="white"/>
          <w:lang w:val="zh-CN"/>
        </w:rPr>
        <w:t>认真做好事业单位岗位设置日常管理工作。加强机关事业单位工作人员的培训和继续教育工作。做好中小学职称制度改革和年度职称评审工作。做好专业技术人员继续教育公需科目培训工作。加强公务员招录、事业单位招聘、机关事业单位公开选调、</w:t>
      </w:r>
      <w:r>
        <w:rPr>
          <w:rFonts w:ascii="仿宋_GB2312" w:eastAsia="仿宋_GB2312" w:cs="仿宋_GB2312"/>
          <w:kern w:val="0"/>
          <w:sz w:val="32"/>
          <w:szCs w:val="32"/>
          <w:highlight w:val="white"/>
          <w:lang w:val="zh-CN"/>
        </w:rPr>
        <w:t>“</w:t>
      </w:r>
      <w:r>
        <w:rPr>
          <w:rFonts w:hint="eastAsia" w:ascii="仿宋_GB2312" w:eastAsia="仿宋_GB2312" w:cs="仿宋_GB2312"/>
          <w:kern w:val="0"/>
          <w:sz w:val="32"/>
          <w:szCs w:val="32"/>
          <w:highlight w:val="white"/>
          <w:lang w:val="zh-CN"/>
        </w:rPr>
        <w:t>三支一扶</w:t>
      </w:r>
      <w:r>
        <w:rPr>
          <w:rFonts w:ascii="仿宋_GB2312" w:eastAsia="仿宋_GB2312" w:cs="仿宋_GB2312"/>
          <w:kern w:val="0"/>
          <w:sz w:val="32"/>
          <w:szCs w:val="32"/>
          <w:highlight w:val="white"/>
          <w:lang w:val="zh-CN"/>
        </w:rPr>
        <w:t>”</w:t>
      </w:r>
      <w:r>
        <w:rPr>
          <w:rFonts w:hint="eastAsia" w:ascii="仿宋_GB2312" w:eastAsia="仿宋_GB2312" w:cs="仿宋_GB2312"/>
          <w:kern w:val="0"/>
          <w:sz w:val="32"/>
          <w:szCs w:val="32"/>
          <w:highlight w:val="white"/>
          <w:lang w:val="zh-CN"/>
        </w:rPr>
        <w:t>高校毕业生招募等工作，统筹推进各类人才队伍建设。继续做好高校毕业生基层特岗、政府购买公益性岗位的人员招聘和服务管理工作。认真做好军转安置工作，及时兑现企业军转干解困待遇。</w:t>
      </w:r>
      <w:r>
        <w:rPr>
          <w:rFonts w:hint="eastAsia" w:ascii="仿宋_GB2312" w:eastAsia="仿宋_GB2312" w:cs="仿宋_GB2312"/>
          <w:kern w:val="0"/>
          <w:sz w:val="32"/>
          <w:szCs w:val="32"/>
          <w:lang w:val="zh-CN"/>
        </w:rPr>
        <w:t>认真做好高校毕业生报到及离校未就业毕业生的就业帮扶工作。</w:t>
      </w:r>
    </w:p>
    <w:p>
      <w:pPr>
        <w:autoSpaceDE w:val="0"/>
        <w:autoSpaceDN w:val="0"/>
        <w:adjustRightInd w:val="0"/>
        <w:spacing w:line="600" w:lineRule="exact"/>
        <w:ind w:firstLine="642"/>
        <w:rPr>
          <w:rFonts w:ascii="仿宋_GB2312" w:eastAsia="仿宋_GB2312" w:cs="仿宋_GB2312"/>
          <w:kern w:val="0"/>
          <w:sz w:val="32"/>
          <w:szCs w:val="32"/>
          <w:lang w:val="zh-CN"/>
        </w:rPr>
      </w:pPr>
      <w:r>
        <w:rPr>
          <w:rFonts w:hint="eastAsia" w:ascii="仿宋_GB2312" w:eastAsia="仿宋_GB2312" w:cs="仿宋_GB2312"/>
          <w:b/>
          <w:bCs/>
          <w:kern w:val="0"/>
          <w:sz w:val="32"/>
          <w:szCs w:val="32"/>
          <w:lang w:val="zh-CN"/>
        </w:rPr>
        <w:t>（五）进一步构建和谐劳动关系。</w:t>
      </w:r>
      <w:r>
        <w:rPr>
          <w:rFonts w:hint="eastAsia" w:ascii="仿宋_GB2312" w:eastAsia="仿宋_GB2312" w:cs="仿宋_GB2312"/>
          <w:kern w:val="0"/>
          <w:sz w:val="32"/>
          <w:szCs w:val="32"/>
          <w:highlight w:val="white"/>
          <w:lang w:val="zh-CN"/>
        </w:rPr>
        <w:t>积极推进劳动合同签订和劳动用工登记备案制度。进一步完善劳动争议调处机制，加强调解仲裁规范化建设。</w:t>
      </w:r>
      <w:r>
        <w:rPr>
          <w:rFonts w:hint="eastAsia" w:ascii="仿宋_GB2312" w:eastAsia="仿宋_GB2312" w:cs="仿宋_GB2312"/>
          <w:kern w:val="0"/>
          <w:sz w:val="32"/>
          <w:szCs w:val="32"/>
          <w:lang w:val="zh-CN"/>
        </w:rPr>
        <w:t>加强对用人单位日常巡查和专项检查工作力度，规范用人单位依法用工行为。推进用人单位劳动保障守法诚信体系建设。进一步加强建设领域农民工实名制管理，努力实现建设领域农民工工资基本无拖欠的目标。</w:t>
      </w:r>
    </w:p>
    <w:p>
      <w:pPr>
        <w:widowControl/>
        <w:shd w:val="clear" w:color="auto" w:fill="FFFFFF"/>
        <w:spacing w:before="105" w:after="105" w:line="600" w:lineRule="exact"/>
        <w:ind w:firstLine="643"/>
        <w:rPr>
          <w:rFonts w:ascii="仿宋_GB2312" w:hAnsi="宋体" w:eastAsia="仿宋_GB2312" w:cs="仿宋_GB2312"/>
          <w:kern w:val="0"/>
          <w:sz w:val="32"/>
          <w:szCs w:val="32"/>
          <w:shd w:val="clear" w:color="auto" w:fill="FFFFFF"/>
          <w:lang w:bidi="ar"/>
        </w:rPr>
      </w:pPr>
      <w:r>
        <w:rPr>
          <w:rFonts w:hint="eastAsia" w:ascii="仿宋_GB2312" w:hAnsi="楷体" w:eastAsia="仿宋_GB2312" w:cs="楷体"/>
          <w:b/>
          <w:bCs/>
          <w:kern w:val="0"/>
          <w:sz w:val="32"/>
          <w:szCs w:val="32"/>
          <w:shd w:val="clear" w:color="auto" w:fill="FFFFFF"/>
          <w:lang w:bidi="ar"/>
        </w:rPr>
        <w:t>（六）公共服务水平进一步提升。</w:t>
      </w:r>
      <w:r>
        <w:rPr>
          <w:rFonts w:hint="eastAsia" w:ascii="仿宋_GB2312" w:hAnsi="宋体" w:eastAsia="仿宋_GB2312" w:cs="仿宋_GB2312"/>
          <w:kern w:val="0"/>
          <w:sz w:val="32"/>
          <w:szCs w:val="32"/>
          <w:shd w:val="clear" w:color="auto" w:fill="FFFFFF"/>
          <w:lang w:bidi="ar"/>
        </w:rPr>
        <w:t>深入推进“互联网+政务服务”。按照政务服务要求，对政务服务事项实施清单重新梳理、编制，录入“互联网+政务服务”平台，认真做好营商环境政务指标提升工作；不断加强窗口日常工作制度化、标准化、精细化管理，严格执行人社系统“五制四公开三亮明”工作制度和规范，实现真诚服务零投诉，时限内办结率为100%。</w:t>
      </w:r>
    </w:p>
    <w:p>
      <w:pPr>
        <w:pStyle w:val="4"/>
        <w:adjustRightInd w:val="0"/>
        <w:snapToGrid w:val="0"/>
        <w:spacing w:line="560" w:lineRule="exact"/>
        <w:ind w:firstLine="707" w:firstLineChars="221"/>
        <w:rPr>
          <w:rFonts w:ascii="TimesNewRoman" w:hAnsi="TimesNewRoman" w:eastAsia="黑体" w:cs="TimesNewRoman"/>
          <w:bCs/>
          <w:sz w:val="36"/>
          <w:szCs w:val="36"/>
        </w:rPr>
      </w:pPr>
      <w:r>
        <w:rPr>
          <w:rFonts w:hint="eastAsia" w:ascii="仿宋_GB2312" w:hAnsi="黑体" w:eastAsia="仿宋_GB2312"/>
          <w:bCs/>
          <w:sz w:val="32"/>
          <w:szCs w:val="32"/>
        </w:rPr>
        <w:t>（七）做好县委县政府交办的其他工作。</w:t>
      </w:r>
    </w:p>
    <w:p>
      <w:pPr>
        <w:pStyle w:val="4"/>
        <w:adjustRightInd w:val="0"/>
        <w:snapToGrid w:val="0"/>
        <w:spacing w:line="560" w:lineRule="exact"/>
        <w:rPr>
          <w:rFonts w:ascii="TimesNewRoman" w:hAnsi="TimesNewRoman" w:eastAsia="黑体" w:cs="TimesNewRoman"/>
          <w:bCs/>
          <w:sz w:val="36"/>
          <w:szCs w:val="36"/>
        </w:rPr>
      </w:pPr>
    </w:p>
    <w:p>
      <w:pPr>
        <w:pStyle w:val="4"/>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 xml:space="preserve">第二部分 </w:t>
      </w:r>
      <w:r>
        <w:rPr>
          <w:rFonts w:hint="eastAsia" w:ascii="TimesNewRoman" w:hAnsi="TimesNewRoman" w:eastAsia="黑体" w:cs="TimesNewRoman"/>
          <w:bCs/>
          <w:sz w:val="36"/>
          <w:szCs w:val="36"/>
        </w:rPr>
        <w:t>2024</w:t>
      </w:r>
      <w:r>
        <w:rPr>
          <w:rFonts w:ascii="TimesNewRoman" w:hAnsi="TimesNewRoman" w:eastAsia="黑体" w:cs="TimesNewRoman"/>
          <w:bCs/>
          <w:sz w:val="36"/>
          <w:szCs w:val="36"/>
        </w:rPr>
        <w:t>年</w:t>
      </w:r>
      <w:r>
        <w:rPr>
          <w:rFonts w:hint="eastAsia" w:ascii="TimesNewRoman" w:hAnsi="TimesNewRoman" w:eastAsia="黑体" w:cs="TimesNewRoman"/>
          <w:bCs/>
          <w:sz w:val="36"/>
          <w:szCs w:val="36"/>
        </w:rPr>
        <w:t>单位</w:t>
      </w:r>
      <w:r>
        <w:rPr>
          <w:rFonts w:ascii="TimesNewRoman" w:hAnsi="TimesNewRoman" w:eastAsia="黑体" w:cs="TimesNewRoman"/>
          <w:bCs/>
          <w:sz w:val="36"/>
          <w:szCs w:val="36"/>
        </w:rPr>
        <w:t>预算表</w:t>
      </w:r>
    </w:p>
    <w:p>
      <w:pPr>
        <w:pStyle w:val="4"/>
        <w:topLinePunct/>
        <w:adjustRightInd w:val="0"/>
        <w:snapToGrid w:val="0"/>
        <w:spacing w:beforeAutospacing="0" w:afterAutospacing="0" w:line="560" w:lineRule="exact"/>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  </w:t>
      </w:r>
      <w:r>
        <w:rPr>
          <w:rFonts w:hint="eastAsia" w:cs="TimesNewRoman" w:asciiTheme="majorEastAsia" w:hAnsiTheme="majorEastAsia" w:eastAsiaTheme="majorEastAsia"/>
          <w:bCs/>
          <w:sz w:val="32"/>
          <w:szCs w:val="32"/>
        </w:rPr>
        <w:t xml:space="preserve">   </w:t>
      </w:r>
      <w:r>
        <w:rPr>
          <w:rFonts w:hint="eastAsia" w:ascii="仿宋_GB2312" w:hAnsi="仿宋" w:eastAsia="仿宋_GB2312"/>
          <w:bCs/>
          <w:sz w:val="32"/>
          <w:szCs w:val="32"/>
        </w:rPr>
        <w:t xml:space="preserve"> 2024年单位预算公开表由11张表格构成，具体表格内容见附表3</w:t>
      </w:r>
    </w:p>
    <w:p>
      <w:pPr>
        <w:pStyle w:val="4"/>
        <w:topLinePunct/>
        <w:adjustRightInd w:val="0"/>
        <w:snapToGrid w:val="0"/>
        <w:spacing w:beforeAutospacing="0" w:afterAutospacing="0" w:line="560" w:lineRule="exact"/>
        <w:jc w:val="center"/>
        <w:rPr>
          <w:rFonts w:ascii="TimesNewRoman" w:hAnsi="TimesNewRoman" w:eastAsia="黑体" w:cs="TimesNewRoman"/>
          <w:bCs/>
          <w:sz w:val="36"/>
          <w:szCs w:val="36"/>
        </w:rPr>
      </w:pPr>
    </w:p>
    <w:p>
      <w:pPr>
        <w:pStyle w:val="4"/>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 xml:space="preserve">第三部分 </w:t>
      </w:r>
      <w:r>
        <w:rPr>
          <w:rFonts w:hint="eastAsia" w:ascii="TimesNewRoman" w:hAnsi="TimesNewRoman" w:eastAsia="黑体" w:cs="TimesNewRoman"/>
          <w:bCs/>
          <w:sz w:val="36"/>
          <w:szCs w:val="36"/>
        </w:rPr>
        <w:t>2024</w:t>
      </w:r>
      <w:r>
        <w:rPr>
          <w:rFonts w:ascii="TimesNewRoman" w:hAnsi="TimesNewRoman" w:eastAsia="黑体" w:cs="TimesNewRoman"/>
          <w:bCs/>
          <w:sz w:val="36"/>
          <w:szCs w:val="36"/>
        </w:rPr>
        <w:t>年</w:t>
      </w:r>
      <w:r>
        <w:rPr>
          <w:rFonts w:hint="eastAsia" w:ascii="TimesNewRoman" w:hAnsi="TimesNewRoman" w:eastAsia="黑体" w:cs="TimesNewRoman"/>
          <w:bCs/>
          <w:sz w:val="36"/>
          <w:szCs w:val="36"/>
        </w:rPr>
        <w:t>单位</w:t>
      </w:r>
      <w:r>
        <w:rPr>
          <w:rFonts w:ascii="TimesNewRoman" w:hAnsi="TimesNewRoman" w:eastAsia="黑体" w:cs="TimesNewRoman"/>
          <w:bCs/>
          <w:sz w:val="36"/>
          <w:szCs w:val="36"/>
        </w:rPr>
        <w:t>预算情况说明</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一、关于2024年收支总表的说明</w:t>
      </w:r>
    </w:p>
    <w:p>
      <w:pPr>
        <w:pStyle w:val="4"/>
        <w:topLinePunct/>
        <w:adjustRightInd w:val="0"/>
        <w:snapToGrid w:val="0"/>
        <w:spacing w:beforeAutospacing="0" w:afterAutospacing="0" w:line="580" w:lineRule="exact"/>
        <w:ind w:firstLine="627" w:firstLineChars="196"/>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按照综合预算的原则，寿县人社局本级所有收入和支出均纳入单位预算管理。寿县人社局本级2024年收支总预算652.31万元，收入全部是一般公共预算拨款收入。支出包括社会保障和就业支出、卫生健康支出、住房保障支出。</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二、关于2024年收入总表的说明</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kern w:val="0"/>
          <w:sz w:val="32"/>
          <w:szCs w:val="32"/>
        </w:rPr>
        <w:t>寿县人社局本级</w:t>
      </w:r>
      <w:r>
        <w:rPr>
          <w:rFonts w:hint="eastAsia" w:ascii="仿宋_GB2312" w:hAnsi="TimesNewRoman" w:eastAsia="仿宋_GB2312" w:cs="TimesNewRoman"/>
          <w:sz w:val="32"/>
          <w:szCs w:val="32"/>
        </w:rPr>
        <w:t>2024年收入预算652.31万元，其中，本年收入652.31万元，上年结转收入0万元。</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（一）本年收入652.31万元，收入全部为一般公共预算拨款收入652.31万元，比2023年预算减少0.37万元，下降0.056%，下降原因主要是项目预算收入较上年减少。</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（二）上年结转收入0万元，主要包括：一般公共预算拨款收入0万元，占0%，比2023年预算增加0万元。</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三、关于2024年支出总表的说明</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寿县人社局本级2024年支出预算652.31万元，比2023年预算减少0.37万元，下降0.056%，下降原因主要是项目预算支出财政拨款减少。其中，基本支出483.83万元，占74.17%，主要用于保障机构日常运转、完成日常工作任务所需要的资金支出；项目支出268.48万元，占25.83%，主要用于专项业务工作发生的经费支出。</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四、关于2024年财政拨款收支总表的说明</w:t>
      </w:r>
    </w:p>
    <w:p>
      <w:pPr>
        <w:pStyle w:val="4"/>
        <w:topLinePunct/>
        <w:adjustRightInd w:val="0"/>
        <w:snapToGrid w:val="0"/>
        <w:spacing w:beforeAutospacing="0" w:afterAutospacing="0" w:line="580" w:lineRule="exact"/>
        <w:ind w:firstLine="640" w:firstLineChars="200"/>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寿县人社局2024年财政拨款收支预算652.31万元。收入按资金来源分全部为一般公共预算拨款。按资金年度分全部为当年财政拨款收入。支出按功能分类分为：社会保障和就业支出598.78万元，占91.79%；卫生健康支出21.92万元，占3.36%；住房保障支出31.61万元，占4.85%。</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五、关于2024年一般公共预算支出表的说明</w:t>
      </w:r>
    </w:p>
    <w:p>
      <w:pPr>
        <w:pStyle w:val="4"/>
        <w:topLinePunct/>
        <w:adjustRightInd w:val="0"/>
        <w:snapToGrid w:val="0"/>
        <w:spacing w:beforeAutospacing="0" w:afterAutospacing="0" w:line="580" w:lineRule="exact"/>
        <w:ind w:firstLine="630" w:firstLineChars="196"/>
        <w:jc w:val="both"/>
        <w:rPr>
          <w:rFonts w:ascii="仿宋_GB2312" w:hAnsi="TimesNewRoman" w:eastAsia="仿宋_GB2312" w:cs="TimesNewRoman"/>
          <w:b/>
          <w:sz w:val="32"/>
          <w:szCs w:val="32"/>
        </w:rPr>
      </w:pPr>
      <w:r>
        <w:rPr>
          <w:rFonts w:hint="eastAsia" w:ascii="仿宋_GB2312" w:hAnsi="TimesNewRoman" w:eastAsia="仿宋_GB2312" w:cs="TimesNewRoman"/>
          <w:b/>
          <w:sz w:val="32"/>
          <w:szCs w:val="32"/>
        </w:rPr>
        <w:t>（一）一般公共预算支出规模变化情况。</w:t>
      </w:r>
    </w:p>
    <w:p>
      <w:pPr>
        <w:pStyle w:val="4"/>
        <w:topLinePunct/>
        <w:adjustRightInd w:val="0"/>
        <w:snapToGrid w:val="0"/>
        <w:spacing w:beforeAutospacing="0" w:afterAutospacing="0" w:line="580" w:lineRule="exact"/>
        <w:ind w:firstLine="627" w:firstLineChars="196"/>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寿县人社局2024年一般公共预算支出652.31万元，比2023年预算减少0.37万元，下降0.056%，主要原因：一是工作人员较上年减少1人，人员经费和定额公用经费比上年下降；二是本年退休人员增加生活补贴纳入预算，而上年未纳入预算，本年人员经费增加。三是项目资金预算较上年下降。</w:t>
      </w:r>
    </w:p>
    <w:p>
      <w:pPr>
        <w:pStyle w:val="4"/>
        <w:topLinePunct/>
        <w:adjustRightInd w:val="0"/>
        <w:snapToGrid w:val="0"/>
        <w:spacing w:beforeAutospacing="0" w:afterAutospacing="0" w:line="580" w:lineRule="exact"/>
        <w:ind w:firstLine="630" w:firstLineChars="196"/>
        <w:jc w:val="both"/>
        <w:rPr>
          <w:rFonts w:ascii="仿宋_GB2312" w:hAnsi="TimesNewRoman" w:eastAsia="仿宋_GB2312" w:cs="TimesNewRoman"/>
          <w:b/>
          <w:sz w:val="32"/>
          <w:szCs w:val="32"/>
        </w:rPr>
      </w:pPr>
      <w:r>
        <w:rPr>
          <w:rFonts w:hint="eastAsia" w:ascii="仿宋_GB2312" w:hAnsi="TimesNewRoman" w:eastAsia="仿宋_GB2312" w:cs="TimesNewRoman"/>
          <w:b/>
          <w:sz w:val="32"/>
          <w:szCs w:val="32"/>
        </w:rPr>
        <w:t>（二）一般公共预算支出结构情况。</w:t>
      </w:r>
    </w:p>
    <w:p>
      <w:pPr>
        <w:pStyle w:val="4"/>
        <w:topLinePunct/>
        <w:adjustRightInd w:val="0"/>
        <w:snapToGrid w:val="0"/>
        <w:spacing w:beforeAutospacing="0" w:afterAutospacing="0" w:line="580" w:lineRule="exact"/>
        <w:ind w:firstLine="640" w:firstLineChars="200"/>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社会保障和就业支出598.78万元，占91.79%；卫生健康支出21.92万元，占3.36%；住房保障支出31.61万元，占4.85%。</w:t>
      </w:r>
    </w:p>
    <w:p>
      <w:pPr>
        <w:topLinePunct/>
        <w:adjustRightInd w:val="0"/>
        <w:snapToGrid w:val="0"/>
        <w:spacing w:line="58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（三）一般公共预算支出具体使用情况。</w:t>
      </w:r>
    </w:p>
    <w:p>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1.社会保障和就业支出（类）人力资源和社会保障管理事务（款）行政运行（项）</w:t>
      </w:r>
      <w:r>
        <w:rPr>
          <w:rFonts w:hint="eastAsia" w:ascii="仿宋_GB2312" w:hAnsi="TimesNewRoman" w:eastAsia="仿宋_GB2312" w:cs="TimesNewRoman"/>
          <w:sz w:val="32"/>
          <w:szCs w:val="32"/>
        </w:rPr>
        <w:t>2024年预算294.88万元，比2023年预算减少104.13万元，下降26.1%，下降原因主要一是行政运行项目资金比上年下降76.4万；二是基本支出人员经费比上年下降23.4万元。</w:t>
      </w:r>
    </w:p>
    <w:p>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2.社会保障和就业支出（类）人力资源和社会保障管理事务（款）劳动保障监察（项）</w:t>
      </w:r>
      <w:r>
        <w:rPr>
          <w:rFonts w:hint="eastAsia" w:ascii="仿宋_GB2312" w:hAnsi="TimesNewRoman" w:eastAsia="仿宋_GB2312" w:cs="TimesNewRoman"/>
          <w:sz w:val="32"/>
          <w:szCs w:val="32"/>
        </w:rPr>
        <w:t>2024年预算11.4万元，比2023年预算减少5.6万元，下降32.9%，下降原因主要是上年劳动监察经费安排购置小车1辆。</w:t>
      </w:r>
    </w:p>
    <w:p>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3.社会保障和就业支出（类）人力资源和社会保障管理事务（款）就业管理事务（项）</w:t>
      </w:r>
      <w:r>
        <w:rPr>
          <w:rFonts w:hint="eastAsia" w:ascii="仿宋_GB2312" w:hAnsi="TimesNewRoman" w:eastAsia="仿宋_GB2312" w:cs="TimesNewRoman"/>
          <w:sz w:val="32"/>
          <w:szCs w:val="32"/>
        </w:rPr>
        <w:t>2024年预算8.64万元，比2023年预算增加8.64万元，增长100%，增长原因主要是上年未安排此项预算。</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4.</w:t>
      </w:r>
      <w:r>
        <w:rPr>
          <w:rFonts w:hint="eastAsia" w:ascii="仿宋_GB2312" w:hAnsi="TimesNewRoman" w:eastAsia="仿宋_GB2312" w:cs="TimesNewRoman"/>
          <w:b/>
          <w:sz w:val="32"/>
          <w:szCs w:val="32"/>
        </w:rPr>
        <w:t xml:space="preserve"> 社会保障和就业支出（类）人力资源和社会保障管理事务（款）信息化建设（项）</w:t>
      </w:r>
      <w:r>
        <w:rPr>
          <w:rFonts w:hint="eastAsia" w:ascii="仿宋_GB2312" w:hAnsi="TimesNewRoman" w:eastAsia="仿宋_GB2312" w:cs="TimesNewRoman"/>
          <w:sz w:val="32"/>
          <w:szCs w:val="32"/>
        </w:rPr>
        <w:t>2024年预算30万元，比2023年预算增加0万元，增长0%，增长原因主要是本年与上年安排金额相同。</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5.</w:t>
      </w:r>
      <w:r>
        <w:rPr>
          <w:rFonts w:hint="eastAsia" w:ascii="仿宋_GB2312" w:hAnsi="TimesNewRoman" w:eastAsia="仿宋_GB2312" w:cs="TimesNewRoman"/>
          <w:b/>
          <w:sz w:val="32"/>
          <w:szCs w:val="32"/>
        </w:rPr>
        <w:t xml:space="preserve"> 社会保障和就业支出（类）人力资源和社会保障管理事务（款）社会保险经办机构（项）</w:t>
      </w:r>
      <w:r>
        <w:rPr>
          <w:rFonts w:hint="eastAsia" w:ascii="仿宋_GB2312" w:hAnsi="TimesNewRoman" w:eastAsia="仿宋_GB2312" w:cs="TimesNewRoman"/>
          <w:sz w:val="32"/>
          <w:szCs w:val="32"/>
        </w:rPr>
        <w:t>2024年预算103.39万元，比2023年预算增加28.55万元，增长38.1%，增长要是基本支出人员经费增加；二是项目支出增加。</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6.</w:t>
      </w:r>
      <w:r>
        <w:rPr>
          <w:rFonts w:hint="eastAsia" w:ascii="仿宋_GB2312" w:hAnsi="TimesNewRoman" w:eastAsia="仿宋_GB2312" w:cs="TimesNewRoman"/>
          <w:b/>
          <w:sz w:val="32"/>
          <w:szCs w:val="32"/>
        </w:rPr>
        <w:t xml:space="preserve"> 社会保障和就业支出（类）人力资源和社会保障管理事务（款）劳动人事争议仲裁调解（项）</w:t>
      </w:r>
      <w:r>
        <w:rPr>
          <w:rFonts w:hint="eastAsia" w:ascii="仿宋_GB2312" w:hAnsi="TimesNewRoman" w:eastAsia="仿宋_GB2312" w:cs="TimesNewRoman"/>
          <w:sz w:val="32"/>
          <w:szCs w:val="32"/>
        </w:rPr>
        <w:t>2024年预算6.08万元，比2023年预算减少0.32万元，下降5%，下降原因主要是压缩该项费用5%。</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7.</w:t>
      </w:r>
      <w:r>
        <w:rPr>
          <w:rFonts w:hint="eastAsia" w:ascii="仿宋_GB2312" w:hAnsi="TimesNewRoman" w:eastAsia="仿宋_GB2312" w:cs="TimesNewRoman"/>
          <w:b/>
          <w:sz w:val="32"/>
          <w:szCs w:val="32"/>
        </w:rPr>
        <w:t xml:space="preserve"> 社会保障和就业支出（类）人力资源和社会保障管理事务（款）其他人力资源和社会保障管理事务（项）</w:t>
      </w:r>
      <w:r>
        <w:rPr>
          <w:rFonts w:hint="eastAsia" w:ascii="仿宋_GB2312" w:hAnsi="TimesNewRoman" w:eastAsia="仿宋_GB2312" w:cs="TimesNewRoman"/>
          <w:sz w:val="32"/>
          <w:szCs w:val="32"/>
        </w:rPr>
        <w:t>2024年预算24.2万元，比2023年预算增加19.2万元，增长384%，增长原因主要是本年安排项目预算比上年增加19.2万元。</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8.</w:t>
      </w:r>
      <w:r>
        <w:rPr>
          <w:rFonts w:hint="eastAsia" w:ascii="仿宋_GB2312" w:hAnsi="TimesNewRoman" w:eastAsia="仿宋_GB2312" w:cs="TimesNewRoman"/>
          <w:b/>
          <w:sz w:val="32"/>
          <w:szCs w:val="32"/>
        </w:rPr>
        <w:t xml:space="preserve"> 社会保障和就业支出（类）行政事业单位养老保险支出（款）行政单位离退休（项）</w:t>
      </w:r>
      <w:r>
        <w:rPr>
          <w:rFonts w:hint="eastAsia" w:ascii="仿宋_GB2312" w:hAnsi="TimesNewRoman" w:eastAsia="仿宋_GB2312" w:cs="TimesNewRoman"/>
          <w:sz w:val="32"/>
          <w:szCs w:val="32"/>
        </w:rPr>
        <w:t>2024年预算56.96万元，比2023年预算增加56.96万元，增长100%，主要原因是本年退休人员增加生活补贴纳入预算。</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 xml:space="preserve"> 9.</w:t>
      </w:r>
      <w:r>
        <w:rPr>
          <w:rFonts w:hint="eastAsia" w:ascii="仿宋_GB2312" w:hAnsi="TimesNewRoman" w:eastAsia="仿宋_GB2312" w:cs="TimesNewRoman"/>
          <w:b/>
          <w:sz w:val="32"/>
          <w:szCs w:val="32"/>
        </w:rPr>
        <w:t xml:space="preserve"> 社会保障和就业支出（类）行政事业单位养老保险支出（款）机关事业单位基本养老保险缴费支出（项）</w:t>
      </w:r>
      <w:r>
        <w:rPr>
          <w:rFonts w:hint="eastAsia" w:ascii="仿宋_GB2312" w:hAnsi="TimesNewRoman" w:eastAsia="仿宋_GB2312" w:cs="TimesNewRoman"/>
          <w:sz w:val="32"/>
          <w:szCs w:val="32"/>
        </w:rPr>
        <w:t>2024年预算42.15万元，比2023年预算减少33万元，下降44%，下降因主要是上年该项目包括三支一扶人员社保缴费28.5万。</w:t>
      </w:r>
    </w:p>
    <w:p>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10.社会保障和就业支出（类）行政事业单位养老保险支出（款）机关事业单位职业年金缴费支出（项）</w:t>
      </w:r>
      <w:r>
        <w:rPr>
          <w:rFonts w:hint="eastAsia" w:ascii="仿宋_GB2312" w:hAnsi="TimesNewRoman" w:eastAsia="仿宋_GB2312" w:cs="TimesNewRoman"/>
          <w:sz w:val="32"/>
          <w:szCs w:val="32"/>
        </w:rPr>
        <w:t>2024年预算21.08万元，比2023年预算减少2.32万元，下降9.6%，下降原因主要是上年工资总额比本年高。</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11.</w:t>
      </w:r>
      <w:r>
        <w:rPr>
          <w:rFonts w:hint="eastAsia" w:ascii="仿宋_GB2312" w:hAnsi="TimesNewRoman" w:eastAsia="仿宋_GB2312" w:cs="TimesNewRoman"/>
          <w:b/>
          <w:sz w:val="32"/>
          <w:szCs w:val="32"/>
        </w:rPr>
        <w:t xml:space="preserve"> 卫生健康支出（类）行政事业单位医疗（款）行政单位医疗（项）</w:t>
      </w:r>
      <w:r>
        <w:rPr>
          <w:rFonts w:hint="eastAsia" w:ascii="仿宋_GB2312" w:hAnsi="TimesNewRoman" w:eastAsia="仿宋_GB2312" w:cs="TimesNewRoman"/>
          <w:sz w:val="32"/>
          <w:szCs w:val="32"/>
        </w:rPr>
        <w:t>2024年预算8.03万元，比2023年预算减少2.48万元，下降23.5%，下降原因主要是上年工资总额比本年高。</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12.</w:t>
      </w:r>
      <w:r>
        <w:rPr>
          <w:rFonts w:hint="eastAsia" w:ascii="仿宋_GB2312" w:hAnsi="TimesNewRoman" w:eastAsia="仿宋_GB2312" w:cs="TimesNewRoman"/>
          <w:b/>
          <w:sz w:val="32"/>
          <w:szCs w:val="32"/>
        </w:rPr>
        <w:t>卫生健康支出（类）行政事业单位医疗（款）事业单位医疗（项）</w:t>
      </w:r>
      <w:r>
        <w:rPr>
          <w:rFonts w:hint="eastAsia" w:ascii="仿宋_GB2312" w:hAnsi="TimesNewRoman" w:eastAsia="仿宋_GB2312" w:cs="TimesNewRoman"/>
          <w:sz w:val="32"/>
          <w:szCs w:val="32"/>
        </w:rPr>
        <w:t>2024年预算5.62万元，比2023年预算增加0.7万元，增长14.2%，增长原因主要是事业人员新增加2人。</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13.</w:t>
      </w:r>
      <w:r>
        <w:rPr>
          <w:rFonts w:hint="eastAsia" w:ascii="仿宋_GB2312" w:hAnsi="TimesNewRoman" w:eastAsia="仿宋_GB2312" w:cs="TimesNewRoman"/>
          <w:b/>
          <w:sz w:val="32"/>
          <w:szCs w:val="32"/>
        </w:rPr>
        <w:t xml:space="preserve"> 卫生健康支出（类）行政事业单位医疗（款）公务员医疗补助（项）</w:t>
      </w:r>
      <w:r>
        <w:rPr>
          <w:rFonts w:hint="eastAsia" w:ascii="仿宋_GB2312" w:hAnsi="TimesNewRoman" w:eastAsia="仿宋_GB2312" w:cs="TimesNewRoman"/>
          <w:sz w:val="32"/>
          <w:szCs w:val="32"/>
        </w:rPr>
        <w:t>2024年预算8.27万元，比2023年预算增加1.12万元，增长15.66%，增长原因主要是2024年，按新调整基数预算公务员医疗补助金</w:t>
      </w:r>
    </w:p>
    <w:p>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14.住房保障支出（类）住房改革支出（款）住房公积金（项）</w:t>
      </w:r>
      <w:r>
        <w:rPr>
          <w:rFonts w:hint="eastAsia" w:ascii="仿宋_GB2312" w:hAnsi="TimesNewRoman" w:eastAsia="仿宋_GB2312" w:cs="TimesNewRoman"/>
          <w:sz w:val="32"/>
          <w:szCs w:val="32"/>
        </w:rPr>
        <w:t>2024年预算31.61万元，比2023年预算减少3.37万元，下降9.63%，下降原因主要是上年工资总额比本年高。</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六、关于2024年一般公共预算基本支出表的说明</w:t>
      </w:r>
    </w:p>
    <w:p>
      <w:pPr>
        <w:topLinePunct/>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寿县人社局2024年一般公共预算基本支出483.83万元，其中，人员经费443.94万元，公用经费39.88万元。</w:t>
      </w:r>
    </w:p>
    <w:p>
      <w:pPr>
        <w:topLinePunct/>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一）人员经费443.94万元，主要包括:基本工资、津贴补贴、奖金、绩效工资、机关事业单位基本养老保险费、职业年金缴费、职工基本医疗保险缴费、公务员医疗补助缴费、其他社会保障缴费、住房公积金、医疗费、其他工资福利支出、离休费、退休费、对其他个人和家庭的补助支出。</w:t>
      </w:r>
    </w:p>
    <w:p>
      <w:pPr>
        <w:topLinePunct/>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（二）公用经费39.88万元，主要包括：办公费、差旅费、会议费、培训费、公务接待费、工会经费、公务用车运行维护费、其他交通费用。</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七、关于2024年政府性基金预算支出表的说明</w:t>
      </w:r>
    </w:p>
    <w:p>
      <w:pPr>
        <w:pStyle w:val="4"/>
        <w:topLinePunct/>
        <w:adjustRightInd w:val="0"/>
        <w:snapToGrid w:val="0"/>
        <w:spacing w:beforeAutospacing="0" w:afterAutospacing="0" w:line="580" w:lineRule="exact"/>
        <w:ind w:firstLine="640" w:firstLineChars="200"/>
        <w:jc w:val="both"/>
        <w:rPr>
          <w:rFonts w:ascii="楷体_GB2312" w:hAnsi="TimesNewRoman" w:eastAsia="楷体_GB2312" w:cs="TimesNewRoman"/>
          <w:b/>
          <w:sz w:val="32"/>
          <w:szCs w:val="32"/>
        </w:rPr>
      </w:pPr>
      <w:r>
        <w:rPr>
          <w:rFonts w:hint="eastAsia" w:ascii="仿宋_GB2312" w:hAnsi="TimesNewRoman" w:eastAsia="仿宋_GB2312" w:cs="TimesNewRoman"/>
          <w:sz w:val="32"/>
          <w:szCs w:val="32"/>
        </w:rPr>
        <w:t>寿县人社局2024年没有政府性基金预算拨款收入，也没有使用政府性基金预算拨款安排的支出。</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八、关于2024年国有资本经营预算支出表的说明</w:t>
      </w:r>
    </w:p>
    <w:p>
      <w:pPr>
        <w:pStyle w:val="4"/>
        <w:topLinePunct/>
        <w:adjustRightInd w:val="0"/>
        <w:snapToGrid w:val="0"/>
        <w:spacing w:beforeAutospacing="0" w:afterAutospacing="0" w:line="580" w:lineRule="exact"/>
        <w:ind w:firstLine="640" w:firstLineChars="200"/>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寿县人社局2024年没有国有资本经营预算拨款收入，也没有使用国有资本经营预算拨款安排的支出。</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九、关于2024年项目支出表的说明</w:t>
      </w:r>
    </w:p>
    <w:p>
      <w:pPr>
        <w:pStyle w:val="4"/>
        <w:topLinePunct/>
        <w:adjustRightInd w:val="0"/>
        <w:snapToGrid w:val="0"/>
        <w:spacing w:beforeAutospacing="0" w:afterAutospacing="0" w:line="580" w:lineRule="exact"/>
        <w:ind w:firstLine="640" w:firstLineChars="200"/>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寿县人社局2024年预算共安排项目支出168.48万元，比2023年预算减少31.82万元，下降15.89%，下降原因主要是一县财政统一压缩项目预算支出；二是上年完成的项目，本年未安排资金。主要包括：本年财政拨款安排168.48万元（其中，一般公共预算拨款安排168.48万元，政府性基金预算拨款安排0万元，国有资本经营预算拨款安排0万元），财政拨款上年结转安排0万元（其中，一般公共预算拨款安排0万元，政府性基金预算拨款安排0万元，国有资本经营预算拨款安排0万元）、财政专户管理资金安排0万元和单位资金安排0万元。</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十、关于2024年政府采购支出表的说明</w:t>
      </w:r>
    </w:p>
    <w:p>
      <w:pPr>
        <w:pStyle w:val="4"/>
        <w:topLinePunct/>
        <w:adjustRightInd w:val="0"/>
        <w:snapToGrid w:val="0"/>
        <w:spacing w:beforeAutospacing="0" w:afterAutospacing="0" w:line="580" w:lineRule="exact"/>
        <w:ind w:firstLine="640" w:firstLineChars="200"/>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寿县人社局2024年预算安排政府采购支出8万元，比2023年预算减少14万元，下降63.6%，下降原因主要上年政府采购新车一辆，价值17万元。其中，一般公共预算安排8万元，占100%；政府性基金预算安排0万元，占0%；国有资本经营预算安排0万元，占0%；财政专户管理资金安排0万元，占0%；单位资金安排0万元，占0%。</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十一、关于2024年政府购买服务支出表的说明</w:t>
      </w:r>
    </w:p>
    <w:p>
      <w:pPr>
        <w:pStyle w:val="4"/>
        <w:topLinePunct/>
        <w:adjustRightInd w:val="0"/>
        <w:snapToGrid w:val="0"/>
        <w:spacing w:beforeAutospacing="0" w:afterAutospacing="0" w:line="580" w:lineRule="exact"/>
        <w:ind w:firstLine="640" w:firstLineChars="200"/>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寿县人社局2024年没有安排政府购买服务支出。</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十二、其他重要事项情况说明</w:t>
      </w:r>
    </w:p>
    <w:p>
      <w:pPr>
        <w:topLinePunct/>
        <w:adjustRightInd w:val="0"/>
        <w:snapToGrid w:val="0"/>
        <w:spacing w:line="58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（一）项目及绩效目标情况。</w:t>
      </w:r>
    </w:p>
    <w:p>
      <w:pPr>
        <w:topLinePunct/>
        <w:adjustRightInd w:val="0"/>
        <w:snapToGrid w:val="0"/>
        <w:spacing w:line="58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1.“人社与劳动工作经费”项目。</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（1）项目概述。为完成人社部门各专项工作所需经费，推动人社事业高质量发展，不断创新人力资源和社会保障服务能力，提供优质公共服务产品，进一步提升人民群众获得感和幸福感。</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2）立项依据。《中华人民共和国劳动争议调解仲裁法》、《劳动监察条例》、《中华人民共和国社会保险法》第七十二条规定.2.《六安市社会保险费征缴暂行办法》、省政府令第247号工伤保险条例、《安徽省工伤保险专项经费管理暂行办法》（劳社秘〔2008〕249号）、《淮南市实施工伤保险条例细则》淮府（2004）120号</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（3）实施主体。寿县人社局相关股室和单位</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（4）起止时间。2024.1-2024.12</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5）项目内容。一是开展劳动保障行政执法检查，大力清欠建筑施工企业拖欠农民工工资的行为。二是开展劳动人事争议仲裁工作，按规定发放办案补贴。三是做好人事档案管理工作。四是做好工伤调查和认定工作。五是开展社会保险费征收和欠费补缴的审核工作。五是开展职业培训和鉴定工作。六是做好机关事业单位人事考试工作。</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（6）年度预算安排。预算安排资金138.68万元。</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（7）绩效目标。见附件四（1）。</w:t>
      </w:r>
    </w:p>
    <w:p>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2.“三支一扶高校毕业生社保费及工作经费”项目。</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1）项目概述。为鼓励高校毕业生到农村基层从事支农、支教、支医和扶贫工作，解决高校毕业生就业问题，服务期2年，在服务期内，为高校毕业生发放生活补助费、缴纳社会保险费、安家费，做好毕业生招募、考核和入编工作。</w:t>
      </w:r>
    </w:p>
    <w:p>
      <w:pPr>
        <w:topLinePunct/>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（2）立项依据。《关于组织开展高校毕业生到农村基层从事支教、支农、支医和扶贫工作的通知》（国人部发[2006]16号）《关于切实保障三支一扶高校毕业生生活待遇有关问题的通知》（财社2010]1695号。</w:t>
      </w:r>
    </w:p>
    <w:p>
      <w:pPr>
        <w:topLinePunct/>
        <w:spacing w:line="560" w:lineRule="exact"/>
        <w:ind w:firstLine="640" w:firstLineChars="200"/>
        <w:rPr>
          <w:rFonts w:ascii="仿宋_GB2312" w:hAnsi="TimesNewRoman" w:eastAsia="仿宋_GB2312" w:cs="TimesNewRoman"/>
          <w:sz w:val="32"/>
          <w:szCs w:val="32"/>
          <w:u w:val="single"/>
        </w:rPr>
      </w:pPr>
      <w:r>
        <w:rPr>
          <w:rFonts w:hint="eastAsia" w:ascii="仿宋_GB2312" w:hAnsi="TimesNewRoman" w:eastAsia="仿宋_GB2312" w:cs="TimesNewRoman"/>
          <w:sz w:val="32"/>
          <w:szCs w:val="32"/>
        </w:rPr>
        <w:t>（3）实施主体。寿县人社局相关股室。</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（4）起止时间。2024.1-2024.12。</w:t>
      </w:r>
    </w:p>
    <w:p>
      <w:pPr>
        <w:topLinePunct/>
        <w:spacing w:line="560" w:lineRule="exact"/>
        <w:ind w:firstLine="640" w:firstLineChars="200"/>
        <w:rPr>
          <w:rFonts w:ascii="仿宋_GB2312" w:hAnsi="TimesNewRoman" w:eastAsia="仿宋_GB2312" w:cs="TimesNewRoman"/>
          <w:bCs/>
          <w:sz w:val="32"/>
          <w:szCs w:val="32"/>
        </w:rPr>
      </w:pPr>
      <w:r>
        <w:rPr>
          <w:rFonts w:hint="eastAsia" w:ascii="仿宋_GB2312" w:hAnsi="TimesNewRoman" w:eastAsia="仿宋_GB2312" w:cs="TimesNewRoman"/>
          <w:sz w:val="32"/>
          <w:szCs w:val="32"/>
        </w:rPr>
        <w:t>（5）项目内容。一是为“三支一扶”人员缴纳各项社保费。二是做好“三支一扶”人员的管理工作。主要包括招募、考察、体检、对接、考核、入编等工作。</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（6）年度预算安排。财政安排29.8万元。</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（7）绩效目标。见附件四（2）。</w:t>
      </w:r>
    </w:p>
    <w:p>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（二）机关运行经费。</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kern w:val="0"/>
          <w:sz w:val="32"/>
          <w:szCs w:val="32"/>
        </w:rPr>
        <w:t>寿县人社局</w:t>
      </w:r>
      <w:r>
        <w:rPr>
          <w:rFonts w:hint="eastAsia" w:ascii="仿宋_GB2312" w:hAnsi="TimesNewRoman" w:eastAsia="仿宋_GB2312" w:cs="TimesNewRoman"/>
          <w:sz w:val="32"/>
          <w:szCs w:val="32"/>
        </w:rPr>
        <w:t>2024年机关运行经费财政拨款预算38.1万元，比2023年预算减少34.72万元，增长9.7%，增长的主要原因是办公费用比上年安排增加。</w:t>
      </w:r>
    </w:p>
    <w:p>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（三）政府采购情况。</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kern w:val="0"/>
          <w:sz w:val="32"/>
          <w:szCs w:val="32"/>
        </w:rPr>
        <w:t>寿县人社局</w:t>
      </w:r>
      <w:r>
        <w:rPr>
          <w:rFonts w:hint="eastAsia" w:ascii="仿宋_GB2312" w:hAnsi="TimesNewRoman" w:eastAsia="仿宋_GB2312" w:cs="TimesNewRoman"/>
          <w:sz w:val="32"/>
          <w:szCs w:val="32"/>
        </w:rPr>
        <w:t>2024年政府采购预算8万元。其中：政府采购货物预算8万元，政府采购工程预算0万元，政府采购服务预算0万元。</w:t>
      </w:r>
    </w:p>
    <w:p>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（四）国有资产占有使用情况。</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截至2023年12月31日，</w:t>
      </w:r>
      <w:r>
        <w:rPr>
          <w:rFonts w:hint="eastAsia" w:ascii="仿宋_GB2312" w:hAnsi="TimesNewRoman" w:eastAsia="仿宋_GB2312" w:cs="TimesNewRoman"/>
          <w:kern w:val="0"/>
          <w:sz w:val="32"/>
          <w:szCs w:val="32"/>
        </w:rPr>
        <w:t>寿县人社局</w:t>
      </w:r>
      <w:r>
        <w:rPr>
          <w:rFonts w:hint="eastAsia" w:ascii="仿宋_GB2312" w:hAnsi="TimesNewRoman" w:eastAsia="仿宋_GB2312" w:cs="TimesNewRoman"/>
          <w:sz w:val="32"/>
          <w:szCs w:val="32"/>
        </w:rPr>
        <w:t>共有车辆1辆，其中：其他用车1辆。单价50万元以上的通用设备0台（套），单价100万元以上的专用设备0台（套）。</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2024年寿县预算安排购置公务用车0辆，购置费0万元，安排购置单价50万元以上的通用设备0台（套），购置费0万元；安排购置单价100万元以上专用设备0台（套），购置费0万元。</w:t>
      </w:r>
    </w:p>
    <w:p>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（五）绩效目标设置情况。</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2024年，</w:t>
      </w:r>
      <w:r>
        <w:rPr>
          <w:rFonts w:hint="eastAsia" w:ascii="仿宋_GB2312" w:hAnsi="TimesNewRoman" w:eastAsia="仿宋_GB2312" w:cs="TimesNewRoman"/>
          <w:kern w:val="0"/>
          <w:sz w:val="32"/>
          <w:szCs w:val="32"/>
        </w:rPr>
        <w:t>寿县人社局本级2</w:t>
      </w:r>
      <w:r>
        <w:rPr>
          <w:rFonts w:hint="eastAsia" w:ascii="仿宋_GB2312" w:hAnsi="TimesNewRoman" w:eastAsia="仿宋_GB2312" w:cs="TimesNewRoman"/>
          <w:sz w:val="32"/>
          <w:szCs w:val="32"/>
        </w:rPr>
        <w:t>个项目实行了绩效目标管理，涉及一般公共预算当年财政拨款168.48万元、政府性基金预算当年财政拨款0万元、国有资本经营预算当年财政拨款0万元、财政专户管理资金当年安排0万元和单位资金当年安排0万元。</w:t>
      </w:r>
    </w:p>
    <w:p>
      <w:pPr>
        <w:topLinePunct/>
        <w:adjustRightInd w:val="0"/>
        <w:snapToGrid w:val="0"/>
        <w:spacing w:line="560" w:lineRule="exact"/>
        <w:rPr>
          <w:rFonts w:ascii="TimesNewRoman" w:hAnsi="TimesNewRoman" w:eastAsia="黑体" w:cs="TimesNewRoman"/>
          <w:sz w:val="36"/>
          <w:szCs w:val="36"/>
        </w:rPr>
      </w:pPr>
    </w:p>
    <w:p>
      <w:pPr>
        <w:topLinePunct/>
        <w:adjustRightInd w:val="0"/>
        <w:snapToGrid w:val="0"/>
        <w:spacing w:line="560" w:lineRule="exact"/>
        <w:jc w:val="center"/>
        <w:rPr>
          <w:rFonts w:ascii="TimesNewRoman" w:hAnsi="TimesNewRoman" w:eastAsia="黑体" w:cs="TimesNewRoman"/>
          <w:sz w:val="36"/>
          <w:szCs w:val="36"/>
        </w:rPr>
      </w:pPr>
      <w:r>
        <w:rPr>
          <w:rFonts w:ascii="TimesNewRoman" w:hAnsi="TimesNewRoman" w:eastAsia="黑体" w:cs="TimesNewRoman"/>
          <w:sz w:val="36"/>
          <w:szCs w:val="36"/>
        </w:rPr>
        <w:t>第四部分 名词解释</w:t>
      </w:r>
    </w:p>
    <w:p>
      <w:pPr>
        <w:topLinePunct/>
        <w:adjustRightInd w:val="0"/>
        <w:snapToGrid w:val="0"/>
        <w:spacing w:line="560" w:lineRule="exact"/>
        <w:rPr>
          <w:rFonts w:ascii="TimesNewRoman" w:hAnsi="TimesNewRoman" w:eastAsia="黑体" w:cs="TimesNewRoman"/>
          <w:szCs w:val="32"/>
        </w:rPr>
      </w:pPr>
    </w:p>
    <w:p>
      <w:pPr>
        <w:topLinePunct/>
        <w:adjustRightInd w:val="0"/>
        <w:snapToGrid w:val="0"/>
        <w:spacing w:line="560" w:lineRule="exact"/>
        <w:ind w:firstLine="640" w:firstLineChars="200"/>
        <w:rPr>
          <w:rFonts w:ascii="TimesNewRoman" w:hAnsi="TimesNewRoman" w:cs="TimesNewRoman"/>
          <w:sz w:val="32"/>
          <w:szCs w:val="32"/>
        </w:rPr>
      </w:pPr>
      <w:r>
        <w:rPr>
          <w:rFonts w:hint="eastAsia" w:ascii="楷体_GB2312" w:hAnsi="TimesNewRoman" w:eastAsia="楷体_GB2312" w:cs="TimesNewRoman"/>
          <w:sz w:val="32"/>
          <w:szCs w:val="32"/>
        </w:rPr>
        <w:t>一、财政拨款收入</w:t>
      </w:r>
      <w:r>
        <w:rPr>
          <w:rFonts w:hint="eastAsia" w:ascii="楷体_GB2312" w:hAnsi="TimesNewRoman" w:eastAsia="楷体_GB2312" w:cs="TimesNewRoman"/>
          <w:b/>
          <w:sz w:val="32"/>
          <w:szCs w:val="32"/>
        </w:rPr>
        <w:t>：</w:t>
      </w:r>
      <w:r>
        <w:rPr>
          <w:rFonts w:ascii="TimesNewRoman" w:hAnsi="TimesNewRoman" w:cs="TimesNewRoman"/>
          <w:sz w:val="32"/>
          <w:szCs w:val="32"/>
        </w:rPr>
        <w:t>指部门或单位从同级财政部门取得的财政预算资金。</w:t>
      </w:r>
    </w:p>
    <w:p>
      <w:pPr>
        <w:pStyle w:val="4"/>
        <w:topLinePunct/>
        <w:adjustRightInd w:val="0"/>
        <w:snapToGrid w:val="0"/>
        <w:spacing w:beforeAutospacing="0" w:afterAutospacing="0" w:line="560" w:lineRule="exact"/>
        <w:ind w:firstLine="627" w:firstLineChars="196"/>
        <w:jc w:val="both"/>
        <w:rPr>
          <w:rFonts w:ascii="TimesNewRoman" w:hAnsi="TimesNewRoman" w:eastAsia="黑体" w:cs="TimesNewRoman"/>
          <w:sz w:val="32"/>
          <w:szCs w:val="32"/>
        </w:rPr>
      </w:pPr>
      <w:r>
        <w:rPr>
          <w:rFonts w:ascii="楷体_GB2312" w:hAnsi="TimesNewRoman" w:eastAsia="楷体_GB2312" w:cs="TimesNewRoman"/>
          <w:kern w:val="2"/>
          <w:sz w:val="32"/>
          <w:szCs w:val="32"/>
        </w:rPr>
        <w:t>二、事业收入：</w:t>
      </w:r>
      <w:r>
        <w:rPr>
          <w:rFonts w:ascii="TimesNewRoman" w:hAnsi="TimesNewRoman" w:eastAsia="仿宋_GB2312" w:cs="TimesNewRoman"/>
          <w:sz w:val="32"/>
          <w:szCs w:val="32"/>
        </w:rPr>
        <w:t>指事业单位开展专业业务活动及辅助活动所取得的收入。</w:t>
      </w:r>
    </w:p>
    <w:p>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三、财政专户管理资金：</w:t>
      </w:r>
      <w:r>
        <w:rPr>
          <w:rFonts w:ascii="TimesNewRoman" w:hAnsi="TimesNewRoman" w:eastAsia="仿宋_GB2312" w:cs="TimesNewRoman"/>
          <w:sz w:val="32"/>
          <w:szCs w:val="32"/>
        </w:rPr>
        <w:t>指按照非税收入管理相关规定，纳入财政专户管理的教育收费等。</w:t>
      </w:r>
    </w:p>
    <w:p>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四、事业单位经营收入：</w:t>
      </w:r>
      <w:r>
        <w:rPr>
          <w:rFonts w:ascii="TimesNewRoman" w:hAnsi="TimesNewRoman" w:eastAsia="仿宋_GB2312" w:cs="TimesNewRoman"/>
          <w:sz w:val="32"/>
          <w:szCs w:val="32"/>
        </w:rPr>
        <w:t>指事业单位在专业业务活动及其辅助活动之外开展非独立核算经营活动取得的收入。</w:t>
      </w:r>
    </w:p>
    <w:p>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五、附属单位上缴收入：</w:t>
      </w:r>
      <w:r>
        <w:rPr>
          <w:rFonts w:ascii="TimesNewRoman" w:hAnsi="TimesNewRoman" w:eastAsia="仿宋_GB2312" w:cs="TimesNewRoman"/>
          <w:sz w:val="32"/>
          <w:szCs w:val="32"/>
        </w:rPr>
        <w:t>本单位所属下级单位上缴给本单位的全部收入。</w:t>
      </w:r>
    </w:p>
    <w:p>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六、上年结转：</w:t>
      </w:r>
      <w:r>
        <w:rPr>
          <w:rFonts w:ascii="TimesNewRoman" w:hAnsi="TimesNewRoman" w:eastAsia="仿宋_GB2312" w:cs="TimesNewRoman"/>
          <w:sz w:val="32"/>
          <w:szCs w:val="32"/>
        </w:rPr>
        <w:t>指以前年度安排、结转到本年仍按原用途继续使用的资金。</w:t>
      </w:r>
    </w:p>
    <w:p>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七、结转下年：</w:t>
      </w:r>
      <w:r>
        <w:rPr>
          <w:rFonts w:ascii="TimesNewRoman" w:hAnsi="TimesNewRoman" w:eastAsia="仿宋_GB2312" w:cs="TimesNewRoman"/>
          <w:sz w:val="32"/>
          <w:szCs w:val="32"/>
        </w:rPr>
        <w:t>指以前年度预算安排、因客观条件发生变化无法按原计划实施，需以后年度按原用途继续使用的资金。</w:t>
      </w:r>
    </w:p>
    <w:p>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八、基本支出：</w:t>
      </w:r>
      <w:r>
        <w:rPr>
          <w:rFonts w:ascii="TimesNewRoman" w:hAnsi="TimesNewRoman" w:eastAsia="仿宋_GB2312" w:cs="TimesNewRoman"/>
          <w:sz w:val="32"/>
          <w:szCs w:val="32"/>
        </w:rPr>
        <w:t>指为保障机构正常运转、完成日常工作任务而发生的人员支出和公用支出。</w:t>
      </w:r>
    </w:p>
    <w:p>
      <w:pPr>
        <w:pStyle w:val="4"/>
        <w:topLinePunct/>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九、项目支出：</w:t>
      </w:r>
      <w:r>
        <w:rPr>
          <w:rFonts w:ascii="TimesNewRoman" w:hAnsi="TimesNewRoman" w:eastAsia="仿宋_GB2312" w:cs="TimesNewRoman"/>
          <w:sz w:val="32"/>
          <w:szCs w:val="32"/>
        </w:rPr>
        <w:t>指在除基本支出之外的支出，主要用于完成特定的工作任务和事业发展目标。</w:t>
      </w:r>
      <w:r>
        <w:rPr>
          <w:rFonts w:ascii="TimesNewRoman" w:hAnsi="TimesNewRoman" w:eastAsia="仿宋_GB2312" w:cs="TimesNewRoman"/>
          <w:sz w:val="32"/>
          <w:szCs w:val="32"/>
        </w:rPr>
        <w:br w:type="textWrapping"/>
      </w:r>
      <w:r>
        <w:rPr>
          <w:rFonts w:ascii="楷体_GB2312" w:hAnsi="TimesNewRoman" w:eastAsia="楷体_GB2312" w:cs="TimesNewRoman"/>
          <w:kern w:val="2"/>
          <w:sz w:val="32"/>
          <w:szCs w:val="32"/>
        </w:rPr>
        <w:t xml:space="preserve">    十、机关运行经费:</w:t>
      </w:r>
      <w:r>
        <w:rPr>
          <w:rFonts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4"/>
        <w:topLinePunct/>
        <w:adjustRightInd w:val="0"/>
        <w:snapToGrid w:val="0"/>
        <w:spacing w:beforeAutospacing="0" w:afterAutospacing="0" w:line="560" w:lineRule="exact"/>
        <w:ind w:firstLine="627" w:firstLineChars="196"/>
        <w:jc w:val="both"/>
      </w:pPr>
      <w:r>
        <w:rPr>
          <w:rFonts w:ascii="楷体_GB2312" w:hAnsi="TimesNewRoman" w:eastAsia="楷体_GB2312" w:cs="TimesNewRoman"/>
          <w:kern w:val="2"/>
          <w:sz w:val="32"/>
          <w:szCs w:val="32"/>
        </w:rPr>
        <w:t>十一、一般公共服务支出（类）财政事务（款）财政国库业务：</w:t>
      </w:r>
      <w:r>
        <w:rPr>
          <w:rFonts w:ascii="TimesNewRoman" w:hAnsi="TimesNewRoman" w:eastAsia="仿宋_GB2312" w:cs="TimesNewRoman"/>
          <w:sz w:val="32"/>
          <w:szCs w:val="32"/>
        </w:rPr>
        <w:t>反映</w:t>
      </w:r>
      <w:r>
        <w:rPr>
          <w:rFonts w:hint="eastAsia" w:ascii="TimesNewRoman" w:hAnsi="TimesNewRoman" w:eastAsia="仿宋_GB2312" w:cs="TimesNewRoman"/>
          <w:sz w:val="32"/>
          <w:szCs w:val="32"/>
        </w:rPr>
        <w:t>县财政局</w:t>
      </w:r>
      <w:r>
        <w:rPr>
          <w:rFonts w:ascii="TimesNewRoman" w:hAnsi="TimesNewRoman" w:eastAsia="仿宋_GB2312" w:cs="TimesNewRoman"/>
          <w:sz w:val="32"/>
          <w:szCs w:val="32"/>
        </w:rPr>
        <w:t>用于国库集中收付业务方面的支出。</w:t>
      </w:r>
    </w:p>
    <w:sectPr>
      <w:type w:val="oddPage"/>
      <w:pgSz w:w="11907" w:h="16840"/>
      <w:pgMar w:top="2098" w:right="1474" w:bottom="1985" w:left="1588" w:header="851"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MzU0MGNiODRkZjMxOTk4NmUxY2Y0OWNmZjRjMmQifQ=="/>
  </w:docVars>
  <w:rsids>
    <w:rsidRoot w:val="34C97AC9"/>
    <w:rsid w:val="00004ACE"/>
    <w:rsid w:val="000256B1"/>
    <w:rsid w:val="00032392"/>
    <w:rsid w:val="00076C88"/>
    <w:rsid w:val="000D7D75"/>
    <w:rsid w:val="000E1F23"/>
    <w:rsid w:val="00100609"/>
    <w:rsid w:val="001F6890"/>
    <w:rsid w:val="00214B81"/>
    <w:rsid w:val="0022361C"/>
    <w:rsid w:val="00233A36"/>
    <w:rsid w:val="00294F7D"/>
    <w:rsid w:val="002E13A0"/>
    <w:rsid w:val="002E4808"/>
    <w:rsid w:val="002F2AB8"/>
    <w:rsid w:val="00345D77"/>
    <w:rsid w:val="003E79BE"/>
    <w:rsid w:val="004206F1"/>
    <w:rsid w:val="00487A82"/>
    <w:rsid w:val="00511829"/>
    <w:rsid w:val="00533ADA"/>
    <w:rsid w:val="0054450E"/>
    <w:rsid w:val="00563C81"/>
    <w:rsid w:val="005F085B"/>
    <w:rsid w:val="00630B35"/>
    <w:rsid w:val="006336F0"/>
    <w:rsid w:val="00673629"/>
    <w:rsid w:val="006E0B6C"/>
    <w:rsid w:val="00735C67"/>
    <w:rsid w:val="00766872"/>
    <w:rsid w:val="00877CF9"/>
    <w:rsid w:val="00883ECA"/>
    <w:rsid w:val="008C7813"/>
    <w:rsid w:val="008F6D08"/>
    <w:rsid w:val="0097517E"/>
    <w:rsid w:val="009B7DB5"/>
    <w:rsid w:val="009C43E1"/>
    <w:rsid w:val="00A16E07"/>
    <w:rsid w:val="00A543A5"/>
    <w:rsid w:val="00A706BD"/>
    <w:rsid w:val="00AC0BE5"/>
    <w:rsid w:val="00AC1A42"/>
    <w:rsid w:val="00B85A9A"/>
    <w:rsid w:val="00BB631A"/>
    <w:rsid w:val="00BE4EB8"/>
    <w:rsid w:val="00CD2A51"/>
    <w:rsid w:val="00CF50E7"/>
    <w:rsid w:val="00CF5C3E"/>
    <w:rsid w:val="00CF6121"/>
    <w:rsid w:val="00D12504"/>
    <w:rsid w:val="00D55557"/>
    <w:rsid w:val="00D6663F"/>
    <w:rsid w:val="00D74704"/>
    <w:rsid w:val="00E17D0E"/>
    <w:rsid w:val="00E429E6"/>
    <w:rsid w:val="00EB6313"/>
    <w:rsid w:val="00F114A5"/>
    <w:rsid w:val="00F42A23"/>
    <w:rsid w:val="00F957A8"/>
    <w:rsid w:val="00FC5076"/>
    <w:rsid w:val="2EF83719"/>
    <w:rsid w:val="34C97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Autospacing="1" w:afterAutospacing="1"/>
      <w:jc w:val="left"/>
    </w:pPr>
    <w:rPr>
      <w:rFonts w:ascii="Calibri" w:hAnsi="Calibri"/>
      <w:kern w:val="0"/>
      <w:sz w:val="24"/>
    </w:rPr>
  </w:style>
  <w:style w:type="character" w:styleId="7">
    <w:name w:val="Strong"/>
    <w:basedOn w:val="6"/>
    <w:qFormat/>
    <w:uiPriority w:val="0"/>
    <w:rPr>
      <w:b/>
      <w:bCs/>
    </w:rPr>
  </w:style>
  <w:style w:type="character" w:customStyle="1" w:styleId="8">
    <w:name w:val="页眉 Char"/>
    <w:link w:val="3"/>
    <w:uiPriority w:val="0"/>
    <w:rPr>
      <w:kern w:val="2"/>
      <w:sz w:val="18"/>
      <w:szCs w:val="18"/>
    </w:rPr>
  </w:style>
  <w:style w:type="character" w:customStyle="1" w:styleId="9">
    <w:name w:val="页眉 Char1"/>
    <w:basedOn w:val="6"/>
    <w:qFormat/>
    <w:uiPriority w:val="0"/>
    <w:rPr>
      <w:rFonts w:ascii="Times New Roman" w:hAnsi="Times New Roman" w:eastAsia="宋体" w:cs="Times New Roman"/>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1267</Words>
  <Characters>7223</Characters>
  <Lines>60</Lines>
  <Paragraphs>16</Paragraphs>
  <TotalTime>205</TotalTime>
  <ScaleCrop>false</ScaleCrop>
  <LinksUpToDate>false</LinksUpToDate>
  <CharactersWithSpaces>8474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2024-01-16T02:39:00Z</dcterms:created>
  <dc:creator>二蛋</dc:creator>
  <cp:lastModifiedBy>李海静</cp:lastModifiedBy>
  <dcterms:modified xsi:type="dcterms:W3CDTF">2024-03-05T06:49:35Z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AB12261BCF484B528A5866483B2ED966_11</vt:lpwstr>
  </property>
</Properties>
</file>