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spacing w:line="560" w:lineRule="exact"/>
        <w:rPr>
          <w:rFonts w:ascii="黑体" w:eastAsia="黑体" w:hAnsi="黑体" w:cs="TimesNewRoman"/>
          <w:sz w:val="32"/>
          <w:szCs w:val="32"/>
        </w:rPr>
      </w:pPr>
      <w:r>
        <w:rPr>
          <w:rFonts w:ascii="黑体" w:eastAsia="黑体" w:hAnsi="黑体" w:cs="TimesNewRoman" w:hint="eastAsia"/>
          <w:sz w:val="32"/>
          <w:szCs w:val="32"/>
          <w:lang w:val="en"/>
        </w:rPr>
        <w:t>附件</w:t>
      </w:r>
      <w:r>
        <w:rPr>
          <w:rFonts w:ascii="黑体" w:eastAsia="黑体" w:hAnsi="黑体" w:cs="TimesNewRoman" w:hint="eastAsia"/>
          <w:sz w:val="32"/>
          <w:szCs w:val="32"/>
        </w:rPr>
        <w:t>1</w:t>
      </w:r>
    </w:p>
    <w:p>
      <w:pPr>
        <w:spacing w:line="560" w:lineRule="exact"/>
        <w:rPr>
          <w:rFonts w:ascii="TimesNewRoman" w:eastAsia="黑体" w:hAnsi="TimesNewRoman" w:cs="TimesNewRoman" w:hint="eastAsia"/>
          <w:szCs w:val="32"/>
        </w:rPr>
      </w:pPr>
    </w:p>
    <w:p>
      <w:pPr>
        <w:spacing w:line="560" w:lineRule="exact"/>
        <w:jc w:val="center"/>
        <w:rPr>
          <w:rFonts w:ascii="方正小标宋_GBK" w:eastAsia="方正小标宋_GBK" w:hAnsi="TimesNewRoman" w:cs="TimesNewRoman" w:hint="eastAsia"/>
          <w:szCs w:val="32"/>
        </w:rPr>
      </w:pPr>
    </w:p>
    <w:p>
      <w:pPr>
        <w:pStyle w:val="NormalWeb"/>
        <w:adjustRightInd w:val="0"/>
        <w:snapToGrid w:val="0"/>
        <w:spacing w:line="560" w:lineRule="exact"/>
        <w:jc w:val="center"/>
        <w:outlineLvl w:val="0"/>
        <w:rPr>
          <w:rFonts w:ascii="方正小标宋_GBK" w:eastAsia="方正小标宋_GBK" w:hAnsi="TimesNewRoman" w:cs="TimesNewRoman" w:hint="eastAsia"/>
          <w:sz w:val="44"/>
          <w:szCs w:val="44"/>
        </w:rPr>
      </w:pPr>
      <w:bookmarkStart w:id="0" w:name="_GoBack"/>
      <w:r>
        <w:rPr>
          <w:rFonts w:ascii="方正小标宋_GBK" w:eastAsia="方正小标宋_GBK" w:hAnsi="TimesNewRoman" w:cs="TimesNewRoman" w:hint="eastAsia"/>
          <w:sz w:val="44"/>
          <w:szCs w:val="44"/>
        </w:rPr>
        <w:t>寿县2024年</w:t>
      </w:r>
      <w:r>
        <w:rPr>
          <w:rFonts w:ascii="方正小标宋_GBK" w:eastAsia="方正小标宋_GBK" w:hAnsi="TimesNewRoman" w:cs="TimesNewRoman" w:hint="eastAsia"/>
          <w:sz w:val="44"/>
          <w:szCs w:val="44"/>
          <w:u w:val="single"/>
          <w:lang w:eastAsia="zh-CN"/>
        </w:rPr>
        <w:t>卫生健康委员会部门</w:t>
      </w:r>
      <w:r>
        <w:rPr>
          <w:rFonts w:ascii="方正小标宋_GBK" w:eastAsia="方正小标宋_GBK" w:hAnsi="TimesNewRoman" w:cs="TimesNewRoman" w:hint="eastAsia"/>
          <w:sz w:val="44"/>
          <w:szCs w:val="44"/>
        </w:rPr>
        <w:t>预算</w:t>
      </w:r>
    </w:p>
    <w:bookmarkEnd w:id="0"/>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hint="eastAsia"/>
          <w:bCs/>
          <w:sz w:val="36"/>
          <w:szCs w:val="36"/>
        </w:rPr>
      </w:pPr>
    </w:p>
    <w:p>
      <w:pPr>
        <w:pStyle w:val="NormalWeb"/>
        <w:adjustRightInd w:val="0"/>
        <w:snapToGrid w:val="0"/>
        <w:spacing w:line="560" w:lineRule="exact"/>
        <w:jc w:val="center"/>
        <w:rPr>
          <w:rFonts w:ascii="TimesNewRoman" w:eastAsia="黑体" w:hAnsi="TimesNewRoman" w:cs="TimesNewRoman"/>
          <w:bCs/>
          <w:sz w:val="32"/>
          <w:szCs w:val="32"/>
        </w:rPr>
      </w:pPr>
    </w:p>
    <w:p>
      <w:pPr>
        <w:pStyle w:val="NormalWeb"/>
        <w:adjustRightInd w:val="0"/>
        <w:snapToGrid w:val="0"/>
        <w:spacing w:line="560" w:lineRule="exact"/>
        <w:jc w:val="center"/>
        <w:rPr>
          <w:rFonts w:ascii="仿宋_GB2312" w:eastAsia="仿宋_GB2312" w:hAnsi="TimesNewRoman" w:cs="TimesNewRoman" w:hint="eastAsia"/>
          <w:bCs/>
          <w:sz w:val="32"/>
          <w:szCs w:val="32"/>
        </w:rPr>
      </w:pPr>
    </w:p>
    <w:p>
      <w:pPr>
        <w:pStyle w:val="NormalWeb"/>
        <w:adjustRightInd w:val="0"/>
        <w:snapToGrid w:val="0"/>
        <w:spacing w:line="560" w:lineRule="exact"/>
        <w:jc w:val="center"/>
        <w:rPr>
          <w:rFonts w:ascii="仿宋_GB2312" w:eastAsia="仿宋_GB2312" w:hAnsi="TimesNewRoman" w:cs="TimesNewRoman" w:hint="eastAsia"/>
          <w:bCs/>
          <w:sz w:val="36"/>
          <w:szCs w:val="32"/>
        </w:rPr>
      </w:pPr>
      <w:r>
        <w:rPr>
          <w:rFonts w:ascii="仿宋_GB2312" w:eastAsia="仿宋_GB2312" w:hAnsi="TimesNewRoman" w:cs="TimesNewRoman" w:hint="eastAsia"/>
          <w:bCs/>
          <w:sz w:val="36"/>
          <w:szCs w:val="32"/>
        </w:rPr>
        <w:t>2024年</w:t>
      </w:r>
      <w:r>
        <w:rPr>
          <w:rFonts w:ascii="仿宋_GB2312" w:eastAsia="仿宋_GB2312" w:hAnsi="TimesNewRoman" w:cs="TimesNewRoman" w:hint="eastAsia"/>
          <w:bCs/>
          <w:sz w:val="36"/>
          <w:szCs w:val="32"/>
          <w:lang w:val="en-US" w:eastAsia="zh-CN"/>
        </w:rPr>
        <w:t>1</w:t>
      </w:r>
      <w:r>
        <w:rPr>
          <w:rFonts w:ascii="仿宋_GB2312" w:eastAsia="仿宋_GB2312" w:hAnsi="TimesNewRoman" w:cs="TimesNewRoman" w:hint="eastAsia"/>
          <w:bCs/>
          <w:sz w:val="36"/>
          <w:szCs w:val="32"/>
        </w:rPr>
        <w:t>月</w:t>
      </w:r>
    </w:p>
    <w:p>
      <w:pPr>
        <w:pStyle w:val="NormalWeb"/>
        <w:adjustRightInd w:val="0"/>
        <w:snapToGrid w:val="0"/>
        <w:spacing w:line="560" w:lineRule="exact"/>
        <w:jc w:val="center"/>
        <w:rPr>
          <w:rFonts w:ascii="方正小标宋_GBK" w:eastAsia="方正小标宋_GBK" w:hAnsi="TimesNewRoman" w:cs="TimesNewRoman" w:hint="eastAsia"/>
          <w:bCs/>
          <w:sz w:val="44"/>
          <w:szCs w:val="44"/>
        </w:rPr>
      </w:pPr>
    </w:p>
    <w:p>
      <w:pPr>
        <w:pStyle w:val="NormalWeb"/>
        <w:adjustRightInd w:val="0"/>
        <w:snapToGrid w:val="0"/>
        <w:spacing w:line="560" w:lineRule="exact"/>
        <w:jc w:val="center"/>
        <w:rPr>
          <w:rFonts w:ascii="方正小标宋_GBK" w:eastAsia="方正小标宋_GBK" w:hAnsi="TimesNewRoman" w:cs="TimesNewRoman" w:hint="eastAsia"/>
          <w:bCs/>
          <w:sz w:val="44"/>
          <w:szCs w:val="44"/>
        </w:rPr>
      </w:pPr>
    </w:p>
    <w:p>
      <w:pPr>
        <w:pStyle w:val="NormalWeb"/>
        <w:adjustRightInd w:val="0"/>
        <w:snapToGrid w:val="0"/>
        <w:spacing w:line="560" w:lineRule="exact"/>
        <w:jc w:val="center"/>
        <w:rPr>
          <w:rFonts w:ascii="方正小标宋_GBK" w:eastAsia="方正小标宋_GBK" w:hAnsi="TimesNewRoman" w:cs="TimesNewRoman" w:hint="eastAsia"/>
          <w:bCs/>
          <w:sz w:val="44"/>
          <w:szCs w:val="44"/>
        </w:rPr>
      </w:pPr>
    </w:p>
    <w:p>
      <w:pPr>
        <w:pStyle w:val="NormalWeb"/>
        <w:adjustRightInd w:val="0"/>
        <w:snapToGrid w:val="0"/>
        <w:spacing w:line="560" w:lineRule="exact"/>
        <w:jc w:val="center"/>
        <w:rPr>
          <w:rFonts w:ascii="方正小标宋_GBK" w:eastAsia="方正小标宋_GBK" w:hAnsi="TimesNewRoman" w:cs="TimesNewRoman" w:hint="eastAsia"/>
          <w:bCs/>
          <w:sz w:val="44"/>
          <w:szCs w:val="44"/>
        </w:rPr>
      </w:pPr>
    </w:p>
    <w:p>
      <w:pPr>
        <w:pStyle w:val="NormalWeb"/>
        <w:adjustRightInd w:val="0"/>
        <w:snapToGrid w:val="0"/>
        <w:spacing w:line="560" w:lineRule="exact"/>
        <w:jc w:val="center"/>
        <w:rPr>
          <w:rFonts w:ascii="方正小标宋_GBK" w:eastAsia="方正小标宋_GBK" w:hAnsi="TimesNewRoman" w:cs="TimesNewRoman" w:hint="eastAsia"/>
          <w:bCs/>
          <w:sz w:val="44"/>
          <w:szCs w:val="44"/>
        </w:rPr>
      </w:pPr>
      <w:r>
        <w:rPr>
          <w:rFonts w:ascii="方正小标宋_GBK" w:eastAsia="方正小标宋_GBK" w:hAnsi="TimesNewRoman" w:cs="TimesNewRoman" w:hint="eastAsia"/>
          <w:bCs/>
          <w:sz w:val="44"/>
          <w:szCs w:val="44"/>
        </w:rPr>
        <w:t>目  录</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第一部分 部门</w:t>
      </w:r>
      <w:r>
        <w:rPr>
          <w:rFonts w:ascii="黑体" w:eastAsia="黑体" w:hAnsi="黑体" w:cs="TimesNewRoman"/>
          <w:sz w:val="32"/>
          <w:szCs w:val="32"/>
          <w:u w:val="single"/>
        </w:rPr>
        <w:t>（</w:t>
      </w:r>
      <w:r>
        <w:rPr>
          <w:rFonts w:ascii="黑体" w:eastAsia="黑体" w:hAnsi="黑体" w:cs="TimesNewRoman" w:hint="eastAsia"/>
          <w:sz w:val="32"/>
          <w:szCs w:val="32"/>
          <w:u w:val="single"/>
          <w:lang w:eastAsia="zh-CN"/>
        </w:rPr>
        <w:t>寿县卫生健康委员会</w:t>
      </w:r>
      <w:r>
        <w:rPr>
          <w:rFonts w:ascii="黑体" w:eastAsia="黑体" w:hAnsi="黑体" w:cs="TimesNewRoman"/>
          <w:sz w:val="32"/>
          <w:szCs w:val="32"/>
          <w:u w:val="single"/>
        </w:rPr>
        <w:t>）</w:t>
      </w:r>
      <w:r>
        <w:rPr>
          <w:rFonts w:ascii="黑体" w:eastAsia="黑体" w:hAnsi="黑体" w:cs="TimesNewRoman"/>
          <w:sz w:val="32"/>
          <w:szCs w:val="32"/>
        </w:rPr>
        <w:t>概况</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1.主要职责</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2.部门</w:t>
      </w:r>
      <w:r>
        <w:rPr>
          <w:rFonts w:ascii="仿宋_GB2312" w:eastAsia="仿宋_GB2312" w:hAnsi="TimesNewRoman" w:cs="TimesNewRoman" w:hint="eastAsia"/>
          <w:bCs/>
          <w:sz w:val="32"/>
          <w:szCs w:val="32"/>
          <w:u w:val="single"/>
        </w:rPr>
        <w:t>（</w:t>
      </w:r>
      <w:r>
        <w:rPr>
          <w:rFonts w:ascii="仿宋_GB2312" w:eastAsia="仿宋_GB2312" w:hAnsi="TimesNewRoman" w:cs="TimesNewRoman" w:hint="eastAsia"/>
          <w:bCs/>
          <w:sz w:val="32"/>
          <w:szCs w:val="32"/>
          <w:u w:val="single"/>
          <w:lang w:eastAsia="zh-CN"/>
        </w:rPr>
        <w:t>寿县卫生健康委员会</w:t>
      </w:r>
      <w:r>
        <w:rPr>
          <w:rFonts w:ascii="仿宋_GB2312" w:eastAsia="仿宋_GB2312" w:hAnsi="TimesNewRoman" w:cs="TimesNewRoman" w:hint="eastAsia"/>
          <w:bCs/>
          <w:sz w:val="32"/>
          <w:szCs w:val="32"/>
          <w:u w:val="single"/>
        </w:rPr>
        <w:t>）</w:t>
      </w:r>
      <w:r>
        <w:rPr>
          <w:rFonts w:ascii="仿宋_GB2312" w:eastAsia="仿宋_GB2312" w:hAnsi="TimesNewRoman" w:cs="TimesNewRoman" w:hint="eastAsia"/>
          <w:bCs/>
          <w:sz w:val="32"/>
          <w:szCs w:val="32"/>
        </w:rPr>
        <w:t>预算构成</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3.2024年度主要工作任务</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年部门（单位）预算表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健康委员会</w:t>
      </w:r>
      <w:r>
        <w:rPr>
          <w:rFonts w:ascii="仿宋_GB2312" w:eastAsia="仿宋_GB2312" w:hAnsi="TimesNewRoman" w:cs="TimesNewRoman"/>
          <w:bCs/>
          <w:sz w:val="32"/>
          <w:szCs w:val="32"/>
        </w:rPr>
        <w:t>（部门）</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年部门（</w:t>
      </w:r>
      <w:r>
        <w:rPr>
          <w:rFonts w:ascii="黑体" w:eastAsia="黑体" w:hAnsi="黑体" w:cs="TimesNewRoman" w:hint="eastAsia"/>
          <w:sz w:val="32"/>
          <w:szCs w:val="32"/>
          <w:lang w:eastAsia="zh-CN"/>
        </w:rPr>
        <w:t>寿县卫生健康委员会</w:t>
      </w:r>
      <w:r>
        <w:rPr>
          <w:rFonts w:ascii="黑体" w:eastAsia="黑体" w:hAnsi="黑体" w:cs="TimesNewRoman"/>
          <w:sz w:val="32"/>
          <w:szCs w:val="32"/>
        </w:rPr>
        <w:t>）预算情况说明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第一部分 部门</w:t>
      </w:r>
      <w:r>
        <w:rPr>
          <w:rFonts w:ascii="TimesNewRoman" w:eastAsia="黑体" w:hAnsi="TimesNewRoman" w:cs="TimesNewRoman" w:hint="eastAsia"/>
          <w:bCs/>
          <w:sz w:val="36"/>
          <w:szCs w:val="36"/>
          <w:u w:val="single"/>
          <w:lang w:eastAsia="zh-CN"/>
        </w:rPr>
        <w:t>寿县卫生健康委员会</w:t>
      </w:r>
      <w:r>
        <w:rPr>
          <w:rFonts w:ascii="TimesNewRoman" w:eastAsia="黑体" w:hAnsi="TimesNewRoman" w:cs="TimesNewRoman"/>
          <w:bCs/>
          <w:sz w:val="36"/>
          <w:szCs w:val="36"/>
        </w:rPr>
        <w:t>概况</w:t>
      </w:r>
    </w:p>
    <w:p>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bCs/>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bCs/>
          <w:sz w:val="32"/>
          <w:szCs w:val="32"/>
        </w:rPr>
      </w:pPr>
      <w:r>
        <w:rPr>
          <w:rFonts w:ascii="楷体_GB2312" w:eastAsia="楷体_GB2312" w:hAnsi="TimesNewRoman" w:cs="TimesNewRoman" w:hint="eastAsia"/>
          <w:b/>
          <w:bCs/>
          <w:sz w:val="32"/>
          <w:szCs w:val="32"/>
        </w:rPr>
        <w:t>一、主要职责</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一）贯彻执行国家、省、市有关卫生健康、中医药事业发展的方针政策和法律法规；组织编制和实施卫生健康、中医药的发展战略、总体规划和年度计划；依法组织制定卫生健康专项规划和技术规范，指导、监督、检查执行情况；统筹规划卫生健康服务资源配置，组织编制和实施卫生健康规划。</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二）负责制定疾病预防控制规划、免疫规划和严重危害人民健康的公共卫生问题的干预措施并组织落实。制定全县卫生应急和紧急医学救援预案、突发公共卫生事件监测和风险评估计划，组织和指导全县突发公共卫生事件预防控制和各类突发公共事件的医疗卫生救援工作。</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三）负责职责范围内的职业卫生、放射卫生、环境卫生、学校卫生、公共场所卫生、饮用水卫生的监督管理工作；负责传染病防治监督；组织开展食品安全风险监测和交流,参与食品安全标准的制定、修订、跟踪评价、宣传贯彻等工作。</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（四）负责组织拟订并实施卫生健康服务、妇幼卫生发展规划和政策措施，指导全县卫生健康、妇幼卫生服务体系建设，推进基本公共卫生健康服务均等化，完善基层运行新机制和乡村医生管理制度。</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五）负责全县医疗机构和医疗服务全行业管理。制定医疗机构及其医疗服务、医疗技术、医疗质量、医疗安全和采供血机构管理规范并组织实施，制定卫生、计划生育专业技术人员执业规则和服务规范并组织实施。建立医疗服务评价和监督管理体系。</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六）负责组织推进公立医院改革，建立以公益性为导向的绩效考核和评价运行机制，提出医疗服务和药品价格政策的建议。鼓励和引导社会力量举办医疗机构，促进非公立医疗机构健康规范发展。建设和谐医患关系，维护良好医疗秩序。</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（七）贯彻落实国家药物政策和国家基本药物制度，组织实施基本药物的采购、配送、使用的管理制度。协调相关部门提出国家基本药物目录药品生产的鼓励扶持政策建议，提出国家基本药物价格政策的建议。</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八）组织实施促进出生人口性别平衡的政策措施，组织监测计划生育发展动态，提出发布计划生育安全预警预报信息建议。组织实施计划生育技术服务管理制度、优生优育和提高出生人口素质的政策措施，推动实施计划生育生殖健康促进计划，降低出生缺陷人口数量。</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九）组织建立计划生育利益导向、计划生育特殊困难家庭扶助和促进计划生育家庭发展等机制。负责协调推进有关部门、群众团体履行计划生育工作相关职责，建立与经济社会发展政策的衔接机制，落实稳定适度低生育水平政策措施。</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（十）负责卫生健康信息化建设，依法组织实施统计调查，参与全县人口基础信息库建设。</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（十一）制定流动人口计划生育服务管理制度并组织落实，推动建立流动人口卫生健康信息共享和公共服务工作机制。</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（十二）组织拟订全县卫生健康、中医药人才发展规划，指导卫生健康人才队伍建设。加强全科医生等急需紧缺专业人才培养，贯彻落实国家住院医师和专科医师规范化培训制度。</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（十三）组织拟订全县卫生健康、中医药科技发展规划，组织实施卫生健康相关科研项目。对制定医学教育发展规划、院校医学教育和计划生育教育提出建议，组织实施毕业后医学教育和继续医学教育。</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（十四）指导全县卫生健康工作，完善综合监督执法体系，规范执法行为，监督检查法律法规和政策措施的落实。监督落实计划生育一票否决制。</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五）承担中医医疗、预防、保健、康复及临床用药等监督管理责任，负责监督和协调医疗机构的中西医结合工作，促进中药资源的保护、开发和合理利用，承担保护濒临消亡的中医诊疗技术责任，组织开展中医药推广、应用和传播工作。</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（十六）负责卫生健康宣传、健康教育、健康促进等工作，组织开展对外交流合作。</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（十七）承担重要会议和重大活动的医疗卫生保障工作。</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（十八）承担县爱国卫生运动委员会办公室、县计划生育领导小组、县深化医药卫生体制改革领导小组、县公立医院管理委员会办公室的日常工作。</w:t>
      </w:r>
    </w:p>
    <w:p>
      <w:pPr>
        <w:ind w:firstLine="560" w:firstLineChars="200"/>
        <w:rPr>
          <w:rFonts w:ascii="宋体" w:eastAsia="宋体" w:hAnsi="宋体" w:cs="宋体" w:hint="eastAsia"/>
          <w:sz w:val="28"/>
          <w:szCs w:val="28"/>
        </w:rPr>
      </w:pPr>
      <w:r>
        <w:rPr>
          <w:rFonts w:ascii="宋体" w:eastAsia="宋体" w:hAnsi="宋体" w:cs="宋体" w:hint="eastAsia"/>
          <w:sz w:val="28"/>
          <w:szCs w:val="28"/>
        </w:rPr>
        <w:t>（十九）承办县委、县政府交办的其他事项。</w:t>
      </w:r>
    </w:p>
    <w:p>
      <w:pPr>
        <w:pStyle w:val="NormalWeb"/>
        <w:adjustRightInd w:val="0"/>
        <w:snapToGrid w:val="0"/>
        <w:spacing w:before="0" w:beforeAutospacing="0" w:after="0" w:afterAutospacing="0" w:line="360" w:lineRule="auto"/>
        <w:ind w:firstLine="784" w:firstLineChars="245"/>
        <w:jc w:val="both"/>
        <w:rPr>
          <w:rFonts w:ascii="仿宋_GB2312" w:eastAsia="仿宋_GB2312" w:hAnsi="黑体" w:hint="eastAsia"/>
          <w:bCs/>
          <w:color w:val="FF0000"/>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二、</w:t>
      </w:r>
      <w:r>
        <w:rPr>
          <w:rFonts w:ascii="楷体_GB2312" w:eastAsia="楷体_GB2312" w:hAnsi="TimesNewRoman" w:cs="TimesNewRoman"/>
          <w:b/>
          <w:bCs/>
          <w:sz w:val="32"/>
          <w:szCs w:val="32"/>
        </w:rPr>
        <w:t>部门预算构成</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从预算单位构成看，</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eastAsia="zh-CN"/>
        </w:rPr>
        <w:t>卫生健康</w:t>
      </w:r>
      <w:r>
        <w:rPr>
          <w:rFonts w:ascii="仿宋_GB2312" w:eastAsia="仿宋_GB2312" w:hAnsi="TimesNewRoman" w:cs="TimesNewRoman" w:hint="eastAsia"/>
          <w:bCs/>
          <w:sz w:val="32"/>
          <w:szCs w:val="32"/>
        </w:rPr>
        <w:t>委</w:t>
      </w:r>
      <w:r>
        <w:rPr>
          <w:rFonts w:ascii="仿宋_GB2312" w:eastAsia="仿宋_GB2312" w:hAnsi="TimesNewRoman" w:cs="TimesNewRoman" w:hint="eastAsia"/>
          <w:bCs/>
          <w:sz w:val="32"/>
          <w:szCs w:val="32"/>
          <w:lang w:eastAsia="zh-CN"/>
        </w:rPr>
        <w:t>员会</w:t>
      </w:r>
      <w:r>
        <w:rPr>
          <w:rFonts w:ascii="仿宋_GB2312" w:eastAsia="仿宋_GB2312" w:hAnsi="TimesNewRoman" w:cs="TimesNewRoman" w:hint="eastAsia"/>
          <w:sz w:val="32"/>
          <w:szCs w:val="32"/>
        </w:rPr>
        <w:t>2024年度部门预算包括委本级预算和委下属单位预算，纳入部门预算编制范围的预算单位共</w:t>
      </w:r>
      <w:r>
        <w:rPr>
          <w:rFonts w:ascii="仿宋_GB2312" w:eastAsia="仿宋_GB2312" w:hAnsi="TimesNewRoman" w:cs="TimesNewRoman" w:hint="eastAsia"/>
          <w:sz w:val="32"/>
          <w:szCs w:val="32"/>
          <w:lang w:val="en-US" w:eastAsia="zh-CN"/>
        </w:rPr>
        <w:t>43</w:t>
      </w:r>
      <w:r>
        <w:rPr>
          <w:rFonts w:ascii="仿宋_GB2312" w:eastAsia="仿宋_GB2312" w:hAnsi="TimesNewRoman" w:cs="TimesNewRoman" w:hint="eastAsia"/>
          <w:sz w:val="32"/>
          <w:szCs w:val="32"/>
        </w:rPr>
        <w:t>个，具体情况见下表。</w:t>
      </w:r>
    </w:p>
    <w:tbl>
      <w:tblPr>
        <w:tblStyle w:val="TableNormal"/>
        <w:tblW w:w="8686" w:type="dxa"/>
        <w:tblInd w:w="288" w:type="dxa"/>
        <w:shd w:val="clear" w:color="auto" w:fill="FFFFFF"/>
        <w:tblLayout w:type="fixed"/>
        <w:tblCellMar>
          <w:top w:w="0" w:type="dxa"/>
          <w:left w:w="0" w:type="dxa"/>
          <w:bottom w:w="0" w:type="dxa"/>
          <w:right w:w="0" w:type="dxa"/>
        </w:tblCellMar>
      </w:tblPr>
      <w:tblGrid>
        <w:gridCol w:w="900"/>
        <w:gridCol w:w="4136"/>
        <w:gridCol w:w="3650"/>
      </w:tblGrid>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序号</w:t>
            </w:r>
          </w:p>
        </w:tc>
        <w:tc>
          <w:tcPr>
            <w:tcW w:w="4136" w:type="dxa"/>
            <w:tcBorders>
              <w:top w:val="single" w:sz="8" w:space="0" w:color="auto"/>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单位名称</w:t>
            </w:r>
          </w:p>
        </w:tc>
        <w:tc>
          <w:tcPr>
            <w:tcW w:w="3650" w:type="dxa"/>
            <w:tcBorders>
              <w:top w:val="single" w:sz="8" w:space="0" w:color="auto"/>
              <w:left w:val="nil"/>
              <w:bottom w:val="single" w:sz="8" w:space="0" w:color="auto"/>
              <w:right w:val="single" w:sz="8" w:space="0" w:color="auto"/>
            </w:tcBorders>
            <w:shd w:val="clear" w:color="auto" w:fill="FFFFFF"/>
            <w:noWrap w:val="0"/>
            <w:vAlign w:val="top"/>
          </w:tcPr>
          <w:p>
            <w:pPr>
              <w:adjustRightInd w:val="0"/>
              <w:snapToGrid w:val="0"/>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单位性质</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宋体" w:eastAsia="宋体" w:hAnsi="宋体" w:cs="宋体" w:hint="eastAsia"/>
                <w:sz w:val="24"/>
                <w:szCs w:val="24"/>
              </w:rPr>
            </w:pPr>
            <w:r>
              <w:rPr>
                <w:rFonts w:ascii="宋体" w:eastAsia="宋体" w:hAnsi="宋体" w:cs="宋体" w:hint="eastAsia"/>
                <w:sz w:val="24"/>
                <w:szCs w:val="24"/>
              </w:rPr>
              <w:t>1</w:t>
            </w:r>
          </w:p>
          <w:p>
            <w:pPr>
              <w:jc w:val="center"/>
              <w:rPr>
                <w:rFonts w:ascii="仿宋_GB2312" w:eastAsia="仿宋_GB2312" w:hAnsi="宋体" w:cs="宋体" w:hint="eastAsia"/>
                <w:sz w:val="32"/>
                <w:szCs w:val="32"/>
              </w:rPr>
            </w:pP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rPr>
                <w:rFonts w:ascii="仿宋_GB2312" w:eastAsia="仿宋_GB2312" w:hAnsi="宋体" w:hint="eastAsia"/>
                <w:kern w:val="2"/>
                <w:sz w:val="32"/>
                <w:szCs w:val="32"/>
                <w:u w:val="single"/>
                <w:lang w:val="en-US" w:eastAsia="zh-CN" w:bidi="ar-SA"/>
              </w:rPr>
            </w:pPr>
            <w:r>
              <w:rPr>
                <w:rFonts w:ascii="宋体" w:eastAsia="宋体" w:hAnsi="宋体" w:cs="宋体" w:hint="eastAsia"/>
                <w:color w:val="000000"/>
                <w:sz w:val="24"/>
                <w:szCs w:val="24"/>
              </w:rPr>
              <w:t>寿县</w:t>
            </w:r>
            <w:r>
              <w:rPr>
                <w:rFonts w:ascii="宋体" w:eastAsia="宋体" w:hAnsi="宋体" w:cs="宋体" w:hint="eastAsia"/>
                <w:color w:val="000000"/>
                <w:sz w:val="24"/>
                <w:szCs w:val="24"/>
                <w:lang w:eastAsia="zh-CN"/>
              </w:rPr>
              <w:t>卫生健康委员会</w:t>
            </w:r>
            <w:r>
              <w:rPr>
                <w:rFonts w:ascii="宋体" w:eastAsia="宋体" w:hAnsi="宋体" w:cs="宋体" w:hint="eastAsia"/>
                <w:color w:val="000000"/>
                <w:sz w:val="24"/>
                <w:szCs w:val="24"/>
              </w:rPr>
              <w:t>本级（含事业）</w:t>
            </w:r>
          </w:p>
        </w:tc>
        <w:tc>
          <w:tcPr>
            <w:tcW w:w="3650" w:type="dxa"/>
            <w:tcBorders>
              <w:top w:val="nil"/>
              <w:left w:val="nil"/>
              <w:bottom w:val="single" w:sz="8" w:space="0" w:color="auto"/>
              <w:right w:val="single" w:sz="8" w:space="0" w:color="auto"/>
            </w:tcBorders>
            <w:shd w:val="clear" w:color="auto" w:fill="FFFFFF"/>
            <w:noWrap w:val="0"/>
            <w:vAlign w:val="center"/>
          </w:tcPr>
          <w:p>
            <w:pPr>
              <w:widowControl/>
              <w:jc w:val="center"/>
              <w:rPr>
                <w:rFonts w:ascii="宋体" w:eastAsia="宋体" w:hAnsi="宋体" w:cs="宋体" w:hint="eastAsia"/>
                <w:sz w:val="24"/>
                <w:szCs w:val="24"/>
              </w:rPr>
            </w:pPr>
            <w:r>
              <w:rPr>
                <w:rFonts w:ascii="宋体" w:eastAsia="宋体" w:hAnsi="宋体" w:cs="宋体" w:hint="eastAsia"/>
                <w:sz w:val="24"/>
                <w:szCs w:val="24"/>
              </w:rPr>
              <w:t>行政单位</w:t>
            </w:r>
          </w:p>
          <w:p>
            <w:pPr>
              <w:jc w:val="center"/>
              <w:rPr>
                <w:rFonts w:ascii="宋体" w:eastAsia="宋体" w:hAnsi="宋体" w:cs="宋体" w:hint="eastAsia"/>
                <w:kern w:val="2"/>
                <w:sz w:val="24"/>
                <w:szCs w:val="24"/>
                <w:lang w:val="en-US" w:eastAsia="zh-CN" w:bidi="ar-SA"/>
              </w:rPr>
            </w:pP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2</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rPr>
                <w:rFonts w:ascii="仿宋_GB2312" w:eastAsia="宋体" w:hAnsi="仿宋" w:cs="仿宋" w:hint="eastAsia"/>
                <w:bCs/>
                <w:kern w:val="2"/>
                <w:sz w:val="32"/>
                <w:szCs w:val="32"/>
                <w:lang w:val="en-US" w:eastAsia="zh-CN" w:bidi="ar-SA"/>
              </w:rPr>
            </w:pPr>
            <w:r>
              <w:rPr>
                <w:rFonts w:ascii="宋体" w:eastAsia="宋体" w:hAnsi="宋体" w:cs="宋体" w:hint="eastAsia"/>
                <w:color w:val="000000"/>
                <w:sz w:val="24"/>
                <w:szCs w:val="24"/>
              </w:rPr>
              <w:t>寿县妇幼保健</w:t>
            </w:r>
            <w:r>
              <w:rPr>
                <w:rFonts w:ascii="宋体" w:eastAsia="宋体" w:hAnsi="宋体" w:cs="宋体" w:hint="eastAsia"/>
                <w:color w:val="000000"/>
                <w:sz w:val="24"/>
                <w:szCs w:val="24"/>
                <w:lang w:eastAsia="zh-CN"/>
              </w:rPr>
              <w:t>计划生育服务中心</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宋体" w:eastAsia="宋体" w:hAnsi="宋体" w:cs="宋体" w:hint="eastAsia"/>
                <w:sz w:val="24"/>
                <w:szCs w:val="24"/>
              </w:rPr>
            </w:pPr>
            <w:r>
              <w:rPr>
                <w:rFonts w:ascii="宋体" w:eastAsia="宋体" w:hAnsi="宋体" w:cs="宋体" w:hint="eastAsia"/>
                <w:sz w:val="24"/>
                <w:szCs w:val="24"/>
              </w:rPr>
              <w:t>3</w:t>
            </w:r>
          </w:p>
          <w:p>
            <w:pPr>
              <w:ind w:firstLine="480" w:firstLineChars="200"/>
              <w:jc w:val="center"/>
              <w:rPr>
                <w:rFonts w:ascii="宋体" w:eastAsia="宋体" w:hAnsi="宋体" w:cs="宋体" w:hint="eastAsia"/>
                <w:sz w:val="24"/>
                <w:szCs w:val="24"/>
              </w:rPr>
            </w:pPr>
          </w:p>
          <w:p>
            <w:pPr>
              <w:ind w:firstLine="480" w:firstLineChars="200"/>
              <w:jc w:val="center"/>
              <w:rPr>
                <w:rFonts w:ascii="宋体" w:eastAsia="宋体" w:hAnsi="宋体" w:cs="宋体" w:hint="eastAsia"/>
                <w:sz w:val="24"/>
                <w:szCs w:val="24"/>
              </w:rPr>
            </w:pPr>
          </w:p>
          <w:p>
            <w:pPr>
              <w:ind w:firstLine="640" w:firstLineChars="200"/>
              <w:jc w:val="center"/>
              <w:rPr>
                <w:rFonts w:ascii="仿宋_GB2312" w:eastAsia="仿宋_GB2312" w:hAnsi="宋体" w:hint="eastAsia"/>
                <w:sz w:val="32"/>
                <w:szCs w:val="32"/>
              </w:rPr>
            </w:pP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rPr>
                <w:rFonts w:ascii="仿宋_GB2312" w:eastAsia="仿宋_GB2312" w:hAnsi="仿宋" w:cs="仿宋" w:hint="eastAsia"/>
                <w:bCs/>
                <w:kern w:val="2"/>
                <w:sz w:val="32"/>
                <w:szCs w:val="32"/>
                <w:lang w:val="en-US" w:eastAsia="zh-CN" w:bidi="ar-SA"/>
              </w:rPr>
            </w:pPr>
            <w:r>
              <w:rPr>
                <w:rFonts w:ascii="宋体" w:eastAsia="宋体" w:hAnsi="宋体" w:cs="宋体" w:hint="eastAsia"/>
                <w:color w:val="000000"/>
                <w:sz w:val="24"/>
                <w:szCs w:val="24"/>
              </w:rPr>
              <w:t>寿县疾病预防控制中心</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4</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rPr>
                <w:rFonts w:ascii="仿宋_GB2312" w:eastAsia="宋体" w:hAnsi="仿宋" w:cs="仿宋" w:hint="eastAsia"/>
                <w:bCs/>
                <w:kern w:val="2"/>
                <w:sz w:val="32"/>
                <w:szCs w:val="32"/>
                <w:lang w:val="en-US" w:eastAsia="zh-CN" w:bidi="ar-SA"/>
              </w:rPr>
            </w:pPr>
            <w:r>
              <w:rPr>
                <w:rFonts w:ascii="宋体" w:eastAsia="宋体" w:hAnsi="宋体" w:cs="宋体" w:hint="eastAsia"/>
                <w:color w:val="000000"/>
                <w:sz w:val="24"/>
                <w:szCs w:val="24"/>
              </w:rPr>
              <w:t>寿县卫生</w:t>
            </w:r>
            <w:r>
              <w:rPr>
                <w:rFonts w:ascii="宋体" w:eastAsia="宋体" w:hAnsi="宋体" w:cs="宋体" w:hint="eastAsia"/>
                <w:color w:val="000000"/>
                <w:sz w:val="24"/>
                <w:szCs w:val="24"/>
                <w:lang w:eastAsia="zh-CN"/>
              </w:rPr>
              <w:t>健康管理监督管理所</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5</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rPr>
                <w:rFonts w:ascii="仿宋_GB2312" w:eastAsia="仿宋_GB2312" w:hAnsi="仿宋" w:cs="仿宋" w:hint="eastAsia"/>
                <w:bCs/>
                <w:kern w:val="2"/>
                <w:sz w:val="32"/>
                <w:szCs w:val="32"/>
                <w:lang w:val="en-US" w:eastAsia="zh-CN" w:bidi="ar-SA"/>
              </w:rPr>
            </w:pPr>
            <w:r>
              <w:rPr>
                <w:rFonts w:ascii="宋体" w:eastAsia="宋体" w:hAnsi="宋体" w:cs="宋体" w:hint="eastAsia"/>
                <w:color w:val="000000"/>
                <w:sz w:val="24"/>
                <w:szCs w:val="24"/>
              </w:rPr>
              <w:t>寿县红十字门诊部</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6</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rPr>
                <w:rFonts w:ascii="仿宋_GB2312" w:eastAsia="仿宋_GB2312" w:hAnsi="仿宋" w:cs="仿宋" w:hint="eastAsia"/>
                <w:bCs/>
                <w:kern w:val="2"/>
                <w:sz w:val="32"/>
                <w:szCs w:val="32"/>
                <w:lang w:val="en-US" w:eastAsia="zh-CN" w:bidi="ar-SA"/>
              </w:rPr>
            </w:pPr>
            <w:r>
              <w:rPr>
                <w:rFonts w:ascii="宋体" w:eastAsia="宋体" w:hAnsi="宋体" w:cs="宋体" w:hint="eastAsia"/>
                <w:color w:val="000000"/>
                <w:sz w:val="24"/>
                <w:szCs w:val="24"/>
              </w:rPr>
              <w:t>寿县卫生职业技术学校</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7</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rPr>
                <w:rFonts w:ascii="仿宋_GB2312" w:eastAsia="仿宋_GB2312" w:hAnsi="仿宋" w:cs="仿宋" w:hint="eastAsia"/>
                <w:bCs/>
                <w:kern w:val="2"/>
                <w:sz w:val="32"/>
                <w:szCs w:val="32"/>
                <w:lang w:val="en-US" w:eastAsia="zh-CN" w:bidi="ar-SA"/>
              </w:rPr>
            </w:pPr>
            <w:r>
              <w:rPr>
                <w:rFonts w:ascii="宋体" w:eastAsia="宋体" w:hAnsi="宋体" w:cs="宋体" w:hint="eastAsia"/>
                <w:color w:val="000000"/>
                <w:sz w:val="24"/>
                <w:szCs w:val="24"/>
              </w:rPr>
              <w:t>寿县县医院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8</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rPr>
                <w:rFonts w:ascii="仿宋_GB2312" w:eastAsia="仿宋_GB2312" w:hAnsi="仿宋" w:cs="仿宋" w:hint="eastAsia"/>
                <w:bCs/>
                <w:kern w:val="2"/>
                <w:sz w:val="32"/>
                <w:szCs w:val="32"/>
                <w:lang w:val="en-US" w:eastAsia="zh-CN" w:bidi="ar-SA"/>
              </w:rPr>
            </w:pPr>
            <w:r>
              <w:rPr>
                <w:rFonts w:ascii="宋体" w:eastAsia="宋体" w:hAnsi="宋体" w:cs="宋体" w:hint="eastAsia"/>
                <w:color w:val="000000"/>
                <w:sz w:val="24"/>
                <w:szCs w:val="24"/>
              </w:rPr>
              <w:t>寿县中医院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9</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寿县寿春镇中心卫生院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10</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寿县正阳关镇中心卫生院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11</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寿县双桥镇中心卫生院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12</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寿县迎河镇中心卫生院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13</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寿县堰口镇中心卫生院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14</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寿县安丰镇中心卫生院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15</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寿县三觉镇中心卫生院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16</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寿县炎刘镇中心卫生院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17</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寿县小甸镇中心卫生院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eastAsia"/>
                <w:sz w:val="32"/>
                <w:szCs w:val="32"/>
              </w:rPr>
            </w:pPr>
            <w:r>
              <w:rPr>
                <w:rFonts w:ascii="宋体" w:eastAsia="宋体" w:hAnsi="宋体" w:cs="宋体" w:hint="eastAsia"/>
                <w:sz w:val="24"/>
                <w:szCs w:val="24"/>
              </w:rPr>
              <w:t>18</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寿县瓦埠镇中心卫生院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宋体" w:eastAsia="宋体" w:hAnsi="宋体" w:cs="宋体" w:hint="default"/>
                <w:sz w:val="24"/>
                <w:szCs w:val="24"/>
                <w:lang w:val="en-US" w:eastAsia="zh-CN"/>
              </w:rPr>
            </w:pPr>
            <w:r>
              <w:rPr>
                <w:rFonts w:ascii="宋体" w:eastAsia="宋体" w:hAnsi="宋体" w:cs="宋体" w:hint="eastAsia"/>
                <w:sz w:val="24"/>
                <w:szCs w:val="24"/>
                <w:lang w:val="en-US" w:eastAsia="zh-CN"/>
              </w:rPr>
              <w:t>19</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color w:val="000000"/>
                <w:sz w:val="24"/>
                <w:szCs w:val="24"/>
              </w:rPr>
              <w:t>寿县八公乡卫生院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default"/>
                <w:sz w:val="24"/>
                <w:szCs w:val="24"/>
                <w:lang w:val="en-US" w:eastAsia="zh-CN"/>
              </w:rPr>
            </w:pPr>
            <w:r>
              <w:rPr>
                <w:rFonts w:ascii="仿宋_GB2312" w:eastAsia="宋体" w:hAnsi="宋体" w:hint="eastAsia"/>
                <w:sz w:val="24"/>
                <w:szCs w:val="24"/>
                <w:lang w:val="en-US" w:eastAsia="zh-CN"/>
              </w:rPr>
              <w:t>20</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寿县涧沟镇卫生院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eastAsia="zh-CN"/>
              </w:rPr>
            </w:pPr>
            <w:r>
              <w:rPr>
                <w:rFonts w:ascii="宋体" w:eastAsia="宋体" w:hAnsi="宋体" w:cs="宋体" w:hint="eastAsia"/>
                <w:sz w:val="24"/>
                <w:szCs w:val="24"/>
              </w:rPr>
              <w:t>2</w:t>
            </w:r>
            <w:r>
              <w:rPr>
                <w:rFonts w:ascii="宋体" w:eastAsia="宋体" w:hAnsi="宋体" w:cs="宋体" w:hint="eastAsia"/>
                <w:sz w:val="24"/>
                <w:szCs w:val="24"/>
                <w:lang w:val="en-US" w:eastAsia="zh-CN"/>
              </w:rPr>
              <w:t>1</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寿县丰庄镇卫生院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default"/>
                <w:sz w:val="32"/>
                <w:szCs w:val="32"/>
                <w:lang w:val="en-US" w:eastAsia="zh-CN"/>
              </w:rPr>
            </w:pPr>
            <w:r>
              <w:rPr>
                <w:rFonts w:ascii="仿宋_GB2312" w:eastAsia="宋体" w:hAnsi="宋体" w:hint="eastAsia"/>
                <w:sz w:val="24"/>
                <w:szCs w:val="24"/>
                <w:lang w:val="en-US" w:eastAsia="zh-CN"/>
              </w:rPr>
              <w:t>22</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寿县张李乡卫生院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eastAsia="zh-CN"/>
              </w:rPr>
            </w:pPr>
            <w:r>
              <w:rPr>
                <w:rFonts w:ascii="宋体" w:eastAsia="宋体" w:hAnsi="宋体" w:cs="宋体" w:hint="eastAsia"/>
                <w:sz w:val="24"/>
                <w:szCs w:val="24"/>
              </w:rPr>
              <w:t>2</w:t>
            </w:r>
            <w:r>
              <w:rPr>
                <w:rFonts w:ascii="宋体" w:eastAsia="宋体" w:hAnsi="宋体" w:cs="宋体" w:hint="eastAsia"/>
                <w:sz w:val="24"/>
                <w:szCs w:val="24"/>
                <w:lang w:val="en-US" w:eastAsia="zh-CN"/>
              </w:rPr>
              <w:t>3</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寿县板桥镇卫生院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val="en-US" w:eastAsia="zh-CN"/>
              </w:rPr>
            </w:pPr>
            <w:r>
              <w:rPr>
                <w:rFonts w:ascii="宋体" w:eastAsia="宋体" w:hAnsi="宋体" w:cs="宋体" w:hint="eastAsia"/>
                <w:sz w:val="24"/>
                <w:szCs w:val="24"/>
              </w:rPr>
              <w:t>2</w:t>
            </w:r>
            <w:r>
              <w:rPr>
                <w:rFonts w:ascii="宋体" w:eastAsia="宋体" w:hAnsi="宋体" w:cs="宋体" w:hint="eastAsia"/>
                <w:sz w:val="24"/>
                <w:szCs w:val="24"/>
                <w:lang w:val="en-US" w:eastAsia="zh-CN"/>
              </w:rPr>
              <w:t>4</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寿县安丰塘镇卫生院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val="en-US" w:eastAsia="zh-CN"/>
              </w:rPr>
            </w:pPr>
            <w:r>
              <w:rPr>
                <w:rFonts w:ascii="宋体" w:eastAsia="宋体" w:hAnsi="宋体" w:cs="宋体" w:hint="eastAsia"/>
                <w:sz w:val="24"/>
                <w:szCs w:val="24"/>
              </w:rPr>
              <w:t>2</w:t>
            </w:r>
            <w:r>
              <w:rPr>
                <w:rFonts w:ascii="宋体" w:eastAsia="宋体" w:hAnsi="宋体" w:cs="宋体" w:hint="eastAsia"/>
                <w:sz w:val="24"/>
                <w:szCs w:val="24"/>
                <w:lang w:val="en-US" w:eastAsia="zh-CN"/>
              </w:rPr>
              <w:t>5</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寿县窑口乡卫生院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val="en-US" w:eastAsia="zh-CN"/>
              </w:rPr>
            </w:pPr>
            <w:r>
              <w:rPr>
                <w:rFonts w:ascii="宋体" w:eastAsia="宋体" w:hAnsi="宋体" w:cs="宋体" w:hint="eastAsia"/>
                <w:sz w:val="24"/>
                <w:szCs w:val="24"/>
              </w:rPr>
              <w:t>2</w:t>
            </w:r>
            <w:r>
              <w:rPr>
                <w:rFonts w:ascii="宋体" w:eastAsia="宋体" w:hAnsi="宋体" w:cs="宋体" w:hint="eastAsia"/>
                <w:sz w:val="24"/>
                <w:szCs w:val="24"/>
                <w:lang w:val="en-US" w:eastAsia="zh-CN"/>
              </w:rPr>
              <w:t>6</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寿县保义镇卫生院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val="en-US" w:eastAsia="zh-CN"/>
              </w:rPr>
            </w:pPr>
            <w:r>
              <w:rPr>
                <w:rFonts w:ascii="宋体" w:eastAsia="宋体" w:hAnsi="宋体" w:cs="宋体" w:hint="eastAsia"/>
                <w:sz w:val="24"/>
                <w:szCs w:val="24"/>
              </w:rPr>
              <w:t>2</w:t>
            </w:r>
            <w:r>
              <w:rPr>
                <w:rFonts w:ascii="宋体" w:eastAsia="宋体" w:hAnsi="宋体" w:cs="宋体" w:hint="eastAsia"/>
                <w:sz w:val="24"/>
                <w:szCs w:val="24"/>
                <w:lang w:val="en-US" w:eastAsia="zh-CN"/>
              </w:rPr>
              <w:t>7</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寿县陶店回族乡卫生院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val="en-US" w:eastAsia="zh-CN"/>
              </w:rPr>
            </w:pPr>
            <w:r>
              <w:rPr>
                <w:rFonts w:ascii="宋体" w:eastAsia="宋体" w:hAnsi="宋体" w:cs="宋体" w:hint="eastAsia"/>
                <w:sz w:val="24"/>
                <w:szCs w:val="24"/>
              </w:rPr>
              <w:t>2</w:t>
            </w:r>
            <w:r>
              <w:rPr>
                <w:rFonts w:ascii="宋体" w:eastAsia="宋体" w:hAnsi="宋体" w:cs="宋体" w:hint="eastAsia"/>
                <w:sz w:val="24"/>
                <w:szCs w:val="24"/>
                <w:lang w:val="en-US" w:eastAsia="zh-CN"/>
              </w:rPr>
              <w:t>8</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寿县众兴镇卫生院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val="en-US" w:eastAsia="zh-CN"/>
              </w:rPr>
            </w:pPr>
            <w:r>
              <w:rPr>
                <w:rFonts w:ascii="宋体" w:eastAsia="宋体" w:hAnsi="宋体" w:cs="宋体" w:hint="eastAsia"/>
                <w:sz w:val="24"/>
                <w:szCs w:val="24"/>
              </w:rPr>
              <w:t>2</w:t>
            </w:r>
            <w:r>
              <w:rPr>
                <w:rFonts w:ascii="宋体" w:eastAsia="宋体" w:hAnsi="宋体" w:cs="宋体" w:hint="eastAsia"/>
                <w:sz w:val="24"/>
                <w:szCs w:val="24"/>
                <w:lang w:val="en-US" w:eastAsia="zh-CN"/>
              </w:rPr>
              <w:t>9</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寿县隐贤镇卫生院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default"/>
                <w:sz w:val="32"/>
                <w:szCs w:val="32"/>
                <w:lang w:val="en-US" w:eastAsia="zh-CN"/>
              </w:rPr>
            </w:pPr>
            <w:r>
              <w:rPr>
                <w:rFonts w:ascii="仿宋_GB2312" w:eastAsia="仿宋_GB2312" w:hAnsi="宋体" w:hint="eastAsia"/>
                <w:sz w:val="24"/>
                <w:szCs w:val="24"/>
                <w:lang w:val="en-US" w:eastAsia="zh-CN"/>
              </w:rPr>
              <w:t>30</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寿县茶庵镇卫生院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eastAsia="zh-CN"/>
              </w:rPr>
            </w:pPr>
            <w:r>
              <w:rPr>
                <w:rFonts w:ascii="宋体" w:eastAsia="宋体" w:hAnsi="宋体" w:cs="宋体" w:hint="eastAsia"/>
                <w:sz w:val="24"/>
                <w:szCs w:val="24"/>
              </w:rPr>
              <w:t>3</w:t>
            </w:r>
            <w:r>
              <w:rPr>
                <w:rFonts w:ascii="宋体" w:eastAsia="宋体" w:hAnsi="宋体" w:cs="宋体" w:hint="eastAsia"/>
                <w:sz w:val="24"/>
                <w:szCs w:val="24"/>
                <w:lang w:val="en-US" w:eastAsia="zh-CN"/>
              </w:rPr>
              <w:t>1</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寿县刘岗镇卫生院</w:t>
            </w:r>
          </w:p>
        </w:tc>
        <w:tc>
          <w:tcPr>
            <w:tcW w:w="3650" w:type="dxa"/>
            <w:tcBorders>
              <w:top w:val="nil"/>
              <w:left w:val="nil"/>
              <w:bottom w:val="single" w:sz="8" w:space="0" w:color="auto"/>
              <w:right w:val="single" w:sz="8" w:space="0" w:color="auto"/>
            </w:tcBorders>
            <w:shd w:val="clear" w:color="auto" w:fill="FFFFFF"/>
            <w:noWrap w:val="0"/>
            <w:vAlign w:val="center"/>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val="en-US" w:eastAsia="zh-CN"/>
              </w:rPr>
            </w:pPr>
            <w:r>
              <w:rPr>
                <w:rFonts w:ascii="宋体" w:eastAsia="宋体" w:hAnsi="宋体" w:cs="宋体" w:hint="eastAsia"/>
                <w:sz w:val="24"/>
                <w:szCs w:val="24"/>
              </w:rPr>
              <w:t>3</w:t>
            </w:r>
            <w:r>
              <w:rPr>
                <w:rFonts w:ascii="宋体" w:eastAsia="宋体" w:hAnsi="宋体" w:cs="宋体" w:hint="eastAsia"/>
                <w:sz w:val="24"/>
                <w:szCs w:val="24"/>
                <w:lang w:val="en-US" w:eastAsia="zh-CN"/>
              </w:rPr>
              <w:t>2</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寿县双庙集镇卫生院</w:t>
            </w:r>
          </w:p>
        </w:tc>
        <w:tc>
          <w:tcPr>
            <w:tcW w:w="3650" w:type="dxa"/>
            <w:tcBorders>
              <w:top w:val="nil"/>
              <w:left w:val="nil"/>
              <w:bottom w:val="single" w:sz="8" w:space="0" w:color="auto"/>
              <w:right w:val="single" w:sz="8" w:space="0" w:color="auto"/>
            </w:tcBorders>
            <w:shd w:val="clear" w:color="auto" w:fill="FFFFFF"/>
            <w:noWrap w:val="0"/>
            <w:vAlign w:val="top"/>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68"/>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eastAsia="zh-CN"/>
              </w:rPr>
            </w:pPr>
            <w:r>
              <w:rPr>
                <w:rFonts w:ascii="宋体" w:eastAsia="宋体" w:hAnsi="宋体" w:cs="宋体" w:hint="eastAsia"/>
                <w:sz w:val="24"/>
                <w:szCs w:val="24"/>
              </w:rPr>
              <w:t>3</w:t>
            </w:r>
            <w:r>
              <w:rPr>
                <w:rFonts w:ascii="宋体" w:eastAsia="宋体" w:hAnsi="宋体" w:cs="宋体" w:hint="eastAsia"/>
                <w:sz w:val="24"/>
                <w:szCs w:val="24"/>
                <w:lang w:val="en-US" w:eastAsia="zh-CN"/>
              </w:rPr>
              <w:t>3</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寿县大顺镇卫生院</w:t>
            </w:r>
          </w:p>
        </w:tc>
        <w:tc>
          <w:tcPr>
            <w:tcW w:w="3650" w:type="dxa"/>
            <w:tcBorders>
              <w:top w:val="nil"/>
              <w:left w:val="nil"/>
              <w:bottom w:val="single" w:sz="8" w:space="0" w:color="auto"/>
              <w:right w:val="single" w:sz="8" w:space="0" w:color="auto"/>
            </w:tcBorders>
            <w:shd w:val="clear" w:color="auto" w:fill="FFFFFF"/>
            <w:noWrap w:val="0"/>
            <w:vAlign w:val="top"/>
          </w:tcPr>
          <w:p>
            <w:pPr>
              <w:jc w:val="center"/>
              <w:rPr>
                <w:rFonts w:ascii="宋体" w:eastAsia="宋体" w:hAnsi="宋体" w:cs="宋体" w:hint="eastAsia"/>
                <w:kern w:val="2"/>
                <w:sz w:val="24"/>
                <w:szCs w:val="24"/>
                <w:lang w:val="en-US" w:eastAsia="zh-CN" w:bidi="ar-SA"/>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宋体" w:hAnsi="宋体" w:hint="eastAsia"/>
                <w:sz w:val="32"/>
                <w:szCs w:val="32"/>
                <w:lang w:val="en-US" w:eastAsia="zh-CN"/>
              </w:rPr>
            </w:pPr>
            <w:r>
              <w:rPr>
                <w:rFonts w:ascii="宋体" w:eastAsia="宋体" w:hAnsi="宋体" w:cs="宋体" w:hint="eastAsia"/>
                <w:sz w:val="24"/>
                <w:szCs w:val="24"/>
              </w:rPr>
              <w:t>3</w:t>
            </w:r>
            <w:r>
              <w:rPr>
                <w:rFonts w:ascii="宋体" w:eastAsia="宋体" w:hAnsi="宋体" w:cs="宋体" w:hint="eastAsia"/>
                <w:sz w:val="24"/>
                <w:szCs w:val="24"/>
                <w:lang w:val="en-US" w:eastAsia="zh-CN"/>
              </w:rPr>
              <w:t>4</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寿县寿春镇中心卫生院九龙分院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仿宋" w:cs="仿宋" w:hint="eastAsia"/>
                <w:bCs/>
                <w:sz w:val="32"/>
                <w:szCs w:val="32"/>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default"/>
                <w:sz w:val="32"/>
                <w:szCs w:val="32"/>
                <w:lang w:val="en-US" w:eastAsia="zh-CN"/>
              </w:rPr>
            </w:pPr>
            <w:r>
              <w:rPr>
                <w:rFonts w:ascii="宋体" w:eastAsia="宋体" w:hAnsi="宋体" w:cs="宋体" w:hint="eastAsia"/>
                <w:sz w:val="24"/>
                <w:szCs w:val="24"/>
                <w:lang w:val="en-US" w:eastAsia="zh-CN"/>
              </w:rPr>
              <w:t>35</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寿县安丰镇中心卫生院杨仙分院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仿宋" w:cs="仿宋" w:hint="eastAsia"/>
                <w:bCs/>
                <w:sz w:val="32"/>
                <w:szCs w:val="32"/>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default"/>
                <w:sz w:val="32"/>
                <w:szCs w:val="32"/>
                <w:lang w:val="en-US" w:eastAsia="zh-CN"/>
              </w:rPr>
            </w:pPr>
            <w:r>
              <w:rPr>
                <w:rFonts w:ascii="宋体" w:eastAsia="宋体" w:hAnsi="宋体" w:cs="宋体" w:hint="eastAsia"/>
                <w:sz w:val="24"/>
                <w:szCs w:val="24"/>
                <w:lang w:val="en-US" w:eastAsia="zh-CN"/>
              </w:rPr>
              <w:t>36</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寿县三觉镇中心卫生院瓦房分院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仿宋" w:cs="仿宋" w:hint="eastAsia"/>
                <w:bCs/>
                <w:sz w:val="32"/>
                <w:szCs w:val="32"/>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default"/>
                <w:sz w:val="32"/>
                <w:szCs w:val="32"/>
                <w:lang w:val="en-US"/>
              </w:rPr>
            </w:pPr>
            <w:r>
              <w:rPr>
                <w:rFonts w:ascii="宋体" w:eastAsia="宋体" w:hAnsi="宋体" w:cs="宋体" w:hint="eastAsia"/>
                <w:sz w:val="24"/>
                <w:szCs w:val="24"/>
                <w:lang w:val="en-US" w:eastAsia="zh-CN"/>
              </w:rPr>
              <w:t>37</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寿县炎刘镇中心卫生院广岩分院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仿宋" w:cs="仿宋" w:hint="eastAsia"/>
                <w:bCs/>
                <w:sz w:val="32"/>
                <w:szCs w:val="32"/>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default"/>
                <w:sz w:val="32"/>
                <w:szCs w:val="32"/>
                <w:lang w:val="en-US" w:eastAsia="zh-CN"/>
              </w:rPr>
            </w:pPr>
            <w:r>
              <w:rPr>
                <w:rFonts w:ascii="仿宋_GB2312" w:eastAsia="仿宋_GB2312" w:hAnsi="宋体" w:hint="eastAsia"/>
                <w:sz w:val="24"/>
                <w:szCs w:val="24"/>
                <w:lang w:val="en-US" w:eastAsia="zh-CN"/>
              </w:rPr>
              <w:t>38</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寿县小甸镇中心卫生院李山分院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仿宋" w:cs="仿宋" w:hint="eastAsia"/>
                <w:bCs/>
                <w:sz w:val="32"/>
                <w:szCs w:val="32"/>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default"/>
                <w:sz w:val="32"/>
                <w:szCs w:val="32"/>
                <w:lang w:val="en-US" w:eastAsia="zh-CN"/>
              </w:rPr>
            </w:pPr>
            <w:r>
              <w:rPr>
                <w:rFonts w:ascii="宋体" w:eastAsia="宋体" w:hAnsi="宋体" w:cs="宋体" w:hint="eastAsia"/>
                <w:sz w:val="24"/>
                <w:szCs w:val="24"/>
                <w:lang w:val="en-US" w:eastAsia="zh-CN"/>
              </w:rPr>
              <w:t>39</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寿县正阳关镇中心卫生院建设分院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仿宋" w:cs="仿宋" w:hint="eastAsia"/>
                <w:bCs/>
                <w:sz w:val="32"/>
                <w:szCs w:val="32"/>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default"/>
                <w:sz w:val="32"/>
                <w:szCs w:val="32"/>
                <w:lang w:val="en-US" w:eastAsia="zh-CN"/>
              </w:rPr>
            </w:pPr>
            <w:r>
              <w:rPr>
                <w:rFonts w:ascii="仿宋_GB2312" w:eastAsia="仿宋_GB2312" w:hAnsi="宋体" w:hint="eastAsia"/>
                <w:sz w:val="24"/>
                <w:szCs w:val="24"/>
                <w:lang w:val="en-US" w:eastAsia="zh-CN"/>
              </w:rPr>
              <w:t>40</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寿县正阳关镇中心卫生院枸杞分院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仿宋" w:cs="仿宋" w:hint="eastAsia"/>
                <w:bCs/>
                <w:sz w:val="32"/>
                <w:szCs w:val="32"/>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hint="default"/>
                <w:sz w:val="32"/>
                <w:szCs w:val="32"/>
                <w:lang w:val="en-US" w:eastAsia="zh-CN"/>
              </w:rPr>
            </w:pPr>
            <w:r>
              <w:rPr>
                <w:rFonts w:ascii="宋体" w:eastAsia="宋体" w:hAnsi="宋体" w:cs="宋体" w:hint="eastAsia"/>
                <w:sz w:val="24"/>
                <w:szCs w:val="24"/>
                <w:lang w:val="en-US" w:eastAsia="zh-CN"/>
              </w:rPr>
              <w:t>41</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仿宋" w:cs="仿宋" w:hint="eastAsia"/>
                <w:bCs/>
                <w:kern w:val="2"/>
                <w:sz w:val="32"/>
                <w:szCs w:val="32"/>
                <w:lang w:val="en-US" w:eastAsia="zh-CN" w:bidi="ar-SA"/>
              </w:rPr>
            </w:pPr>
            <w:r>
              <w:rPr>
                <w:rFonts w:ascii="宋体" w:eastAsia="宋体" w:hAnsi="宋体" w:cs="宋体" w:hint="eastAsia"/>
                <w:i w:val="0"/>
                <w:iCs w:val="0"/>
                <w:color w:val="000000"/>
                <w:kern w:val="0"/>
                <w:sz w:val="22"/>
                <w:szCs w:val="22"/>
                <w:u w:val="none"/>
                <w:lang w:val="en-US" w:eastAsia="zh-CN" w:bidi="ar"/>
              </w:rPr>
              <w:t>寿县安丰塘镇卫生院苏王分院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仿宋" w:cs="仿宋" w:hint="eastAsia"/>
                <w:bCs/>
                <w:sz w:val="32"/>
                <w:szCs w:val="32"/>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cs="宋体" w:hint="default"/>
                <w:sz w:val="32"/>
                <w:szCs w:val="32"/>
                <w:lang w:val="en-US" w:eastAsia="zh-CN"/>
              </w:rPr>
            </w:pPr>
            <w:r>
              <w:rPr>
                <w:rFonts w:ascii="宋体" w:eastAsia="宋体" w:hAnsi="宋体" w:cs="宋体" w:hint="eastAsia"/>
                <w:sz w:val="24"/>
                <w:szCs w:val="24"/>
                <w:lang w:val="en-US" w:eastAsia="zh-CN"/>
              </w:rPr>
              <w:t>42</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宋体" w:hint="eastAsia"/>
                <w:kern w:val="2"/>
                <w:sz w:val="32"/>
                <w:szCs w:val="32"/>
                <w:u w:val="single"/>
                <w:lang w:val="en-US" w:eastAsia="zh-CN" w:bidi="ar-SA"/>
              </w:rPr>
            </w:pPr>
            <w:r>
              <w:rPr>
                <w:rFonts w:ascii="宋体" w:eastAsia="宋体" w:hAnsi="宋体" w:cs="宋体" w:hint="eastAsia"/>
                <w:i w:val="0"/>
                <w:iCs w:val="0"/>
                <w:color w:val="000000"/>
                <w:kern w:val="0"/>
                <w:sz w:val="22"/>
                <w:szCs w:val="22"/>
                <w:u w:val="none"/>
                <w:lang w:val="en-US" w:eastAsia="zh-CN" w:bidi="ar"/>
              </w:rPr>
              <w:t>寿县板桥镇卫生院双门分院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宋体" w:hint="eastAsia"/>
                <w:sz w:val="32"/>
                <w:szCs w:val="32"/>
                <w:u w:val="single"/>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r>
        <w:tblPrEx>
          <w:tblW w:w="8686" w:type="dxa"/>
          <w:tblInd w:w="288" w:type="dxa"/>
          <w:shd w:val="clear" w:color="auto" w:fill="FFFFFF"/>
          <w:tblLayout w:type="fixed"/>
          <w:tblCellMar>
            <w:top w:w="0" w:type="dxa"/>
            <w:left w:w="0" w:type="dxa"/>
            <w:bottom w:w="0" w:type="dxa"/>
            <w:right w:w="0" w:type="dxa"/>
          </w:tblCellMar>
        </w:tblPrEx>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val="0"/>
            <w:tcMar>
              <w:top w:w="0" w:type="dxa"/>
              <w:left w:w="108" w:type="dxa"/>
              <w:bottom w:w="0" w:type="dxa"/>
              <w:right w:w="108" w:type="dxa"/>
            </w:tcMar>
            <w:vAlign w:val="center"/>
          </w:tcPr>
          <w:p>
            <w:pPr>
              <w:jc w:val="center"/>
              <w:rPr>
                <w:rFonts w:ascii="仿宋_GB2312" w:eastAsia="仿宋_GB2312" w:hAnsi="宋体" w:cs="宋体" w:hint="default"/>
                <w:sz w:val="32"/>
                <w:szCs w:val="32"/>
                <w:lang w:val="en-US" w:eastAsia="zh-CN"/>
              </w:rPr>
            </w:pPr>
            <w:r>
              <w:rPr>
                <w:rFonts w:ascii="宋体" w:eastAsia="宋体" w:hAnsi="宋体" w:cs="宋体" w:hint="eastAsia"/>
                <w:sz w:val="24"/>
                <w:szCs w:val="24"/>
                <w:lang w:val="en-US" w:eastAsia="zh-CN"/>
              </w:rPr>
              <w:t>43</w:t>
            </w:r>
          </w:p>
        </w:tc>
        <w:tc>
          <w:tcPr>
            <w:tcW w:w="4136" w:type="dxa"/>
            <w:tcBorders>
              <w:top w:val="nil"/>
              <w:left w:val="nil"/>
              <w:bottom w:val="single" w:sz="8" w:space="0" w:color="auto"/>
              <w:right w:val="single" w:sz="8" w:space="0" w:color="auto"/>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ascii="仿宋_GB2312" w:eastAsia="仿宋_GB2312" w:hAnsi="宋体" w:hint="eastAsia"/>
                <w:kern w:val="2"/>
                <w:sz w:val="32"/>
                <w:szCs w:val="32"/>
                <w:u w:val="single"/>
                <w:lang w:val="en-US" w:eastAsia="zh-CN" w:bidi="ar-SA"/>
              </w:rPr>
            </w:pPr>
            <w:r>
              <w:rPr>
                <w:rFonts w:ascii="宋体" w:eastAsia="宋体" w:hAnsi="宋体" w:cs="宋体" w:hint="eastAsia"/>
                <w:i w:val="0"/>
                <w:iCs w:val="0"/>
                <w:color w:val="000000"/>
                <w:kern w:val="0"/>
                <w:sz w:val="22"/>
                <w:szCs w:val="22"/>
                <w:u w:val="none"/>
                <w:lang w:val="en-US" w:eastAsia="zh-CN" w:bidi="ar"/>
              </w:rPr>
              <w:t>寿县保义镇卫生院开荒分院</w:t>
            </w:r>
          </w:p>
        </w:tc>
        <w:tc>
          <w:tcPr>
            <w:tcW w:w="3650" w:type="dxa"/>
            <w:tcBorders>
              <w:top w:val="nil"/>
              <w:left w:val="nil"/>
              <w:bottom w:val="single" w:sz="8" w:space="0" w:color="auto"/>
              <w:right w:val="single" w:sz="8" w:space="0" w:color="auto"/>
            </w:tcBorders>
            <w:shd w:val="clear" w:color="auto" w:fill="FFFFFF"/>
            <w:noWrap w:val="0"/>
            <w:vAlign w:val="center"/>
          </w:tcPr>
          <w:p>
            <w:pPr>
              <w:keepNext w:val="0"/>
              <w:keepLines w:val="0"/>
              <w:widowControl/>
              <w:suppressLineNumbers w:val="0"/>
              <w:jc w:val="center"/>
              <w:textAlignment w:val="center"/>
              <w:rPr>
                <w:rFonts w:ascii="仿宋_GB2312" w:eastAsia="仿宋_GB2312" w:hAnsi="宋体" w:hint="eastAsia"/>
                <w:sz w:val="32"/>
                <w:szCs w:val="32"/>
                <w:u w:val="single"/>
              </w:rPr>
            </w:pPr>
            <w:r>
              <w:rPr>
                <w:rFonts w:ascii="宋体" w:hAnsi="宋体" w:cs="宋体" w:hint="eastAsia"/>
                <w:sz w:val="24"/>
                <w:szCs w:val="24"/>
                <w:lang w:eastAsia="zh-CN"/>
              </w:rPr>
              <w:t>公益一类</w:t>
            </w:r>
            <w:r>
              <w:rPr>
                <w:rFonts w:ascii="宋体" w:eastAsia="宋体" w:hAnsi="宋体" w:cs="宋体" w:hint="eastAsia"/>
                <w:sz w:val="24"/>
                <w:szCs w:val="24"/>
              </w:rPr>
              <w:t>事业单位</w:t>
            </w:r>
          </w:p>
        </w:tc>
      </w:tr>
    </w:tbl>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bCs/>
          <w:sz w:val="32"/>
          <w:szCs w:val="32"/>
          <w:lang w:val="en-US" w:eastAsia="zh-CN"/>
        </w:rPr>
      </w:pPr>
      <w:r>
        <w:rPr>
          <w:rFonts w:ascii="楷体_GB2312" w:eastAsia="楷体_GB2312" w:hAnsi="TimesNewRoman" w:cs="TimesNewRoman" w:hint="eastAsia"/>
          <w:b/>
          <w:bCs/>
          <w:sz w:val="32"/>
          <w:szCs w:val="32"/>
        </w:rPr>
        <w:t>三、2024年度主要工作任务</w:t>
      </w:r>
    </w:p>
    <w:p>
      <w:pPr>
        <w:pStyle w:val="NormalWeb"/>
        <w:numPr>
          <w:ilvl w:val="0"/>
          <w:numId w:val="1"/>
        </w:numPr>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深化医疗体制改革。进一步推进医疗集团规范化建设，以 “一办六中心”为支撑，着力打造紧密型县域医共体一体化信息平台，实现医共体集团之间院务管理、诊疗信息、电子病历和医疗服务等信息互联互通，医疗业务、财务审计、物资调配等一体化管理。</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val="en-US" w:eastAsia="zh-CN"/>
        </w:rPr>
        <w:t>(二)</w:t>
      </w:r>
      <w:r>
        <w:rPr>
          <w:rFonts w:ascii="仿宋_GB2312" w:eastAsia="仿宋_GB2312" w:hAnsi="仿宋" w:hint="eastAsia"/>
          <w:sz w:val="32"/>
          <w:szCs w:val="32"/>
        </w:rPr>
        <w:t xml:space="preserve">探索人事制度改革。加大招聘频次，按照“小步快跑”的原则，逐步解决人才紧缺问题。 </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三</w:t>
      </w:r>
      <w:r>
        <w:rPr>
          <w:rFonts w:ascii="仿宋_GB2312" w:eastAsia="仿宋_GB2312" w:hAnsi="仿宋" w:hint="eastAsia"/>
          <w:sz w:val="32"/>
          <w:szCs w:val="32"/>
          <w:lang w:eastAsia="zh-CN"/>
        </w:rPr>
        <w:t>）</w:t>
      </w:r>
      <w:r>
        <w:rPr>
          <w:rFonts w:ascii="仿宋_GB2312" w:eastAsia="仿宋_GB2312" w:hAnsi="仿宋" w:hint="eastAsia"/>
          <w:sz w:val="32"/>
          <w:szCs w:val="32"/>
        </w:rPr>
        <w:t>推进服务关口前移。重点加强与省市三级医院医联体、专家联盟合作，柔性引进临床专家团队开展坐诊帮扶；择优选派全专科医务人员下沉基层，加强对口帮扶乡镇卫生院。</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四</w:t>
      </w:r>
      <w:r>
        <w:rPr>
          <w:rFonts w:ascii="仿宋_GB2312" w:eastAsia="仿宋_GB2312" w:hAnsi="仿宋" w:hint="eastAsia"/>
          <w:sz w:val="32"/>
          <w:szCs w:val="32"/>
          <w:lang w:eastAsia="zh-CN"/>
        </w:rPr>
        <w:t>）</w:t>
      </w:r>
      <w:r>
        <w:rPr>
          <w:rFonts w:ascii="仿宋_GB2312" w:eastAsia="仿宋_GB2312" w:hAnsi="仿宋" w:hint="eastAsia"/>
          <w:sz w:val="32"/>
          <w:szCs w:val="32"/>
        </w:rPr>
        <w:t>提升基层服务能力。加快区域医疗次中心建设，配置CT、DR、彩超、腹腔镜等设备；建立特色科室、联合科室、慢病康复科室等，试点开展“日间病床”，完善上下转诊机制，促进双向转诊上下贯通。</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val="en-US" w:eastAsia="zh-CN"/>
        </w:rPr>
        <w:t>(</w:t>
      </w:r>
      <w:r>
        <w:rPr>
          <w:rFonts w:ascii="仿宋_GB2312" w:eastAsia="仿宋_GB2312" w:hAnsi="仿宋" w:hint="eastAsia"/>
          <w:sz w:val="32"/>
          <w:szCs w:val="32"/>
        </w:rPr>
        <w:t>五</w:t>
      </w:r>
      <w:r>
        <w:rPr>
          <w:rFonts w:ascii="仿宋_GB2312" w:eastAsia="仿宋_GB2312" w:hAnsi="仿宋" w:hint="eastAsia"/>
          <w:sz w:val="32"/>
          <w:szCs w:val="32"/>
          <w:lang w:eastAsia="zh-CN"/>
        </w:rPr>
        <w:t>）</w:t>
      </w:r>
      <w:r>
        <w:rPr>
          <w:rFonts w:ascii="仿宋_GB2312" w:eastAsia="仿宋_GB2312" w:hAnsi="仿宋" w:hint="eastAsia"/>
          <w:sz w:val="32"/>
          <w:szCs w:val="32"/>
        </w:rPr>
        <w:t>加大项目谋划力度。2024年，共谋划项目4个，总投资约11.8亿，计划申请政府专项债券8.6亿元，其中2023年已完成审核入库5.1亿元。</w:t>
      </w:r>
    </w:p>
    <w:p>
      <w:pPr>
        <w:pStyle w:val="NormalWeb"/>
        <w:adjustRightInd w:val="0"/>
        <w:snapToGrid w:val="0"/>
        <w:spacing w:line="560" w:lineRule="exact"/>
        <w:rPr>
          <w:rFonts w:ascii="TimesNewRoman" w:eastAsia="黑体" w:hAnsi="TimesNewRoman" w:cs="TimesNewRoman"/>
          <w:bCs/>
          <w:sz w:val="36"/>
          <w:szCs w:val="36"/>
        </w:rPr>
      </w:pPr>
    </w:p>
    <w:p>
      <w:pPr>
        <w:pStyle w:val="NormalWeb"/>
        <w:adjustRightInd w:val="0"/>
        <w:snapToGrid w:val="0"/>
        <w:spacing w:line="560" w:lineRule="exact"/>
        <w:rPr>
          <w:rFonts w:ascii="TimesNewRoman" w:eastAsia="黑体" w:hAnsi="TimesNewRoman" w:cs="TimesNewRoman"/>
          <w:bCs/>
          <w:sz w:val="36"/>
          <w:szCs w:val="36"/>
        </w:rPr>
      </w:pPr>
    </w:p>
    <w:p>
      <w:pPr>
        <w:pStyle w:val="NormalWeb"/>
        <w:adjustRightInd w:val="0"/>
        <w:snapToGrid w:val="0"/>
        <w:spacing w:line="560" w:lineRule="exact"/>
        <w:rPr>
          <w:rFonts w:ascii="TimesNewRoman" w:eastAsia="黑体" w:hAnsi="TimesNewRoman" w:cs="TimesNewRoman"/>
          <w:bCs/>
          <w:sz w:val="36"/>
          <w:szCs w:val="36"/>
        </w:rPr>
      </w:pPr>
    </w:p>
    <w:p>
      <w:pPr>
        <w:pStyle w:val="NormalWeb"/>
        <w:adjustRightInd w:val="0"/>
        <w:snapToGrid w:val="0"/>
        <w:spacing w:line="560" w:lineRule="exact"/>
        <w:rPr>
          <w:rFonts w:ascii="TimesNewRoman" w:eastAsia="黑体" w:hAnsi="TimesNewRoman" w:cs="TimesNewRoman"/>
          <w:bCs/>
          <w:sz w:val="36"/>
          <w:szCs w:val="36"/>
        </w:rPr>
      </w:pPr>
    </w:p>
    <w:p>
      <w:pPr>
        <w:pStyle w:val="NormalWeb"/>
        <w:adjustRightInd w:val="0"/>
        <w:snapToGrid w:val="0"/>
        <w:spacing w:line="560" w:lineRule="exact"/>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jc w:val="center"/>
        <w:rPr>
          <w:rFonts w:ascii="宋体" w:eastAsia="宋体" w:hAnsi="宋体" w:cs="宋体" w:hint="eastAsia"/>
          <w:bCs/>
          <w:sz w:val="36"/>
          <w:szCs w:val="36"/>
        </w:rPr>
      </w:pPr>
    </w:p>
    <w:p>
      <w:pPr>
        <w:pStyle w:val="NormalWeb"/>
        <w:topLinePunct/>
        <w:adjustRightInd w:val="0"/>
        <w:snapToGrid w:val="0"/>
        <w:spacing w:beforeAutospacing="0" w:afterAutospacing="0" w:line="560" w:lineRule="exact"/>
        <w:jc w:val="center"/>
        <w:rPr>
          <w:rFonts w:ascii="宋体" w:eastAsia="宋体" w:hAnsi="宋体" w:cs="宋体" w:hint="eastAsia"/>
          <w:bCs/>
          <w:sz w:val="36"/>
          <w:szCs w:val="36"/>
        </w:rPr>
      </w:pPr>
      <w:r>
        <w:rPr>
          <w:rFonts w:ascii="宋体" w:eastAsia="宋体" w:hAnsi="宋体" w:cs="宋体" w:hint="eastAsia"/>
          <w:bCs/>
          <w:sz w:val="36"/>
          <w:szCs w:val="36"/>
        </w:rPr>
        <w:t>第二部分 2024年部门（</w:t>
      </w:r>
      <w:r>
        <w:rPr>
          <w:rFonts w:ascii="宋体" w:eastAsia="宋体" w:hAnsi="宋体" w:cs="宋体" w:hint="eastAsia"/>
          <w:bCs/>
          <w:sz w:val="36"/>
          <w:szCs w:val="36"/>
          <w:lang w:eastAsia="zh-CN"/>
        </w:rPr>
        <w:t>寿县卫生健康委员会</w:t>
      </w:r>
      <w:r>
        <w:rPr>
          <w:rFonts w:ascii="宋体" w:eastAsia="宋体" w:hAnsi="宋体" w:cs="宋体" w:hint="eastAsia"/>
          <w:bCs/>
          <w:sz w:val="36"/>
          <w:szCs w:val="36"/>
        </w:rPr>
        <w:t>）预算表</w:t>
      </w:r>
    </w:p>
    <w:p>
      <w:pPr>
        <w:spacing w:line="560" w:lineRule="exact"/>
        <w:ind w:firstLine="6600" w:firstLineChars="3300"/>
        <w:jc w:val="left"/>
        <w:rPr>
          <w:rFonts w:ascii="TimesNewRoman" w:hAnsi="TimesNewRoman" w:cs="TimesNewRoman" w:hint="eastAsia"/>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公开表1</w:t>
      </w:r>
    </w:p>
    <w:p>
      <w:pPr>
        <w:spacing w:line="560" w:lineRule="exact"/>
        <w:jc w:val="center"/>
        <w:rPr>
          <w:rFonts w:ascii="宋体" w:hAnsi="宋体" w:cs="TimesNewRoman"/>
          <w:kern w:val="0"/>
          <w:sz w:val="24"/>
        </w:rPr>
      </w:pPr>
      <w:r>
        <w:rPr>
          <w:rFonts w:ascii="宋体" w:hAnsi="宋体" w:cs="TimesNewRoman" w:hint="eastAsia"/>
          <w:b/>
          <w:bCs/>
          <w:kern w:val="0"/>
          <w:sz w:val="28"/>
          <w:szCs w:val="32"/>
        </w:rPr>
        <w:t>寿县</w:t>
      </w:r>
      <w:r>
        <w:rPr>
          <w:rFonts w:ascii="宋体" w:hAnsi="宋体" w:cs="TimesNewRoman" w:hint="eastAsia"/>
          <w:b/>
          <w:bCs/>
          <w:kern w:val="0"/>
          <w:sz w:val="28"/>
          <w:szCs w:val="32"/>
          <w:lang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年收支总表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9680" w:type="dxa"/>
        <w:tblInd w:w="-191" w:type="dxa"/>
        <w:tblLayout w:type="fixed"/>
        <w:tblCellMar>
          <w:top w:w="0" w:type="dxa"/>
          <w:left w:w="108" w:type="dxa"/>
          <w:bottom w:w="0" w:type="dxa"/>
          <w:right w:w="108" w:type="dxa"/>
        </w:tblCellMar>
      </w:tblPr>
      <w:tblGrid>
        <w:gridCol w:w="3919"/>
        <w:gridCol w:w="1089"/>
        <w:gridCol w:w="3470"/>
        <w:gridCol w:w="1202"/>
      </w:tblGrid>
      <w:tr>
        <w:tblPrEx>
          <w:tblW w:w="9680" w:type="dxa"/>
          <w:tblInd w:w="-191" w:type="dxa"/>
          <w:tblLayout w:type="fixed"/>
          <w:tblCellMar>
            <w:top w:w="0" w:type="dxa"/>
            <w:left w:w="108" w:type="dxa"/>
            <w:bottom w:w="0" w:type="dxa"/>
            <w:right w:w="108" w:type="dxa"/>
          </w:tblCellMar>
        </w:tblPrEx>
        <w:trPr>
          <w:trHeight w:val="12"/>
        </w:trPr>
        <w:tc>
          <w:tcPr>
            <w:tcW w:w="5008"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 xml:space="preserve">          收            入             </w:t>
            </w:r>
          </w:p>
        </w:tc>
        <w:tc>
          <w:tcPr>
            <w:tcW w:w="4672"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          出</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收 入 项 目</w:t>
            </w:r>
          </w:p>
        </w:tc>
        <w:tc>
          <w:tcPr>
            <w:tcW w:w="1089"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支出功能分类科目</w:t>
            </w:r>
          </w:p>
        </w:tc>
        <w:tc>
          <w:tcPr>
            <w:tcW w:w="1202"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一、一般公共预算拨款收入</w:t>
            </w:r>
          </w:p>
        </w:tc>
        <w:tc>
          <w:tcPr>
            <w:tcW w:w="108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24832.28</w:t>
            </w: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一、一般公共服务支出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10373.19</w:t>
            </w: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二、外交支出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270"/>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三、国防支出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四、公共安全支出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90.03</w:t>
            </w: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五、教育支出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六、科学技术支出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rPr>
                <w:rFonts w:ascii="TimesNewRoman" w:hAnsi="TimesNewRoman" w:cs="TimesNewRoman"/>
                <w:kern w:val="0"/>
                <w:sz w:val="18"/>
                <w:szCs w:val="18"/>
              </w:rPr>
            </w:pPr>
            <w:r>
              <w:rPr>
                <w:rFonts w:ascii="TimesNewRoman" w:hAnsi="TimesNewRoman" w:cs="TimesNewRoman"/>
                <w:kern w:val="0"/>
                <w:sz w:val="18"/>
                <w:szCs w:val="18"/>
              </w:rPr>
              <w:t>三、国有资本经营预算拨款收入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七、文化旅游体育与传媒支出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八、社会保障和就业支出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2845.8</w:t>
            </w: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九、卫生健康支出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80280.21</w:t>
            </w: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四、财政专户管理资金收入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十、节能环保支出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十一、城乡社区支出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五、单位资金收入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62903.11</w:t>
            </w: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十二、农林水支出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其中：事业收入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46403.11</w:t>
            </w: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十三、交通运输支出</w:t>
            </w:r>
          </w:p>
        </w:tc>
        <w:tc>
          <w:tcPr>
            <w:tcW w:w="1202"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事业单位经营收入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十四、资源勘探工业信息等支出</w:t>
            </w:r>
          </w:p>
        </w:tc>
        <w:tc>
          <w:tcPr>
            <w:tcW w:w="1202" w:type="dxa"/>
            <w:tcBorders>
              <w:top w:val="single" w:sz="4" w:space="0" w:color="auto"/>
              <w:left w:val="nil"/>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上级补助收入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十五、商业服务业等支出</w:t>
            </w:r>
          </w:p>
        </w:tc>
        <w:tc>
          <w:tcPr>
            <w:tcW w:w="1202" w:type="dxa"/>
            <w:tcBorders>
              <w:top w:val="single" w:sz="4" w:space="0" w:color="auto"/>
              <w:left w:val="nil"/>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附属单位上缴收入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十六、金融支出</w:t>
            </w:r>
          </w:p>
        </w:tc>
        <w:tc>
          <w:tcPr>
            <w:tcW w:w="1202" w:type="dxa"/>
            <w:tcBorders>
              <w:top w:val="single" w:sz="4" w:space="0" w:color="auto"/>
              <w:left w:val="nil"/>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其他收入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16500</w:t>
            </w: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十七、援助其他地区支出</w:t>
            </w:r>
          </w:p>
        </w:tc>
        <w:tc>
          <w:tcPr>
            <w:tcW w:w="1202" w:type="dxa"/>
            <w:tcBorders>
              <w:top w:val="single" w:sz="4" w:space="0" w:color="auto"/>
              <w:left w:val="nil"/>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十八、自然资源海洋气象等支出</w:t>
            </w:r>
          </w:p>
        </w:tc>
        <w:tc>
          <w:tcPr>
            <w:tcW w:w="1202" w:type="dxa"/>
            <w:tcBorders>
              <w:top w:val="single" w:sz="4" w:space="0" w:color="auto"/>
              <w:left w:val="nil"/>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十九、住房保障支出</w:t>
            </w:r>
          </w:p>
        </w:tc>
        <w:tc>
          <w:tcPr>
            <w:tcW w:w="1202" w:type="dxa"/>
            <w:tcBorders>
              <w:top w:val="single" w:sz="4" w:space="0" w:color="auto"/>
              <w:left w:val="nil"/>
              <w:bottom w:val="nil"/>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972.36</w:t>
            </w: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二十、粮油物资储备支出</w:t>
            </w:r>
          </w:p>
        </w:tc>
        <w:tc>
          <w:tcPr>
            <w:tcW w:w="1202"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二十一、灾害防治及应急管理支出</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二十二、预备费</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二十三、其他支出</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default"/>
                <w:kern w:val="0"/>
                <w:sz w:val="18"/>
                <w:szCs w:val="18"/>
                <w:lang w:val="en-US"/>
              </w:rPr>
            </w:pPr>
            <w:r>
              <w:rPr>
                <w:rFonts w:asciiTheme="majorEastAsia" w:eastAsiaTheme="majorEastAsia" w:hAnsiTheme="majorEastAsia" w:cstheme="majorEastAsia" w:hint="eastAsia"/>
                <w:kern w:val="0"/>
                <w:sz w:val="18"/>
                <w:szCs w:val="18"/>
                <w:lang w:val="en-US" w:eastAsia="zh-CN"/>
              </w:rPr>
              <w:t>3547</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二十四、转移性支出</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二十五、债务还本支出</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二十六、债务付息支出</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二十七、债务发行费用支出</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收  入  小  计</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87735.39</w:t>
            </w: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本  年  支  出  小  计</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default"/>
                <w:kern w:val="0"/>
                <w:sz w:val="18"/>
                <w:szCs w:val="18"/>
                <w:lang w:val="en-US"/>
              </w:rPr>
            </w:pPr>
            <w:r>
              <w:rPr>
                <w:rFonts w:asciiTheme="majorEastAsia" w:eastAsiaTheme="majorEastAsia" w:hAnsiTheme="majorEastAsia" w:cstheme="majorEastAsia" w:hint="eastAsia"/>
                <w:kern w:val="0"/>
                <w:sz w:val="18"/>
                <w:szCs w:val="18"/>
                <w:lang w:val="en-US" w:eastAsia="zh-CN"/>
              </w:rPr>
              <w:t>87735.39</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eastAsia="仿宋_GB2312" w:hAnsi="TimesNewRoman" w:cs="TimesNewRoman" w:hint="eastAsia"/>
                <w:kern w:val="0"/>
                <w:sz w:val="18"/>
                <w:szCs w:val="18"/>
              </w:rPr>
            </w:pPr>
            <w:r>
              <w:rPr>
                <w:rFonts w:ascii="TimesNewRoman" w:hAnsi="TimesNewRoman" w:cs="TimesNewRoman"/>
                <w:kern w:val="0"/>
                <w:sz w:val="18"/>
                <w:szCs w:val="18"/>
              </w:rPr>
              <w:t>上年</w:t>
            </w:r>
            <w:r>
              <w:rPr>
                <w:rFonts w:ascii="TimesNewRoman" w:hAnsi="TimesNewRoman" w:cs="TimesNewRoman" w:hint="eastAsia"/>
                <w:kern w:val="0"/>
                <w:sz w:val="18"/>
                <w:szCs w:val="18"/>
              </w:rPr>
              <w:t>结转数</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结转下年</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xml:space="preserve">    一般公共预算</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xml:space="preserve">    政府性基金预算</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xml:space="preserve">    国有资本经营预算</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xml:space="preserve">    财政专户管理资金</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xml:space="preserve">    单位资金</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680" w:type="dxa"/>
          <w:tblInd w:w="-191" w:type="dxa"/>
          <w:tblLayout w:type="fixed"/>
          <w:tblCellMar>
            <w:top w:w="0" w:type="dxa"/>
            <w:left w:w="108" w:type="dxa"/>
            <w:bottom w:w="0" w:type="dxa"/>
            <w:right w:w="108" w:type="dxa"/>
          </w:tblCellMar>
        </w:tblPrEx>
        <w:trPr>
          <w:trHeight w:val="12"/>
        </w:trPr>
        <w:tc>
          <w:tcPr>
            <w:tcW w:w="3919"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heme="majorEastAsia" w:eastAsiaTheme="majorEastAsia" w:hAnsiTheme="majorEastAsia" w:cstheme="majorEastAsia" w:hint="eastAsia"/>
                <w:b/>
                <w:bCs/>
                <w:kern w:val="0"/>
                <w:sz w:val="18"/>
                <w:szCs w:val="18"/>
              </w:rPr>
            </w:pPr>
            <w:r>
              <w:rPr>
                <w:rFonts w:asciiTheme="majorEastAsia" w:eastAsiaTheme="majorEastAsia" w:hAnsiTheme="majorEastAsia" w:cstheme="majorEastAsia" w:hint="eastAsia"/>
                <w:b/>
                <w:bCs/>
                <w:kern w:val="0"/>
                <w:sz w:val="18"/>
                <w:szCs w:val="18"/>
                <w:lang w:val="en-US" w:eastAsia="zh-CN"/>
              </w:rPr>
              <w:t>87735,39</w:t>
            </w:r>
            <w:r>
              <w:rPr>
                <w:rFonts w:asciiTheme="majorEastAsia" w:eastAsiaTheme="majorEastAsia" w:hAnsiTheme="majorEastAsia" w:cstheme="majorEastAsia" w:hint="eastAsia"/>
                <w:b/>
                <w:bCs/>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heme="majorEastAsia" w:eastAsiaTheme="majorEastAsia" w:hAnsiTheme="majorEastAsia" w:cstheme="majorEastAsia" w:hint="eastAsia"/>
                <w:b/>
                <w:bCs/>
                <w:kern w:val="0"/>
                <w:sz w:val="18"/>
                <w:szCs w:val="18"/>
              </w:rPr>
            </w:pPr>
            <w:r>
              <w:rPr>
                <w:rFonts w:asciiTheme="majorEastAsia" w:eastAsiaTheme="majorEastAsia" w:hAnsiTheme="majorEastAsia" w:cstheme="majorEastAsia" w:hint="eastAsia"/>
                <w:b/>
                <w:bCs/>
                <w:kern w:val="0"/>
                <w:sz w:val="18"/>
                <w:szCs w:val="18"/>
              </w:rPr>
              <w:t>支　出  总　计</w:t>
            </w:r>
          </w:p>
        </w:tc>
        <w:tc>
          <w:tcPr>
            <w:tcW w:w="1202" w:type="dxa"/>
            <w:tcBorders>
              <w:top w:val="nil"/>
              <w:left w:val="nil"/>
              <w:bottom w:val="single" w:sz="4" w:space="0" w:color="auto"/>
              <w:right w:val="single" w:sz="4" w:space="0" w:color="auto"/>
            </w:tcBorders>
            <w:noWrap w:val="0"/>
            <w:vAlign w:val="center"/>
          </w:tcPr>
          <w:p>
            <w:pPr>
              <w:widowControl/>
              <w:spacing w:line="260" w:lineRule="exact"/>
              <w:jc w:val="right"/>
              <w:rPr>
                <w:rFonts w:asciiTheme="majorEastAsia" w:eastAsiaTheme="majorEastAsia" w:hAnsiTheme="majorEastAsia" w:cstheme="majorEastAsia" w:hint="default"/>
                <w:kern w:val="0"/>
                <w:sz w:val="18"/>
                <w:szCs w:val="18"/>
                <w:lang w:val="en-US"/>
              </w:rPr>
            </w:pPr>
            <w:r>
              <w:rPr>
                <w:rFonts w:asciiTheme="majorEastAsia" w:eastAsiaTheme="majorEastAsia" w:hAnsiTheme="majorEastAsia" w:cstheme="majorEastAsia" w:hint="eastAsia"/>
                <w:kern w:val="0"/>
                <w:sz w:val="18"/>
                <w:szCs w:val="18"/>
                <w:lang w:val="en-US" w:eastAsia="zh-CN"/>
              </w:rPr>
              <w:t>87735.39</w:t>
            </w:r>
          </w:p>
        </w:tc>
      </w:tr>
    </w:tbl>
    <w:p>
      <w:pPr>
        <w:spacing w:line="560" w:lineRule="exact"/>
        <w:jc w:val="center"/>
        <w:rPr>
          <w:rFonts w:ascii="TimesNewRoman" w:hAnsi="TimesNewRoman" w:cs="TimesNewRoman"/>
          <w:kern w:val="0"/>
          <w:sz w:val="20"/>
        </w:rPr>
        <w:sectPr>
          <w:footerReference w:type="even" r:id="rId4"/>
          <w:footerReference w:type="default" r:id="rId5"/>
          <w:pgSz w:w="11907" w:h="16840"/>
          <w:pgMar w:top="2098" w:right="1474" w:bottom="1985" w:left="1588" w:header="851" w:footer="1021" w:gutter="0"/>
          <w:cols w:num="1" w:space="425"/>
          <w:titlePg/>
          <w:docGrid w:type="linesAndChars" w:linePitch="312" w:charSpace="0"/>
        </w:sectPr>
      </w:pPr>
    </w:p>
    <w:p>
      <w:pPr>
        <w:spacing w:line="560" w:lineRule="exact"/>
        <w:jc w:val="center"/>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b/>
          <w:bCs/>
          <w:kern w:val="0"/>
          <w:sz w:val="28"/>
          <w:szCs w:val="32"/>
        </w:rPr>
        <w:t>部门</w:t>
      </w:r>
      <w:r>
        <w:rPr>
          <w:rFonts w:ascii="宋体" w:hAnsi="宋体" w:cs="TimesNewRoman" w:hint="eastAsia"/>
          <w:b/>
          <w:bCs/>
          <w:kern w:val="0"/>
          <w:sz w:val="28"/>
          <w:szCs w:val="32"/>
        </w:rPr>
        <w:t>2024</w:t>
      </w:r>
      <w:r>
        <w:rPr>
          <w:rFonts w:ascii="宋体" w:hAnsi="宋体" w:cs="TimesNewRoman"/>
          <w:b/>
          <w:bCs/>
          <w:kern w:val="0"/>
          <w:sz w:val="28"/>
          <w:szCs w:val="32"/>
        </w:rPr>
        <w:t>年收入总表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499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804"/>
        <w:gridCol w:w="1180"/>
        <w:gridCol w:w="1170"/>
        <w:gridCol w:w="1110"/>
        <w:gridCol w:w="410"/>
        <w:gridCol w:w="670"/>
        <w:gridCol w:w="600"/>
        <w:gridCol w:w="1130"/>
        <w:gridCol w:w="1120"/>
        <w:gridCol w:w="450"/>
        <w:gridCol w:w="510"/>
        <w:gridCol w:w="600"/>
        <w:gridCol w:w="1107"/>
        <w:gridCol w:w="581"/>
        <w:gridCol w:w="581"/>
        <w:gridCol w:w="581"/>
        <w:gridCol w:w="581"/>
        <w:gridCol w:w="581"/>
        <w:gridCol w:w="581"/>
      </w:tblGrid>
      <w:tr>
        <w:tblPrEx>
          <w:tblW w:w="499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20"/>
        </w:trPr>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部门（单位）名称</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c>
          <w:tcPr>
            <w:tcW w:w="887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本年收入</w:t>
            </w:r>
          </w:p>
        </w:tc>
        <w:tc>
          <w:tcPr>
            <w:tcW w:w="34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上年结转结余</w:t>
            </w:r>
          </w:p>
        </w:tc>
      </w:tr>
      <w:tr>
        <w:tblPrEx>
          <w:tblW w:w="4997" w:type="pct"/>
          <w:tblInd w:w="0" w:type="dxa"/>
          <w:shd w:val="clear" w:color="auto" w:fill="auto"/>
          <w:tblLayout w:type="fixed"/>
          <w:tblCellMar>
            <w:top w:w="0" w:type="dxa"/>
            <w:left w:w="108" w:type="dxa"/>
            <w:bottom w:w="0" w:type="dxa"/>
            <w:right w:w="108" w:type="dxa"/>
          </w:tblCellMar>
        </w:tblPrEx>
        <w:trPr>
          <w:trHeight w:val="420"/>
        </w:trPr>
        <w:tc>
          <w:tcPr>
            <w:tcW w:w="1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小计</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一般公共预算</w:t>
            </w:r>
          </w:p>
        </w:tc>
        <w:tc>
          <w:tcPr>
            <w:tcW w:w="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政府性基金预算</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国有资本经营预算</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财政专户管理资金</w:t>
            </w:r>
          </w:p>
        </w:tc>
        <w:tc>
          <w:tcPr>
            <w:tcW w:w="491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单位资金</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小计</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一般公共预算</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政府性基金预算</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国有资本经营预算</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财政专户管理资金</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单位资金</w:t>
            </w:r>
          </w:p>
        </w:tc>
      </w:tr>
      <w:tr>
        <w:tblPrEx>
          <w:tblW w:w="4997" w:type="pct"/>
          <w:tblInd w:w="0" w:type="dxa"/>
          <w:shd w:val="clear" w:color="auto" w:fill="auto"/>
          <w:tblLayout w:type="fixed"/>
          <w:tblCellMar>
            <w:top w:w="0" w:type="dxa"/>
            <w:left w:w="108" w:type="dxa"/>
            <w:bottom w:w="0" w:type="dxa"/>
            <w:right w:w="108" w:type="dxa"/>
          </w:tblCellMar>
        </w:tblPrEx>
        <w:trPr>
          <w:trHeight w:val="825"/>
        </w:trPr>
        <w:tc>
          <w:tcPr>
            <w:tcW w:w="1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小计</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事业收入</w:t>
            </w:r>
          </w:p>
        </w:tc>
        <w:tc>
          <w:tcPr>
            <w:tcW w:w="450"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事业单位经营收入</w:t>
            </w:r>
          </w:p>
        </w:tc>
        <w:tc>
          <w:tcPr>
            <w:tcW w:w="510"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上级补助收入</w:t>
            </w:r>
          </w:p>
        </w:tc>
        <w:tc>
          <w:tcPr>
            <w:tcW w:w="600"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附属单位上缴收入</w:t>
            </w:r>
          </w:p>
        </w:tc>
        <w:tc>
          <w:tcPr>
            <w:tcW w:w="110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其他收入</w:t>
            </w: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合计</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87735.39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87735.39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24832.28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62903.11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46403.11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16500.00</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87735.39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87735.39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24832.28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62903.11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46403.11</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16500.00</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10840.71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10840.71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10840.71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寿县妇幼保健计划生育服务中心</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2688.59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2688.59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938.59</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1750.00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1750.00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寿县疾病预防控制中心</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2725.36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2725.36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1225.36</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寿县卫生健康监督管理所</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276.86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276.86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276.86</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寿县红十字会门诊部</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51.66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51.66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51.66</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寿县卫生职业技术学校</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119.71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119.71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40.71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79.00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79.00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寿县人民医院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26540.82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26540.82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540.82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26000.00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26000.00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寿县中医院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16648.88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16648.88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148.88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16500.00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16500.00</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2281.50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2281.50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881.50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1029.43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1029.43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449.43</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580.00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580.00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寿县双桥镇中心卫生院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640.83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640.83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406.83</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234.00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234.00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寿县迎河镇中心卫生院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2981.14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2981.14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981.14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寿县堰口镇中心卫生院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1265.67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1265.67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695.67</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3334.93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3334.93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1334.93</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寿县三觉镇中心卫生院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1270.81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1270.81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520.81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1233.92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1233.92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904.92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329.00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329.00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1222.28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1222.28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372.28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寿县瓦埠镇中心卫生院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1057.81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1057.81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367.81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寿县八公山乡卫生院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727.54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727.54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147.68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579.86</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579.86</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寿县涧沟镇卫生院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597.20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597.20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297.20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寿县丰庄镇卫生院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401.04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401.04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201.04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寿县张李乡卫生院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317.64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317.64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117.64</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寿县板桥镇卫生院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532.72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532.72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232.22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300.50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300.50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寿县安丰塘镇卫生院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423.50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423.50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193.50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寿县窑口镇卫生院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640.11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640.11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240.11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寿县保义镇卫生院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665.00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665.00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215.00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450.00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450.00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寿县陶店回族乡卫生院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243.23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243.23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83.23</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寿县众兴镇卫生院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696.06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696.06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236.06</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460.00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460.00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寿县隐贤镇卫生院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391.39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391.39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201.39</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寿县茶庵镇卫生院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583.28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583.28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183.28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寿县刘岗镇卫生院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546.08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546.08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186.08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寿县双庙集镇卫生院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1094.02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1094.02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214.02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880.00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880.00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寿县大顺镇卫生院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673.59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673.59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178.59</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495.00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495.00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寿县寿春镇中心卫生院九龙分院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537.76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537.76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147.76</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寿县安丰镇中心卫生院杨仙分院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215.71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215.71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95.71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寿县三觉镇中心卫生院瓦房分院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63.91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63.91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63.91</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寿县炎刘镇中心卫生院广岩分院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519.39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519.39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119.39</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寿县小甸镇中心卫生院李山分院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333.21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333.21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77.46</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255.75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255.75</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寿县正阳关镇中心卫生院建设分院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204.53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204.53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94.53</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寿县正阳关镇中心卫生院枸杞分院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180.85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180.85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70.85</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寿县安丰塘镇卫生院苏王分院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488.40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488.40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98.40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寿县板桥镇卫生院双门分院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188.52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188.52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88.52</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r>
        <w:tblPrEx>
          <w:tblW w:w="4997" w:type="pct"/>
          <w:tblInd w:w="0" w:type="dxa"/>
          <w:shd w:val="clear" w:color="auto" w:fill="auto"/>
          <w:tblLayout w:type="fixed"/>
          <w:tblCellMar>
            <w:top w:w="0" w:type="dxa"/>
            <w:left w:w="108" w:type="dxa"/>
            <w:bottom w:w="0" w:type="dxa"/>
            <w:right w:w="108" w:type="dxa"/>
          </w:tblCellMar>
        </w:tblPrEx>
        <w:trPr>
          <w:trHeight w:val="450"/>
        </w:trPr>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寿县保义镇卫生院开荒分院</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259.80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259.80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69.80</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190.00</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r>
    </w:tbl>
    <w:p>
      <w:pPr>
        <w:spacing w:line="560" w:lineRule="exact"/>
        <w:jc w:val="center"/>
        <w:rPr>
          <w:rFonts w:ascii="TimesNewRoman" w:hAnsi="TimesNewRoman" w:cs="TimesNewRoman" w:hint="eastAsia"/>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hAnsi="TimesNewRoman" w:cs="TimesNewRoman"/>
          <w:kern w:val="0"/>
          <w:sz w:val="20"/>
        </w:rPr>
        <w:sectPr>
          <w:pgSz w:w="16840" w:h="11907" w:orient="landscape"/>
          <w:pgMar w:top="1587" w:right="850" w:bottom="1474" w:left="850" w:header="851" w:footer="1020" w:gutter="0"/>
          <w:cols w:num="1" w:space="0"/>
          <w:rtlGutter w:val="0"/>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公开表3</w:t>
      </w:r>
    </w:p>
    <w:p>
      <w:pPr>
        <w:spacing w:line="560" w:lineRule="exact"/>
        <w:jc w:val="center"/>
        <w:rPr>
          <w:rFonts w:ascii="TimesNewRoman" w:hAnsi="TimesNewRoman" w:cs="TimesNewRoman" w:hint="eastAsia"/>
          <w:kern w:val="0"/>
          <w:sz w:val="20"/>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b/>
          <w:bCs/>
          <w:kern w:val="0"/>
          <w:sz w:val="28"/>
          <w:szCs w:val="32"/>
        </w:rPr>
        <w:t>部门</w:t>
      </w:r>
      <w:r>
        <w:rPr>
          <w:rFonts w:ascii="宋体" w:hAnsi="宋体" w:cs="TimesNewRoman" w:hint="eastAsia"/>
          <w:b/>
          <w:bCs/>
          <w:kern w:val="0"/>
          <w:sz w:val="28"/>
          <w:szCs w:val="32"/>
        </w:rPr>
        <w:t>2024</w:t>
      </w:r>
      <w:r>
        <w:rPr>
          <w:rFonts w:ascii="宋体" w:hAnsi="宋体" w:cs="TimesNewRoman"/>
          <w:b/>
          <w:bCs/>
          <w:kern w:val="0"/>
          <w:sz w:val="28"/>
          <w:szCs w:val="32"/>
        </w:rPr>
        <w:t xml:space="preserve">年支出总表                 </w:t>
      </w: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eastAsia="宋体" w:hAnsi="TimesNewRoman" w:cs="TimesNewRoman" w:hint="default"/>
          <w:kern w:val="0"/>
          <w:sz w:val="20"/>
          <w:lang w:val="en-US" w:eastAsia="zh-CN"/>
        </w:rPr>
      </w:pPr>
      <w:r>
        <w:rPr>
          <w:rFonts w:ascii="TimesNewRoman" w:hAnsi="TimesNewRoman" w:cs="TimesNewRoman" w:hint="eastAsia"/>
          <w:kern w:val="0"/>
          <w:sz w:val="20"/>
        </w:rPr>
        <w:t xml:space="preserve">    </w:t>
      </w:r>
      <w:r>
        <w:rPr>
          <w:rFonts w:ascii="TimesNewRoman" w:hAnsi="TimesNewRoman" w:cs="TimesNewRoman"/>
          <w:kern w:val="0"/>
          <w:sz w:val="20"/>
        </w:rPr>
        <w:t>单位</w:t>
      </w:r>
      <w:r>
        <w:rPr>
          <w:rFonts w:ascii="TimesNewRoman" w:hAnsi="TimesNewRoman" w:cs="TimesNewRoman" w:hint="eastAsia"/>
          <w:kern w:val="0"/>
          <w:sz w:val="20"/>
          <w:lang w:eastAsia="zh-CN"/>
        </w:rPr>
        <w:t>：</w:t>
      </w:r>
      <w:r>
        <w:rPr>
          <w:rFonts w:ascii="TimesNewRoman" w:hAnsi="TimesNewRoman" w:cs="TimesNewRoman" w:hint="eastAsia"/>
          <w:kern w:val="0"/>
          <w:sz w:val="20"/>
          <w:lang w:val="en-US" w:eastAsia="zh-CN"/>
        </w:rPr>
        <w:t>万元</w:t>
      </w:r>
    </w:p>
    <w:tbl>
      <w:tblPr>
        <w:tblStyle w:val="TableNormal"/>
        <w:tblW w:w="1423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460"/>
        <w:gridCol w:w="3816"/>
        <w:gridCol w:w="1560"/>
        <w:gridCol w:w="1560"/>
        <w:gridCol w:w="1560"/>
        <w:gridCol w:w="1560"/>
        <w:gridCol w:w="1560"/>
        <w:gridCol w:w="1560"/>
      </w:tblGrid>
      <w:tr>
        <w:tblPrEx>
          <w:tblW w:w="14230"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5"/>
        </w:trPr>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3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基本支出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项目支出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事业单位经营支出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上缴上级支出</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对附属单位补助支出</w:t>
            </w: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sz w:val="20"/>
                <w:szCs w:val="20"/>
                <w:u w:val="none"/>
                <w:lang w:val="en-US"/>
              </w:rPr>
            </w:pPr>
            <w:r>
              <w:rPr>
                <w:rFonts w:ascii="宋体" w:hAnsi="宋体" w:cs="宋体" w:hint="eastAsia"/>
                <w:i w:val="0"/>
                <w:iCs w:val="0"/>
                <w:color w:val="000000"/>
                <w:kern w:val="0"/>
                <w:sz w:val="20"/>
                <w:szCs w:val="20"/>
                <w:u w:val="none"/>
                <w:lang w:val="en-US" w:eastAsia="zh-CN" w:bidi="ar"/>
              </w:rPr>
              <w:t>87735.39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14401.59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sz w:val="20"/>
                <w:szCs w:val="20"/>
                <w:u w:val="none"/>
                <w:lang w:val="en-US"/>
              </w:rPr>
            </w:pPr>
            <w:r>
              <w:rPr>
                <w:rFonts w:ascii="宋体" w:hAnsi="宋体" w:cs="宋体" w:hint="eastAsia"/>
                <w:i w:val="0"/>
                <w:iCs w:val="0"/>
                <w:color w:val="000000"/>
                <w:kern w:val="0"/>
                <w:sz w:val="20"/>
                <w:szCs w:val="20"/>
                <w:u w:val="none"/>
                <w:lang w:val="en-US" w:eastAsia="zh-CN" w:bidi="ar"/>
              </w:rPr>
              <w:t>73333.81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default"/>
                <w:i w:val="0"/>
                <w:iCs w:val="0"/>
                <w:color w:val="000000"/>
                <w:sz w:val="20"/>
                <w:szCs w:val="20"/>
                <w:u w:val="none"/>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20503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职业教育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2050302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中等职业教育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2845.80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2845.80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行政事业单位养老支出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2795.47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2795.47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2080502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事业单位离退休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848.13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848.13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1298.23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1298.23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2080506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649.11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649.11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20899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2089999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80470.21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10572.40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69897.81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卫生健康管理事务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971.74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902.34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行政运行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579.05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517.53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一般行政管理事务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392.69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384.81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公立医院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43221.87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721.87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42500.00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综合医院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26572.99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中医（民族）医院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16648.88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148.88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基层医疗卫生机构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20800.19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7470.48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sz w:val="20"/>
                <w:szCs w:val="20"/>
                <w:u w:val="none"/>
                <w:lang w:val="en-US"/>
              </w:rPr>
            </w:pPr>
            <w:r>
              <w:rPr>
                <w:rFonts w:ascii="宋体" w:hAnsi="宋体" w:cs="宋体" w:hint="eastAsia"/>
                <w:i w:val="0"/>
                <w:iCs w:val="0"/>
                <w:color w:val="000000"/>
                <w:kern w:val="0"/>
                <w:sz w:val="20"/>
                <w:szCs w:val="20"/>
                <w:u w:val="none"/>
                <w:lang w:val="en-US" w:eastAsia="zh-CN" w:bidi="ar"/>
              </w:rPr>
              <w:t>13139.71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20800.19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7470.48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sz w:val="20"/>
                <w:szCs w:val="20"/>
                <w:u w:val="none"/>
                <w:lang w:val="en-US"/>
              </w:rPr>
            </w:pPr>
            <w:r>
              <w:rPr>
                <w:rFonts w:ascii="宋体" w:hAnsi="宋体" w:cs="宋体" w:hint="eastAsia"/>
                <w:i w:val="0"/>
                <w:iCs w:val="0"/>
                <w:color w:val="000000"/>
                <w:kern w:val="0"/>
                <w:sz w:val="20"/>
                <w:szCs w:val="20"/>
                <w:u w:val="none"/>
                <w:lang w:val="en-US" w:eastAsia="zh-CN" w:bidi="ar"/>
              </w:rPr>
              <w:t>13139.71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公共卫生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12758.05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1073.47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11684.58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2100401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疾病预防控制机构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2185.85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685.85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2100402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卫生监督机构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143.72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98.64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妇幼保健机构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2051.60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243.90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1807.70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2100408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8278.24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8278.24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计划生育事务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2094.12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2094.12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2100717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计划生育服务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2094.12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2094.12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行政事业单位医疗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404.24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404.24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行政单位医疗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2101102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373.17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373.17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2101103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公务员医疗补助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2109999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22102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2210201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3547.00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3547.00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22999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3547.00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3547.00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230" w:type="dxa"/>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2299999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3547.00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3547.00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bl>
    <w:p>
      <w:pPr>
        <w:spacing w:line="560" w:lineRule="exact"/>
        <w:jc w:val="right"/>
        <w:rPr>
          <w:rFonts w:ascii="TimesNewRoman" w:hAnsi="TimesNewRoman" w:cs="TimesNewRoman"/>
          <w:kern w:val="0"/>
          <w:sz w:val="20"/>
        </w:rPr>
      </w:pPr>
    </w:p>
    <w:p>
      <w:pPr>
        <w:spacing w:line="560" w:lineRule="exact"/>
        <w:rPr>
          <w:rFonts w:ascii="TimesNewRoman" w:hAnsi="TimesNewRoman" w:cs="TimesNewRoman"/>
        </w:rPr>
      </w:pPr>
    </w:p>
    <w:p>
      <w:pPr>
        <w:spacing w:line="560" w:lineRule="exact"/>
        <w:rPr>
          <w:rFonts w:ascii="TimesNewRoman" w:hAnsi="TimesNewRoman" w:cs="TimesNewRoman"/>
          <w:kern w:val="0"/>
          <w:sz w:val="20"/>
        </w:rPr>
        <w:sectPr>
          <w:pgSz w:w="16840" w:h="11907" w:orient="landscape"/>
          <w:pgMar w:top="1588" w:right="1389" w:bottom="1474" w:left="1418" w:header="851" w:footer="1021" w:gutter="0"/>
          <w:cols w:num="1" w:space="425"/>
          <w:docGrid w:type="linesAndChars" w:linePitch="312" w:charSpace="0"/>
        </w:sectPr>
      </w:pPr>
    </w:p>
    <w:p>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公开表4</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b/>
          <w:bCs/>
          <w:kern w:val="0"/>
          <w:sz w:val="28"/>
          <w:szCs w:val="32"/>
        </w:rPr>
        <w:t>部门</w:t>
      </w:r>
      <w:r>
        <w:rPr>
          <w:rFonts w:ascii="宋体" w:hAnsi="宋体" w:cs="TimesNewRoman" w:hint="eastAsia"/>
          <w:b/>
          <w:bCs/>
          <w:kern w:val="0"/>
          <w:sz w:val="28"/>
          <w:szCs w:val="32"/>
        </w:rPr>
        <w:t>2024</w:t>
      </w:r>
      <w:r>
        <w:rPr>
          <w:rFonts w:ascii="宋体" w:hAnsi="宋体" w:cs="TimesNewRoman"/>
          <w:b/>
          <w:bCs/>
          <w:kern w:val="0"/>
          <w:sz w:val="28"/>
          <w:szCs w:val="32"/>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9274" w:type="dxa"/>
        <w:tblInd w:w="0" w:type="dxa"/>
        <w:tblLayout w:type="fixed"/>
        <w:tblCellMar>
          <w:top w:w="0" w:type="dxa"/>
          <w:left w:w="108" w:type="dxa"/>
          <w:bottom w:w="0" w:type="dxa"/>
          <w:right w:w="108" w:type="dxa"/>
        </w:tblCellMar>
      </w:tblPr>
      <w:tblGrid>
        <w:gridCol w:w="2995"/>
        <w:gridCol w:w="1167"/>
        <w:gridCol w:w="3821"/>
        <w:gridCol w:w="1291"/>
      </w:tblGrid>
      <w:tr>
        <w:tblPrEx>
          <w:tblW w:w="9274" w:type="dxa"/>
          <w:tblInd w:w="0" w:type="dxa"/>
          <w:tblLayout w:type="fixed"/>
          <w:tblCellMar>
            <w:top w:w="0" w:type="dxa"/>
            <w:left w:w="108" w:type="dxa"/>
            <w:bottom w:w="0" w:type="dxa"/>
            <w:right w:w="108" w:type="dxa"/>
          </w:tblCellMar>
        </w:tblPrEx>
        <w:trPr>
          <w:trHeight w:val="167"/>
        </w:trPr>
        <w:tc>
          <w:tcPr>
            <w:tcW w:w="416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w:t>
            </w:r>
          </w:p>
        </w:tc>
        <w:tc>
          <w:tcPr>
            <w:tcW w:w="5112" w:type="dxa"/>
            <w:gridSpan w:val="2"/>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一、本年收入</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24832.28</w:t>
            </w: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一、本年支出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24832.28</w:t>
            </w: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24832.28</w:t>
            </w: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（一）一般公共服务支出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（二）外交支出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（三）国防支出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（四）公共安全支出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二、上年结转</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（五）教育支出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11.03</w:t>
            </w: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（六）科学技术支出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（七）文化旅游体育与传媒支出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p>
        </w:tc>
        <w:tc>
          <w:tcPr>
            <w:tcW w:w="3821" w:type="dxa"/>
            <w:tcBorders>
              <w:top w:val="nil"/>
              <w:left w:val="nil"/>
              <w:bottom w:val="single" w:sz="4" w:space="0" w:color="auto"/>
              <w:right w:val="nil"/>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（八）社会保障和就业支出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2845.8</w:t>
            </w: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（九）卫生健康支出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21003.1</w:t>
            </w: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（十）节能环保支出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（十一）城乡社区支出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（十二）农林水支出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（十三）交通运输支出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（十四）资源勘探工业信息等支出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（十五）商业服务业等支出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（十六）金融支出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（十七）援助其他地区支出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（十八）自然资源海洋气象等支出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（十九）住房保障支出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972.36</w:t>
            </w: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（二十）粮油物资储备支出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（二十一）灾害防治及应急管理支出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（二十二）预备费</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（二十三）其他支出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（二十四）转移性支出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（二十五）债务还本支出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（二十六）债务付息支出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（二十七）债务发行费用支出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二、年终结转结余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（一）一般公共预算结转结余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（二）政府性基金预算结转结余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（三）国有资本经营预算结转结余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b/>
                <w:bCs/>
                <w:kern w:val="0"/>
                <w:sz w:val="18"/>
                <w:szCs w:val="18"/>
              </w:rPr>
            </w:pPr>
            <w:r>
              <w:rPr>
                <w:rFonts w:asciiTheme="majorEastAsia" w:eastAsiaTheme="majorEastAsia" w:hAnsiTheme="majorEastAsia" w:cstheme="majorEastAsia" w:hint="eastAsia"/>
                <w:kern w:val="0"/>
                <w:sz w:val="18"/>
                <w:szCs w:val="18"/>
                <w:lang w:val="en-US" w:eastAsia="zh-CN"/>
              </w:rPr>
              <w:t>24832.28</w:t>
            </w:r>
            <w:r>
              <w:rPr>
                <w:rFonts w:asciiTheme="majorEastAsia" w:eastAsiaTheme="majorEastAsia" w:hAnsiTheme="majorEastAsia" w:cstheme="majorEastAsia" w:hint="eastAsia"/>
                <w:b/>
                <w:bCs/>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center"/>
              <w:rPr>
                <w:rFonts w:asciiTheme="majorEastAsia" w:eastAsiaTheme="majorEastAsia" w:hAnsiTheme="majorEastAsia" w:cstheme="majorEastAsia" w:hint="eastAsia"/>
                <w:b/>
                <w:bCs/>
                <w:kern w:val="0"/>
                <w:sz w:val="18"/>
                <w:szCs w:val="18"/>
              </w:rPr>
            </w:pPr>
            <w:r>
              <w:rPr>
                <w:rFonts w:asciiTheme="majorEastAsia" w:eastAsiaTheme="majorEastAsia" w:hAnsiTheme="majorEastAsia" w:cstheme="majorEastAsia" w:hint="eastAsia"/>
                <w:b/>
                <w:bCs/>
                <w:kern w:val="0"/>
                <w:sz w:val="18"/>
                <w:szCs w:val="18"/>
              </w:rPr>
              <w:t>支    出    总    计</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heme="majorEastAsia" w:eastAsiaTheme="majorEastAsia" w:hAnsiTheme="majorEastAsia" w:cstheme="majorEastAsia" w:hint="eastAsia"/>
                <w:kern w:val="0"/>
                <w:sz w:val="18"/>
                <w:szCs w:val="18"/>
              </w:rPr>
            </w:pPr>
            <w:r>
              <w:rPr>
                <w:rFonts w:asciiTheme="majorEastAsia" w:eastAsiaTheme="majorEastAsia" w:hAnsiTheme="majorEastAsia" w:cstheme="majorEastAsia" w:hint="eastAsia"/>
                <w:kern w:val="0"/>
                <w:sz w:val="18"/>
                <w:szCs w:val="18"/>
                <w:lang w:val="en-US" w:eastAsia="zh-CN"/>
              </w:rPr>
              <w:t>24832.28</w:t>
            </w:r>
            <w:r>
              <w:rPr>
                <w:rFonts w:asciiTheme="majorEastAsia" w:eastAsiaTheme="majorEastAsia" w:hAnsiTheme="majorEastAsia" w:cstheme="majorEastAsia" w:hint="eastAsia"/>
                <w:kern w:val="0"/>
                <w:sz w:val="18"/>
                <w:szCs w:val="18"/>
              </w:rPr>
              <w:t>　</w:t>
            </w:r>
          </w:p>
        </w:tc>
      </w:tr>
    </w:tbl>
    <w:p>
      <w:pPr>
        <w:spacing w:line="560" w:lineRule="exact"/>
        <w:jc w:val="right"/>
        <w:rPr>
          <w:rFonts w:ascii="TimesNewRoman" w:hAnsi="TimesNewRoman" w:cs="TimesNewRoman"/>
          <w:kern w:val="0"/>
          <w:sz w:val="20"/>
        </w:rPr>
        <w:sectPr>
          <w:pgSz w:w="11907" w:h="16840"/>
          <w:pgMar w:top="2098" w:right="1474" w:bottom="1985" w:left="1588" w:header="851" w:footer="1021" w:gutter="0"/>
          <w:cols w:num="1" w:space="425"/>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公开表5</w:t>
      </w:r>
    </w:p>
    <w:p>
      <w:pPr>
        <w:widowControl/>
        <w:spacing w:before="156" w:beforeLines="50" w:after="156" w:afterLines="50" w:line="560" w:lineRule="exact"/>
        <w:jc w:val="center"/>
        <w:rPr>
          <w:rFonts w:asciiTheme="majorEastAsia" w:eastAsiaTheme="majorEastAsia" w:hAnsiTheme="majorEastAsia" w:cstheme="majorEastAsia" w:hint="eastAsia"/>
          <w:b/>
          <w:bCs/>
          <w:kern w:val="0"/>
          <w:sz w:val="30"/>
          <w:szCs w:val="30"/>
        </w:rPr>
      </w:pPr>
      <w:r>
        <w:rPr>
          <w:rFonts w:ascii="TimesNewRoman" w:eastAsia="华文中宋" w:hAnsi="TimesNewRoman" w:cs="TimesNewRoman" w:hint="eastAsia"/>
          <w:b/>
          <w:bCs/>
          <w:kern w:val="0"/>
          <w:sz w:val="30"/>
          <w:szCs w:val="30"/>
        </w:rPr>
        <w:t xml:space="preserve">  </w:t>
      </w:r>
      <w:r>
        <w:rPr>
          <w:rFonts w:asciiTheme="majorEastAsia" w:eastAsiaTheme="majorEastAsia" w:hAnsiTheme="majorEastAsia" w:cstheme="majorEastAsia" w:hint="eastAsia"/>
          <w:b/>
          <w:bCs/>
          <w:kern w:val="0"/>
          <w:sz w:val="30"/>
          <w:szCs w:val="30"/>
        </w:rPr>
        <w:t>寿县</w:t>
      </w:r>
      <w:r>
        <w:rPr>
          <w:rFonts w:asciiTheme="majorEastAsia" w:eastAsiaTheme="majorEastAsia" w:hAnsiTheme="majorEastAsia" w:cstheme="majorEastAsia" w:hint="eastAsia"/>
          <w:b/>
          <w:bCs/>
          <w:kern w:val="0"/>
          <w:sz w:val="28"/>
          <w:szCs w:val="32"/>
          <w:lang w:val="en-US" w:eastAsia="zh-CN"/>
        </w:rPr>
        <w:t>卫生健康委员会</w:t>
      </w:r>
      <w:r>
        <w:rPr>
          <w:rFonts w:asciiTheme="majorEastAsia" w:eastAsiaTheme="majorEastAsia" w:hAnsiTheme="majorEastAsia" w:cstheme="majorEastAsia" w:hint="eastAsia"/>
          <w:b/>
          <w:bCs/>
          <w:kern w:val="0"/>
          <w:sz w:val="28"/>
          <w:szCs w:val="32"/>
        </w:rPr>
        <w:t>部门</w:t>
      </w:r>
      <w:r>
        <w:rPr>
          <w:rFonts w:asciiTheme="majorEastAsia" w:eastAsiaTheme="majorEastAsia" w:hAnsiTheme="majorEastAsia" w:cstheme="majorEastAsia" w:hint="eastAsia"/>
          <w:b/>
          <w:bCs/>
          <w:kern w:val="0"/>
          <w:sz w:val="30"/>
          <w:szCs w:val="30"/>
        </w:rPr>
        <w:t>2024年一般公共预算支出表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3840" w:type="dxa"/>
        <w:tblInd w:w="0" w:type="dxa"/>
        <w:tblLayout w:type="fixed"/>
        <w:tblCellMar>
          <w:top w:w="0" w:type="dxa"/>
          <w:left w:w="108" w:type="dxa"/>
          <w:bottom w:w="0" w:type="dxa"/>
          <w:right w:w="108" w:type="dxa"/>
        </w:tblCellMar>
      </w:tblPr>
      <w:tblGrid>
        <w:gridCol w:w="1603"/>
        <w:gridCol w:w="4482"/>
        <w:gridCol w:w="1303"/>
        <w:gridCol w:w="1754"/>
        <w:gridCol w:w="1564"/>
        <w:gridCol w:w="1427"/>
        <w:gridCol w:w="1707"/>
      </w:tblGrid>
      <w:tr>
        <w:tblPrEx>
          <w:tblW w:w="13840" w:type="dxa"/>
          <w:tblInd w:w="0" w:type="dxa"/>
          <w:tblLayout w:type="fixed"/>
          <w:tblCellMar>
            <w:top w:w="0" w:type="dxa"/>
            <w:left w:w="108" w:type="dxa"/>
            <w:bottom w:w="0" w:type="dxa"/>
            <w:right w:w="108" w:type="dxa"/>
          </w:tblCellMar>
        </w:tblPrEx>
        <w:trPr>
          <w:trHeight w:val="383"/>
        </w:trPr>
        <w:tc>
          <w:tcPr>
            <w:tcW w:w="1603" w:type="dxa"/>
            <w:vMerge w:val="restart"/>
            <w:tcBorders>
              <w:top w:val="single" w:sz="4" w:space="0" w:color="auto"/>
              <w:left w:val="single" w:sz="4" w:space="0" w:color="auto"/>
              <w:bottom w:val="nil"/>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科目编码</w:t>
            </w:r>
          </w:p>
        </w:tc>
        <w:tc>
          <w:tcPr>
            <w:tcW w:w="4482" w:type="dxa"/>
            <w:vMerge w:val="restart"/>
            <w:tcBorders>
              <w:top w:val="single" w:sz="4" w:space="0" w:color="auto"/>
              <w:left w:val="single" w:sz="4" w:space="0" w:color="auto"/>
              <w:bottom w:val="nil"/>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科目名称</w:t>
            </w:r>
          </w:p>
        </w:tc>
        <w:tc>
          <w:tcPr>
            <w:tcW w:w="1303" w:type="dxa"/>
            <w:vMerge w:val="restart"/>
            <w:tcBorders>
              <w:top w:val="single" w:sz="4" w:space="0" w:color="auto"/>
              <w:left w:val="single" w:sz="4" w:space="0" w:color="auto"/>
              <w:bottom w:val="single" w:sz="4" w:space="0" w:color="000000"/>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合计</w:t>
            </w:r>
          </w:p>
        </w:tc>
        <w:tc>
          <w:tcPr>
            <w:tcW w:w="4745" w:type="dxa"/>
            <w:gridSpan w:val="3"/>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基本支出</w:t>
            </w:r>
          </w:p>
        </w:tc>
        <w:tc>
          <w:tcPr>
            <w:tcW w:w="1707" w:type="dxa"/>
            <w:vMerge w:val="restart"/>
            <w:tcBorders>
              <w:top w:val="single" w:sz="4" w:space="0" w:color="auto"/>
              <w:left w:val="single" w:sz="4" w:space="0" w:color="auto"/>
              <w:bottom w:val="nil"/>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项目支出</w:t>
            </w:r>
          </w:p>
        </w:tc>
      </w:tr>
      <w:tr>
        <w:tblPrEx>
          <w:tblW w:w="13840" w:type="dxa"/>
          <w:tblInd w:w="0" w:type="dxa"/>
          <w:tblLayout w:type="fixed"/>
          <w:tblCellMar>
            <w:top w:w="0" w:type="dxa"/>
            <w:left w:w="108" w:type="dxa"/>
            <w:bottom w:w="0" w:type="dxa"/>
            <w:right w:w="108" w:type="dxa"/>
          </w:tblCellMar>
        </w:tblPrEx>
        <w:trPr>
          <w:trHeight w:val="383"/>
        </w:trPr>
        <w:tc>
          <w:tcPr>
            <w:tcW w:w="1603" w:type="dxa"/>
            <w:vMerge/>
            <w:tcBorders>
              <w:top w:val="single" w:sz="4" w:space="0" w:color="auto"/>
              <w:left w:val="single" w:sz="4" w:space="0" w:color="auto"/>
              <w:bottom w:val="nil"/>
              <w:right w:val="single" w:sz="4" w:space="0" w:color="auto"/>
            </w:tcBorders>
            <w:noWrap w:val="0"/>
            <w:vAlign w:val="center"/>
          </w:tcPr>
          <w:p>
            <w:pPr>
              <w:jc w:val="center"/>
              <w:rPr>
                <w:rFonts w:ascii="TimesNewRoman" w:hAnsi="TimesNewRoman" w:cs="TimesNewRoman"/>
                <w:b/>
                <w:bCs/>
                <w:kern w:val="0"/>
                <w:sz w:val="18"/>
                <w:szCs w:val="18"/>
              </w:rPr>
            </w:pPr>
          </w:p>
        </w:tc>
        <w:tc>
          <w:tcPr>
            <w:tcW w:w="4482" w:type="dxa"/>
            <w:vMerge/>
            <w:tcBorders>
              <w:top w:val="single" w:sz="4" w:space="0" w:color="auto"/>
              <w:left w:val="single" w:sz="4" w:space="0" w:color="auto"/>
              <w:bottom w:val="nil"/>
              <w:right w:val="single" w:sz="4" w:space="0" w:color="auto"/>
            </w:tcBorders>
            <w:noWrap w:val="0"/>
            <w:vAlign w:val="center"/>
          </w:tcPr>
          <w:p>
            <w:pPr>
              <w:jc w:val="center"/>
              <w:rPr>
                <w:rFonts w:ascii="TimesNewRoman" w:hAnsi="TimesNewRoman" w:cs="TimesNewRoman"/>
                <w:b/>
                <w:bCs/>
                <w:kern w:val="0"/>
                <w:sz w:val="18"/>
                <w:szCs w:val="18"/>
              </w:rPr>
            </w:pPr>
          </w:p>
        </w:tc>
        <w:tc>
          <w:tcPr>
            <w:tcW w:w="1303" w:type="dxa"/>
            <w:vMerge/>
            <w:tcBorders>
              <w:top w:val="single" w:sz="4" w:space="0" w:color="auto"/>
              <w:left w:val="single" w:sz="4" w:space="0" w:color="auto"/>
              <w:bottom w:val="single" w:sz="4" w:space="0" w:color="000000"/>
              <w:right w:val="single" w:sz="4" w:space="0" w:color="auto"/>
            </w:tcBorders>
            <w:noWrap w:val="0"/>
            <w:vAlign w:val="center"/>
          </w:tcPr>
          <w:p>
            <w:pPr>
              <w:jc w:val="center"/>
              <w:rPr>
                <w:rFonts w:ascii="TimesNewRoman" w:hAnsi="TimesNewRoman" w:cs="TimesNewRoman"/>
                <w:b/>
                <w:bCs/>
                <w:kern w:val="0"/>
                <w:sz w:val="18"/>
                <w:szCs w:val="18"/>
              </w:rPr>
            </w:pP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小计</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人员经费</w:t>
            </w:r>
          </w:p>
        </w:tc>
        <w:tc>
          <w:tcPr>
            <w:tcW w:w="1427" w:type="dxa"/>
            <w:tcBorders>
              <w:top w:val="nil"/>
              <w:left w:val="nil"/>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公用经费</w:t>
            </w:r>
          </w:p>
        </w:tc>
        <w:tc>
          <w:tcPr>
            <w:tcW w:w="1707" w:type="dxa"/>
            <w:vMerge/>
            <w:tcBorders>
              <w:top w:val="single" w:sz="4" w:space="0" w:color="auto"/>
              <w:left w:val="single" w:sz="4" w:space="0" w:color="auto"/>
              <w:bottom w:val="nil"/>
              <w:right w:val="single" w:sz="4" w:space="0" w:color="auto"/>
            </w:tcBorders>
            <w:noWrap w:val="0"/>
            <w:vAlign w:val="center"/>
          </w:tcPr>
          <w:p>
            <w:pPr>
              <w:jc w:val="center"/>
              <w:rPr>
                <w:rFonts w:ascii="TimesNewRoman" w:hAnsi="TimesNewRoman" w:cs="TimesNewRoman"/>
                <w:b/>
                <w:bCs/>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single" w:sz="4" w:space="0" w:color="auto"/>
              <w:left w:val="single" w:sz="4" w:space="0" w:color="auto"/>
              <w:bottom w:val="single" w:sz="4" w:space="0" w:color="auto"/>
              <w:right w:val="single" w:sz="4" w:space="0" w:color="auto"/>
            </w:tcBorders>
            <w:noWrap w:val="0"/>
            <w:vAlign w:val="center"/>
          </w:tcPr>
          <w:p>
            <w:pPr>
              <w:jc w:val="left"/>
              <w:rPr>
                <w:rFonts w:ascii="TimesNewRoman" w:hAnsi="TimesNewRoman" w:cs="TimesNewRoman"/>
                <w:kern w:val="0"/>
                <w:sz w:val="18"/>
                <w:szCs w:val="18"/>
              </w:rPr>
            </w:pPr>
          </w:p>
        </w:tc>
        <w:tc>
          <w:tcPr>
            <w:tcW w:w="4482"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合计</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24832.28</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14101.59</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13953.59</w:t>
            </w:r>
          </w:p>
        </w:tc>
        <w:tc>
          <w:tcPr>
            <w:tcW w:w="142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148.00</w:t>
            </w:r>
          </w:p>
        </w:tc>
        <w:tc>
          <w:tcPr>
            <w:tcW w:w="1707"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10730.70</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205</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教育支出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20503</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职业教育</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2050302</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hint="eastAsia"/>
                <w:kern w:val="0"/>
                <w:sz w:val="18"/>
                <w:szCs w:val="18"/>
              </w:rPr>
            </w:pPr>
            <w:r>
              <w:rPr>
                <w:rFonts w:ascii="宋体" w:eastAsia="宋体" w:hAnsi="宋体" w:cs="宋体" w:hint="eastAsia"/>
                <w:i w:val="0"/>
                <w:iCs w:val="0"/>
                <w:color w:val="000000"/>
                <w:kern w:val="0"/>
                <w:sz w:val="20"/>
                <w:szCs w:val="20"/>
                <w:u w:val="none"/>
                <w:lang w:val="en-US" w:eastAsia="zh-CN" w:bidi="ar"/>
              </w:rPr>
              <w:t>　　中等职业教育</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11.03</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208</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2845.80</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2845.80</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2845.80</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行政事业单位养老支出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2795.47</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2795.47</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2795.47</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2080502</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事业单位离退休</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848.13</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848.13</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848.13</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2080505</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1298.23</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1298.23</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1298.23</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2080506</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机关事业单位职业年金缴费支出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649.11</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649.11</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649.11</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50.33</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50.33</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50.33</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2089999</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50.33</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50.33</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50.33</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210</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卫生健康支出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21003.10</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10272.40</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10124.41</w:t>
            </w:r>
          </w:p>
        </w:tc>
        <w:tc>
          <w:tcPr>
            <w:tcW w:w="142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148.00</w:t>
            </w: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10730.70</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卫生健康管理事务</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971.74</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902.34</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810.39</w:t>
            </w:r>
          </w:p>
        </w:tc>
        <w:tc>
          <w:tcPr>
            <w:tcW w:w="142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91.96</w:t>
            </w: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69.40</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2100101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行政运行</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579.05</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517.53</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425.58</w:t>
            </w:r>
          </w:p>
        </w:tc>
        <w:tc>
          <w:tcPr>
            <w:tcW w:w="142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91.96</w:t>
            </w: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61.52</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　　2100102</w:t>
            </w:r>
          </w:p>
        </w:tc>
        <w:tc>
          <w:tcPr>
            <w:tcW w:w="4482"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pPr>
            <w:r>
              <w:rPr>
                <w:rFonts w:ascii="宋体" w:eastAsia="宋体" w:hAnsi="宋体" w:cs="宋体" w:hint="eastAsia"/>
                <w:i w:val="0"/>
                <w:iCs w:val="0"/>
                <w:color w:val="000000"/>
                <w:kern w:val="0"/>
                <w:sz w:val="20"/>
                <w:szCs w:val="20"/>
                <w:u w:val="none"/>
                <w:lang w:val="en-US" w:eastAsia="zh-CN" w:bidi="ar"/>
              </w:rPr>
              <w:t>　　一般行政管理事务</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392.69</w:t>
            </w:r>
          </w:p>
        </w:tc>
        <w:tc>
          <w:tcPr>
            <w:tcW w:w="175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384.81</w:t>
            </w:r>
          </w:p>
        </w:tc>
        <w:tc>
          <w:tcPr>
            <w:tcW w:w="1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384.81</w:t>
            </w:r>
          </w:p>
        </w:tc>
        <w:tc>
          <w:tcPr>
            <w:tcW w:w="1427" w:type="dxa"/>
            <w:tcBorders>
              <w:top w:val="nil"/>
              <w:left w:val="nil"/>
              <w:bottom w:val="single" w:sz="4" w:space="0" w:color="auto"/>
              <w:right w:val="single" w:sz="4" w:space="0" w:color="auto"/>
            </w:tcBorders>
            <w:noWrap w:val="0"/>
            <w:vAlign w:val="center"/>
          </w:tcPr>
          <w:p>
            <w:pPr>
              <w:jc w:val="right"/>
              <w:rPr>
                <w:rFonts w:ascii="TimesNewRoman" w:hAnsi="TimesNewRoman" w:cs="TimesNewRoman"/>
                <w:b/>
                <w:bCs/>
                <w:kern w:val="0"/>
                <w:sz w:val="18"/>
                <w:szCs w:val="18"/>
              </w:rPr>
            </w:pP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7.88</w:t>
            </w:r>
          </w:p>
        </w:tc>
      </w:tr>
    </w:tbl>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p>
    <w:p>
      <w:pPr>
        <w:spacing w:line="560" w:lineRule="exact"/>
        <w:ind w:left="903" w:leftChars="430"/>
        <w:jc w:val="right"/>
        <w:rPr>
          <w:rFonts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公开表6</w:t>
      </w:r>
    </w:p>
    <w:p>
      <w:pPr>
        <w:spacing w:line="560" w:lineRule="exact"/>
        <w:ind w:left="903" w:leftChars="430"/>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Theme="majorEastAsia" w:eastAsiaTheme="majorEastAsia" w:hAnsiTheme="majorEastAsia" w:cstheme="majorEastAsia" w:hint="eastAsia"/>
          <w:b/>
          <w:bCs/>
          <w:kern w:val="0"/>
          <w:sz w:val="28"/>
          <w:szCs w:val="32"/>
          <w:lang w:val="en-US" w:eastAsia="zh-CN"/>
        </w:rPr>
        <w:t>卫生健康委员会</w:t>
      </w:r>
      <w:r>
        <w:rPr>
          <w:rFonts w:asciiTheme="majorEastAsia" w:eastAsiaTheme="majorEastAsia" w:hAnsiTheme="majorEastAsia" w:cstheme="majorEastAsia" w:hint="eastAsia"/>
          <w:b/>
          <w:bCs/>
          <w:kern w:val="0"/>
          <w:sz w:val="28"/>
          <w:szCs w:val="32"/>
        </w:rPr>
        <w:t>部门</w:t>
      </w:r>
      <w:r>
        <w:rPr>
          <w:rFonts w:ascii="宋体" w:hAnsi="宋体" w:cs="TimesNewRoman" w:hint="eastAsia"/>
          <w:b/>
          <w:bCs/>
          <w:kern w:val="0"/>
          <w:sz w:val="28"/>
          <w:szCs w:val="32"/>
        </w:rPr>
        <w:t>2024</w:t>
      </w:r>
      <w:r>
        <w:rPr>
          <w:rFonts w:ascii="宋体" w:hAnsi="宋体" w:cs="TimesNewRoman"/>
          <w:b/>
          <w:bCs/>
          <w:kern w:val="0"/>
          <w:sz w:val="28"/>
          <w:szCs w:val="32"/>
        </w:rPr>
        <w:t>年一般公共预算基本支出表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4005" w:type="dxa"/>
        <w:tblInd w:w="0" w:type="dxa"/>
        <w:tblLayout w:type="fixed"/>
        <w:tblCellMar>
          <w:top w:w="0" w:type="dxa"/>
          <w:left w:w="108" w:type="dxa"/>
          <w:bottom w:w="0" w:type="dxa"/>
          <w:right w:w="108" w:type="dxa"/>
        </w:tblCellMar>
      </w:tblPr>
      <w:tblGrid>
        <w:gridCol w:w="1444"/>
        <w:gridCol w:w="3820"/>
        <w:gridCol w:w="2700"/>
        <w:gridCol w:w="2670"/>
        <w:gridCol w:w="680"/>
        <w:gridCol w:w="2691"/>
      </w:tblGrid>
      <w:tr>
        <w:tblPrEx>
          <w:tblW w:w="14005" w:type="dxa"/>
          <w:tblInd w:w="0" w:type="dxa"/>
          <w:tblLayout w:type="fixed"/>
          <w:tblCellMar>
            <w:top w:w="0" w:type="dxa"/>
            <w:left w:w="108" w:type="dxa"/>
            <w:bottom w:w="0" w:type="dxa"/>
            <w:right w:w="108" w:type="dxa"/>
          </w:tblCellMar>
        </w:tblPrEx>
        <w:trPr>
          <w:trHeight w:val="365"/>
        </w:trPr>
        <w:tc>
          <w:tcPr>
            <w:tcW w:w="5264"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2"/>
                <w:szCs w:val="22"/>
                <w:u w:val="none"/>
                <w:lang w:val="en-US" w:eastAsia="zh-CN" w:bidi="ar"/>
              </w:rPr>
              <w:t>部门预算支出经济分类科目</w:t>
            </w:r>
          </w:p>
        </w:tc>
        <w:tc>
          <w:tcPr>
            <w:tcW w:w="8741" w:type="dxa"/>
            <w:gridSpan w:val="4"/>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2"/>
                <w:szCs w:val="22"/>
                <w:u w:val="none"/>
                <w:lang w:val="en-US" w:eastAsia="zh-CN" w:bidi="ar"/>
              </w:rPr>
              <w:t>本年一般公共预算基本支出</w:t>
            </w: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2"/>
                <w:szCs w:val="22"/>
                <w:u w:val="none"/>
                <w:lang w:val="en-US" w:eastAsia="zh-CN" w:bidi="ar"/>
              </w:rPr>
              <w:t>科目编码</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2"/>
                <w:szCs w:val="22"/>
                <w:u w:val="none"/>
                <w:lang w:val="en-US" w:eastAsia="zh-CN" w:bidi="ar"/>
              </w:rPr>
              <w:t>科目名称</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2"/>
                <w:szCs w:val="22"/>
                <w:u w:val="none"/>
                <w:lang w:val="en-US" w:eastAsia="zh-CN" w:bidi="ar"/>
              </w:rPr>
              <w:t>合计</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center"/>
              <w:textAlignment w:val="center"/>
            </w:pPr>
            <w:r>
              <w:rPr>
                <w:rFonts w:ascii="宋体" w:eastAsia="宋体" w:hAnsi="宋体" w:cs="宋体" w:hint="eastAsia"/>
                <w:i w:val="0"/>
                <w:iCs w:val="0"/>
                <w:color w:val="000000"/>
                <w:kern w:val="0"/>
                <w:sz w:val="22"/>
                <w:szCs w:val="22"/>
                <w:u w:val="none"/>
                <w:lang w:val="en-US" w:eastAsia="zh-CN" w:bidi="ar"/>
              </w:rPr>
              <w:t>人员经费</w:t>
            </w:r>
          </w:p>
        </w:tc>
        <w:tc>
          <w:tcPr>
            <w:tcW w:w="2691" w:type="dxa"/>
            <w:tcBorders>
              <w:top w:val="nil"/>
              <w:left w:val="nil"/>
              <w:bottom w:val="single" w:sz="4" w:space="0" w:color="auto"/>
              <w:right w:val="single" w:sz="4" w:space="0" w:color="auto"/>
            </w:tcBorders>
            <w:noWrap w:val="0"/>
            <w:vAlign w:val="center"/>
          </w:tcPr>
          <w:p>
            <w:pPr>
              <w:keepNext w:val="0"/>
              <w:keepLines w:val="0"/>
              <w:widowControl/>
              <w:suppressLineNumbers w:val="0"/>
              <w:jc w:val="center"/>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2"/>
                <w:szCs w:val="22"/>
                <w:u w:val="none"/>
                <w:lang w:val="en-US" w:eastAsia="zh-CN" w:bidi="ar"/>
              </w:rPr>
              <w:t>公用经费</w:t>
            </w: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jc w:val="left"/>
              <w:rPr>
                <w:rFonts w:ascii="TimesNewRoman" w:hAnsi="TimesNewRoman" w:cs="TimesNewRoman"/>
                <w:kern w:val="0"/>
                <w:sz w:val="18"/>
                <w:szCs w:val="18"/>
              </w:rPr>
            </w:pP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合计</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14101.59</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13953.59</w:t>
            </w:r>
          </w:p>
        </w:tc>
        <w:tc>
          <w:tcPr>
            <w:tcW w:w="269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148.00</w:t>
            </w: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301</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工资福利支出</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11635.32</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11635.32</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30101</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基本工资</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4963.53</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4963.53</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30102</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津贴补贴</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49.68</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49.68</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30103</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奖金</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353.26</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353.26</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30107</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绩效工资</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2744.48</w:t>
            </w:r>
          </w:p>
        </w:tc>
        <w:tc>
          <w:tcPr>
            <w:tcW w:w="267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2744.48</w:t>
            </w:r>
          </w:p>
        </w:tc>
        <w:tc>
          <w:tcPr>
            <w:tcW w:w="3371" w:type="dxa"/>
            <w:gridSpan w:val="2"/>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30108</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1298.23</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1298.23</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30109</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职业年金缴费</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649.11</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649.11</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30110</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职工基本医疗保险缴费</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537.30</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537.30</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30111</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公务员医疗补助缴费</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10.74</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10.74</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30112</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其他社会保障缴费</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53.68</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53.68</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30113</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住房公积金</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972.36</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972.36</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30199</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其他工资福利支出</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2.96</w:t>
            </w:r>
          </w:p>
        </w:tc>
        <w:tc>
          <w:tcPr>
            <w:tcW w:w="3350" w:type="dxa"/>
            <w:gridSpan w:val="2"/>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pPr>
            <w:r>
              <w:rPr>
                <w:rFonts w:ascii="宋体" w:eastAsia="宋体" w:hAnsi="宋体" w:cs="宋体" w:hint="eastAsia"/>
                <w:i w:val="0"/>
                <w:iCs w:val="0"/>
                <w:color w:val="000000"/>
                <w:kern w:val="0"/>
                <w:sz w:val="20"/>
                <w:szCs w:val="20"/>
                <w:u w:val="none"/>
                <w:lang w:val="en-US" w:eastAsia="zh-CN" w:bidi="ar"/>
              </w:rPr>
              <w:t>2.96</w:t>
            </w:r>
          </w:p>
        </w:tc>
        <w:tc>
          <w:tcPr>
            <w:tcW w:w="269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382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商品和服务支出</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144.00</w:t>
            </w:r>
          </w:p>
        </w:tc>
        <w:tc>
          <w:tcPr>
            <w:tcW w:w="3350" w:type="dxa"/>
            <w:gridSpan w:val="2"/>
            <w:tcBorders>
              <w:top w:val="nil"/>
              <w:left w:val="nil"/>
              <w:bottom w:val="single" w:sz="4" w:space="0" w:color="auto"/>
              <w:right w:val="single" w:sz="4" w:space="0" w:color="auto"/>
            </w:tcBorders>
            <w:noWrap w:val="0"/>
            <w:vAlign w:val="center"/>
          </w:tcPr>
          <w:p>
            <w:pPr>
              <w:jc w:val="right"/>
            </w:pPr>
          </w:p>
        </w:tc>
        <w:tc>
          <w:tcPr>
            <w:tcW w:w="269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144.00</w:t>
            </w:r>
          </w:p>
        </w:tc>
      </w:tr>
      <w:tr>
        <w:tblPrEx>
          <w:tblW w:w="14005" w:type="dxa"/>
          <w:tblInd w:w="0" w:type="dxa"/>
          <w:tblLayout w:type="fixed"/>
          <w:tblCellMar>
            <w:top w:w="0" w:type="dxa"/>
            <w:left w:w="108" w:type="dxa"/>
            <w:bottom w:w="0" w:type="dxa"/>
            <w:right w:w="108" w:type="dxa"/>
          </w:tblCellMar>
        </w:tblPrEx>
        <w:trPr>
          <w:trHeight w:val="365"/>
        </w:trPr>
        <w:tc>
          <w:tcPr>
            <w:tcW w:w="144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　30201</w:t>
            </w:r>
          </w:p>
        </w:tc>
        <w:tc>
          <w:tcPr>
            <w:tcW w:w="382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pPr>
            <w:r>
              <w:rPr>
                <w:rFonts w:ascii="宋体" w:eastAsia="宋体" w:hAnsi="宋体" w:cs="宋体" w:hint="eastAsia"/>
                <w:i w:val="0"/>
                <w:iCs w:val="0"/>
                <w:color w:val="000000"/>
                <w:kern w:val="0"/>
                <w:sz w:val="20"/>
                <w:szCs w:val="20"/>
                <w:u w:val="none"/>
                <w:lang w:val="en-US" w:eastAsia="zh-CN" w:bidi="ar"/>
              </w:rPr>
              <w:t>　办公费</w:t>
            </w:r>
          </w:p>
        </w:tc>
        <w:tc>
          <w:tcPr>
            <w:tcW w:w="270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35.16</w:t>
            </w:r>
          </w:p>
        </w:tc>
        <w:tc>
          <w:tcPr>
            <w:tcW w:w="3350" w:type="dxa"/>
            <w:gridSpan w:val="2"/>
            <w:tcBorders>
              <w:top w:val="nil"/>
              <w:left w:val="nil"/>
              <w:bottom w:val="single" w:sz="4" w:space="0" w:color="auto"/>
              <w:right w:val="single" w:sz="4" w:space="0" w:color="auto"/>
            </w:tcBorders>
            <w:noWrap w:val="0"/>
            <w:vAlign w:val="center"/>
          </w:tcPr>
          <w:p>
            <w:pPr>
              <w:jc w:val="right"/>
            </w:pPr>
          </w:p>
        </w:tc>
        <w:tc>
          <w:tcPr>
            <w:tcW w:w="269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35.16</w:t>
            </w:r>
          </w:p>
        </w:tc>
      </w:tr>
    </w:tbl>
    <w:p>
      <w:pPr>
        <w:spacing w:line="560" w:lineRule="exact"/>
        <w:rPr>
          <w:rFonts w:ascii="TimesNewRoman" w:hAnsi="TimesNewRoman" w:cs="TimesNewRoman"/>
        </w:rPr>
      </w:pPr>
    </w:p>
    <w:p>
      <w:pPr>
        <w:spacing w:line="560" w:lineRule="exact"/>
        <w:jc w:val="right"/>
        <w:rPr>
          <w:rFonts w:ascii="TimesNewRoman" w:hAnsi="TimesNewRoman" w:cs="TimesNewRoman" w:hint="eastAsia"/>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hint="eastAsia"/>
          <w:kern w:val="0"/>
          <w:sz w:val="20"/>
        </w:rPr>
      </w:pP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公开表7</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Theme="majorEastAsia" w:eastAsiaTheme="majorEastAsia" w:hAnsiTheme="majorEastAsia" w:cstheme="majorEastAsia" w:hint="eastAsia"/>
          <w:b/>
          <w:bCs/>
          <w:kern w:val="0"/>
          <w:sz w:val="28"/>
          <w:szCs w:val="32"/>
          <w:lang w:val="en-US" w:eastAsia="zh-CN"/>
        </w:rPr>
        <w:t>卫生健康委员会</w:t>
      </w:r>
      <w:r>
        <w:rPr>
          <w:rFonts w:asciiTheme="majorEastAsia" w:eastAsiaTheme="majorEastAsia" w:hAnsiTheme="majorEastAsia" w:cstheme="majorEastAsia" w:hint="eastAsia"/>
          <w:b/>
          <w:bCs/>
          <w:kern w:val="0"/>
          <w:sz w:val="28"/>
          <w:szCs w:val="32"/>
        </w:rPr>
        <w:t>部门</w:t>
      </w:r>
      <w:r>
        <w:rPr>
          <w:rFonts w:ascii="宋体" w:hAnsi="宋体" w:cs="TimesNewRoman" w:hint="eastAsia"/>
          <w:b/>
          <w:bCs/>
          <w:kern w:val="0"/>
          <w:sz w:val="28"/>
          <w:szCs w:val="32"/>
        </w:rPr>
        <w:t>2024</w:t>
      </w:r>
      <w:r>
        <w:rPr>
          <w:rFonts w:ascii="宋体" w:hAnsi="宋体" w:cs="TimesNewRoman"/>
          <w:b/>
          <w:bCs/>
          <w:kern w:val="0"/>
          <w:sz w:val="28"/>
          <w:szCs w:val="32"/>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3951" w:type="dxa"/>
        <w:tblInd w:w="0" w:type="dxa"/>
        <w:tblLayout w:type="fixed"/>
        <w:tblCellMar>
          <w:top w:w="0" w:type="dxa"/>
          <w:left w:w="108" w:type="dxa"/>
          <w:bottom w:w="0" w:type="dxa"/>
          <w:right w:w="108" w:type="dxa"/>
        </w:tblCellMar>
      </w:tblPr>
      <w:tblGrid>
        <w:gridCol w:w="1911"/>
        <w:gridCol w:w="6266"/>
        <w:gridCol w:w="1640"/>
        <w:gridCol w:w="2018"/>
        <w:gridCol w:w="2116"/>
      </w:tblGrid>
      <w:tr>
        <w:tblPrEx>
          <w:tblW w:w="13951" w:type="dxa"/>
          <w:tblInd w:w="0" w:type="dxa"/>
          <w:tblLayout w:type="fixed"/>
          <w:tblCellMar>
            <w:top w:w="0" w:type="dxa"/>
            <w:left w:w="108" w:type="dxa"/>
            <w:bottom w:w="0" w:type="dxa"/>
            <w:right w:w="108" w:type="dxa"/>
          </w:tblCellMar>
        </w:tblPrEx>
        <w:trPr>
          <w:trHeight w:val="570"/>
        </w:trPr>
        <w:tc>
          <w:tcPr>
            <w:tcW w:w="1911"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tblPrEx>
          <w:tblW w:w="13951" w:type="dxa"/>
          <w:tblInd w:w="0" w:type="dxa"/>
          <w:tblLayout w:type="fixed"/>
          <w:tblCellMar>
            <w:top w:w="0" w:type="dxa"/>
            <w:left w:w="108" w:type="dxa"/>
            <w:bottom w:w="0" w:type="dxa"/>
            <w:right w:w="108" w:type="dxa"/>
          </w:tblCellMar>
        </w:tblPrEx>
        <w:trPr>
          <w:trHeight w:val="570"/>
        </w:trPr>
        <w:tc>
          <w:tcPr>
            <w:tcW w:w="1911"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6266"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hint="eastAsia"/>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科学技术</w:t>
            </w:r>
            <w:r>
              <w:rPr>
                <w:rFonts w:ascii="TimesNewRoman" w:hAnsi="TimesNewRoman" w:cs="TimesNewRoman"/>
                <w:kern w:val="0"/>
                <w:sz w:val="18"/>
                <w:szCs w:val="18"/>
              </w:rPr>
              <w:t>支出</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610</w:t>
            </w:r>
          </w:p>
        </w:tc>
        <w:tc>
          <w:tcPr>
            <w:tcW w:w="6266" w:type="dxa"/>
            <w:tcBorders>
              <w:top w:val="nil"/>
              <w:left w:val="nil"/>
              <w:bottom w:val="single" w:sz="4" w:space="0" w:color="auto"/>
              <w:right w:val="single" w:sz="4" w:space="0" w:color="auto"/>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核电站乏燃料处理处置基金支出</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576"/>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ind w:firstLine="90" w:firstLineChars="50"/>
              <w:jc w:val="left"/>
              <w:rPr>
                <w:rFonts w:ascii="TimesNewRoman" w:eastAsia="仿宋_GB2312"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61001</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w:t>
            </w:r>
            <w:r>
              <w:rPr>
                <w:rFonts w:ascii="TimesNewRoman" w:hAnsi="TimesNewRoman" w:cs="TimesNewRoman"/>
                <w:kern w:val="0"/>
                <w:sz w:val="18"/>
                <w:szCs w:val="18"/>
              </w:rPr>
              <w:t>乏燃料运输</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8177"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hint="eastAsia"/>
          <w:kern w:val="0"/>
          <w:sz w:val="24"/>
          <w:lang w:eastAsia="zh-CN"/>
        </w:rPr>
        <w:t>“</w:t>
      </w:r>
      <w:r>
        <w:rPr>
          <w:rFonts w:ascii="TimesNewRoman" w:hAnsi="TimesNewRoman" w:cs="TimesNewRoman" w:hint="eastAsia"/>
          <w:kern w:val="0"/>
          <w:sz w:val="24"/>
          <w:szCs w:val="24"/>
        </w:rPr>
        <w:t>寿县</w:t>
      </w:r>
      <w:r>
        <w:rPr>
          <w:rFonts w:asciiTheme="majorEastAsia" w:eastAsiaTheme="majorEastAsia" w:hAnsiTheme="majorEastAsia" w:cstheme="majorEastAsia" w:hint="eastAsia"/>
          <w:b w:val="0"/>
          <w:bCs w:val="0"/>
          <w:kern w:val="0"/>
          <w:sz w:val="24"/>
          <w:szCs w:val="24"/>
          <w:lang w:val="en-US" w:eastAsia="zh-CN"/>
        </w:rPr>
        <w:t>卫生健康委员会</w:t>
      </w:r>
      <w:r>
        <w:rPr>
          <w:rFonts w:asciiTheme="majorEastAsia" w:eastAsiaTheme="majorEastAsia" w:hAnsiTheme="majorEastAsia" w:cstheme="majorEastAsia" w:hint="eastAsia"/>
          <w:b w:val="0"/>
          <w:bCs w:val="0"/>
          <w:kern w:val="0"/>
          <w:sz w:val="24"/>
          <w:szCs w:val="24"/>
        </w:rPr>
        <w:t>部门</w:t>
      </w:r>
      <w:r>
        <w:rPr>
          <w:rFonts w:ascii="TimesNewRoman" w:hAnsi="TimesNewRoman" w:cs="TimesNewRoman"/>
          <w:kern w:val="0"/>
          <w:sz w:val="24"/>
          <w:szCs w:val="24"/>
        </w:rPr>
        <w:t>没有</w:t>
      </w:r>
      <w:r>
        <w:rPr>
          <w:rFonts w:ascii="TimesNewRoman" w:hAnsi="TimesNewRoman" w:cs="TimesNewRoman"/>
          <w:kern w:val="0"/>
          <w:sz w:val="24"/>
        </w:rPr>
        <w:t>政府性基金预算拨款收入，也没有政府性基金预算拨款安排的支出，故本表无数据”。</w:t>
      </w:r>
    </w:p>
    <w:p>
      <w:pPr>
        <w:pStyle w:val="NormalWeb"/>
        <w:adjustRightInd w:val="0"/>
        <w:snapToGrid w:val="0"/>
        <w:spacing w:after="156" w:afterLines="50" w:line="560" w:lineRule="exact"/>
        <w:ind w:right="102"/>
        <w:jc w:val="right"/>
        <w:rPr>
          <w:rFonts w:ascii="TimesNewRoman" w:eastAsia="黑体" w:hAnsi="TimesNewRoman" w:cs="TimesNewRoman"/>
          <w:bCs/>
          <w:sz w:val="36"/>
          <w:szCs w:val="36"/>
        </w:rPr>
      </w:pPr>
      <w:r>
        <w:rPr>
          <w:rFonts w:ascii="TimesNewRoman" w:hAnsi="TimesNewRoman" w:cs="TimesNewRoman"/>
          <w:sz w:val="20"/>
          <w:szCs w:val="20"/>
        </w:rPr>
        <w:t xml:space="preserve"> </w:t>
      </w:r>
      <w:r>
        <w:rPr>
          <w:rFonts w:ascii="TimesNewRoman" w:eastAsia="仿宋_GB2312" w:hAnsi="TimesNewRoman" w:cs="TimesNewRoman"/>
          <w:sz w:val="20"/>
          <w:szCs w:val="20"/>
        </w:rPr>
        <w:t xml:space="preserve"> 部门</w:t>
      </w:r>
      <w:r>
        <w:rPr>
          <w:rFonts w:ascii="TimesNewRoman" w:eastAsia="仿宋_GB2312" w:hAnsi="TimesNewRoman" w:cs="TimesNewRoman"/>
          <w:sz w:val="20"/>
          <w:szCs w:val="20"/>
          <w:u w:val="single"/>
        </w:rPr>
        <w:t>（单位）</w:t>
      </w:r>
      <w:r>
        <w:rPr>
          <w:rFonts w:ascii="TimesNewRoman" w:eastAsia="仿宋_GB2312" w:hAnsi="TimesNewRoman" w:cs="TimesNewRoman"/>
          <w:sz w:val="20"/>
          <w:szCs w:val="20"/>
        </w:rPr>
        <w:t>公开表8</w:t>
      </w:r>
    </w:p>
    <w:tbl>
      <w:tblPr>
        <w:tblStyle w:val="TableNormal"/>
        <w:tblW w:w="13876" w:type="dxa"/>
        <w:tblInd w:w="0" w:type="dxa"/>
        <w:tblLayout w:type="fixed"/>
        <w:tblCellMar>
          <w:top w:w="0" w:type="dxa"/>
          <w:left w:w="108" w:type="dxa"/>
          <w:bottom w:w="0" w:type="dxa"/>
          <w:right w:w="108" w:type="dxa"/>
        </w:tblCellMar>
      </w:tblPr>
      <w:tblGrid>
        <w:gridCol w:w="710"/>
        <w:gridCol w:w="902"/>
        <w:gridCol w:w="1870"/>
        <w:gridCol w:w="4312"/>
        <w:gridCol w:w="342"/>
        <w:gridCol w:w="1153"/>
        <w:gridCol w:w="2013"/>
        <w:gridCol w:w="666"/>
        <w:gridCol w:w="1224"/>
        <w:gridCol w:w="559"/>
        <w:gridCol w:w="125"/>
      </w:tblGrid>
      <w:tr>
        <w:tblPrEx>
          <w:tblW w:w="13876" w:type="dxa"/>
          <w:tblInd w:w="0" w:type="dxa"/>
          <w:tblLayout w:type="fixed"/>
          <w:tblCellMar>
            <w:top w:w="0" w:type="dxa"/>
            <w:left w:w="108" w:type="dxa"/>
            <w:bottom w:w="0" w:type="dxa"/>
            <w:right w:w="108" w:type="dxa"/>
          </w:tblCellMar>
        </w:tblPrEx>
        <w:trPr>
          <w:gridAfter w:val="2"/>
          <w:wAfter w:w="683" w:type="dxa"/>
          <w:trHeight w:val="441"/>
        </w:trPr>
        <w:tc>
          <w:tcPr>
            <w:tcW w:w="13193" w:type="dxa"/>
            <w:gridSpan w:val="9"/>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Theme="majorEastAsia" w:eastAsiaTheme="majorEastAsia" w:hAnsiTheme="majorEastAsia" w:cstheme="majorEastAsia" w:hint="eastAsia"/>
                <w:b/>
                <w:bCs/>
                <w:kern w:val="0"/>
                <w:sz w:val="28"/>
                <w:szCs w:val="32"/>
                <w:lang w:val="en-US" w:eastAsia="zh-CN"/>
              </w:rPr>
              <w:t>卫生健康委员会</w:t>
            </w:r>
            <w:r>
              <w:rPr>
                <w:rFonts w:asciiTheme="majorEastAsia" w:eastAsiaTheme="majorEastAsia" w:hAnsiTheme="majorEastAsia" w:cstheme="majorEastAsia" w:hint="eastAsia"/>
                <w:b/>
                <w:bCs/>
                <w:kern w:val="0"/>
                <w:sz w:val="28"/>
                <w:szCs w:val="32"/>
              </w:rPr>
              <w:t>部门</w:t>
            </w:r>
            <w:r>
              <w:rPr>
                <w:rFonts w:ascii="宋体" w:hAnsi="宋体" w:cs="TimesNewRoman" w:hint="eastAsia"/>
                <w:b/>
                <w:bCs/>
                <w:kern w:val="0"/>
                <w:sz w:val="28"/>
                <w:szCs w:val="32"/>
              </w:rPr>
              <w:t>2024</w:t>
            </w:r>
            <w:r>
              <w:rPr>
                <w:rFonts w:ascii="宋体" w:hAnsi="宋体" w:cs="TimesNewRoman"/>
                <w:b/>
                <w:bCs/>
                <w:kern w:val="0"/>
                <w:sz w:val="28"/>
                <w:szCs w:val="32"/>
              </w:rPr>
              <w:t>年国有资本经营预算支出表</w:t>
            </w:r>
          </w:p>
        </w:tc>
      </w:tr>
      <w:tr>
        <w:tblPrEx>
          <w:tblW w:w="13876" w:type="dxa"/>
          <w:tblInd w:w="0" w:type="dxa"/>
          <w:tblLayout w:type="fixed"/>
          <w:tblCellMar>
            <w:top w:w="0" w:type="dxa"/>
            <w:left w:w="108" w:type="dxa"/>
            <w:bottom w:w="0" w:type="dxa"/>
            <w:right w:w="108" w:type="dxa"/>
          </w:tblCellMar>
        </w:tblPrEx>
        <w:trPr>
          <w:trHeight w:val="299"/>
        </w:trPr>
        <w:tc>
          <w:tcPr>
            <w:tcW w:w="711" w:type="dxa"/>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18"/>
                <w:szCs w:val="18"/>
              </w:rPr>
            </w:pPr>
          </w:p>
        </w:tc>
        <w:tc>
          <w:tcPr>
            <w:tcW w:w="902" w:type="dxa"/>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1907" w:type="dxa"/>
            <w:gridSpan w:val="3"/>
            <w:tcBorders>
              <w:top w:val="nil"/>
              <w:left w:val="nil"/>
              <w:bottom w:val="nil"/>
              <w:right w:val="nil"/>
            </w:tcBorders>
            <w:noWrap w:val="0"/>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6" w:type="dxa"/>
            <w:gridSpan w:val="6"/>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223</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国有资本经营预算支出</w:t>
            </w:r>
          </w:p>
        </w:tc>
        <w:tc>
          <w:tcPr>
            <w:tcW w:w="149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解决历史遗留问题及改革成本支出</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2230101　</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ind w:firstLine="720" w:firstLineChars="400"/>
              <w:jc w:val="left"/>
              <w:rPr>
                <w:rFonts w:ascii="TimesNewRoman" w:hAnsi="TimesNewRoman" w:cs="TimesNewRoman"/>
                <w:kern w:val="0"/>
                <w:sz w:val="18"/>
                <w:szCs w:val="18"/>
              </w:rPr>
            </w:pPr>
            <w:r>
              <w:rPr>
                <w:rFonts w:ascii="TimesNewRoman" w:hAnsi="TimesNewRoman" w:cs="TimesNewRoman"/>
                <w:kern w:val="0"/>
                <w:sz w:val="18"/>
                <w:szCs w:val="18"/>
              </w:rPr>
              <w:t>厂办大集体改革支出</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bottom"/>
          </w:tcPr>
          <w:p>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noWrap w:val="0"/>
            <w:vAlign w:val="bottom"/>
          </w:tcPr>
          <w:p>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hint="eastAsia"/>
                <w:sz w:val="18"/>
                <w:szCs w:val="18"/>
              </w:rPr>
              <w:t>总</w:t>
            </w:r>
            <w:r>
              <w:rPr>
                <w:rFonts w:ascii="汉仪中秀体简" w:eastAsia="汉仪中秀体简" w:hAnsi="汉仪中秀体简" w:cs="汉仪中秀体简"/>
                <w:sz w:val="18"/>
                <w:szCs w:val="18"/>
              </w:rPr>
              <w:t xml:space="preserve"> 计</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4" w:type="dxa"/>
          <w:trHeight w:val="633"/>
        </w:trPr>
        <w:tc>
          <w:tcPr>
            <w:tcW w:w="13752" w:type="dxa"/>
            <w:gridSpan w:val="10"/>
            <w:tcBorders>
              <w:top w:val="single" w:sz="4" w:space="0" w:color="auto"/>
              <w:left w:val="nil"/>
              <w:bottom w:val="nil"/>
              <w:right w:val="nil"/>
            </w:tcBorders>
            <w:noWrap w:val="0"/>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hint="eastAsia"/>
                <w:kern w:val="0"/>
                <w:sz w:val="24"/>
              </w:rPr>
              <w:t>寿县</w:t>
            </w:r>
            <w:r>
              <w:rPr>
                <w:rFonts w:asciiTheme="majorEastAsia" w:eastAsiaTheme="majorEastAsia" w:hAnsiTheme="majorEastAsia" w:cstheme="majorEastAsia" w:hint="eastAsia"/>
                <w:b w:val="0"/>
                <w:bCs w:val="0"/>
                <w:kern w:val="0"/>
                <w:sz w:val="24"/>
                <w:szCs w:val="24"/>
                <w:lang w:val="en-US" w:eastAsia="zh-CN"/>
              </w:rPr>
              <w:t>卫生健康委员会</w:t>
            </w:r>
            <w:r>
              <w:rPr>
                <w:rFonts w:asciiTheme="majorEastAsia" w:eastAsiaTheme="majorEastAsia" w:hAnsiTheme="majorEastAsia" w:cstheme="majorEastAsia" w:hint="eastAsia"/>
                <w:b w:val="0"/>
                <w:bCs w:val="0"/>
                <w:kern w:val="0"/>
                <w:sz w:val="24"/>
                <w:szCs w:val="24"/>
              </w:rPr>
              <w:t>部门</w:t>
            </w:r>
            <w:r>
              <w:rPr>
                <w:rFonts w:ascii="TimesNewRoman" w:hAnsi="TimesNewRoman" w:cs="TimesNewRoman"/>
                <w:kern w:val="0"/>
                <w:sz w:val="24"/>
              </w:rPr>
              <w:t>没有国有资本经营预算拨款收入，也没有国有资本经营预算拨款安排的支出，故本表无数据”。</w:t>
            </w:r>
          </w:p>
        </w:tc>
      </w:tr>
    </w:tbl>
    <w:p>
      <w:pPr>
        <w:spacing w:line="560" w:lineRule="exact"/>
        <w:jc w:val="center"/>
        <w:rPr>
          <w:rFonts w:ascii="TimesNewRoman" w:hAnsi="TimesNewRoman" w:cs="TimesNewRoman" w:hint="eastAsia"/>
          <w:kern w:val="0"/>
          <w:sz w:val="20"/>
        </w:rPr>
      </w:pPr>
    </w:p>
    <w:p>
      <w:pPr>
        <w:spacing w:line="560" w:lineRule="exact"/>
        <w:jc w:val="center"/>
        <w:rPr>
          <w:rFonts w:ascii="TimesNewRoman" w:hAnsi="TimesNewRoman" w:cs="TimesNewRoman" w:hint="eastAsia"/>
          <w:kern w:val="0"/>
          <w:sz w:val="20"/>
        </w:rPr>
      </w:pPr>
      <w:r>
        <w:rPr>
          <w:rFonts w:ascii="TimesNewRoman" w:hAnsi="TimesNewRoman" w:cs="TimesNewRoman" w:hint="eastAsia"/>
          <w:kern w:val="0"/>
          <w:sz w:val="20"/>
        </w:rPr>
        <w:t xml:space="preserve">                                                                                                       </w:t>
      </w: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公开表9</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Theme="majorEastAsia" w:eastAsiaTheme="majorEastAsia" w:hAnsiTheme="majorEastAsia" w:cstheme="majorEastAsia" w:hint="eastAsia"/>
          <w:b/>
          <w:bCs/>
          <w:kern w:val="0"/>
          <w:sz w:val="28"/>
          <w:szCs w:val="32"/>
          <w:lang w:val="en-US" w:eastAsia="zh-CN"/>
        </w:rPr>
        <w:t>卫生健康委员会</w:t>
      </w:r>
      <w:r>
        <w:rPr>
          <w:rFonts w:asciiTheme="majorEastAsia" w:eastAsiaTheme="majorEastAsia" w:hAnsiTheme="majorEastAsia" w:cstheme="majorEastAsia" w:hint="eastAsia"/>
          <w:b/>
          <w:bCs/>
          <w:kern w:val="0"/>
          <w:sz w:val="28"/>
          <w:szCs w:val="32"/>
        </w:rPr>
        <w:t>部门</w:t>
      </w:r>
      <w:r>
        <w:rPr>
          <w:rFonts w:ascii="宋体" w:hAnsi="宋体" w:cs="TimesNewRoman" w:hint="eastAsia"/>
          <w:b/>
          <w:bCs/>
          <w:kern w:val="0"/>
          <w:sz w:val="28"/>
          <w:szCs w:val="32"/>
        </w:rPr>
        <w:t>2024</w:t>
      </w:r>
      <w:r>
        <w:rPr>
          <w:rFonts w:ascii="宋体" w:hAnsi="宋体" w:cs="TimesNewRoman"/>
          <w:b/>
          <w:bCs/>
          <w:kern w:val="0"/>
          <w:sz w:val="28"/>
          <w:szCs w:val="32"/>
        </w:rPr>
        <w:t>年项目支出表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216"/>
        <w:gridCol w:w="2168"/>
        <w:gridCol w:w="1421"/>
        <w:gridCol w:w="1016"/>
        <w:gridCol w:w="1200"/>
        <w:gridCol w:w="904"/>
        <w:gridCol w:w="982"/>
        <w:gridCol w:w="826"/>
        <w:gridCol w:w="904"/>
        <w:gridCol w:w="982"/>
        <w:gridCol w:w="982"/>
        <w:gridCol w:w="1044"/>
        <w:gridCol w:w="222"/>
      </w:tblGrid>
      <w:tr>
        <w:tblPrEx>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类型</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本年财政拨款</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财政拨款结转结余</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财政专户管理资金</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单位资金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kern w:val="0"/>
                <w:sz w:val="22"/>
                <w:szCs w:val="22"/>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75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0" w:type="auto"/>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一般公共预算</w:t>
            </w:r>
          </w:p>
        </w:tc>
        <w:tc>
          <w:tcPr>
            <w:tcW w:w="0" w:type="auto"/>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政府性基金预算</w:t>
            </w:r>
          </w:p>
        </w:tc>
        <w:tc>
          <w:tcPr>
            <w:tcW w:w="0" w:type="auto"/>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国有资本经营预算</w:t>
            </w:r>
          </w:p>
        </w:tc>
        <w:tc>
          <w:tcPr>
            <w:tcW w:w="0" w:type="auto"/>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一般公共预算</w:t>
            </w:r>
          </w:p>
        </w:tc>
        <w:tc>
          <w:tcPr>
            <w:tcW w:w="0" w:type="auto"/>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政府性基金预算</w:t>
            </w:r>
          </w:p>
        </w:tc>
        <w:tc>
          <w:tcPr>
            <w:tcW w:w="0" w:type="auto"/>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国有资本经营预算</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hAnsi="宋体" w:cs="宋体" w:hint="eastAsia"/>
                <w:i w:val="0"/>
                <w:iCs w:val="0"/>
                <w:color w:val="000000"/>
                <w:kern w:val="0"/>
                <w:sz w:val="20"/>
                <w:szCs w:val="20"/>
                <w:u w:val="none"/>
                <w:lang w:val="en-US" w:eastAsia="zh-CN" w:bidi="ar"/>
              </w:rPr>
              <w:t>73333.</w:t>
            </w:r>
            <w:r>
              <w:rPr>
                <w:rFonts w:ascii="宋体" w:eastAsia="宋体" w:hAnsi="宋体" w:cs="宋体" w:hint="eastAsia"/>
                <w:i w:val="0"/>
                <w:iCs w:val="0"/>
                <w:color w:val="000000"/>
                <w:kern w:val="0"/>
                <w:sz w:val="20"/>
                <w:szCs w:val="20"/>
                <w:u w:val="none"/>
                <w:lang w:val="en-US" w:eastAsia="zh-CN"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10730.70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62603.11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7462.65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7462.65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2024_计划生育支出_农村部分计划生育家庭奖励扶助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1380.00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1380.00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2024_计划生育支出_全国计划生育特别扶助制度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714.12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714.12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王静屏、张海珍工资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卫生事业发展办公经费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寿县妇幼保健计划生育服务中心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467.60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467.60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人员定补补助经费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寿县妇幼保健计划生育服务中心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医疗收入支出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寿县妇幼保健计划生育服务中心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寿县疾病预防控制中心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非税疫苗收入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寿县疾病预防控制中心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卫生罚没收入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寿县卫生健康监督管理所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卫生监督工作经费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寿县卫生健康监督管理所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卫生职业技术教育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寿县卫生职业技术学校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县级公立医院医疗卫生支出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寿县人民医院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县级公立医院医疗卫生支出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寿县中医院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16500.00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寿县双桥镇中心卫生院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寿县双桥镇中心卫生院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寿县双桥镇中心卫生院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寿县迎河镇中心卫生院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寿县迎河镇中心卫生院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寿县迎河镇中心卫生院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寿县堰口镇中心卫生院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寿县堰口镇中心卫生院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寿县堰口镇中心卫生院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寿县三觉镇中心卫生院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寿县三觉镇中心卫生院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寿县三觉镇中心卫生院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寿县瓦埠镇中心卫生院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寿县瓦埠镇中心卫生院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寿县瓦埠镇中心卫生院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寿县八公山乡卫生院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寿县八公山乡卫生院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13.77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13.77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寿县八公山乡卫生院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579.86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579.86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寿县涧沟镇卫生院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寿县涧沟镇卫生院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寿县丰庄镇卫生院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寿县丰庄镇卫生院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寿县丰庄镇卫生院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寿县张李乡卫生院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寿县张李乡卫生院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寿县张李乡卫生院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寿县板桥镇卫生院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寿县板桥镇卫生院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寿县板桥镇卫生院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寿县安丰塘镇卫生院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寿县安丰塘镇卫生院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寿县窑口镇卫生院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寿县窑口镇卫生院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寿县窑口镇卫生院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寿县保义镇卫生院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寿县保义镇卫生院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寿县陶店回族乡卫生院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寿县陶店回族乡卫生院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寿县众兴镇卫生院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寿县众兴镇卫生院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寿县众兴镇卫生院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寿县隐贤镇卫生院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三年过渡安置人员项目补助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寿县隐贤镇卫生院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寿县隐贤镇卫生院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hAnsi="宋体" w:cs="宋体" w:hint="eastAsia"/>
                <w:i w:val="0"/>
                <w:iCs w:val="0"/>
                <w:color w:val="000000"/>
                <w:kern w:val="0"/>
                <w:sz w:val="20"/>
                <w:szCs w:val="20"/>
                <w:u w:val="none"/>
                <w:lang w:val="en-US" w:eastAsia="zh-CN" w:bidi="ar"/>
              </w:rPr>
              <w:t>190.</w:t>
            </w:r>
            <w:r>
              <w:rPr>
                <w:rFonts w:ascii="宋体" w:eastAsia="宋体" w:hAnsi="宋体" w:cs="宋体" w:hint="eastAsia"/>
                <w:i w:val="0"/>
                <w:iCs w:val="0"/>
                <w:color w:val="000000"/>
                <w:kern w:val="0"/>
                <w:sz w:val="20"/>
                <w:szCs w:val="20"/>
                <w:u w:val="none"/>
                <w:lang w:val="en-US" w:eastAsia="zh-CN" w:bidi="ar"/>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寿县茶庵镇卫生院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寿县茶庵镇卫生院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寿县茶庵镇卫生院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寿县刘岗镇卫生院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寿县刘岗镇卫生院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寿县刘岗镇卫生院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寿县双庙集镇卫生院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寿县双庙集镇卫生院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寿县大顺镇卫生院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寿县大顺镇卫生院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寿县大顺镇卫生院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495.00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495.00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寿县寿春镇中心卫生院九龙分院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寿县寿春镇中心卫生院九龙分院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寿县寿春镇中心卫生院九龙分院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寿县安丰镇中心卫生院杨仙分院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寿县安丰镇中心卫生院杨仙分院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寿县三觉镇中心卫生院瓦房分院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寿县炎刘镇中心卫生院广岩分院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寿县炎刘镇中心卫生院广岩分院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寿县小甸镇中心卫生院李山分院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寿县小甸镇中心卫生院李山分院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255.75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255.75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寿县正阳关镇中心卫生院建设分院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寿县正阳关镇中心卫生院建设分院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寿县正阳关镇中心卫生院枸杞分院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寿县安丰塘镇卫生院苏王分院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寿县板桥镇卫生院双门分院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三年过渡安置人员经费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寿县保义镇卫生院开荒分院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0" w:type="auto"/>
          <w:tblInd w:w="98" w:type="dxa"/>
          <w:shd w:val="clear" w:color="auto" w:fill="auto"/>
          <w:tblCellMar>
            <w:top w:w="0" w:type="dxa"/>
            <w:left w:w="108" w:type="dxa"/>
            <w:bottom w:w="0" w:type="dxa"/>
            <w:right w:w="108" w:type="dxa"/>
          </w:tblCellMar>
        </w:tblPrEx>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特定目标类</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乡镇卫生院医疗卫生支出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寿县保义镇卫生院开荒分院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kern w:val="0"/>
                <w:sz w:val="20"/>
                <w:szCs w:val="20"/>
                <w:u w:val="none"/>
                <w:lang w:val="en-US" w:eastAsia="zh-CN" w:bidi="ar"/>
              </w:rPr>
            </w:pPr>
          </w:p>
        </w:tc>
      </w:tr>
    </w:tbl>
    <w:p>
      <w:pPr>
        <w:pStyle w:val="NormalWeb"/>
        <w:wordWrap w:val="0"/>
        <w:adjustRightInd w:val="0"/>
        <w:snapToGrid w:val="0"/>
        <w:spacing w:after="156" w:afterLines="50" w:line="560" w:lineRule="exact"/>
        <w:jc w:val="right"/>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公开表10</w:t>
      </w:r>
    </w:p>
    <w:tbl>
      <w:tblPr>
        <w:tblStyle w:val="TableNormal"/>
        <w:tblW w:w="14109" w:type="dxa"/>
        <w:tblInd w:w="0" w:type="dxa"/>
        <w:tblLayout w:type="fixed"/>
        <w:tblCellMar>
          <w:top w:w="0" w:type="dxa"/>
          <w:left w:w="108" w:type="dxa"/>
          <w:bottom w:w="0" w:type="dxa"/>
          <w:right w:w="108" w:type="dxa"/>
        </w:tblCellMar>
      </w:tblPr>
      <w:tblGrid>
        <w:gridCol w:w="98"/>
        <w:gridCol w:w="5468"/>
        <w:gridCol w:w="1390"/>
        <w:gridCol w:w="1390"/>
        <w:gridCol w:w="1390"/>
        <w:gridCol w:w="1390"/>
        <w:gridCol w:w="1390"/>
        <w:gridCol w:w="1390"/>
        <w:gridCol w:w="203"/>
      </w:tblGrid>
      <w:tr>
        <w:tblPrEx>
          <w:tblW w:w="14109" w:type="dxa"/>
          <w:tblInd w:w="0" w:type="dxa"/>
          <w:tblLayout w:type="fixed"/>
          <w:tblCellMar>
            <w:top w:w="0" w:type="dxa"/>
            <w:left w:w="108" w:type="dxa"/>
            <w:bottom w:w="0" w:type="dxa"/>
            <w:right w:w="108" w:type="dxa"/>
          </w:tblCellMar>
        </w:tblPrEx>
        <w:trPr>
          <w:trHeight w:val="482"/>
        </w:trPr>
        <w:tc>
          <w:tcPr>
            <w:tcW w:w="14109" w:type="dxa"/>
            <w:gridSpan w:val="9"/>
            <w:tcBorders>
              <w:top w:val="nil"/>
              <w:left w:val="nil"/>
              <w:bottom w:val="nil"/>
              <w:right w:val="nil"/>
            </w:tcBorders>
            <w:noWrap w:val="0"/>
            <w:vAlign w:val="center"/>
          </w:tcPr>
          <w:p>
            <w:pPr>
              <w:widowControl/>
              <w:spacing w:line="280" w:lineRule="exact"/>
              <w:jc w:val="center"/>
              <w:rPr>
                <w:rFonts w:ascii="TimesNewRoman" w:eastAsia="华文中宋" w:hAnsi="TimesNewRoman" w:cs="TimesNewRoman"/>
                <w:b/>
                <w:bCs/>
                <w:kern w:val="0"/>
                <w:szCs w:val="32"/>
              </w:rPr>
            </w:pPr>
            <w:r>
              <w:rPr>
                <w:rFonts w:ascii="TimesNewRoman" w:eastAsia="华文中宋" w:hAnsi="TimesNewRoman" w:cs="TimesNewRoman" w:hint="eastAsia"/>
                <w:b/>
                <w:bCs/>
                <w:kern w:val="0"/>
                <w:szCs w:val="32"/>
              </w:rPr>
              <w:t>寿县</w:t>
            </w:r>
            <w:r>
              <w:rPr>
                <w:rFonts w:ascii="TimesNewRoman" w:eastAsia="华文中宋" w:hAnsi="TimesNewRoman" w:cs="TimesNewRoman" w:hint="eastAsia"/>
                <w:b/>
                <w:bCs/>
                <w:kern w:val="0"/>
                <w:szCs w:val="32"/>
                <w:lang w:val="en-US" w:eastAsia="zh-CN"/>
              </w:rPr>
              <w:t>卫生健康委员会部门</w:t>
            </w:r>
            <w:r>
              <w:rPr>
                <w:rFonts w:ascii="TimesNewRoman" w:eastAsia="华文中宋" w:hAnsi="TimesNewRoman" w:cs="TimesNewRoman" w:hint="eastAsia"/>
                <w:b/>
                <w:bCs/>
                <w:kern w:val="0"/>
                <w:szCs w:val="32"/>
              </w:rPr>
              <w:t>2024</w:t>
            </w:r>
            <w:r>
              <w:rPr>
                <w:rFonts w:ascii="TimesNewRoman" w:eastAsia="华文中宋" w:hAnsi="TimesNewRoman" w:cs="TimesNewRoman"/>
                <w:b/>
                <w:bCs/>
                <w:kern w:val="0"/>
                <w:szCs w:val="32"/>
              </w:rPr>
              <w:t>年政府采购支出表</w:t>
            </w:r>
          </w:p>
          <w:p>
            <w:pPr>
              <w:widowControl/>
              <w:spacing w:line="28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810"/>
        </w:trPr>
        <w:tc>
          <w:tcPr>
            <w:tcW w:w="5468"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单位名称/支出项目/政府采购品目</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合计</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一般公共预算</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政府性基金预算</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国有资本经营预算</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财政专户管理资金</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单位资金</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合计</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1291.91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1289.41</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寿县卫生健康委员会_在职人员综合定额公务费（一）</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寿县妇幼保健计划生育服务中心</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52.85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52.85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医疗收入支出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52.85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52.85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不间断电源</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电冰箱</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更衣柜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会议桌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普通电视设备（电视机）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其他办公设备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其他柜类</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条码打印机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阅读器</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专用制冷空调设备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5.35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5.35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寿县疾病预防控制中心</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63.96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63.96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非税疫苗收入</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63.96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63.96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空调机组</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其他办公设备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其他医疗设备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寿县卫生健康监督管理所</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卫生罚没收入</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执法记录仪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right"/>
              <w:rPr>
                <w:rFonts w:ascii="宋体" w:eastAsia="宋体" w:hAnsi="宋体" w:cs="宋体" w:hint="eastAsia"/>
                <w:i w:val="0"/>
                <w:iCs w:val="0"/>
                <w:color w:val="000000"/>
                <w:sz w:val="20"/>
                <w:szCs w:val="20"/>
                <w:u w:val="none"/>
              </w:rPr>
            </w:pP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寿县人民医院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116.36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116.36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县级公立医院医疗卫生支出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116.36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116.36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A3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保密柜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复印机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会议椅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会议桌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其他沙发类</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热水器</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扫描仪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饮水器</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寿县中医院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125.70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125.70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县级公立医院医疗卫生支出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125.70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125.70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复印机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扫描仪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60.00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60.00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专用制冷空调设备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262.08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262.08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262.08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262.08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保密柜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复印机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空调机组</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普通电视设备（电视机）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其他照相机及器材</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扫描仪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水质污染防治设备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198.02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198.02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寿县双桥镇中心卫生院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12.38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12.38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12.38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12.38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空调机组</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4.58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4.58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寿县迎河镇中心卫生院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21.90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21.90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21.90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21.90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A3 彩色打印机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液晶显示器</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寿县堰口镇中心卫生院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15.99</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15.99</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15.99</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15.99</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4.84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62.38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62.38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62.38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62.38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7.68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7.68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复印机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会议椅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29.70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29.70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寿县三觉镇中心卫生院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69.36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69.36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69.36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69.36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A3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0.90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空调机组</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其他制冷空调设备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35.20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扫描仪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液晶显示器</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8.65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8.65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8.65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8.65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A3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寿县瓦埠镇中心卫生院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42.80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42.80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42.80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42.80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复印机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15.90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15.90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寿县八公山乡卫生院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5.98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5.98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5.98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5.98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3D打印机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复印机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装订机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寿县涧沟镇卫生院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28.35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28.35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寿县涧沟镇卫生院_在职人员综合定额公务费（一）</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28.35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28.35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会议椅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会议桌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空调机组</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普通电视设备（电视机）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寿县丰庄镇卫生院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8.57</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8.57</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普通电视设备（电视机）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其他办公用品</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寿县张李乡卫生院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液晶显示器</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寿县板桥镇卫生院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218.34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218.34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218.34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218.34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钢塑床类</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0.27</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金属质架类</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0.81</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普通电视设备（电视机）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其他台、桌类</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其他医疗设备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体外循环设备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0.43</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中医器械设备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寿县安丰塘镇卫生院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7.04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7.04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7.04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7.04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寿县窑口镇卫生院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16.94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16.94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16.94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16.94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8.54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寿县保义镇卫生院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5.22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寿县陶店回族乡卫生院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8.71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8.71</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8.71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8.71</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电冰箱</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其他制冷空调设备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3.86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3.86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洗衣机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寿县众兴镇卫生院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11.01</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11.01</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空调机组</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台、桌类</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0.31</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寿县隐贤镇卫生院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空气净化设备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寿县茶庵镇卫生院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14.54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14.54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14.54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14.54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办公椅</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办公桌</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其他办公设备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其他电气设备</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文件柜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寿县刘岗镇卫生院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8.90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8.90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8.90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8.90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投影仪</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寿县双庙集镇卫生院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36.80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复印机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寿县大顺镇卫生院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6.56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6.56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6.56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6.56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2.31</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2.31</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寿县寿春镇中心卫生院九龙分院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7.86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7.86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7.86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7.86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0.60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多功能一体机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数字照相机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寿县炎刘镇中心卫生院广岩分院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3.94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寿县小甸镇中心卫生院李山分院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其他打印机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寿县正阳关镇中心卫生院建设分院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1.77</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1.77</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1.77</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0.72</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0.72</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寿县正阳关镇中心卫生院枸杞分院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A4 黑白打印机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0.15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0.34</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0.34</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0.80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寿县保义镇卫生院开荒分院</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3.89</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3.89</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3.89</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3.89</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便携式计算机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空调机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2.46</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2.46</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票据打印机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0.25</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0.25</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碎纸机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0.08</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0.08</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台式计算机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0.40</w:t>
            </w:r>
          </w:p>
        </w:tc>
      </w:tr>
      <w:tr>
        <w:tblPrEx>
          <w:tblW w:w="141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203" w:type="dxa"/>
          <w:trHeight w:val="465"/>
        </w:trPr>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装订机</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宋体" w:eastAsia="宋体" w:hAnsi="宋体" w:cs="宋体" w:hint="eastAsia"/>
                <w:i w:val="0"/>
                <w:iCs w:val="0"/>
                <w:color w:val="000000"/>
                <w:sz w:val="20"/>
                <w:szCs w:val="20"/>
                <w:u w:val="none"/>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r>
    </w:tbl>
    <w:p>
      <w:pPr>
        <w:pStyle w:val="NormalWeb"/>
        <w:wordWrap w:val="0"/>
        <w:adjustRightInd w:val="0"/>
        <w:snapToGrid w:val="0"/>
        <w:spacing w:line="560" w:lineRule="exact"/>
        <w:jc w:val="center"/>
        <w:rPr>
          <w:rFonts w:ascii="TimesNewRoman" w:hAnsi="TimesNewRoman" w:cs="TimesNewRoman" w:hint="eastAsia"/>
          <w:sz w:val="20"/>
          <w:szCs w:val="20"/>
        </w:rPr>
      </w:pPr>
      <w:r>
        <w:rPr>
          <w:rFonts w:ascii="TimesNewRoman" w:hAnsi="TimesNewRoman" w:cs="TimesNewRoman" w:hint="eastAsia"/>
          <w:sz w:val="20"/>
          <w:szCs w:val="20"/>
        </w:rPr>
        <w:t xml:space="preserve">                                                                                                          </w:t>
      </w:r>
    </w:p>
    <w:p>
      <w:pPr>
        <w:pStyle w:val="NormalWeb"/>
        <w:wordWrap w:val="0"/>
        <w:adjustRightInd w:val="0"/>
        <w:snapToGrid w:val="0"/>
        <w:spacing w:line="560" w:lineRule="exact"/>
        <w:jc w:val="center"/>
        <w:rPr>
          <w:rFonts w:ascii="TimesNewRoman" w:hAnsi="TimesNewRoman" w:cs="TimesNewRoman" w:hint="eastAsia"/>
          <w:sz w:val="20"/>
          <w:szCs w:val="20"/>
        </w:rPr>
      </w:pPr>
    </w:p>
    <w:p>
      <w:pPr>
        <w:pStyle w:val="NormalWeb"/>
        <w:wordWrap w:val="0"/>
        <w:adjustRightInd w:val="0"/>
        <w:snapToGrid w:val="0"/>
        <w:spacing w:line="560" w:lineRule="exact"/>
        <w:jc w:val="center"/>
        <w:rPr>
          <w:rFonts w:ascii="TimesNewRoman" w:hAnsi="TimesNewRoman" w:cs="TimesNewRoman" w:hint="eastAsia"/>
          <w:sz w:val="20"/>
          <w:szCs w:val="20"/>
        </w:rPr>
      </w:pPr>
    </w:p>
    <w:p>
      <w:pPr>
        <w:pStyle w:val="NormalWeb"/>
        <w:wordWrap w:val="0"/>
        <w:adjustRightInd w:val="0"/>
        <w:snapToGrid w:val="0"/>
        <w:spacing w:line="560" w:lineRule="exact"/>
        <w:jc w:val="center"/>
        <w:rPr>
          <w:rFonts w:ascii="TimesNewRoman" w:hAnsi="TimesNewRoman" w:cs="TimesNewRoman" w:hint="eastAsia"/>
          <w:sz w:val="20"/>
          <w:szCs w:val="20"/>
        </w:rPr>
      </w:pPr>
    </w:p>
    <w:p>
      <w:pPr>
        <w:pStyle w:val="NormalWeb"/>
        <w:wordWrap w:val="0"/>
        <w:adjustRightInd w:val="0"/>
        <w:snapToGrid w:val="0"/>
        <w:spacing w:line="560" w:lineRule="exact"/>
        <w:jc w:val="center"/>
        <w:rPr>
          <w:rFonts w:ascii="TimesNewRoman" w:hAnsi="TimesNewRoman" w:cs="TimesNewRoman" w:hint="eastAsia"/>
          <w:sz w:val="20"/>
          <w:szCs w:val="20"/>
        </w:rPr>
      </w:pPr>
    </w:p>
    <w:p>
      <w:pPr>
        <w:pStyle w:val="NormalWeb"/>
        <w:wordWrap w:val="0"/>
        <w:adjustRightInd w:val="0"/>
        <w:snapToGrid w:val="0"/>
        <w:spacing w:line="560" w:lineRule="exact"/>
        <w:jc w:val="center"/>
        <w:rPr>
          <w:rFonts w:ascii="TimesNewRoman" w:hAnsi="TimesNewRoman" w:cs="TimesNewRoman" w:hint="eastAsia"/>
          <w:sz w:val="20"/>
          <w:szCs w:val="20"/>
        </w:rPr>
      </w:pPr>
    </w:p>
    <w:p>
      <w:pPr>
        <w:pStyle w:val="NormalWeb"/>
        <w:wordWrap w:val="0"/>
        <w:adjustRightInd w:val="0"/>
        <w:snapToGrid w:val="0"/>
        <w:spacing w:line="560" w:lineRule="exact"/>
        <w:jc w:val="right"/>
        <w:rPr>
          <w:rFonts w:ascii="TimesNewRoman" w:hAnsi="TimesNewRoman" w:cs="TimesNewRoman"/>
          <w:sz w:val="20"/>
          <w:szCs w:val="20"/>
        </w:rPr>
      </w:pP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公开表11</w:t>
      </w:r>
    </w:p>
    <w:tbl>
      <w:tblPr>
        <w:tblStyle w:val="TableNormal"/>
        <w:tblW w:w="13692" w:type="dxa"/>
        <w:jc w:val="center"/>
        <w:tblLayout w:type="fixed"/>
        <w:tblCellMar>
          <w:top w:w="0" w:type="dxa"/>
          <w:left w:w="108" w:type="dxa"/>
          <w:bottom w:w="0" w:type="dxa"/>
          <w:right w:w="108" w:type="dxa"/>
        </w:tblCellMar>
      </w:tblPr>
      <w:tblGrid>
        <w:gridCol w:w="98"/>
        <w:gridCol w:w="2960"/>
        <w:gridCol w:w="610"/>
        <w:gridCol w:w="2160"/>
        <w:gridCol w:w="670"/>
        <w:gridCol w:w="1280"/>
        <w:gridCol w:w="1000"/>
        <w:gridCol w:w="1280"/>
        <w:gridCol w:w="1280"/>
        <w:gridCol w:w="800"/>
        <w:gridCol w:w="1050"/>
        <w:gridCol w:w="504"/>
      </w:tblGrid>
      <w:tr>
        <w:tblPrEx>
          <w:tblW w:w="13692" w:type="dxa"/>
          <w:jc w:val="center"/>
          <w:tblLayout w:type="fixed"/>
          <w:tblCellMar>
            <w:top w:w="0" w:type="dxa"/>
            <w:left w:w="108" w:type="dxa"/>
            <w:bottom w:w="0" w:type="dxa"/>
            <w:right w:w="108" w:type="dxa"/>
          </w:tblCellMar>
        </w:tblPrEx>
        <w:trPr>
          <w:trHeight w:val="673"/>
          <w:jc w:val="center"/>
        </w:trPr>
        <w:tc>
          <w:tcPr>
            <w:tcW w:w="13692" w:type="dxa"/>
            <w:gridSpan w:val="12"/>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Theme="majorEastAsia" w:eastAsiaTheme="majorEastAsia" w:hAnsiTheme="majorEastAsia" w:cstheme="majorEastAsia" w:hint="eastAsia"/>
                <w:b/>
                <w:bCs/>
                <w:kern w:val="0"/>
                <w:sz w:val="28"/>
                <w:szCs w:val="32"/>
                <w:lang w:val="en-US" w:eastAsia="zh-CN"/>
              </w:rPr>
              <w:t>卫生健康委员会</w:t>
            </w:r>
            <w:r>
              <w:rPr>
                <w:rFonts w:asciiTheme="majorEastAsia" w:eastAsiaTheme="majorEastAsia" w:hAnsiTheme="majorEastAsia" w:cstheme="majorEastAsia" w:hint="eastAsia"/>
                <w:b/>
                <w:bCs/>
                <w:kern w:val="0"/>
                <w:sz w:val="28"/>
                <w:szCs w:val="32"/>
              </w:rPr>
              <w:t>部门</w:t>
            </w:r>
            <w:r>
              <w:rPr>
                <w:rFonts w:ascii="宋体" w:hAnsi="宋体" w:cs="TimesNewRoman" w:hint="eastAsia"/>
                <w:b/>
                <w:bCs/>
                <w:kern w:val="0"/>
                <w:sz w:val="28"/>
                <w:szCs w:val="32"/>
              </w:rPr>
              <w:t>2024</w:t>
            </w:r>
            <w:r>
              <w:rPr>
                <w:rFonts w:ascii="宋体" w:hAnsi="宋体" w:cs="TimesNewRoman"/>
                <w:b/>
                <w:bCs/>
                <w:kern w:val="0"/>
                <w:sz w:val="28"/>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72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项目名称</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一级目录代码</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一级目录名称</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二级目录代码</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二级目录名称</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三级目录代码</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三级目录名称</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政府购买服务内容</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购买数量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购买金额</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合计</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0"/>
                <w:szCs w:val="20"/>
                <w:u w:val="none"/>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2.11</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0"/>
                <w:szCs w:val="20"/>
                <w:u w:val="none"/>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2.11</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i w:val="0"/>
                <w:iCs w:val="0"/>
                <w:color w:val="000000"/>
                <w:sz w:val="20"/>
                <w:szCs w:val="20"/>
                <w:u w:val="none"/>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0"/>
                <w:szCs w:val="20"/>
                <w:u w:val="none"/>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2.11</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公共服务</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A05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卫生健康公共服务</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A0501</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传染病防控服务</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台式电脑</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0.35</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公共服务</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A05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卫生健康公共服务</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A0505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特殊群体卫生健康服务</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挂壁式空调</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0.35</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公共服务</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A18</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其他公共服务</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A1801</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对外合作与交流服务</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笔记本电脑</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0.50</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公共服务</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A05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卫生健康公共服务</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A0505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特殊群体卫生健康服务</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台式电脑</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0.36</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B</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政府履职辅助性服务</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B10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信息化服务</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B1002</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数据处理服务</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复印机</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0.20</w:t>
            </w:r>
          </w:p>
        </w:tc>
      </w:tr>
      <w:tr>
        <w:tblPrEx>
          <w:tblW w:w="13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Before w:val="1"/>
          <w:gridAfter w:val="1"/>
          <w:wBefore w:w="98" w:type="dxa"/>
          <w:wAfter w:w="504" w:type="dxa"/>
          <w:trHeight w:val="600"/>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　　乡镇卫生院医疗卫生支出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公共服务</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A05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卫生健康公共服务</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A0505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特殊群体卫生健康服务</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挂壁式空调</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0.35</w:t>
            </w:r>
          </w:p>
        </w:tc>
      </w:tr>
    </w:tbl>
    <w:p>
      <w:pPr>
        <w:pStyle w:val="NormalWeb"/>
        <w:adjustRightInd w:val="0"/>
        <w:snapToGrid w:val="0"/>
        <w:spacing w:before="100" w:after="100" w:line="560" w:lineRule="exact"/>
        <w:ind w:firstLine="640" w:firstLineChars="200"/>
        <w:rPr>
          <w:rFonts w:ascii="TimesNewRoman" w:eastAsia="楷体_GB2312" w:hAnsi="TimesNewRoman" w:cs="TimesNewRoman"/>
          <w:bCs/>
          <w:sz w:val="32"/>
          <w:szCs w:val="32"/>
        </w:rPr>
        <w:sectPr>
          <w:pgSz w:w="16840" w:h="11907" w:orient="landscape"/>
          <w:pgMar w:top="1588" w:right="1531" w:bottom="1474" w:left="1560" w:header="851" w:footer="1021" w:gutter="0"/>
          <w:cols w:num="1" w:space="425"/>
          <w:docGrid w:type="linesAndChars" w:linePitch="312" w:charSpace="0"/>
        </w:sectPr>
      </w:pPr>
    </w:p>
    <w:p>
      <w:pPr>
        <w:pStyle w:val="NormalWeb"/>
        <w:topLinePunct/>
        <w:adjustRightInd w:val="0"/>
        <w:snapToGrid w:val="0"/>
        <w:spacing w:beforeAutospacing="0" w:afterAutospacing="0" w:line="560" w:lineRule="exact"/>
        <w:jc w:val="center"/>
        <w:rPr>
          <w:rFonts w:ascii="TimesNewRoman" w:eastAsia="黑体" w:hAnsi="TimesNewRoman" w:cs="TimesNewRoman" w:hint="eastAsia"/>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 xml:space="preserve">第三部分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年部门（单位）预算情况说明</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一、关于2024年收支总表的说明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按照综合预算的原则，寿县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所有收入和支出均纳入部门预算管理。寿县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2024年收支总预算</w:t>
      </w:r>
      <w:r>
        <w:rPr>
          <w:rFonts w:ascii="仿宋_GB2312" w:eastAsia="仿宋_GB2312" w:hAnsi="TimesNewRoman" w:cs="TimesNewRoman" w:hint="eastAsia"/>
          <w:sz w:val="32"/>
          <w:szCs w:val="32"/>
          <w:lang w:val="en-US" w:eastAsia="zh-CN"/>
        </w:rPr>
        <w:t>87735.39</w:t>
      </w:r>
      <w:r>
        <w:rPr>
          <w:rFonts w:ascii="仿宋_GB2312" w:eastAsia="仿宋_GB2312" w:hAnsi="TimesNewRoman" w:cs="TimesNewRoman" w:hint="eastAsia"/>
          <w:sz w:val="32"/>
          <w:szCs w:val="32"/>
        </w:rPr>
        <w:t>万元，收入包括一般公共预算拨款收入</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中央转移支付收入、</w:t>
      </w:r>
      <w:r>
        <w:rPr>
          <w:rFonts w:ascii="仿宋_GB2312" w:eastAsia="仿宋_GB2312" w:hAnsi="TimesNewRoman" w:cs="TimesNewRoman" w:hint="eastAsia"/>
          <w:sz w:val="32"/>
          <w:szCs w:val="32"/>
        </w:rPr>
        <w:t>单位资金收入</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其他收入</w:t>
      </w:r>
      <w:r>
        <w:rPr>
          <w:rFonts w:ascii="仿宋_GB2312" w:eastAsia="仿宋_GB2312" w:hAnsi="TimesNewRoman" w:cs="TimesNewRoman" w:hint="eastAsia"/>
          <w:sz w:val="32"/>
          <w:szCs w:val="32"/>
        </w:rPr>
        <w:t>，支出包括：</w:t>
      </w:r>
      <w:r>
        <w:rPr>
          <w:rFonts w:ascii="仿宋_GB2312" w:eastAsia="仿宋_GB2312" w:hAnsi="TimesNewRoman" w:cs="TimesNewRoman" w:hint="eastAsia"/>
          <w:sz w:val="32"/>
          <w:szCs w:val="32"/>
          <w:lang w:val="en-US" w:eastAsia="zh-CN"/>
        </w:rPr>
        <w:t>教育支出</w:t>
      </w:r>
      <w:r>
        <w:rPr>
          <w:rFonts w:ascii="仿宋_GB2312" w:eastAsia="仿宋_GB2312" w:hAnsi="TimesNewRoman" w:cs="TimesNewRoman" w:hint="eastAsia"/>
          <w:sz w:val="32"/>
          <w:szCs w:val="32"/>
        </w:rPr>
        <w:t>、社会保障和就业支出、卫生健康支出、住房保障支出、</w:t>
      </w:r>
      <w:r>
        <w:rPr>
          <w:rFonts w:ascii="仿宋_GB2312" w:eastAsia="仿宋_GB2312" w:hAnsi="TimesNewRoman" w:cs="TimesNewRoman" w:hint="eastAsia"/>
          <w:sz w:val="32"/>
          <w:szCs w:val="32"/>
          <w:lang w:val="en-US" w:eastAsia="zh-CN"/>
        </w:rPr>
        <w:t>其他支出</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二、关于2024年收入总表的说明</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2024年收入预算</w:t>
      </w:r>
      <w:r>
        <w:rPr>
          <w:rFonts w:ascii="仿宋_GB2312" w:eastAsia="仿宋_GB2312" w:hAnsi="TimesNewRoman" w:cs="TimesNewRoman" w:hint="eastAsia"/>
          <w:sz w:val="32"/>
          <w:szCs w:val="32"/>
          <w:lang w:val="en-US" w:eastAsia="zh-CN"/>
        </w:rPr>
        <w:t>87735.39</w:t>
      </w:r>
      <w:r>
        <w:rPr>
          <w:rFonts w:ascii="仿宋_GB2312" w:eastAsia="仿宋_GB2312" w:hAnsi="TimesNewRoman" w:cs="TimesNewRoman" w:hint="eastAsia"/>
          <w:sz w:val="32"/>
          <w:szCs w:val="32"/>
        </w:rPr>
        <w:t>万元，其中，本年收入</w:t>
      </w:r>
      <w:r>
        <w:rPr>
          <w:rFonts w:ascii="仿宋_GB2312" w:eastAsia="仿宋_GB2312" w:hAnsi="TimesNewRoman" w:cs="TimesNewRoman" w:hint="eastAsia"/>
          <w:sz w:val="32"/>
          <w:szCs w:val="32"/>
          <w:lang w:val="en-US" w:eastAsia="zh-CN"/>
        </w:rPr>
        <w:t>87735.39</w:t>
      </w:r>
      <w:r>
        <w:rPr>
          <w:rFonts w:ascii="仿宋_GB2312" w:eastAsia="仿宋_GB2312" w:hAnsi="TimesNewRoman" w:cs="TimesNewRoman" w:hint="eastAsia"/>
          <w:sz w:val="32"/>
          <w:szCs w:val="32"/>
        </w:rPr>
        <w:t>万元，上年结转收入</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w:t>
      </w:r>
    </w:p>
    <w:p>
      <w:pPr>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（一）本年收入</w:t>
      </w:r>
      <w:r>
        <w:rPr>
          <w:rFonts w:ascii="仿宋_GB2312" w:eastAsia="仿宋_GB2312" w:hAnsi="TimesNewRoman" w:cs="TimesNewRoman" w:hint="eastAsia"/>
          <w:sz w:val="32"/>
          <w:szCs w:val="32"/>
          <w:lang w:val="en-US" w:eastAsia="zh-CN"/>
        </w:rPr>
        <w:t>87735.39</w:t>
      </w:r>
      <w:r>
        <w:rPr>
          <w:rFonts w:ascii="仿宋_GB2312" w:eastAsia="仿宋_GB2312" w:hAnsi="TimesNewRoman" w:cs="TimesNewRoman" w:hint="eastAsia"/>
          <w:sz w:val="32"/>
          <w:szCs w:val="32"/>
        </w:rPr>
        <w:t>万元，主要包括：一般公共预算拨款收入</w:t>
      </w:r>
      <w:r>
        <w:rPr>
          <w:rFonts w:ascii="仿宋_GB2312" w:eastAsia="仿宋_GB2312" w:hAnsi="TimesNewRoman" w:cs="TimesNewRoman" w:hint="eastAsia"/>
          <w:sz w:val="32"/>
          <w:szCs w:val="32"/>
          <w:lang w:val="en-US" w:eastAsia="zh-CN"/>
        </w:rPr>
        <w:t>24832.28</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28.3</w:t>
      </w:r>
      <w:r>
        <w:rPr>
          <w:rFonts w:ascii="仿宋_GB2312" w:eastAsia="仿宋_GB2312" w:hAnsi="TimesNewRoman" w:cs="TimesNewRoman" w:hint="eastAsia"/>
          <w:sz w:val="32"/>
          <w:szCs w:val="32"/>
        </w:rPr>
        <w:t>%，比2023年预算增加</w:t>
      </w:r>
      <w:r>
        <w:rPr>
          <w:rFonts w:ascii="仿宋_GB2312" w:eastAsia="仿宋_GB2312" w:hAnsi="TimesNewRoman" w:cs="TimesNewRoman" w:hint="eastAsia"/>
          <w:sz w:val="32"/>
          <w:szCs w:val="32"/>
          <w:lang w:val="en-US" w:eastAsia="zh-CN"/>
        </w:rPr>
        <w:t>11360.67</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84.33</w:t>
      </w:r>
      <w:r>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highlight w:val="none"/>
        </w:rPr>
        <w:t>增</w:t>
      </w:r>
      <w:r>
        <w:rPr>
          <w:rFonts w:ascii="仿宋_GB2312" w:eastAsia="仿宋_GB2312" w:hAnsi="TimesNewRoman" w:cs="TimesNewRoman" w:hint="eastAsia"/>
          <w:sz w:val="32"/>
          <w:szCs w:val="32"/>
        </w:rPr>
        <w:t>长原因主要是</w:t>
      </w:r>
      <w:r>
        <w:rPr>
          <w:rFonts w:ascii="仿宋_GB2312" w:eastAsia="仿宋_GB2312" w:hAnsi="TimesNewRoman" w:cs="TimesNewRoman" w:hint="eastAsia"/>
          <w:sz w:val="32"/>
          <w:szCs w:val="32"/>
          <w:lang w:val="en-US" w:eastAsia="zh-CN"/>
        </w:rPr>
        <w:t>中央转移支付项目列入预算平台</w:t>
      </w:r>
      <w:r>
        <w:rPr>
          <w:rFonts w:ascii="仿宋_GB2312" w:eastAsia="仿宋_GB2312" w:hAnsi="TimesNewRoman" w:cs="TimesNewRoman" w:hint="eastAsia"/>
          <w:sz w:val="32"/>
          <w:szCs w:val="32"/>
        </w:rPr>
        <w:t>。；单位资金收入</w:t>
      </w:r>
      <w:r>
        <w:rPr>
          <w:rFonts w:ascii="仿宋_GB2312" w:eastAsia="仿宋_GB2312" w:hAnsi="TimesNewRoman" w:cs="TimesNewRoman" w:hint="eastAsia"/>
          <w:sz w:val="32"/>
          <w:szCs w:val="32"/>
          <w:lang w:val="en-US" w:eastAsia="zh-CN"/>
        </w:rPr>
        <w:t>62903.11</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71.69</w:t>
      </w:r>
      <w:r>
        <w:rPr>
          <w:rFonts w:ascii="仿宋_GB2312" w:eastAsia="仿宋_GB2312" w:hAnsi="TimesNewRoman" w:cs="TimesNewRoman" w:hint="eastAsia"/>
          <w:sz w:val="32"/>
          <w:szCs w:val="32"/>
        </w:rPr>
        <w:t>%，比2023年增加</w:t>
      </w:r>
      <w:r>
        <w:rPr>
          <w:rFonts w:ascii="仿宋_GB2312" w:eastAsia="仿宋_GB2312" w:hAnsi="TimesNewRoman" w:cs="TimesNewRoman" w:hint="eastAsia"/>
          <w:sz w:val="32"/>
          <w:szCs w:val="32"/>
          <w:lang w:val="en-US" w:eastAsia="zh-CN"/>
        </w:rPr>
        <w:t>1519</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2.47</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单位业务收入增长</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三、关于2024年支出总表的说明</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2024年支出预算</w:t>
      </w:r>
      <w:r>
        <w:rPr>
          <w:rFonts w:ascii="仿宋_GB2312" w:eastAsia="仿宋_GB2312" w:hAnsi="TimesNewRoman" w:cs="TimesNewRoman" w:hint="eastAsia"/>
          <w:sz w:val="32"/>
          <w:szCs w:val="32"/>
          <w:lang w:val="en-US" w:eastAsia="zh-CN"/>
        </w:rPr>
        <w:t>87735.39</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12879</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17</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中央转移支付项目列入预算平台</w:t>
      </w:r>
      <w:r>
        <w:rPr>
          <w:rFonts w:ascii="仿宋_GB2312" w:eastAsia="仿宋_GB2312" w:hAnsi="TimesNewRoman" w:cs="TimesNewRoman" w:hint="eastAsia"/>
          <w:sz w:val="32"/>
          <w:szCs w:val="32"/>
        </w:rPr>
        <w:t>。其中，基本支出</w:t>
      </w:r>
      <w:r>
        <w:rPr>
          <w:rFonts w:ascii="仿宋_GB2312" w:eastAsia="仿宋_GB2312" w:hAnsi="TimesNewRoman" w:cs="TimesNewRoman" w:hint="eastAsia"/>
          <w:sz w:val="32"/>
          <w:szCs w:val="32"/>
          <w:lang w:val="en-US" w:eastAsia="zh-CN"/>
        </w:rPr>
        <w:t>14401.59</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16.41</w:t>
      </w:r>
      <w:r>
        <w:rPr>
          <w:rFonts w:ascii="仿宋_GB2312" w:eastAsia="仿宋_GB2312" w:hAnsi="TimesNewRoman" w:cs="TimesNewRoman" w:hint="eastAsia"/>
          <w:sz w:val="32"/>
          <w:szCs w:val="32"/>
        </w:rPr>
        <w:t>%，主要用于保障机构日常运转、</w:t>
      </w:r>
      <w:r>
        <w:rPr>
          <w:rFonts w:ascii="仿宋_GB2312" w:eastAsia="仿宋_GB2312" w:hAnsi="TimesNewRoman" w:cs="TimesNewRoman" w:hint="eastAsia"/>
          <w:sz w:val="32"/>
          <w:szCs w:val="32"/>
          <w:highlight w:val="none"/>
        </w:rPr>
        <w:t>完成日常工作任</w:t>
      </w:r>
      <w:r>
        <w:rPr>
          <w:rFonts w:ascii="仿宋_GB2312" w:eastAsia="仿宋_GB2312" w:hAnsi="TimesNewRoman" w:cs="TimesNewRoman" w:hint="eastAsia"/>
          <w:sz w:val="32"/>
          <w:szCs w:val="32"/>
          <w:highlight w:val="none"/>
          <w:lang w:eastAsia="zh-CN"/>
        </w:rPr>
        <w:t>务</w:t>
      </w:r>
      <w:r>
        <w:rPr>
          <w:rFonts w:ascii="仿宋_GB2312" w:eastAsia="仿宋_GB2312" w:hAnsi="TimesNewRoman" w:cs="TimesNewRoman" w:hint="eastAsia"/>
          <w:sz w:val="32"/>
          <w:szCs w:val="32"/>
          <w:highlight w:val="none"/>
        </w:rPr>
        <w:t>；</w:t>
      </w:r>
      <w:r>
        <w:rPr>
          <w:rFonts w:ascii="仿宋_GB2312" w:eastAsia="仿宋_GB2312" w:hAnsi="TimesNewRoman" w:cs="TimesNewRoman" w:hint="eastAsia"/>
          <w:sz w:val="32"/>
          <w:szCs w:val="32"/>
        </w:rPr>
        <w:t>项目支出</w:t>
      </w:r>
      <w:r>
        <w:rPr>
          <w:rFonts w:ascii="仿宋_GB2312" w:eastAsia="仿宋_GB2312" w:hAnsi="TimesNewRoman" w:cs="TimesNewRoman" w:hint="eastAsia"/>
          <w:sz w:val="32"/>
          <w:szCs w:val="32"/>
          <w:lang w:val="en-US" w:eastAsia="zh-CN"/>
        </w:rPr>
        <w:t>73334</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83.58</w:t>
      </w:r>
      <w:r>
        <w:rPr>
          <w:rFonts w:ascii="仿宋_GB2312" w:eastAsia="仿宋_GB2312" w:hAnsi="TimesNewRoman" w:cs="TimesNewRoman" w:hint="eastAsia"/>
          <w:sz w:val="32"/>
          <w:szCs w:val="32"/>
        </w:rPr>
        <w:t>%，主要用于</w:t>
      </w:r>
      <w:r>
        <w:rPr>
          <w:rFonts w:ascii="仿宋_GB2312" w:eastAsia="仿宋_GB2312" w:hAnsi="TimesNewRoman" w:cs="TimesNewRoman" w:hint="eastAsia"/>
          <w:sz w:val="32"/>
          <w:szCs w:val="32"/>
          <w:lang w:val="en-US" w:eastAsia="zh-CN"/>
        </w:rPr>
        <w:t>基本公共卫生服务，计划生育特扶奖扶支出</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四、关于2024年财政拨款收支总表的说明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2024年财政拨款收支预算</w:t>
      </w:r>
      <w:r>
        <w:rPr>
          <w:rFonts w:ascii="仿宋_GB2312" w:eastAsia="仿宋_GB2312" w:hAnsi="TimesNewRoman" w:cs="TimesNewRoman" w:hint="eastAsia"/>
          <w:sz w:val="32"/>
          <w:szCs w:val="32"/>
          <w:lang w:val="en-US" w:eastAsia="zh-CN"/>
        </w:rPr>
        <w:t>24832.28</w:t>
      </w:r>
      <w:r>
        <w:rPr>
          <w:rFonts w:ascii="仿宋_GB2312" w:eastAsia="仿宋_GB2312" w:hAnsi="TimesNewRoman" w:cs="TimesNewRoman" w:hint="eastAsia"/>
          <w:sz w:val="32"/>
          <w:szCs w:val="32"/>
        </w:rPr>
        <w:t>万元。收入按资金来源分为：一般公共预算拨款</w:t>
      </w:r>
      <w:r>
        <w:rPr>
          <w:rFonts w:ascii="仿宋_GB2312" w:eastAsia="仿宋_GB2312" w:hAnsi="TimesNewRoman" w:cs="TimesNewRoman" w:hint="eastAsia"/>
          <w:sz w:val="32"/>
          <w:szCs w:val="32"/>
          <w:lang w:val="en-US" w:eastAsia="zh-CN"/>
        </w:rPr>
        <w:t>24832.28</w:t>
      </w:r>
      <w:r>
        <w:rPr>
          <w:rFonts w:ascii="仿宋_GB2312" w:eastAsia="仿宋_GB2312" w:hAnsi="TimesNewRoman" w:cs="TimesNewRoman" w:hint="eastAsia"/>
          <w:sz w:val="32"/>
          <w:szCs w:val="32"/>
        </w:rPr>
        <w:t>万元；按资金年度分为：本年财政拨款收入</w:t>
      </w:r>
      <w:r>
        <w:rPr>
          <w:rFonts w:ascii="仿宋_GB2312" w:eastAsia="仿宋_GB2312" w:hAnsi="TimesNewRoman" w:cs="TimesNewRoman" w:hint="eastAsia"/>
          <w:sz w:val="32"/>
          <w:szCs w:val="32"/>
          <w:lang w:val="en-US" w:eastAsia="zh-CN"/>
        </w:rPr>
        <w:t>24832.28</w:t>
      </w:r>
      <w:r>
        <w:rPr>
          <w:rFonts w:ascii="仿宋_GB2312" w:eastAsia="仿宋_GB2312" w:hAnsi="TimesNewRoman" w:cs="TimesNewRoman" w:hint="eastAsia"/>
          <w:sz w:val="32"/>
          <w:szCs w:val="32"/>
        </w:rPr>
        <w:t>万元。支出按功能分类分为：</w:t>
      </w:r>
      <w:r>
        <w:rPr>
          <w:rFonts w:ascii="仿宋_GB2312" w:eastAsia="仿宋_GB2312" w:hAnsi="TimesNewRoman" w:cs="TimesNewRoman" w:hint="eastAsia"/>
          <w:sz w:val="32"/>
          <w:szCs w:val="32"/>
          <w:lang w:val="en-US" w:eastAsia="zh-CN"/>
        </w:rPr>
        <w:t>教育支出11.03</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0.044</w:t>
      </w:r>
      <w:r>
        <w:rPr>
          <w:rFonts w:ascii="仿宋_GB2312" w:eastAsia="仿宋_GB2312" w:hAnsi="TimesNewRoman" w:cs="TimesNewRoman" w:hint="eastAsia"/>
          <w:sz w:val="32"/>
          <w:szCs w:val="32"/>
        </w:rPr>
        <w:t>%；社会保障和就业支出</w:t>
      </w:r>
      <w:r>
        <w:rPr>
          <w:rFonts w:ascii="仿宋_GB2312" w:eastAsia="仿宋_GB2312" w:hAnsi="TimesNewRoman" w:cs="TimesNewRoman" w:hint="eastAsia"/>
          <w:sz w:val="32"/>
          <w:szCs w:val="32"/>
          <w:lang w:val="en-US" w:eastAsia="zh-CN"/>
        </w:rPr>
        <w:t>2845.8</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11</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21003.11</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85</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972.36</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3.92</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五、关于2024年一般公共预算支出表的说明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（一）一般公共预算支出规模变化情况。</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highlight w:val="yellow"/>
        </w:rPr>
      </w:pPr>
      <w:r>
        <w:rPr>
          <w:rFonts w:ascii="仿宋_GB2312" w:eastAsia="仿宋_GB2312" w:hAnsi="TimesNewRoman" w:cs="TimesNewRoman" w:hint="eastAsia"/>
          <w:sz w:val="32"/>
          <w:szCs w:val="32"/>
        </w:rPr>
        <w:t>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2024年一般公共预算支出</w:t>
      </w:r>
      <w:r>
        <w:rPr>
          <w:rFonts w:ascii="仿宋_GB2312" w:eastAsia="仿宋_GB2312" w:hAnsi="TimesNewRoman" w:cs="TimesNewRoman" w:hint="eastAsia"/>
          <w:sz w:val="32"/>
          <w:szCs w:val="32"/>
          <w:lang w:val="en-US" w:eastAsia="zh-CN"/>
        </w:rPr>
        <w:t>24832.28</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11360.67</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highlight w:val="none"/>
        </w:rPr>
        <w:t>增长</w:t>
      </w:r>
      <w:r>
        <w:rPr>
          <w:rFonts w:ascii="仿宋_GB2312" w:eastAsia="仿宋_GB2312" w:hAnsi="TimesNewRoman" w:cs="TimesNewRoman" w:hint="eastAsia"/>
          <w:sz w:val="32"/>
          <w:szCs w:val="32"/>
          <w:highlight w:val="none"/>
          <w:lang w:val="en-US" w:eastAsia="zh-CN"/>
        </w:rPr>
        <w:t>54.84</w:t>
      </w:r>
      <w:r>
        <w:rPr>
          <w:rFonts w:ascii="仿宋_GB2312" w:eastAsia="仿宋_GB2312" w:hAnsi="TimesNewRoman" w:cs="TimesNewRoman" w:hint="eastAsia"/>
          <w:sz w:val="32"/>
          <w:szCs w:val="32"/>
          <w:highlight w:val="none"/>
        </w:rPr>
        <w:t>%，</w:t>
      </w:r>
      <w:r>
        <w:rPr>
          <w:rFonts w:ascii="仿宋_GB2312" w:eastAsia="仿宋_GB2312" w:hAnsi="TimesNewRoman" w:cs="TimesNewRoman" w:hint="eastAsia"/>
          <w:sz w:val="32"/>
          <w:szCs w:val="32"/>
        </w:rPr>
        <w:t>主要原因是</w:t>
      </w:r>
      <w:r>
        <w:rPr>
          <w:rFonts w:ascii="仿宋_GB2312" w:eastAsia="仿宋_GB2312" w:hAnsi="TimesNewRoman" w:cs="TimesNewRoman" w:hint="eastAsia"/>
          <w:sz w:val="32"/>
          <w:szCs w:val="32"/>
          <w:lang w:val="en-US" w:eastAsia="zh-CN"/>
        </w:rPr>
        <w:t>中央转移支付项目列入预算平台</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（二）一般公共预算支出结构情况。</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lang w:val="en-US" w:eastAsia="zh-CN"/>
        </w:rPr>
        <w:t>教育支出11.03</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0.044</w:t>
      </w:r>
      <w:r>
        <w:rPr>
          <w:rFonts w:ascii="仿宋_GB2312" w:eastAsia="仿宋_GB2312" w:hAnsi="TimesNewRoman" w:cs="TimesNewRoman" w:hint="eastAsia"/>
          <w:sz w:val="32"/>
          <w:szCs w:val="32"/>
        </w:rPr>
        <w:t>%；；社会保障和就业支出</w:t>
      </w:r>
      <w:r>
        <w:rPr>
          <w:rFonts w:ascii="仿宋_GB2312" w:eastAsia="仿宋_GB2312" w:hAnsi="TimesNewRoman" w:cs="TimesNewRoman" w:hint="eastAsia"/>
          <w:sz w:val="32"/>
          <w:szCs w:val="32"/>
          <w:lang w:val="en-US" w:eastAsia="zh-CN"/>
        </w:rPr>
        <w:t>2845.8</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11</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21003.11</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85</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972.36</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3.92</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（三）一般公共预算支出具体使用情况。</w:t>
      </w:r>
    </w:p>
    <w:p>
      <w:pPr>
        <w:adjustRightInd w:val="0"/>
        <w:snapToGrid w:val="0"/>
        <w:spacing w:line="600" w:lineRule="exact"/>
        <w:ind w:firstLine="640" w:firstLineChars="200"/>
        <w:rPr>
          <w:rFonts w:ascii="仿宋" w:eastAsia="仿宋" w:hAnsi="仿宋" w:cs="仿宋" w:hint="eastAsia"/>
          <w:sz w:val="32"/>
          <w:szCs w:val="32"/>
        </w:rPr>
      </w:pPr>
      <w:r>
        <w:rPr>
          <w:rFonts w:ascii="仿宋_GB2312" w:eastAsia="仿宋_GB2312" w:hAnsi="TimesNewRoman" w:cs="TimesNewRoman" w:hint="eastAsia"/>
          <w:b/>
          <w:sz w:val="32"/>
          <w:szCs w:val="32"/>
        </w:rPr>
        <w:t>1.</w:t>
      </w:r>
      <w:r>
        <w:rPr>
          <w:rFonts w:ascii="仿宋_GB2312" w:eastAsia="仿宋_GB2312" w:hAnsi="仿宋" w:hint="eastAsia"/>
          <w:b/>
          <w:sz w:val="32"/>
          <w:szCs w:val="32"/>
        </w:rPr>
        <w:t xml:space="preserve"> </w:t>
      </w:r>
      <w:r>
        <w:rPr>
          <w:rFonts w:ascii="仿宋" w:eastAsia="仿宋" w:hAnsi="仿宋" w:cs="仿宋" w:hint="eastAsia"/>
          <w:b/>
          <w:bCs/>
          <w:sz w:val="32"/>
          <w:szCs w:val="32"/>
        </w:rPr>
        <w:t>教育支出（类）职业教育（款）中专教育（项）</w:t>
      </w:r>
    </w:p>
    <w:p>
      <w:pPr>
        <w:ind w:firstLine="640" w:firstLineChars="200"/>
        <w:rPr>
          <w:rFonts w:ascii="仿宋" w:eastAsia="仿宋" w:hAnsi="仿宋" w:cs="仿宋" w:hint="eastAsia"/>
          <w:sz w:val="32"/>
          <w:szCs w:val="32"/>
          <w:lang w:val="en-US"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11.03</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年预算减少</w:t>
      </w:r>
      <w:r>
        <w:rPr>
          <w:rFonts w:ascii="仿宋_GB2312" w:eastAsia="仿宋_GB2312" w:hAnsi="仿宋" w:hint="eastAsia"/>
          <w:sz w:val="32"/>
          <w:szCs w:val="32"/>
          <w:lang w:val="en-US" w:eastAsia="zh-CN"/>
        </w:rPr>
        <w:t>5.25</w:t>
      </w:r>
      <w:r>
        <w:rPr>
          <w:rFonts w:ascii="仿宋_GB2312" w:eastAsia="仿宋_GB2312" w:hAnsi="仿宋" w:hint="eastAsia"/>
          <w:sz w:val="32"/>
          <w:szCs w:val="32"/>
        </w:rPr>
        <w:t>万元，下降</w:t>
      </w:r>
      <w:r>
        <w:rPr>
          <w:rFonts w:ascii="仿宋_GB2312" w:eastAsia="仿宋_GB2312" w:hAnsi="仿宋" w:hint="eastAsia"/>
          <w:sz w:val="32"/>
          <w:szCs w:val="32"/>
          <w:lang w:val="en-US" w:eastAsia="zh-CN"/>
        </w:rPr>
        <w:t>32.24</w:t>
      </w:r>
      <w:r>
        <w:rPr>
          <w:rFonts w:ascii="仿宋_GB2312" w:eastAsia="仿宋_GB2312" w:hAnsi="仿宋" w:hint="eastAsia"/>
          <w:sz w:val="32"/>
          <w:szCs w:val="32"/>
        </w:rPr>
        <w:t>%，下降原因主要是</w:t>
      </w:r>
      <w:r>
        <w:rPr>
          <w:rFonts w:ascii="仿宋" w:eastAsia="仿宋" w:hAnsi="仿宋" w:cs="仿宋" w:hint="eastAsia"/>
          <w:sz w:val="32"/>
          <w:szCs w:val="32"/>
        </w:rPr>
        <w:t>在职人员转退休等变动造成的经</w:t>
      </w:r>
      <w:r>
        <w:rPr>
          <w:rFonts w:ascii="仿宋" w:eastAsia="仿宋" w:hAnsi="仿宋" w:cs="仿宋" w:hint="eastAsia"/>
          <w:sz w:val="32"/>
          <w:szCs w:val="32"/>
          <w:lang w:val="en-US" w:eastAsia="zh-CN"/>
        </w:rPr>
        <w:t xml:space="preserve">费减少。 </w:t>
      </w:r>
    </w:p>
    <w:p>
      <w:pPr>
        <w:adjustRightInd w:val="0"/>
        <w:snapToGrid w:val="0"/>
        <w:spacing w:line="600" w:lineRule="exact"/>
        <w:ind w:firstLine="640" w:firstLineChars="200"/>
        <w:rPr>
          <w:rFonts w:ascii="仿宋_GB2312" w:eastAsia="仿宋_GB2312" w:hAnsi="仿宋" w:hint="eastAsia"/>
          <w:b/>
          <w:sz w:val="32"/>
          <w:szCs w:val="32"/>
        </w:rPr>
      </w:pPr>
      <w:r>
        <w:rPr>
          <w:rFonts w:ascii="仿宋_GB2312" w:eastAsia="仿宋_GB2312" w:hAnsi="TimesNewRoman" w:cs="TimesNewRoman" w:hint="eastAsia"/>
          <w:b/>
          <w:sz w:val="32"/>
          <w:szCs w:val="32"/>
        </w:rPr>
        <w:t>2.</w:t>
      </w:r>
      <w:r>
        <w:rPr>
          <w:rFonts w:ascii="仿宋_GB2312" w:eastAsia="仿宋_GB2312" w:hAnsi="仿宋" w:hint="eastAsia"/>
          <w:b/>
          <w:sz w:val="32"/>
          <w:szCs w:val="32"/>
        </w:rPr>
        <w:t>社会保障和就业支出（类）行政事业单位离退休（款）事业单位离退休（项）</w:t>
      </w:r>
    </w:p>
    <w:p>
      <w:pPr>
        <w:adjustRightInd w:val="0"/>
        <w:snapToGrid w:val="0"/>
        <w:spacing w:line="600" w:lineRule="exact"/>
        <w:ind w:firstLine="640" w:firstLineChars="200"/>
        <w:rPr>
          <w:rFonts w:ascii="仿宋_GB2312" w:eastAsia="仿宋_GB2312" w:hAnsi="仿宋" w:hint="default"/>
          <w:sz w:val="32"/>
          <w:szCs w:val="32"/>
          <w:lang w:val="en-US"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848,13</w:t>
      </w:r>
      <w:r>
        <w:rPr>
          <w:rFonts w:ascii="仿宋_GB2312" w:eastAsia="仿宋_GB2312" w:hAnsi="仿宋" w:hint="eastAsia"/>
          <w:sz w:val="32"/>
          <w:szCs w:val="32"/>
        </w:rPr>
        <w:t>万元</w:t>
      </w:r>
      <w:r>
        <w:rPr>
          <w:rFonts w:ascii="仿宋_GB2312" w:eastAsia="仿宋_GB2312" w:hAnsi="仿宋" w:hint="eastAsia"/>
          <w:sz w:val="32"/>
          <w:szCs w:val="32"/>
          <w:lang w:eastAsia="zh-CN"/>
        </w:rPr>
        <w:t>，</w:t>
      </w:r>
      <w:r>
        <w:rPr>
          <w:rFonts w:ascii="仿宋_GB2312" w:eastAsia="仿宋_GB2312" w:hAnsi="仿宋" w:hint="eastAsia"/>
          <w:sz w:val="32"/>
          <w:szCs w:val="32"/>
        </w:rPr>
        <w:t>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846.47</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100</w:t>
      </w:r>
      <w:r>
        <w:rPr>
          <w:rFonts w:ascii="仿宋_GB2312" w:eastAsia="仿宋_GB2312" w:hAnsi="仿宋" w:hint="eastAsia"/>
          <w:sz w:val="32"/>
          <w:szCs w:val="32"/>
        </w:rPr>
        <w:t>%，增长原因是</w:t>
      </w:r>
      <w:r>
        <w:rPr>
          <w:rFonts w:ascii="仿宋" w:eastAsia="仿宋" w:hAnsi="仿宋" w:cs="仿宋" w:hint="eastAsia"/>
          <w:sz w:val="32"/>
          <w:szCs w:val="32"/>
          <w:lang w:val="en-US" w:eastAsia="zh-CN"/>
        </w:rPr>
        <w:t>退休人员退休补贴2024年列入年初预算。</w:t>
      </w:r>
    </w:p>
    <w:p>
      <w:pPr>
        <w:ind w:firstLine="640" w:firstLineChars="200"/>
        <w:rPr>
          <w:rFonts w:ascii="仿宋" w:eastAsia="仿宋" w:hAnsi="仿宋" w:cs="仿宋" w:hint="eastAsia"/>
          <w:b/>
          <w:bCs/>
          <w:sz w:val="32"/>
          <w:szCs w:val="32"/>
        </w:rPr>
      </w:pPr>
      <w:r>
        <w:rPr>
          <w:rFonts w:ascii="仿宋_GB2312" w:eastAsia="仿宋_GB2312" w:hAnsi="TimesNewRoman" w:cs="TimesNewRoman" w:hint="eastAsia"/>
          <w:b/>
          <w:sz w:val="32"/>
          <w:szCs w:val="32"/>
        </w:rPr>
        <w:t>3.</w:t>
      </w:r>
      <w:r>
        <w:rPr>
          <w:rFonts w:ascii="仿宋" w:eastAsia="仿宋" w:hAnsi="仿宋" w:cs="仿宋" w:hint="eastAsia"/>
          <w:b/>
          <w:bCs/>
          <w:sz w:val="32"/>
          <w:szCs w:val="32"/>
        </w:rPr>
        <w:t>社会保障和就业支出（类）</w:t>
      </w:r>
      <w:r>
        <w:rPr>
          <w:rFonts w:ascii="仿宋" w:eastAsia="仿宋" w:hAnsi="仿宋" w:cs="仿宋" w:hint="eastAsia"/>
          <w:b/>
          <w:bCs/>
          <w:sz w:val="32"/>
          <w:szCs w:val="32"/>
          <w:lang w:eastAsia="zh-CN"/>
        </w:rPr>
        <w:t>行政事业单位养老支出</w:t>
      </w:r>
      <w:r>
        <w:rPr>
          <w:rFonts w:ascii="仿宋" w:eastAsia="仿宋" w:hAnsi="仿宋" w:cs="仿宋" w:hint="eastAsia"/>
          <w:b/>
          <w:bCs/>
          <w:sz w:val="32"/>
          <w:szCs w:val="32"/>
        </w:rPr>
        <w:t>（款）</w:t>
      </w:r>
      <w:r>
        <w:rPr>
          <w:rFonts w:ascii="仿宋" w:eastAsia="仿宋" w:hAnsi="仿宋" w:cs="仿宋" w:hint="eastAsia"/>
          <w:b/>
          <w:bCs/>
          <w:sz w:val="32"/>
          <w:szCs w:val="32"/>
          <w:lang w:eastAsia="zh-CN"/>
        </w:rPr>
        <w:t>机关事业单位基本养老保险缴费支出</w:t>
      </w:r>
      <w:r>
        <w:rPr>
          <w:rFonts w:ascii="仿宋" w:eastAsia="仿宋" w:hAnsi="仿宋" w:cs="仿宋" w:hint="eastAsia"/>
          <w:b/>
          <w:bCs/>
          <w:sz w:val="32"/>
          <w:szCs w:val="32"/>
        </w:rPr>
        <w:t>（项）</w:t>
      </w:r>
    </w:p>
    <w:p>
      <w:pPr>
        <w:ind w:firstLine="640" w:firstLineChars="200"/>
        <w:rPr>
          <w:rFonts w:ascii="仿宋_GB2312" w:eastAsia="仿宋_GB2312" w:hAnsi="仿宋" w:hint="eastAsia"/>
          <w:sz w:val="32"/>
          <w:szCs w:val="32"/>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1298.23</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30.3</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2,39</w:t>
      </w:r>
      <w:r>
        <w:rPr>
          <w:rFonts w:ascii="仿宋_GB2312" w:eastAsia="仿宋_GB2312" w:hAnsi="仿宋" w:hint="eastAsia"/>
          <w:sz w:val="32"/>
          <w:szCs w:val="32"/>
        </w:rPr>
        <w:t>%，增长原因主要是人员工资增加。</w:t>
      </w:r>
    </w:p>
    <w:p>
      <w:pPr>
        <w:numPr>
          <w:ilvl w:val="0"/>
          <w:numId w:val="0"/>
        </w:numPr>
        <w:adjustRightInd w:val="0"/>
        <w:snapToGrid w:val="0"/>
        <w:spacing w:line="600" w:lineRule="exact"/>
        <w:ind w:firstLine="640" w:firstLineChars="200"/>
        <w:rPr>
          <w:rFonts w:ascii="仿宋" w:eastAsia="仿宋" w:hAnsi="仿宋" w:cs="仿宋" w:hint="eastAsia"/>
          <w:b/>
          <w:bCs/>
          <w:sz w:val="32"/>
          <w:szCs w:val="32"/>
        </w:rPr>
      </w:pPr>
      <w:r>
        <w:rPr>
          <w:rFonts w:ascii="仿宋_GB2312" w:eastAsia="仿宋_GB2312" w:hAnsi="TimesNewRoman" w:cs="TimesNewRoman" w:hint="eastAsia"/>
          <w:b/>
          <w:sz w:val="32"/>
          <w:szCs w:val="32"/>
        </w:rPr>
        <w:t>4.</w:t>
      </w:r>
      <w:r>
        <w:rPr>
          <w:rFonts w:ascii="仿宋" w:eastAsia="仿宋" w:hAnsi="仿宋" w:cs="仿宋" w:hint="eastAsia"/>
          <w:b/>
          <w:bCs/>
          <w:sz w:val="32"/>
          <w:szCs w:val="32"/>
        </w:rPr>
        <w:t>社会保障和就业支出（类）</w:t>
      </w:r>
      <w:r>
        <w:rPr>
          <w:rFonts w:ascii="仿宋" w:eastAsia="仿宋" w:hAnsi="仿宋" w:cs="仿宋" w:hint="eastAsia"/>
          <w:b/>
          <w:bCs/>
          <w:sz w:val="32"/>
          <w:szCs w:val="32"/>
          <w:lang w:eastAsia="zh-CN"/>
        </w:rPr>
        <w:t>行政事业单位养老支出</w:t>
      </w:r>
      <w:r>
        <w:rPr>
          <w:rFonts w:ascii="仿宋" w:eastAsia="仿宋" w:hAnsi="仿宋" w:cs="仿宋" w:hint="eastAsia"/>
          <w:b/>
          <w:bCs/>
          <w:sz w:val="32"/>
          <w:szCs w:val="32"/>
        </w:rPr>
        <w:t>（款）</w:t>
      </w:r>
      <w:r>
        <w:rPr>
          <w:rFonts w:ascii="仿宋" w:eastAsia="仿宋" w:hAnsi="仿宋" w:cs="仿宋" w:hint="eastAsia"/>
          <w:b/>
          <w:bCs/>
          <w:sz w:val="32"/>
          <w:szCs w:val="32"/>
          <w:lang w:eastAsia="zh-CN"/>
        </w:rPr>
        <w:t>机关事业单位职业年金缴费支出</w:t>
      </w:r>
      <w:r>
        <w:rPr>
          <w:rFonts w:ascii="仿宋" w:eastAsia="仿宋" w:hAnsi="仿宋" w:cs="仿宋" w:hint="eastAsia"/>
          <w:b/>
          <w:bCs/>
          <w:sz w:val="32"/>
          <w:szCs w:val="32"/>
        </w:rPr>
        <w:t>（项）</w:t>
      </w:r>
    </w:p>
    <w:p>
      <w:pPr>
        <w:ind w:firstLine="640" w:firstLineChars="200"/>
        <w:rPr>
          <w:rFonts w:ascii="仿宋_GB2312" w:eastAsia="仿宋_GB2312" w:hAnsi="仿宋" w:hint="eastAsia"/>
          <w:sz w:val="32"/>
          <w:szCs w:val="32"/>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649.11</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15.15</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2.39</w:t>
      </w:r>
      <w:r>
        <w:rPr>
          <w:rFonts w:ascii="仿宋_GB2312" w:eastAsia="仿宋_GB2312" w:hAnsi="仿宋" w:hint="eastAsia"/>
          <w:sz w:val="32"/>
          <w:szCs w:val="32"/>
        </w:rPr>
        <w:t>%，增长原因主要是</w:t>
      </w:r>
      <w:r>
        <w:rPr>
          <w:rFonts w:ascii="仿宋" w:eastAsia="仿宋" w:hAnsi="仿宋" w:cs="仿宋" w:hint="eastAsia"/>
          <w:sz w:val="32"/>
          <w:szCs w:val="32"/>
          <w:lang w:eastAsia="zh-CN"/>
        </w:rPr>
        <w:t>人员工资</w:t>
      </w:r>
      <w:r>
        <w:rPr>
          <w:rFonts w:ascii="仿宋_GB2312" w:eastAsia="仿宋_GB2312" w:hAnsi="仿宋" w:hint="eastAsia"/>
          <w:sz w:val="32"/>
          <w:szCs w:val="32"/>
        </w:rPr>
        <w:t>增加。</w:t>
      </w:r>
    </w:p>
    <w:p>
      <w:pPr>
        <w:ind w:firstLine="640" w:firstLineChars="200"/>
        <w:rPr>
          <w:rFonts w:ascii="仿宋" w:eastAsia="仿宋" w:hAnsi="仿宋" w:cs="仿宋" w:hint="eastAsia"/>
          <w:b/>
          <w:bCs/>
          <w:sz w:val="32"/>
          <w:szCs w:val="32"/>
        </w:rPr>
      </w:pPr>
      <w:r>
        <w:rPr>
          <w:rFonts w:ascii="仿宋" w:eastAsia="仿宋" w:hAnsi="仿宋" w:cs="仿宋" w:hint="eastAsia"/>
          <w:b/>
          <w:bCs/>
          <w:sz w:val="32"/>
          <w:szCs w:val="32"/>
          <w:lang w:val="en-US" w:eastAsia="zh-CN"/>
        </w:rPr>
        <w:t>5.</w:t>
      </w:r>
      <w:r>
        <w:rPr>
          <w:rFonts w:ascii="仿宋" w:eastAsia="仿宋" w:hAnsi="仿宋" w:cs="仿宋" w:hint="eastAsia"/>
          <w:b/>
          <w:bCs/>
          <w:sz w:val="32"/>
          <w:szCs w:val="32"/>
        </w:rPr>
        <w:t>社会保障和就业支出（类）</w:t>
      </w:r>
      <w:r>
        <w:rPr>
          <w:rFonts w:ascii="仿宋" w:eastAsia="仿宋" w:hAnsi="仿宋" w:cs="仿宋" w:hint="eastAsia"/>
          <w:b/>
          <w:bCs/>
          <w:sz w:val="32"/>
          <w:szCs w:val="32"/>
          <w:lang w:eastAsia="zh-CN"/>
        </w:rPr>
        <w:t>其他</w:t>
      </w:r>
      <w:r>
        <w:rPr>
          <w:rFonts w:ascii="仿宋" w:eastAsia="仿宋" w:hAnsi="仿宋" w:cs="仿宋" w:hint="eastAsia"/>
          <w:b/>
          <w:bCs/>
          <w:sz w:val="32"/>
          <w:szCs w:val="32"/>
        </w:rPr>
        <w:t>社会保障和就业支出（款）</w:t>
      </w:r>
      <w:r>
        <w:rPr>
          <w:rFonts w:ascii="仿宋" w:eastAsia="仿宋" w:hAnsi="仿宋" w:cs="仿宋" w:hint="eastAsia"/>
          <w:b/>
          <w:bCs/>
          <w:sz w:val="32"/>
          <w:szCs w:val="32"/>
          <w:lang w:eastAsia="zh-CN"/>
        </w:rPr>
        <w:t>其他</w:t>
      </w:r>
      <w:r>
        <w:rPr>
          <w:rFonts w:ascii="仿宋" w:eastAsia="仿宋" w:hAnsi="仿宋" w:cs="仿宋" w:hint="eastAsia"/>
          <w:b/>
          <w:bCs/>
          <w:sz w:val="32"/>
          <w:szCs w:val="32"/>
        </w:rPr>
        <w:t>社会保障和就业支出（项）</w:t>
      </w:r>
    </w:p>
    <w:p>
      <w:pPr>
        <w:adjustRightInd w:val="0"/>
        <w:snapToGrid w:val="0"/>
        <w:spacing w:line="600" w:lineRule="exact"/>
        <w:ind w:firstLine="640" w:firstLineChars="200"/>
        <w:rPr>
          <w:rFonts w:ascii="仿宋_GB2312" w:eastAsia="仿宋_GB2312" w:hAnsi="仿宋" w:hint="eastAsia"/>
          <w:sz w:val="32"/>
          <w:szCs w:val="32"/>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50.33</w:t>
      </w:r>
      <w:r>
        <w:rPr>
          <w:rFonts w:ascii="仿宋_GB2312" w:eastAsia="仿宋_GB2312" w:hAnsi="仿宋" w:hint="eastAsia"/>
          <w:sz w:val="32"/>
          <w:szCs w:val="32"/>
        </w:rPr>
        <w:t>万元</w:t>
      </w:r>
      <w:r>
        <w:rPr>
          <w:rFonts w:ascii="仿宋_GB2312" w:eastAsia="仿宋_GB2312" w:hAnsi="仿宋" w:hint="eastAsia"/>
          <w:sz w:val="32"/>
          <w:szCs w:val="32"/>
          <w:lang w:eastAsia="zh-CN"/>
        </w:rPr>
        <w:t>，</w:t>
      </w:r>
      <w:r>
        <w:rPr>
          <w:rFonts w:ascii="仿宋_GB2312" w:eastAsia="仿宋_GB2312" w:hAnsi="仿宋" w:hint="eastAsia"/>
          <w:sz w:val="32"/>
          <w:szCs w:val="32"/>
        </w:rPr>
        <w:t>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12,72</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33.82</w:t>
      </w:r>
      <w:r>
        <w:rPr>
          <w:rFonts w:ascii="仿宋_GB2312" w:eastAsia="仿宋_GB2312" w:hAnsi="仿宋" w:hint="eastAsia"/>
          <w:sz w:val="32"/>
          <w:szCs w:val="32"/>
        </w:rPr>
        <w:t>%，增长原因是人员工资增加</w:t>
      </w:r>
      <w:r>
        <w:rPr>
          <w:rFonts w:ascii="仿宋_GB2312" w:eastAsia="仿宋_GB2312" w:hAnsi="仿宋" w:hint="eastAsia"/>
          <w:sz w:val="32"/>
          <w:szCs w:val="32"/>
          <w:lang w:eastAsia="zh-CN"/>
        </w:rPr>
        <w:t>。</w:t>
      </w:r>
    </w:p>
    <w:p>
      <w:pPr>
        <w:numPr>
          <w:ilvl w:val="0"/>
          <w:numId w:val="0"/>
        </w:numPr>
        <w:adjustRightInd w:val="0"/>
        <w:snapToGrid w:val="0"/>
        <w:spacing w:line="600" w:lineRule="exact"/>
        <w:ind w:firstLine="640" w:firstLineChars="200"/>
        <w:rPr>
          <w:rFonts w:ascii="仿宋" w:eastAsia="仿宋" w:hAnsi="仿宋" w:cs="仿宋" w:hint="eastAsia"/>
          <w:b/>
          <w:bCs/>
          <w:sz w:val="32"/>
          <w:szCs w:val="32"/>
        </w:rPr>
      </w:pPr>
      <w:r>
        <w:rPr>
          <w:rFonts w:ascii="仿宋" w:eastAsia="仿宋" w:hAnsi="仿宋" w:cs="仿宋" w:hint="eastAsia"/>
          <w:b/>
          <w:bCs/>
          <w:sz w:val="32"/>
          <w:szCs w:val="32"/>
          <w:lang w:val="en-US" w:eastAsia="zh-CN"/>
        </w:rPr>
        <w:t>6.</w:t>
      </w:r>
      <w:r>
        <w:rPr>
          <w:rFonts w:ascii="仿宋" w:eastAsia="仿宋" w:hAnsi="仿宋" w:cs="仿宋" w:hint="eastAsia"/>
          <w:b/>
          <w:bCs/>
          <w:sz w:val="32"/>
          <w:szCs w:val="32"/>
        </w:rPr>
        <w:t>卫生健康支出（类）卫生健康管理事务（款）行政运行（项）</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579.05、520.93</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58.12</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11.16</w:t>
      </w:r>
      <w:r>
        <w:rPr>
          <w:rFonts w:ascii="仿宋_GB2312" w:eastAsia="仿宋_GB2312" w:hAnsi="仿宋" w:hint="eastAsia"/>
          <w:sz w:val="32"/>
          <w:szCs w:val="32"/>
        </w:rPr>
        <w:t>%，增长原因一是行政人员工资增加。</w:t>
      </w:r>
    </w:p>
    <w:p>
      <w:pPr>
        <w:numPr>
          <w:ilvl w:val="0"/>
          <w:numId w:val="0"/>
        </w:numPr>
        <w:adjustRightInd w:val="0"/>
        <w:snapToGrid w:val="0"/>
        <w:spacing w:line="600" w:lineRule="exact"/>
        <w:ind w:left="420" w:firstLine="320" w:leftChars="200" w:firstLineChars="100"/>
        <w:rPr>
          <w:rFonts w:ascii="仿宋_GB2312" w:eastAsia="仿宋_GB2312" w:hAnsi="仿宋" w:hint="eastAsia"/>
          <w:sz w:val="32"/>
          <w:szCs w:val="32"/>
        </w:rPr>
      </w:pPr>
      <w:r>
        <w:rPr>
          <w:rFonts w:ascii="仿宋_GB2312" w:eastAsia="仿宋_GB2312" w:hAnsi="仿宋" w:hint="eastAsia"/>
          <w:b/>
          <w:sz w:val="32"/>
          <w:szCs w:val="32"/>
          <w:lang w:val="en-US" w:eastAsia="zh-CN"/>
        </w:rPr>
        <w:t>7.</w:t>
      </w:r>
      <w:r>
        <w:rPr>
          <w:rFonts w:ascii="仿宋_GB2312" w:eastAsia="仿宋_GB2312" w:hAnsi="仿宋" w:hint="eastAsia"/>
          <w:b/>
          <w:sz w:val="32"/>
          <w:szCs w:val="32"/>
        </w:rPr>
        <w:t>卫生健康支出（类）卫生健康管理事力（款）一般行政管理事务（项）</w:t>
      </w:r>
    </w:p>
    <w:p>
      <w:pPr>
        <w:adjustRightInd w:val="0"/>
        <w:snapToGrid w:val="0"/>
        <w:spacing w:line="600" w:lineRule="exact"/>
        <w:ind w:firstLine="640" w:firstLineChars="200"/>
        <w:rPr>
          <w:rFonts w:ascii="仿宋" w:eastAsia="仿宋" w:hAnsi="仿宋" w:cs="仿宋" w:hint="eastAsia"/>
          <w:sz w:val="32"/>
          <w:szCs w:val="32"/>
          <w:highlight w:val="yellow"/>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392.69</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减少92.99</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下降19.15</w:t>
      </w:r>
      <w:r>
        <w:rPr>
          <w:rFonts w:ascii="仿宋_GB2312" w:eastAsia="仿宋_GB2312" w:hAnsi="仿宋" w:hint="eastAsia"/>
          <w:sz w:val="32"/>
          <w:szCs w:val="32"/>
        </w:rPr>
        <w:t>%，</w:t>
      </w:r>
      <w:r>
        <w:rPr>
          <w:rFonts w:ascii="仿宋_GB2312" w:eastAsia="仿宋_GB2312" w:hAnsi="仿宋" w:hint="eastAsia"/>
          <w:sz w:val="32"/>
          <w:szCs w:val="32"/>
          <w:lang w:val="en-US" w:eastAsia="zh-CN"/>
        </w:rPr>
        <w:t>下降</w:t>
      </w:r>
      <w:r>
        <w:rPr>
          <w:rFonts w:ascii="仿宋_GB2312" w:eastAsia="仿宋_GB2312" w:hAnsi="仿宋" w:hint="eastAsia"/>
          <w:sz w:val="32"/>
          <w:szCs w:val="32"/>
        </w:rPr>
        <w:t>是事业人员</w:t>
      </w:r>
      <w:r>
        <w:rPr>
          <w:rFonts w:ascii="仿宋_GB2312" w:eastAsia="仿宋_GB2312" w:hAnsi="仿宋" w:hint="eastAsia"/>
          <w:sz w:val="32"/>
          <w:szCs w:val="32"/>
          <w:lang w:val="en-US" w:eastAsia="zh-CN"/>
        </w:rPr>
        <w:t>退休</w:t>
      </w:r>
      <w:r>
        <w:rPr>
          <w:rFonts w:ascii="仿宋_GB2312" w:eastAsia="仿宋_GB2312" w:hAnsi="仿宋" w:hint="eastAsia"/>
          <w:sz w:val="32"/>
          <w:szCs w:val="32"/>
        </w:rPr>
        <w:t>工资</w:t>
      </w:r>
      <w:r>
        <w:rPr>
          <w:rFonts w:ascii="仿宋_GB2312" w:eastAsia="仿宋_GB2312" w:hAnsi="仿宋" w:hint="eastAsia"/>
          <w:sz w:val="32"/>
          <w:szCs w:val="32"/>
          <w:lang w:val="en-US" w:eastAsia="zh-CN"/>
        </w:rPr>
        <w:t>纳入社保发放，二是项目压减。</w:t>
      </w:r>
    </w:p>
    <w:p>
      <w:pPr>
        <w:adjustRightInd w:val="0"/>
        <w:snapToGrid w:val="0"/>
        <w:spacing w:line="600" w:lineRule="exact"/>
        <w:ind w:firstLine="640" w:firstLineChars="200"/>
        <w:rPr>
          <w:rFonts w:ascii="仿宋" w:eastAsia="仿宋" w:hAnsi="仿宋" w:cs="仿宋" w:hint="eastAsia"/>
          <w:b/>
          <w:bCs/>
          <w:sz w:val="32"/>
          <w:szCs w:val="32"/>
          <w:lang w:eastAsia="zh-CN"/>
        </w:rPr>
      </w:pPr>
      <w:r>
        <w:rPr>
          <w:rFonts w:ascii="仿宋" w:eastAsia="仿宋" w:hAnsi="仿宋" w:cs="仿宋" w:hint="eastAsia"/>
          <w:b/>
          <w:bCs/>
          <w:sz w:val="32"/>
          <w:szCs w:val="32"/>
          <w:lang w:val="en-US" w:eastAsia="zh-CN"/>
        </w:rPr>
        <w:t>8.</w:t>
      </w:r>
      <w:r>
        <w:rPr>
          <w:rFonts w:ascii="仿宋" w:eastAsia="仿宋" w:hAnsi="仿宋" w:cs="仿宋" w:hint="eastAsia"/>
          <w:b/>
          <w:bCs/>
          <w:sz w:val="32"/>
          <w:szCs w:val="32"/>
        </w:rPr>
        <w:t>卫生健康支出（类）公立医院（款）综合医院（项）</w:t>
      </w:r>
    </w:p>
    <w:p>
      <w:pPr>
        <w:adjustRightInd w:val="0"/>
        <w:snapToGrid w:val="0"/>
        <w:spacing w:line="600" w:lineRule="exact"/>
        <w:ind w:firstLine="640" w:firstLineChars="200"/>
        <w:rPr>
          <w:rFonts w:ascii="仿宋_GB2312" w:eastAsia="仿宋_GB2312" w:hAnsi="仿宋" w:hint="default"/>
          <w:sz w:val="32"/>
          <w:szCs w:val="32"/>
          <w:lang w:val="en-US"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572.99</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522.68</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1038</w:t>
      </w:r>
      <w:r>
        <w:rPr>
          <w:rFonts w:ascii="仿宋_GB2312" w:eastAsia="仿宋_GB2312" w:hAnsi="仿宋" w:hint="eastAsia"/>
          <w:sz w:val="32"/>
          <w:szCs w:val="32"/>
        </w:rPr>
        <w:t>%，增长原因主要是</w:t>
      </w:r>
      <w:r>
        <w:rPr>
          <w:rFonts w:ascii="仿宋" w:eastAsia="仿宋" w:hAnsi="仿宋" w:cs="仿宋" w:hint="eastAsia"/>
          <w:sz w:val="32"/>
          <w:szCs w:val="32"/>
          <w:lang w:val="en-US" w:eastAsia="zh-CN"/>
        </w:rPr>
        <w:t>退休人员退休补贴2024年列入年初预算。</w:t>
      </w:r>
    </w:p>
    <w:p>
      <w:pPr>
        <w:numPr>
          <w:ilvl w:val="0"/>
          <w:numId w:val="0"/>
        </w:numPr>
        <w:adjustRightInd w:val="0"/>
        <w:snapToGrid w:val="0"/>
        <w:spacing w:line="600" w:lineRule="exact"/>
        <w:ind w:firstLine="640" w:firstLineChars="200"/>
        <w:rPr>
          <w:rFonts w:ascii="仿宋_GB2312" w:eastAsia="仿宋_GB2312" w:hAnsi="仿宋" w:hint="eastAsia"/>
          <w:b/>
          <w:bCs/>
          <w:sz w:val="32"/>
          <w:szCs w:val="32"/>
          <w:lang w:eastAsia="zh-CN"/>
        </w:rPr>
      </w:pPr>
      <w:r>
        <w:rPr>
          <w:rFonts w:ascii="仿宋" w:eastAsia="仿宋" w:hAnsi="仿宋" w:cs="仿宋" w:hint="eastAsia"/>
          <w:b/>
          <w:bCs/>
          <w:sz w:val="32"/>
          <w:szCs w:val="32"/>
          <w:lang w:val="en-US" w:eastAsia="zh-CN"/>
        </w:rPr>
        <w:t>9.</w:t>
      </w:r>
      <w:r>
        <w:rPr>
          <w:rFonts w:ascii="仿宋" w:eastAsia="仿宋" w:hAnsi="仿宋" w:cs="仿宋" w:hint="eastAsia"/>
          <w:b/>
          <w:bCs/>
          <w:sz w:val="32"/>
          <w:szCs w:val="32"/>
        </w:rPr>
        <w:t>卫生健康支出（类）公立医院（款）中医（民族）医院（项）</w:t>
      </w:r>
    </w:p>
    <w:p>
      <w:pPr>
        <w:adjustRightInd w:val="0"/>
        <w:snapToGrid w:val="0"/>
        <w:spacing w:line="600" w:lineRule="exact"/>
        <w:ind w:firstLine="640" w:firstLineChars="200"/>
        <w:rPr>
          <w:rFonts w:ascii="仿宋" w:eastAsia="仿宋" w:hAnsi="仿宋" w:cs="仿宋" w:hint="eastAsia"/>
          <w:sz w:val="32"/>
          <w:szCs w:val="32"/>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148.88</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146.66</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6606</w:t>
      </w:r>
      <w:r>
        <w:rPr>
          <w:rFonts w:ascii="仿宋_GB2312" w:eastAsia="仿宋_GB2312" w:hAnsi="仿宋" w:hint="eastAsia"/>
          <w:sz w:val="32"/>
          <w:szCs w:val="32"/>
        </w:rPr>
        <w:t>%，增长原因主要是</w:t>
      </w:r>
      <w:r>
        <w:rPr>
          <w:rFonts w:ascii="仿宋" w:eastAsia="仿宋" w:hAnsi="仿宋" w:cs="仿宋" w:hint="eastAsia"/>
          <w:sz w:val="32"/>
          <w:szCs w:val="32"/>
        </w:rPr>
        <w:t>人员工资标准提高造成的经费增加</w:t>
      </w:r>
      <w:r>
        <w:rPr>
          <w:rFonts w:ascii="仿宋" w:eastAsia="仿宋" w:hAnsi="仿宋" w:cs="仿宋" w:hint="eastAsia"/>
          <w:sz w:val="32"/>
          <w:szCs w:val="32"/>
          <w:lang w:eastAsia="zh-CN"/>
        </w:rPr>
        <w:t>。</w:t>
      </w:r>
    </w:p>
    <w:p>
      <w:pPr>
        <w:numPr>
          <w:ilvl w:val="0"/>
          <w:numId w:val="0"/>
        </w:numPr>
        <w:adjustRightInd w:val="0"/>
        <w:snapToGrid w:val="0"/>
        <w:spacing w:line="600" w:lineRule="exact"/>
        <w:ind w:firstLine="640" w:firstLineChars="200"/>
        <w:rPr>
          <w:rFonts w:ascii="仿宋" w:eastAsia="仿宋" w:hAnsi="仿宋" w:cs="仿宋" w:hint="eastAsia"/>
          <w:b/>
          <w:bCs/>
          <w:sz w:val="32"/>
          <w:szCs w:val="32"/>
        </w:rPr>
      </w:pPr>
      <w:r>
        <w:rPr>
          <w:rFonts w:ascii="仿宋" w:eastAsia="仿宋" w:hAnsi="仿宋" w:cs="仿宋" w:hint="eastAsia"/>
          <w:b/>
          <w:bCs/>
          <w:sz w:val="32"/>
          <w:szCs w:val="32"/>
          <w:lang w:val="en-US" w:eastAsia="zh-CN"/>
        </w:rPr>
        <w:t>10.</w:t>
      </w:r>
      <w:r>
        <w:rPr>
          <w:rFonts w:ascii="仿宋" w:eastAsia="仿宋" w:hAnsi="仿宋" w:cs="仿宋" w:hint="eastAsia"/>
          <w:b/>
          <w:bCs/>
          <w:sz w:val="32"/>
          <w:szCs w:val="32"/>
        </w:rPr>
        <w:t>卫生健康支出（类）基层医疗卫生机构（款）乡镇卫生院（项）</w:t>
      </w:r>
    </w:p>
    <w:p>
      <w:pPr>
        <w:ind w:firstLine="640" w:firstLineChars="200"/>
        <w:rPr>
          <w:rFonts w:ascii="仿宋" w:eastAsia="仿宋" w:hAnsi="仿宋" w:cs="仿宋" w:hint="eastAsia"/>
          <w:sz w:val="32"/>
          <w:szCs w:val="32"/>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7303.07</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710</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10.78</w:t>
      </w:r>
      <w:r>
        <w:rPr>
          <w:rFonts w:ascii="仿宋_GB2312" w:eastAsia="仿宋_GB2312" w:hAnsi="仿宋" w:hint="eastAsia"/>
          <w:sz w:val="32"/>
          <w:szCs w:val="32"/>
        </w:rPr>
        <w:t>%，增长原因主要是</w:t>
      </w:r>
      <w:r>
        <w:rPr>
          <w:rFonts w:ascii="仿宋" w:eastAsia="仿宋" w:hAnsi="仿宋" w:cs="仿宋" w:hint="eastAsia"/>
          <w:sz w:val="32"/>
          <w:szCs w:val="32"/>
        </w:rPr>
        <w:t>人员工资标准提高造成的经费增加</w:t>
      </w:r>
      <w:r>
        <w:rPr>
          <w:rFonts w:ascii="仿宋" w:eastAsia="仿宋" w:hAnsi="仿宋" w:cs="仿宋" w:hint="eastAsia"/>
          <w:sz w:val="32"/>
          <w:szCs w:val="32"/>
          <w:lang w:eastAsia="zh-CN"/>
        </w:rPr>
        <w:t>。</w:t>
      </w:r>
    </w:p>
    <w:p>
      <w:pPr>
        <w:ind w:firstLine="640" w:firstLineChars="200"/>
        <w:rPr>
          <w:rFonts w:ascii="仿宋" w:eastAsia="仿宋" w:hAnsi="仿宋" w:cs="仿宋" w:hint="eastAsia"/>
          <w:b/>
          <w:bCs/>
          <w:sz w:val="32"/>
          <w:szCs w:val="32"/>
        </w:rPr>
      </w:pPr>
      <w:r>
        <w:rPr>
          <w:rFonts w:ascii="仿宋" w:eastAsia="仿宋" w:hAnsi="仿宋" w:cs="仿宋" w:hint="eastAsia"/>
          <w:b/>
          <w:bCs/>
          <w:sz w:val="32"/>
          <w:szCs w:val="32"/>
          <w:lang w:val="en-US" w:eastAsia="zh-CN"/>
        </w:rPr>
        <w:t>11.</w:t>
      </w:r>
      <w:r>
        <w:rPr>
          <w:rFonts w:ascii="仿宋" w:eastAsia="仿宋" w:hAnsi="仿宋" w:cs="仿宋" w:hint="eastAsia"/>
          <w:b/>
          <w:bCs/>
          <w:sz w:val="32"/>
          <w:szCs w:val="32"/>
        </w:rPr>
        <w:t>卫生健康支出（类）公共卫生（款）疾病预防控制机构（项）</w:t>
      </w:r>
    </w:p>
    <w:p>
      <w:pPr>
        <w:pStyle w:val="NormalWeb"/>
        <w:adjustRightInd w:val="0"/>
        <w:snapToGrid w:val="0"/>
        <w:spacing w:before="0" w:beforeAutospacing="0" w:after="0" w:afterAutospacing="0" w:line="600" w:lineRule="exact"/>
        <w:ind w:firstLine="627" w:firstLineChars="196"/>
        <w:rPr>
          <w:rFonts w:ascii="仿宋" w:eastAsia="仿宋" w:hAnsi="仿宋" w:cs="仿宋" w:hint="eastAsia"/>
          <w:sz w:val="32"/>
          <w:szCs w:val="32"/>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685.85</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减少1326.8</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下降65.92</w:t>
      </w:r>
      <w:r>
        <w:rPr>
          <w:rFonts w:ascii="仿宋_GB2312" w:eastAsia="仿宋_GB2312" w:hAnsi="仿宋" w:hint="eastAsia"/>
          <w:sz w:val="32"/>
          <w:szCs w:val="32"/>
        </w:rPr>
        <w:t>%，</w:t>
      </w:r>
      <w:r>
        <w:rPr>
          <w:rFonts w:ascii="仿宋_GB2312" w:eastAsia="仿宋_GB2312" w:hAnsi="仿宋" w:hint="eastAsia"/>
          <w:sz w:val="32"/>
          <w:szCs w:val="32"/>
          <w:lang w:val="en-US" w:eastAsia="zh-CN"/>
        </w:rPr>
        <w:t>下降</w:t>
      </w:r>
      <w:r>
        <w:rPr>
          <w:rFonts w:ascii="仿宋_GB2312" w:eastAsia="仿宋_GB2312" w:hAnsi="仿宋" w:hint="eastAsia"/>
          <w:sz w:val="32"/>
          <w:szCs w:val="32"/>
        </w:rPr>
        <w:t>原因</w:t>
      </w:r>
      <w:r>
        <w:rPr>
          <w:rFonts w:ascii="仿宋" w:eastAsia="仿宋" w:hAnsi="仿宋" w:cs="仿宋" w:hint="eastAsia"/>
          <w:sz w:val="32"/>
          <w:szCs w:val="32"/>
          <w:lang w:eastAsia="zh-CN"/>
        </w:rPr>
        <w:t>是寿县疾病预防控制中心疫苗收入</w:t>
      </w:r>
      <w:r>
        <w:rPr>
          <w:rFonts w:ascii="仿宋" w:eastAsia="仿宋" w:hAnsi="仿宋" w:cs="仿宋" w:hint="eastAsia"/>
          <w:sz w:val="32"/>
          <w:szCs w:val="32"/>
          <w:lang w:val="en-US" w:eastAsia="zh-CN"/>
        </w:rPr>
        <w:t>从2024年不在</w:t>
      </w:r>
      <w:r>
        <w:rPr>
          <w:rFonts w:ascii="仿宋" w:eastAsia="仿宋" w:hAnsi="仿宋" w:cs="仿宋" w:hint="eastAsia"/>
          <w:sz w:val="32"/>
          <w:szCs w:val="32"/>
          <w:lang w:eastAsia="zh-CN"/>
        </w:rPr>
        <w:t>纳入国库管理的非税收入。</w:t>
      </w:r>
    </w:p>
    <w:p>
      <w:pPr>
        <w:adjustRightInd w:val="0"/>
        <w:snapToGrid w:val="0"/>
        <w:spacing w:line="600" w:lineRule="exact"/>
        <w:ind w:firstLine="640" w:firstLineChars="200"/>
        <w:rPr>
          <w:rFonts w:ascii="仿宋_GB2312" w:eastAsia="仿宋_GB2312" w:hAnsi="仿宋" w:hint="eastAsia"/>
          <w:b/>
          <w:bCs/>
          <w:sz w:val="32"/>
          <w:szCs w:val="32"/>
        </w:rPr>
      </w:pPr>
      <w:r>
        <w:rPr>
          <w:rFonts w:ascii="仿宋" w:eastAsia="仿宋" w:hAnsi="仿宋" w:cs="仿宋" w:hint="eastAsia"/>
          <w:b/>
          <w:bCs/>
          <w:sz w:val="32"/>
          <w:szCs w:val="32"/>
          <w:lang w:val="en-US" w:eastAsia="zh-CN"/>
        </w:rPr>
        <w:t>12.</w:t>
      </w:r>
      <w:r>
        <w:rPr>
          <w:rFonts w:ascii="仿宋" w:eastAsia="仿宋" w:hAnsi="仿宋" w:cs="仿宋" w:hint="eastAsia"/>
          <w:b/>
          <w:bCs/>
          <w:sz w:val="32"/>
          <w:szCs w:val="32"/>
        </w:rPr>
        <w:t>卫生健康支出（类）公共卫生（款）卫生监督机构（项）</w:t>
      </w:r>
    </w:p>
    <w:p>
      <w:pPr>
        <w:ind w:firstLine="640" w:firstLineChars="200"/>
        <w:rPr>
          <w:rFonts w:ascii="仿宋" w:eastAsia="仿宋" w:hAnsi="仿宋" w:cs="仿宋" w:hint="eastAsia"/>
          <w:sz w:val="32"/>
          <w:szCs w:val="32"/>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242.36</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41.62</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20.73</w:t>
      </w:r>
      <w:r>
        <w:rPr>
          <w:rFonts w:ascii="仿宋_GB2312" w:eastAsia="仿宋_GB2312" w:hAnsi="仿宋" w:hint="eastAsia"/>
          <w:sz w:val="32"/>
          <w:szCs w:val="32"/>
        </w:rPr>
        <w:t>%，增长原因主要是</w:t>
      </w:r>
      <w:r>
        <w:rPr>
          <w:rFonts w:ascii="仿宋" w:eastAsia="仿宋" w:hAnsi="仿宋" w:cs="仿宋" w:hint="eastAsia"/>
          <w:sz w:val="32"/>
          <w:szCs w:val="32"/>
        </w:rPr>
        <w:t>人员工资标准提高造成的经费增加</w:t>
      </w:r>
      <w:r>
        <w:rPr>
          <w:rFonts w:ascii="仿宋" w:eastAsia="仿宋" w:hAnsi="仿宋" w:cs="仿宋" w:hint="eastAsia"/>
          <w:sz w:val="32"/>
          <w:szCs w:val="32"/>
          <w:lang w:eastAsia="zh-CN"/>
        </w:rPr>
        <w:t>。</w:t>
      </w:r>
    </w:p>
    <w:p>
      <w:pPr>
        <w:adjustRightInd w:val="0"/>
        <w:snapToGrid w:val="0"/>
        <w:spacing w:line="600" w:lineRule="exact"/>
        <w:ind w:firstLine="640" w:firstLineChars="200"/>
        <w:rPr>
          <w:rFonts w:ascii="仿宋_GB2312" w:eastAsia="仿宋_GB2312" w:hAnsi="仿宋" w:hint="eastAsia"/>
          <w:b/>
          <w:bCs/>
          <w:sz w:val="32"/>
          <w:szCs w:val="32"/>
        </w:rPr>
      </w:pPr>
      <w:r>
        <w:rPr>
          <w:rFonts w:ascii="仿宋" w:eastAsia="仿宋" w:hAnsi="仿宋" w:cs="仿宋" w:hint="eastAsia"/>
          <w:b/>
          <w:bCs/>
          <w:sz w:val="32"/>
          <w:szCs w:val="32"/>
          <w:lang w:val="en-US" w:eastAsia="zh-CN"/>
        </w:rPr>
        <w:t>13.</w:t>
      </w:r>
      <w:r>
        <w:rPr>
          <w:rFonts w:ascii="仿宋" w:eastAsia="仿宋" w:hAnsi="仿宋" w:cs="仿宋" w:hint="eastAsia"/>
          <w:b/>
          <w:bCs/>
          <w:sz w:val="32"/>
          <w:szCs w:val="32"/>
        </w:rPr>
        <w:t>卫生健康支出（类）公共卫生（款）妇幼保健机构（项）</w:t>
      </w:r>
    </w:p>
    <w:p>
      <w:pPr>
        <w:ind w:firstLine="640" w:firstLineChars="200"/>
        <w:rPr>
          <w:rFonts w:ascii="仿宋" w:eastAsia="仿宋" w:hAnsi="仿宋" w:cs="仿宋" w:hint="eastAsia"/>
          <w:sz w:val="32"/>
          <w:szCs w:val="32"/>
          <w:lang w:val="en-US"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301.6</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减少11.15</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下降3.56</w:t>
      </w:r>
      <w:r>
        <w:rPr>
          <w:rFonts w:ascii="仿宋_GB2312" w:eastAsia="仿宋_GB2312" w:hAnsi="仿宋" w:hint="eastAsia"/>
          <w:sz w:val="32"/>
          <w:szCs w:val="32"/>
        </w:rPr>
        <w:t>%，下降原因</w:t>
      </w:r>
      <w:r>
        <w:rPr>
          <w:rFonts w:ascii="仿宋" w:eastAsia="仿宋" w:hAnsi="仿宋" w:cs="仿宋" w:hint="eastAsia"/>
          <w:sz w:val="32"/>
          <w:szCs w:val="32"/>
        </w:rPr>
        <w:t>职人员转退休等变动造成的经</w:t>
      </w:r>
      <w:r>
        <w:rPr>
          <w:rFonts w:ascii="仿宋" w:eastAsia="仿宋" w:hAnsi="仿宋" w:cs="仿宋" w:hint="eastAsia"/>
          <w:sz w:val="32"/>
          <w:szCs w:val="32"/>
          <w:lang w:val="en-US" w:eastAsia="zh-CN"/>
        </w:rPr>
        <w:t xml:space="preserve">费减少。 </w:t>
      </w:r>
    </w:p>
    <w:p>
      <w:pPr>
        <w:numPr>
          <w:ilvl w:val="0"/>
          <w:numId w:val="2"/>
        </w:numPr>
        <w:adjustRightInd w:val="0"/>
        <w:snapToGrid w:val="0"/>
        <w:spacing w:line="600" w:lineRule="exact"/>
        <w:ind w:firstLine="640" w:firstLineChars="200"/>
        <w:rPr>
          <w:rFonts w:ascii="仿宋" w:eastAsia="仿宋" w:hAnsi="仿宋" w:cs="仿宋" w:hint="eastAsia"/>
          <w:b/>
          <w:bCs/>
          <w:sz w:val="32"/>
          <w:szCs w:val="32"/>
        </w:rPr>
      </w:pPr>
      <w:r>
        <w:rPr>
          <w:rFonts w:ascii="仿宋" w:eastAsia="仿宋" w:hAnsi="仿宋" w:cs="仿宋" w:hint="eastAsia"/>
          <w:b/>
          <w:bCs/>
          <w:sz w:val="32"/>
          <w:szCs w:val="32"/>
        </w:rPr>
        <w:t>卫生健康支出（类）公共卫生（款）</w:t>
      </w:r>
      <w:r>
        <w:rPr>
          <w:rFonts w:ascii="仿宋" w:eastAsia="仿宋" w:hAnsi="仿宋" w:cs="仿宋" w:hint="eastAsia"/>
          <w:b/>
          <w:bCs/>
          <w:sz w:val="32"/>
          <w:szCs w:val="32"/>
          <w:lang w:val="en-US" w:eastAsia="zh-CN"/>
        </w:rPr>
        <w:t>基本公共卫生服务</w:t>
      </w:r>
      <w:r>
        <w:rPr>
          <w:rFonts w:ascii="仿宋" w:eastAsia="仿宋" w:hAnsi="仿宋" w:cs="仿宋" w:hint="eastAsia"/>
          <w:b/>
          <w:bCs/>
          <w:sz w:val="32"/>
          <w:szCs w:val="32"/>
        </w:rPr>
        <w:t>（项）</w:t>
      </w:r>
    </w:p>
    <w:p>
      <w:pPr>
        <w:adjustRightInd w:val="0"/>
        <w:snapToGrid w:val="0"/>
        <w:spacing w:line="600" w:lineRule="exact"/>
        <w:ind w:firstLine="640" w:firstLineChars="200"/>
        <w:rPr>
          <w:rFonts w:ascii="仿宋_GB2312" w:eastAsia="仿宋_GB2312" w:hAnsi="仿宋" w:hint="eastAsia"/>
          <w:sz w:val="32"/>
          <w:szCs w:val="32"/>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8278.24</w:t>
      </w:r>
      <w:r>
        <w:rPr>
          <w:rFonts w:ascii="仿宋_GB2312" w:eastAsia="仿宋_GB2312" w:hAnsi="仿宋" w:hint="eastAsia"/>
          <w:sz w:val="32"/>
          <w:szCs w:val="32"/>
        </w:rPr>
        <w:t>万元</w:t>
      </w: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新纳入平台的中央转移支付项目</w:t>
      </w:r>
      <w:r>
        <w:rPr>
          <w:rFonts w:ascii="仿宋_GB2312" w:eastAsia="仿宋_GB2312" w:hAnsi="仿宋" w:hint="eastAsia"/>
          <w:sz w:val="32"/>
          <w:szCs w:val="32"/>
        </w:rPr>
        <w:t>。</w:t>
      </w:r>
    </w:p>
    <w:p>
      <w:pPr>
        <w:numPr>
          <w:ilvl w:val="0"/>
          <w:numId w:val="2"/>
        </w:numPr>
        <w:adjustRightInd w:val="0"/>
        <w:snapToGrid w:val="0"/>
        <w:spacing w:line="600" w:lineRule="exact"/>
        <w:ind w:firstLine="640" w:firstLineChars="200"/>
        <w:rPr>
          <w:rFonts w:ascii="仿宋" w:eastAsia="仿宋" w:hAnsi="仿宋" w:cs="仿宋" w:hint="eastAsia"/>
          <w:b/>
          <w:bCs/>
          <w:sz w:val="32"/>
          <w:szCs w:val="32"/>
        </w:rPr>
      </w:pPr>
      <w:r>
        <w:rPr>
          <w:rFonts w:ascii="仿宋" w:eastAsia="仿宋" w:hAnsi="仿宋" w:cs="仿宋" w:hint="eastAsia"/>
          <w:b/>
          <w:bCs/>
          <w:sz w:val="32"/>
          <w:szCs w:val="32"/>
        </w:rPr>
        <w:t>卫生健康支出（类）</w:t>
      </w:r>
      <w:r>
        <w:rPr>
          <w:rFonts w:ascii="仿宋" w:eastAsia="仿宋" w:hAnsi="仿宋" w:cs="仿宋" w:hint="eastAsia"/>
          <w:b/>
          <w:bCs/>
          <w:sz w:val="32"/>
          <w:szCs w:val="32"/>
          <w:lang w:val="en-US" w:eastAsia="zh-CN"/>
        </w:rPr>
        <w:t>计划生育事务</w:t>
      </w:r>
      <w:r>
        <w:rPr>
          <w:rFonts w:ascii="仿宋" w:eastAsia="仿宋" w:hAnsi="仿宋" w:cs="仿宋" w:hint="eastAsia"/>
          <w:b/>
          <w:bCs/>
          <w:sz w:val="32"/>
          <w:szCs w:val="32"/>
        </w:rPr>
        <w:t>（款）</w:t>
      </w:r>
      <w:r>
        <w:rPr>
          <w:rFonts w:ascii="仿宋" w:eastAsia="仿宋" w:hAnsi="仿宋" w:cs="仿宋" w:hint="eastAsia"/>
          <w:b/>
          <w:bCs/>
          <w:sz w:val="32"/>
          <w:szCs w:val="32"/>
          <w:lang w:val="en-US" w:eastAsia="zh-CN"/>
        </w:rPr>
        <w:t>计划生育服务（</w:t>
      </w:r>
      <w:r>
        <w:rPr>
          <w:rFonts w:ascii="仿宋" w:eastAsia="仿宋" w:hAnsi="仿宋" w:cs="仿宋" w:hint="eastAsia"/>
          <w:b/>
          <w:bCs/>
          <w:sz w:val="32"/>
          <w:szCs w:val="32"/>
        </w:rPr>
        <w:t>项）</w:t>
      </w:r>
    </w:p>
    <w:p>
      <w:pPr>
        <w:adjustRightInd w:val="0"/>
        <w:snapToGrid w:val="0"/>
        <w:spacing w:line="600" w:lineRule="exact"/>
        <w:ind w:firstLine="640" w:firstLineChars="200"/>
        <w:rPr>
          <w:rFonts w:ascii="仿宋_GB2312" w:eastAsia="仿宋_GB2312" w:hAnsi="仿宋" w:hint="eastAsia"/>
          <w:sz w:val="32"/>
          <w:szCs w:val="32"/>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2094.12</w:t>
      </w:r>
      <w:r>
        <w:rPr>
          <w:rFonts w:ascii="仿宋_GB2312" w:eastAsia="仿宋_GB2312" w:hAnsi="仿宋" w:hint="eastAsia"/>
          <w:sz w:val="32"/>
          <w:szCs w:val="32"/>
        </w:rPr>
        <w:t>万元</w:t>
      </w: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新纳入平台的中央转移支付项目</w:t>
      </w:r>
      <w:r>
        <w:rPr>
          <w:rFonts w:ascii="仿宋_GB2312" w:eastAsia="仿宋_GB2312" w:hAnsi="仿宋" w:hint="eastAsia"/>
          <w:sz w:val="32"/>
          <w:szCs w:val="32"/>
        </w:rPr>
        <w:t>。</w:t>
      </w:r>
    </w:p>
    <w:p>
      <w:pPr>
        <w:adjustRightInd w:val="0"/>
        <w:snapToGrid w:val="0"/>
        <w:spacing w:line="600" w:lineRule="exact"/>
        <w:ind w:firstLine="640" w:firstLineChars="200"/>
        <w:rPr>
          <w:rFonts w:ascii="仿宋_GB2312" w:eastAsia="仿宋_GB2312" w:hAnsi="仿宋" w:hint="eastAsia"/>
          <w:b/>
          <w:bCs/>
          <w:sz w:val="32"/>
          <w:szCs w:val="32"/>
          <w:lang w:eastAsia="zh-CN"/>
        </w:rPr>
      </w:pPr>
      <w:r>
        <w:rPr>
          <w:rFonts w:ascii="仿宋" w:eastAsia="仿宋" w:hAnsi="仿宋" w:cs="仿宋" w:hint="eastAsia"/>
          <w:b/>
          <w:bCs/>
          <w:sz w:val="32"/>
          <w:szCs w:val="32"/>
          <w:lang w:val="en-US" w:eastAsia="zh-CN"/>
        </w:rPr>
        <w:t>16.</w:t>
      </w:r>
      <w:r>
        <w:rPr>
          <w:rFonts w:ascii="仿宋" w:eastAsia="仿宋" w:hAnsi="仿宋" w:cs="仿宋" w:hint="eastAsia"/>
          <w:b/>
          <w:bCs/>
          <w:sz w:val="32"/>
          <w:szCs w:val="32"/>
        </w:rPr>
        <w:t>卫生健康支出（类）行政事业单位医疗（款）行政单位医疗（项）</w:t>
      </w:r>
    </w:p>
    <w:p>
      <w:pPr>
        <w:ind w:firstLine="640" w:firstLineChars="200"/>
        <w:rPr>
          <w:rFonts w:ascii="仿宋" w:eastAsia="仿宋" w:hAnsi="仿宋" w:cs="仿宋" w:hint="eastAsia"/>
          <w:sz w:val="32"/>
          <w:szCs w:val="32"/>
          <w:highlight w:val="yellow"/>
          <w:lang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20.34</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增加17.55</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增长30.25</w:t>
      </w:r>
      <w:r>
        <w:rPr>
          <w:rFonts w:ascii="仿宋_GB2312" w:eastAsia="仿宋_GB2312" w:hAnsi="仿宋" w:hint="eastAsia"/>
          <w:sz w:val="32"/>
          <w:szCs w:val="32"/>
        </w:rPr>
        <w:t>%，</w:t>
      </w:r>
      <w:r>
        <w:rPr>
          <w:rFonts w:ascii="仿宋_GB2312" w:eastAsia="仿宋_GB2312" w:hAnsi="仿宋" w:hint="eastAsia"/>
          <w:sz w:val="32"/>
          <w:szCs w:val="32"/>
          <w:highlight w:val="none"/>
        </w:rPr>
        <w:t>增长原因主要是</w:t>
      </w:r>
      <w:r>
        <w:rPr>
          <w:rFonts w:ascii="仿宋" w:eastAsia="仿宋" w:hAnsi="仿宋" w:cs="仿宋" w:hint="eastAsia"/>
          <w:sz w:val="32"/>
          <w:szCs w:val="32"/>
          <w:highlight w:val="none"/>
        </w:rPr>
        <w:t>人员工资标准提高造成的经费增加</w:t>
      </w:r>
      <w:r>
        <w:rPr>
          <w:rFonts w:ascii="仿宋" w:eastAsia="仿宋" w:hAnsi="仿宋" w:cs="仿宋" w:hint="eastAsia"/>
          <w:sz w:val="32"/>
          <w:szCs w:val="32"/>
          <w:highlight w:val="none"/>
          <w:lang w:eastAsia="zh-CN"/>
        </w:rPr>
        <w:t>。</w:t>
      </w:r>
    </w:p>
    <w:p>
      <w:pPr>
        <w:adjustRightInd w:val="0"/>
        <w:snapToGrid w:val="0"/>
        <w:spacing w:line="600" w:lineRule="exact"/>
        <w:ind w:firstLine="640" w:firstLineChars="200"/>
        <w:rPr>
          <w:rFonts w:ascii="仿宋_GB2312" w:eastAsia="仿宋_GB2312" w:hAnsi="仿宋" w:hint="eastAsia"/>
          <w:b/>
          <w:bCs/>
          <w:sz w:val="32"/>
          <w:szCs w:val="32"/>
        </w:rPr>
      </w:pPr>
      <w:r>
        <w:rPr>
          <w:rFonts w:ascii="仿宋" w:eastAsia="仿宋" w:hAnsi="仿宋" w:cs="仿宋" w:hint="eastAsia"/>
          <w:b/>
          <w:bCs/>
          <w:sz w:val="32"/>
          <w:szCs w:val="32"/>
          <w:lang w:val="en-US" w:eastAsia="zh-CN"/>
        </w:rPr>
        <w:t>17.</w:t>
      </w:r>
      <w:r>
        <w:rPr>
          <w:rFonts w:ascii="仿宋" w:eastAsia="仿宋" w:hAnsi="仿宋" w:cs="仿宋" w:hint="eastAsia"/>
          <w:b/>
          <w:bCs/>
          <w:sz w:val="32"/>
          <w:szCs w:val="32"/>
        </w:rPr>
        <w:t>卫生健康支出（类）行政事业单位医疗（款）</w:t>
      </w:r>
      <w:r>
        <w:rPr>
          <w:rFonts w:ascii="仿宋" w:eastAsia="仿宋" w:hAnsi="仿宋" w:cs="仿宋" w:hint="eastAsia"/>
          <w:b/>
          <w:bCs/>
          <w:sz w:val="32"/>
          <w:szCs w:val="32"/>
          <w:lang w:eastAsia="zh-CN"/>
        </w:rPr>
        <w:t>事业</w:t>
      </w:r>
      <w:r>
        <w:rPr>
          <w:rFonts w:ascii="仿宋" w:eastAsia="仿宋" w:hAnsi="仿宋" w:cs="仿宋" w:hint="eastAsia"/>
          <w:b/>
          <w:bCs/>
          <w:sz w:val="32"/>
          <w:szCs w:val="32"/>
        </w:rPr>
        <w:t>单位医疗（项）</w:t>
      </w:r>
    </w:p>
    <w:p>
      <w:pPr>
        <w:adjustRightInd w:val="0"/>
        <w:snapToGrid w:val="0"/>
        <w:spacing w:line="600" w:lineRule="exact"/>
        <w:ind w:firstLine="640" w:firstLineChars="200"/>
        <w:rPr>
          <w:rFonts w:ascii="仿宋" w:eastAsia="仿宋" w:hAnsi="仿宋" w:cs="仿宋" w:hint="eastAsia"/>
          <w:sz w:val="32"/>
          <w:szCs w:val="32"/>
          <w:lang w:val="en-US" w:eastAsia="zh-CN"/>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373,17</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减少2.68</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下降0.71</w:t>
      </w:r>
      <w:r>
        <w:rPr>
          <w:rFonts w:ascii="仿宋_GB2312" w:eastAsia="仿宋_GB2312" w:hAnsi="仿宋" w:hint="eastAsia"/>
          <w:sz w:val="32"/>
          <w:szCs w:val="32"/>
        </w:rPr>
        <w:t>%，下降原因</w:t>
      </w:r>
      <w:r>
        <w:rPr>
          <w:rFonts w:ascii="仿宋" w:eastAsia="仿宋" w:hAnsi="仿宋" w:cs="仿宋" w:hint="eastAsia"/>
          <w:sz w:val="32"/>
          <w:szCs w:val="32"/>
        </w:rPr>
        <w:t>职人员转退休</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辞职</w:t>
      </w:r>
      <w:r>
        <w:rPr>
          <w:rFonts w:ascii="仿宋" w:eastAsia="仿宋" w:hAnsi="仿宋" w:cs="仿宋" w:hint="eastAsia"/>
          <w:sz w:val="32"/>
          <w:szCs w:val="32"/>
        </w:rPr>
        <w:t>等变动造成的经</w:t>
      </w:r>
      <w:r>
        <w:rPr>
          <w:rFonts w:ascii="仿宋" w:eastAsia="仿宋" w:hAnsi="仿宋" w:cs="仿宋" w:hint="eastAsia"/>
          <w:sz w:val="32"/>
          <w:szCs w:val="32"/>
          <w:lang w:val="en-US" w:eastAsia="zh-CN"/>
        </w:rPr>
        <w:t>费减少。</w:t>
      </w:r>
    </w:p>
    <w:p>
      <w:pPr>
        <w:adjustRightInd w:val="0"/>
        <w:snapToGrid w:val="0"/>
        <w:spacing w:line="600" w:lineRule="exact"/>
        <w:ind w:firstLine="640" w:firstLineChars="200"/>
        <w:rPr>
          <w:rFonts w:ascii="仿宋" w:eastAsia="仿宋" w:hAnsi="仿宋" w:cs="仿宋" w:hint="eastAsia"/>
          <w:b/>
          <w:bCs/>
          <w:sz w:val="32"/>
          <w:szCs w:val="32"/>
          <w:lang w:eastAsia="zh-CN"/>
        </w:rPr>
      </w:pPr>
      <w:r>
        <w:rPr>
          <w:rFonts w:ascii="仿宋" w:eastAsia="仿宋" w:hAnsi="仿宋" w:cs="仿宋" w:hint="eastAsia"/>
          <w:sz w:val="32"/>
          <w:szCs w:val="32"/>
          <w:lang w:val="en-US" w:eastAsia="zh-CN"/>
        </w:rPr>
        <w:t xml:space="preserve"> 18.</w:t>
      </w:r>
      <w:r>
        <w:rPr>
          <w:rFonts w:ascii="仿宋" w:eastAsia="仿宋" w:hAnsi="仿宋" w:cs="仿宋" w:hint="eastAsia"/>
          <w:b/>
          <w:bCs/>
          <w:sz w:val="32"/>
          <w:szCs w:val="32"/>
        </w:rPr>
        <w:t>住房保障支出（类）住房改革支出（款）住房公积金（项）</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972.36、949.13</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23.23</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2,25</w:t>
      </w:r>
      <w:r>
        <w:rPr>
          <w:rFonts w:ascii="仿宋_GB2312" w:eastAsia="仿宋_GB2312" w:hAnsi="仿宋" w:hint="eastAsia"/>
          <w:sz w:val="32"/>
          <w:szCs w:val="32"/>
        </w:rPr>
        <w:t>%，增长原因主要是</w:t>
      </w:r>
      <w:r>
        <w:rPr>
          <w:rFonts w:ascii="仿宋" w:eastAsia="仿宋" w:hAnsi="仿宋" w:cs="仿宋" w:hint="eastAsia"/>
          <w:sz w:val="32"/>
          <w:szCs w:val="32"/>
        </w:rPr>
        <w:t>人员工资标准提高造成的经费增加</w:t>
      </w:r>
      <w:r>
        <w:rPr>
          <w:rFonts w:ascii="仿宋" w:eastAsia="仿宋" w:hAnsi="仿宋" w:cs="仿宋" w:hint="eastAsia"/>
          <w:sz w:val="32"/>
          <w:szCs w:val="32"/>
          <w:lang w:eastAsia="zh-CN"/>
        </w:rPr>
        <w:t>。</w:t>
      </w:r>
    </w:p>
    <w:p>
      <w:pPr>
        <w:adjustRightInd w:val="0"/>
        <w:snapToGrid w:val="0"/>
        <w:spacing w:line="600" w:lineRule="exact"/>
        <w:ind w:firstLine="640" w:firstLineChars="200"/>
        <w:rPr>
          <w:rFonts w:ascii="仿宋_GB2312" w:eastAsia="仿宋_GB2312" w:hAnsi="仿宋" w:hint="eastAsia"/>
          <w:sz w:val="32"/>
          <w:szCs w:val="32"/>
          <w:lang w:eastAsia="zh-CN"/>
        </w:rPr>
      </w:pPr>
    </w:p>
    <w:p>
      <w:pPr>
        <w:pStyle w:val="NormalWeb"/>
        <w:topLinePunct/>
        <w:adjustRightInd w:val="0"/>
        <w:snapToGrid w:val="0"/>
        <w:spacing w:beforeAutospacing="0" w:afterAutospacing="0" w:line="580" w:lineRule="exact"/>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六、关于2024年一般公共预算基本支出表的说明</w:t>
      </w:r>
    </w:p>
    <w:p>
      <w:pPr>
        <w:topLinePunct/>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 w:eastAsia="仿宋" w:hAnsi="仿宋" w:cs="仿宋" w:hint="eastAsia"/>
          <w:sz w:val="32"/>
          <w:szCs w:val="32"/>
          <w:lang w:eastAsia="zh-CN"/>
        </w:rPr>
        <w:t>卫生健康委员会</w:t>
      </w:r>
      <w:r>
        <w:rPr>
          <w:rFonts w:ascii="仿宋" w:eastAsia="仿宋" w:hAnsi="仿宋" w:cs="仿宋" w:hint="eastAsia"/>
          <w:sz w:val="32"/>
          <w:szCs w:val="32"/>
        </w:rPr>
        <w:t>（部门）</w:t>
      </w:r>
      <w:r>
        <w:rPr>
          <w:rFonts w:ascii="仿宋_GB2312" w:eastAsia="仿宋_GB2312" w:hAnsi="TimesNewRoman" w:cs="TimesNewRoman" w:hint="eastAsia"/>
          <w:sz w:val="32"/>
          <w:szCs w:val="32"/>
        </w:rPr>
        <w:t>2024年一般公共预算基本支出</w:t>
      </w:r>
      <w:r>
        <w:rPr>
          <w:rFonts w:ascii="仿宋_GB2312" w:eastAsia="仿宋_GB2312" w:hAnsi="TimesNewRoman" w:cs="TimesNewRoman" w:hint="eastAsia"/>
          <w:sz w:val="32"/>
          <w:szCs w:val="32"/>
          <w:lang w:val="en-US" w:eastAsia="zh-CN"/>
        </w:rPr>
        <w:t>24832.28</w:t>
      </w:r>
      <w:r>
        <w:rPr>
          <w:rFonts w:ascii="仿宋_GB2312" w:eastAsia="仿宋_GB2312" w:hAnsi="TimesNewRoman" w:cs="TimesNewRoman" w:hint="eastAsia"/>
          <w:sz w:val="32"/>
          <w:szCs w:val="32"/>
        </w:rPr>
        <w:t>万元，其中，人员经费</w:t>
      </w:r>
      <w:r>
        <w:rPr>
          <w:rFonts w:ascii="仿宋_GB2312" w:eastAsia="仿宋_GB2312" w:hAnsi="TimesNewRoman" w:cs="TimesNewRoman" w:hint="eastAsia"/>
          <w:sz w:val="32"/>
          <w:szCs w:val="32"/>
          <w:lang w:val="en-US" w:eastAsia="zh-CN"/>
        </w:rPr>
        <w:t>13953.59</w:t>
      </w:r>
      <w:r>
        <w:rPr>
          <w:rFonts w:ascii="仿宋_GB2312" w:eastAsia="仿宋_GB2312" w:hAnsi="TimesNewRoman" w:cs="TimesNewRoman" w:hint="eastAsia"/>
          <w:sz w:val="32"/>
          <w:szCs w:val="32"/>
        </w:rPr>
        <w:t>万元，公用经费</w:t>
      </w:r>
      <w:r>
        <w:rPr>
          <w:rFonts w:ascii="仿宋_GB2312" w:eastAsia="仿宋_GB2312" w:hAnsi="TimesNewRoman" w:cs="TimesNewRoman" w:hint="eastAsia"/>
          <w:sz w:val="32"/>
          <w:szCs w:val="32"/>
          <w:lang w:val="en-US" w:eastAsia="zh-CN"/>
        </w:rPr>
        <w:t>148</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项目支出10730.70万元</w:t>
      </w:r>
      <w:r>
        <w:rPr>
          <w:rFonts w:ascii="仿宋_GB2312" w:eastAsia="仿宋_GB2312" w:hAnsi="TimesNewRoman" w:cs="TimesNewRoman" w:hint="eastAsia"/>
          <w:sz w:val="32"/>
          <w:szCs w:val="32"/>
        </w:rPr>
        <w:t>。</w:t>
      </w:r>
    </w:p>
    <w:p>
      <w:pPr>
        <w:pStyle w:val="NormalWeb"/>
        <w:adjustRightInd w:val="0"/>
        <w:snapToGrid w:val="0"/>
        <w:spacing w:before="0" w:beforeAutospacing="0" w:after="0" w:afterAutospacing="0" w:line="600" w:lineRule="exact"/>
        <w:ind w:firstLine="640" w:firstLineChars="200"/>
        <w:rPr>
          <w:rFonts w:ascii="仿宋" w:eastAsia="仿宋" w:hAnsi="仿宋" w:cs="仿宋" w:hint="eastAsia"/>
          <w:sz w:val="32"/>
          <w:szCs w:val="32"/>
          <w:highlight w:val="none"/>
          <w:u w:val="single"/>
          <w:lang w:eastAsia="zh-CN"/>
        </w:rPr>
      </w:pPr>
      <w:r>
        <w:rPr>
          <w:rFonts w:ascii="仿宋_GB2312" w:eastAsia="仿宋_GB2312" w:hAnsi="TimesNewRoman" w:cs="TimesNewRoman" w:hint="eastAsia"/>
          <w:sz w:val="32"/>
          <w:szCs w:val="32"/>
        </w:rPr>
        <w:t>（一）人员经费</w:t>
      </w:r>
      <w:r>
        <w:rPr>
          <w:rFonts w:ascii="仿宋_GB2312" w:eastAsia="仿宋_GB2312" w:hAnsi="TimesNewRoman" w:cs="TimesNewRoman" w:hint="eastAsia"/>
          <w:sz w:val="32"/>
          <w:szCs w:val="32"/>
          <w:lang w:val="en-US" w:eastAsia="zh-CN"/>
        </w:rPr>
        <w:t>13953.59</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基本工资、津贴补贴、奖金、绩效工资、机关事业单位基本养老保险费、职业年金缴费、职工基本医疗保险缴费、公务员医疗补助缴费、其他社会保障缴费、住房公积金、其他工资福利支出</w:t>
      </w:r>
      <w:r>
        <w:rPr>
          <w:rFonts w:ascii="仿宋_GB2312" w:eastAsia="仿宋_GB2312" w:hAnsi="TimesNewRoman" w:cs="TimesNewRoman" w:hint="eastAsia"/>
          <w:sz w:val="32"/>
          <w:szCs w:val="32"/>
          <w:u w:val="single"/>
          <w:lang w:val="en-US" w:eastAsia="zh-CN"/>
        </w:rPr>
        <w:t xml:space="preserve"> </w:t>
      </w:r>
      <w:r>
        <w:rPr>
          <w:rFonts w:ascii="仿宋_GB2312" w:eastAsia="仿宋_GB2312" w:hAnsi="仿宋" w:hint="eastAsia"/>
          <w:sz w:val="32"/>
          <w:szCs w:val="32"/>
          <w:u w:val="single"/>
        </w:rPr>
        <w:t>对个人和家庭的补助</w:t>
      </w:r>
      <w:r>
        <w:rPr>
          <w:rFonts w:ascii="仿宋_GB2312" w:eastAsia="仿宋_GB2312" w:hAnsi="仿宋" w:hint="eastAsia"/>
          <w:sz w:val="32"/>
          <w:szCs w:val="32"/>
          <w:u w:val="single"/>
          <w:lang w:val="en-US" w:eastAsia="zh-CN"/>
        </w:rPr>
        <w:t>2318.27</w:t>
      </w:r>
      <w:r>
        <w:rPr>
          <w:rFonts w:ascii="仿宋_GB2312" w:eastAsia="仿宋_GB2312" w:hAnsi="仿宋" w:hint="eastAsia"/>
          <w:sz w:val="32"/>
          <w:szCs w:val="32"/>
          <w:u w:val="single"/>
        </w:rPr>
        <w:t>万元，主要包括：</w:t>
      </w:r>
      <w:r>
        <w:rPr>
          <w:rFonts w:ascii="仿宋_GB2312" w:eastAsia="仿宋_GB2312" w:hAnsi="仿宋" w:hint="eastAsia"/>
          <w:sz w:val="32"/>
          <w:szCs w:val="32"/>
          <w:u w:val="single"/>
          <w:lang w:val="en-US" w:eastAsia="zh-CN"/>
        </w:rPr>
        <w:t>退</w:t>
      </w:r>
      <w:r>
        <w:rPr>
          <w:rFonts w:ascii="仿宋_GB2312" w:eastAsia="仿宋_GB2312" w:hAnsi="仿宋" w:hint="eastAsia"/>
          <w:sz w:val="32"/>
          <w:szCs w:val="32"/>
          <w:u w:val="single"/>
        </w:rPr>
        <w:t>休费、生活补助。</w:t>
      </w:r>
    </w:p>
    <w:p>
      <w:pPr>
        <w:topLinePunct/>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（二）公用经费</w:t>
      </w:r>
      <w:r>
        <w:rPr>
          <w:rFonts w:ascii="仿宋_GB2312" w:eastAsia="仿宋_GB2312" w:hAnsi="TimesNewRoman" w:cs="TimesNewRoman" w:hint="eastAsia"/>
          <w:sz w:val="32"/>
          <w:szCs w:val="32"/>
          <w:lang w:val="en-US" w:eastAsia="zh-CN"/>
        </w:rPr>
        <w:t>148</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办公费、印刷费、水费、电费、邮电费、物业管理费、差旅费、会议费、培训费、公务接待费、专用材料费、工会经费、其他交通费用</w:t>
      </w:r>
      <w:r>
        <w:rPr>
          <w:rFonts w:ascii="仿宋_GB2312" w:eastAsia="仿宋_GB2312" w:hAnsi="TimesNewRoman" w:cs="TimesNewRoman" w:hint="eastAsia"/>
          <w:sz w:val="32"/>
          <w:szCs w:val="32"/>
          <w:u w:val="single"/>
          <w:lang w:eastAsia="zh-CN"/>
        </w:rPr>
        <w:t>。</w:t>
      </w:r>
      <w:r>
        <w:rPr>
          <w:rFonts w:ascii="仿宋_GB2312" w:eastAsia="仿宋_GB2312" w:hAnsi="TimesNewRoman" w:cs="TimesNewRoman" w:hint="eastAsia"/>
          <w:sz w:val="32"/>
          <w:szCs w:val="32"/>
          <w:u w:val="single"/>
          <w:lang w:val="en-US" w:eastAsia="zh-CN"/>
        </w:rPr>
        <w:t>资本性支出4万元，主要包括：办公设备购置</w:t>
      </w:r>
      <w:r>
        <w:rPr>
          <w:rFonts w:ascii="仿宋_GB2312" w:eastAsia="仿宋_GB2312" w:hAnsi="TimesNewRoman" w:cs="TimesNewRoman" w:hint="eastAsia"/>
          <w:sz w:val="32"/>
          <w:szCs w:val="32"/>
          <w:u w:val="single"/>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七、关于2024年政府性基金预算支出表的说明</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eastAsia="zh-CN"/>
        </w:rPr>
        <w:t>寿县卫生健康委员会</w:t>
      </w:r>
      <w:r>
        <w:rPr>
          <w:rFonts w:ascii="仿宋_GB2312" w:eastAsia="仿宋_GB2312" w:hAnsi="仿宋" w:hint="eastAsia"/>
          <w:sz w:val="32"/>
          <w:szCs w:val="32"/>
        </w:rPr>
        <w:t>（部门）202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年没有政府性基金预算拨款收入，也没有使用政府性基金预算拨款安排的支出。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八、关于2024年国有资本经营预算支出表的说明</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eastAsia="zh-CN"/>
        </w:rPr>
        <w:t>寿县卫生健康委员会</w:t>
      </w:r>
      <w:r>
        <w:rPr>
          <w:rFonts w:ascii="仿宋_GB2312" w:eastAsia="仿宋_GB2312" w:hAnsi="仿宋" w:hint="eastAsia"/>
          <w:sz w:val="32"/>
          <w:szCs w:val="32"/>
        </w:rPr>
        <w:t>（部门）202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年没有国有资本经营预算拨款收入，也没有使用国有资本经营预算拨款安排的支出。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九、关于2024年项目支出表的说明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2024年预算共安排项目支出</w:t>
      </w:r>
      <w:r>
        <w:rPr>
          <w:rFonts w:ascii="仿宋_GB2312" w:eastAsia="仿宋_GB2312" w:hAnsi="TimesNewRoman" w:cs="TimesNewRoman" w:hint="eastAsia"/>
          <w:sz w:val="32"/>
          <w:szCs w:val="32"/>
          <w:lang w:val="en-US" w:eastAsia="zh-CN"/>
        </w:rPr>
        <w:t>73334</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10131.48</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16.03</w:t>
      </w:r>
      <w:r>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highlight w:val="none"/>
        </w:rPr>
        <w:t>增长</w:t>
      </w:r>
      <w:r>
        <w:rPr>
          <w:rFonts w:ascii="仿宋_GB2312" w:eastAsia="仿宋_GB2312" w:hAnsi="TimesNewRoman" w:cs="TimesNewRoman" w:hint="eastAsia"/>
          <w:sz w:val="32"/>
          <w:szCs w:val="32"/>
          <w:highlight w:val="none"/>
          <w:lang w:eastAsia="zh-CN"/>
        </w:rPr>
        <w:t>原因是</w:t>
      </w:r>
      <w:r>
        <w:rPr>
          <w:rFonts w:ascii="仿宋_GB2312" w:eastAsia="仿宋_GB2312" w:hAnsi="TimesNewRoman" w:cs="TimesNewRoman" w:hint="eastAsia"/>
          <w:sz w:val="32"/>
          <w:szCs w:val="32"/>
          <w:highlight w:val="none"/>
          <w:lang w:val="en-US" w:eastAsia="zh-CN"/>
        </w:rPr>
        <w:t>中央</w:t>
      </w:r>
      <w:r>
        <w:rPr>
          <w:rFonts w:ascii="仿宋_GB2312" w:eastAsia="仿宋_GB2312" w:hAnsi="TimesNewRoman" w:cs="TimesNewRoman" w:hint="eastAsia"/>
          <w:sz w:val="32"/>
          <w:szCs w:val="32"/>
          <w:lang w:val="en-US" w:eastAsia="zh-CN"/>
        </w:rPr>
        <w:t>转移支付项目列入预算平台</w:t>
      </w:r>
      <w:r>
        <w:rPr>
          <w:rFonts w:ascii="仿宋_GB2312" w:eastAsia="仿宋_GB2312" w:hAnsi="TimesNewRoman" w:cs="TimesNewRoman" w:hint="eastAsia"/>
          <w:sz w:val="32"/>
          <w:szCs w:val="32"/>
        </w:rPr>
        <w:t>。主要包括：本年财政拨款安排</w:t>
      </w:r>
      <w:r>
        <w:rPr>
          <w:rFonts w:ascii="仿宋_GB2312" w:eastAsia="仿宋_GB2312" w:hAnsi="TimesNewRoman" w:cs="TimesNewRoman" w:hint="eastAsia"/>
          <w:sz w:val="32"/>
          <w:szCs w:val="32"/>
          <w:lang w:val="en-US" w:eastAsia="zh-CN"/>
        </w:rPr>
        <w:t>10730.70</w:t>
      </w:r>
      <w:r>
        <w:rPr>
          <w:rFonts w:ascii="仿宋_GB2312" w:eastAsia="仿宋_GB2312" w:hAnsi="TimesNewRoman" w:cs="TimesNewRoman" w:hint="eastAsia"/>
          <w:sz w:val="32"/>
          <w:szCs w:val="32"/>
        </w:rPr>
        <w:t>万元（其中，一般公共预算拨款安排</w:t>
      </w:r>
      <w:r>
        <w:rPr>
          <w:rFonts w:ascii="仿宋_GB2312" w:eastAsia="仿宋_GB2312" w:hAnsi="TimesNewRoman" w:cs="TimesNewRoman" w:hint="eastAsia"/>
          <w:sz w:val="32"/>
          <w:szCs w:val="32"/>
          <w:lang w:val="en-US" w:eastAsia="zh-CN"/>
        </w:rPr>
        <w:t>10373.19</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十、关于2024年政府采购支出表的说明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2024年预算安排政府采购支出</w:t>
      </w:r>
      <w:r>
        <w:rPr>
          <w:rFonts w:ascii="仿宋_GB2312" w:eastAsia="仿宋_GB2312" w:hAnsi="TimesNewRoman" w:cs="TimesNewRoman" w:hint="eastAsia"/>
          <w:sz w:val="32"/>
          <w:szCs w:val="32"/>
          <w:lang w:val="en-US" w:eastAsia="zh-CN"/>
        </w:rPr>
        <w:t>1291.91</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167.13</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14.85</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单位设备购置增加</w:t>
      </w:r>
      <w:r>
        <w:rPr>
          <w:rFonts w:ascii="仿宋_GB2312" w:eastAsia="仿宋_GB2312" w:hAnsi="TimesNewRoman" w:cs="TimesNewRoman" w:hint="eastAsia"/>
          <w:sz w:val="32"/>
          <w:szCs w:val="32"/>
        </w:rPr>
        <w:t>。其中，一般公共预算安排</w:t>
      </w:r>
      <w:r>
        <w:rPr>
          <w:rFonts w:ascii="仿宋_GB2312" w:eastAsia="仿宋_GB2312" w:hAnsi="TimesNewRoman" w:cs="TimesNewRoman" w:hint="eastAsia"/>
          <w:sz w:val="32"/>
          <w:szCs w:val="32"/>
          <w:lang w:val="en-US" w:eastAsia="zh-CN"/>
        </w:rPr>
        <w:t>2.5</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0.2</w:t>
      </w:r>
      <w:r>
        <w:rPr>
          <w:rFonts w:ascii="仿宋_GB2312" w:eastAsia="仿宋_GB2312" w:hAnsi="TimesNewRoman" w:cs="TimesNewRoman" w:hint="eastAsia"/>
          <w:sz w:val="32"/>
          <w:szCs w:val="32"/>
        </w:rPr>
        <w:t>%；单位资金安排</w:t>
      </w:r>
      <w:r>
        <w:rPr>
          <w:rFonts w:ascii="仿宋_GB2312" w:eastAsia="仿宋_GB2312" w:hAnsi="TimesNewRoman" w:cs="TimesNewRoman" w:hint="eastAsia"/>
          <w:sz w:val="32"/>
          <w:szCs w:val="32"/>
          <w:lang w:val="en-US" w:eastAsia="zh-CN"/>
        </w:rPr>
        <w:t>1289.41</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99.8</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十一、关于2024年政府购买服务支出表的说明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highlight w:val="yellow"/>
        </w:rPr>
      </w:pPr>
      <w:r>
        <w:rPr>
          <w:rFonts w:ascii="仿宋_GB2312" w:eastAsia="仿宋_GB2312" w:hAnsi="TimesNewRoman" w:cs="TimesNewRoman" w:hint="eastAsia"/>
          <w:sz w:val="32"/>
          <w:szCs w:val="32"/>
        </w:rPr>
        <w:t>寿县</w:t>
      </w:r>
      <w:r>
        <w:rPr>
          <w:rFonts w:ascii="仿宋_GB2312" w:eastAsia="仿宋_GB2312" w:hAnsi="仿宋" w:hint="eastAsia"/>
          <w:sz w:val="32"/>
          <w:szCs w:val="32"/>
          <w:lang w:eastAsia="zh-CN"/>
        </w:rPr>
        <w:t>卫生健康委员会</w:t>
      </w:r>
      <w:r>
        <w:rPr>
          <w:rFonts w:ascii="仿宋_GB2312" w:eastAsia="仿宋_GB2312" w:hAnsi="仿宋" w:hint="eastAsia"/>
          <w:sz w:val="32"/>
          <w:szCs w:val="32"/>
        </w:rPr>
        <w:t>（部门）</w:t>
      </w:r>
      <w:r>
        <w:rPr>
          <w:rFonts w:ascii="仿宋_GB2312" w:eastAsia="仿宋_GB2312" w:hAnsi="TimesNewRoman" w:cs="TimesNewRoman" w:hint="eastAsia"/>
          <w:sz w:val="32"/>
          <w:szCs w:val="32"/>
        </w:rPr>
        <w:t>2024年预算安排政府购买服务支出</w:t>
      </w:r>
      <w:r>
        <w:rPr>
          <w:rFonts w:ascii="仿宋_GB2312" w:eastAsia="仿宋_GB2312" w:hAnsi="TimesNewRoman" w:cs="TimesNewRoman" w:hint="eastAsia"/>
          <w:sz w:val="32"/>
          <w:szCs w:val="32"/>
          <w:lang w:val="en-US" w:eastAsia="zh-CN"/>
        </w:rPr>
        <w:t>2.</w:t>
      </w:r>
      <w:r>
        <w:rPr>
          <w:rFonts w:ascii="仿宋_GB2312" w:eastAsia="仿宋_GB2312" w:hAnsi="TimesNewRoman" w:cs="TimesNewRoman" w:hint="eastAsia"/>
          <w:sz w:val="32"/>
          <w:szCs w:val="32"/>
          <w:highlight w:val="none"/>
          <w:lang w:val="en-US" w:eastAsia="zh-CN"/>
        </w:rPr>
        <w:t>11</w:t>
      </w:r>
      <w:r>
        <w:rPr>
          <w:rFonts w:ascii="仿宋_GB2312" w:eastAsia="仿宋_GB2312" w:hAnsi="TimesNewRoman" w:cs="TimesNewRoman" w:hint="eastAsia"/>
          <w:sz w:val="32"/>
          <w:szCs w:val="32"/>
          <w:highlight w:val="none"/>
        </w:rPr>
        <w:t>万元。</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十二、其他重要事项情况说明</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（一）项目及绩效目标情况。</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1.“基本公共卫生服务”项目。</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（1）项目概述</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基本公共卫生服务工作所需经费。</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（2）立项依据</w:t>
      </w:r>
      <w:r>
        <w:rPr>
          <w:rFonts w:ascii="仿宋_GB2312" w:eastAsia="仿宋_GB2312" w:hAnsi="TimesNewRoman" w:cs="TimesNewRoman" w:hint="eastAsia"/>
          <w:sz w:val="32"/>
          <w:szCs w:val="32"/>
          <w:lang w:eastAsia="zh-CN"/>
        </w:rPr>
        <w:t>：</w:t>
      </w:r>
      <w:r>
        <w:rPr>
          <w:rFonts w:ascii="仿宋_GB2312" w:eastAsia="仿宋_GB2312" w:hAnsi="仿宋_GB2312" w:cs="仿宋_GB2312" w:hint="eastAsia"/>
          <w:sz w:val="32"/>
          <w:szCs w:val="32"/>
          <w:lang w:val="en-US" w:eastAsia="zh-CN"/>
        </w:rPr>
        <w:t>根据安徽省人民政府办公厅《关于推进紧密型县域医共体建设的意见》（皖政〔2019〕15号）、中共寿县县委办公室 寿县人民政府办公室《关于进一步深化紧密型县域医共体建设工作的实施方案（试行）》（寿办发〔2023〕8号）等文件要求。</w:t>
      </w:r>
    </w:p>
    <w:p>
      <w:pPr>
        <w:topLinePunct/>
        <w:adjustRightInd w:val="0"/>
        <w:snapToGrid w:val="0"/>
        <w:spacing w:line="58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（3）实施主体</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寿县卫生健康委员会。</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（4）起止时间</w:t>
      </w:r>
      <w:r>
        <w:rPr>
          <w:rFonts w:ascii="仿宋_GB2312" w:eastAsia="仿宋_GB2312" w:hAnsi="TimesNewRoman" w:cs="TimesNewRoman" w:hint="eastAsia"/>
          <w:sz w:val="32"/>
          <w:szCs w:val="32"/>
          <w:lang w:val="en-US" w:eastAsia="zh-CN"/>
        </w:rPr>
        <w:t>:2024年度。</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（5）项目内容</w:t>
      </w:r>
      <w:r>
        <w:rPr>
          <w:rFonts w:ascii="仿宋_GB2312" w:eastAsia="仿宋_GB2312" w:hAnsi="TimesNewRoman" w:cs="TimesNewRoman" w:hint="eastAsia"/>
          <w:sz w:val="32"/>
          <w:szCs w:val="32"/>
          <w:lang w:val="en-US" w:eastAsia="zh-CN"/>
        </w:rPr>
        <w:t>:基本公共卫生服务。</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val="en-US" w:eastAsia="zh-CN"/>
        </w:rPr>
        <w:t>:</w:t>
      </w:r>
      <w:r>
        <w:rPr>
          <w:rFonts w:ascii="仿宋_GB2312" w:eastAsia="仿宋_GB2312" w:hAnsi="TimesNewRoman" w:cs="TimesNewRoman" w:hint="eastAsia"/>
          <w:sz w:val="32"/>
          <w:szCs w:val="32"/>
        </w:rPr>
        <w:t>7462.65</w:t>
      </w:r>
      <w:r>
        <w:rPr>
          <w:rFonts w:ascii="仿宋_GB2312" w:eastAsia="仿宋_GB2312" w:hAnsi="TimesNewRoman" w:cs="TimesNewRoman" w:hint="eastAsia"/>
          <w:sz w:val="32"/>
          <w:szCs w:val="32"/>
          <w:lang w:val="en-US" w:eastAsia="zh-CN"/>
        </w:rPr>
        <w:t>万元。</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p>
      <w:pPr>
        <w:topLinePunct/>
        <w:adjustRightInd w:val="0"/>
        <w:snapToGrid w:val="0"/>
        <w:spacing w:line="580" w:lineRule="exact"/>
        <w:ind w:firstLine="640" w:firstLineChars="200"/>
        <w:rPr>
          <w:rFonts w:ascii="仿宋_GB2312" w:eastAsia="仿宋_GB2312" w:hAnsi="楷体" w:hint="eastAsia"/>
          <w:sz w:val="32"/>
          <w:szCs w:val="32"/>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6"/>
        <w:gridCol w:w="512"/>
        <w:gridCol w:w="585"/>
        <w:gridCol w:w="2367"/>
        <w:gridCol w:w="2576"/>
        <w:gridCol w:w="630"/>
        <w:gridCol w:w="200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3"/>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tblPrEx>
          <w:tblW w:w="0" w:type="auto"/>
          <w:tblInd w:w="0" w:type="dxa"/>
          <w:tblLayout w:type="fixed"/>
          <w:tblCellMar>
            <w:top w:w="0" w:type="dxa"/>
            <w:left w:w="108" w:type="dxa"/>
            <w:bottom w:w="0" w:type="dxa"/>
            <w:right w:w="108" w:type="dxa"/>
          </w:tblCellMar>
        </w:tblPrEx>
        <w:trPr>
          <w:trHeight w:val="270"/>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cs="Times New Roman" w:hint="eastAsia"/>
                <w:color w:val="000000"/>
                <w:spacing w:val="-2"/>
                <w:sz w:val="16"/>
                <w:szCs w:val="16"/>
                <w:highlight w:val="none"/>
                <w:lang w:val="en-US" w:eastAsia="zh-CN"/>
              </w:rPr>
              <w:t>项目名称</w:t>
            </w:r>
          </w:p>
        </w:tc>
        <w:tc>
          <w:tcPr>
            <w:tcW w:w="75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rPr>
              <w:t>国家基本公共卫生服务项目</w:t>
            </w:r>
          </w:p>
        </w:tc>
      </w:tr>
      <w:tr>
        <w:tblPrEx>
          <w:tblW w:w="0" w:type="auto"/>
          <w:tblInd w:w="0" w:type="dxa"/>
          <w:tblLayout w:type="fixed"/>
          <w:tblCellMar>
            <w:top w:w="0" w:type="dxa"/>
            <w:left w:w="108" w:type="dxa"/>
            <w:bottom w:w="0" w:type="dxa"/>
            <w:right w:w="108" w:type="dxa"/>
          </w:tblCellMar>
        </w:tblPrEx>
        <w:trPr>
          <w:trHeight w:val="491"/>
        </w:trPr>
        <w:tc>
          <w:tcPr>
            <w:tcW w:w="14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3"/>
                <w:sz w:val="16"/>
                <w:szCs w:val="16"/>
                <w:highlight w:val="none"/>
              </w:rPr>
              <w:t>省级主管部门</w:t>
            </w:r>
          </w:p>
        </w:tc>
        <w:tc>
          <w:tcPr>
            <w:tcW w:w="75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sz w:val="18"/>
                <w:szCs w:val="18"/>
              </w:rPr>
            </w:pPr>
            <w:r>
              <w:rPr>
                <w:rFonts w:ascii="Times New Roman" w:eastAsia="宋体" w:hAnsi="Times New Roman" w:cs="Times New Roman" w:hint="default"/>
                <w:color w:val="000000"/>
                <w:spacing w:val="-2"/>
                <w:sz w:val="16"/>
                <w:szCs w:val="16"/>
                <w:highlight w:val="none"/>
              </w:rPr>
              <w:t>安徽省卫生健康委</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3"/>
                <w:sz w:val="16"/>
                <w:szCs w:val="16"/>
                <w:highlight w:val="none"/>
              </w:rPr>
              <w:t>市级主管部门</w:t>
            </w:r>
          </w:p>
        </w:tc>
        <w:tc>
          <w:tcPr>
            <w:tcW w:w="75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sz w:val="18"/>
                <w:szCs w:val="18"/>
              </w:rPr>
            </w:pPr>
            <w:r>
              <w:rPr>
                <w:rFonts w:ascii="Times New Roman" w:eastAsia="宋体" w:hAnsi="Times New Roman" w:cs="Times New Roman" w:hint="default"/>
                <w:color w:val="000000"/>
                <w:spacing w:val="-1"/>
                <w:sz w:val="16"/>
                <w:szCs w:val="16"/>
                <w:highlight w:val="none"/>
              </w:rPr>
              <w:t>淮南市卫生健康委</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3"/>
                <w:sz w:val="16"/>
                <w:szCs w:val="16"/>
                <w:highlight w:val="none"/>
                <w:lang w:val="en-US" w:eastAsia="zh-CN"/>
              </w:rPr>
              <w:t>县级财政部门</w:t>
            </w:r>
          </w:p>
        </w:tc>
        <w:tc>
          <w:tcPr>
            <w:tcW w:w="23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lang w:val="en-US" w:eastAsia="zh-CN"/>
              </w:rPr>
              <w:t>寿县财政局</w:t>
            </w:r>
          </w:p>
        </w:tc>
        <w:tc>
          <w:tcPr>
            <w:tcW w:w="25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3"/>
                <w:sz w:val="16"/>
                <w:szCs w:val="16"/>
                <w:highlight w:val="none"/>
                <w:lang w:val="en-US" w:eastAsia="zh-CN"/>
              </w:rPr>
              <w:t>县级主管部门</w:t>
            </w:r>
          </w:p>
        </w:tc>
        <w:tc>
          <w:tcPr>
            <w:tcW w:w="26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pPr>
            <w:r>
              <w:rPr>
                <w:rFonts w:ascii="Times New Roman" w:eastAsia="宋体" w:hAnsi="Times New Roman" w:cs="Times New Roman" w:hint="default"/>
                <w:color w:val="000000"/>
                <w:spacing w:val="-1"/>
                <w:sz w:val="16"/>
                <w:szCs w:val="16"/>
                <w:highlight w:val="none"/>
                <w:lang w:val="en-US" w:eastAsia="zh-CN"/>
              </w:rPr>
              <w:t>寿县卫生健康委</w:t>
            </w:r>
          </w:p>
        </w:tc>
      </w:tr>
      <w:tr>
        <w:tblPrEx>
          <w:tblW w:w="0" w:type="auto"/>
          <w:tblInd w:w="0" w:type="dxa"/>
          <w:tblLayout w:type="fixed"/>
          <w:tblCellMar>
            <w:top w:w="0" w:type="dxa"/>
            <w:left w:w="108" w:type="dxa"/>
            <w:bottom w:w="0" w:type="dxa"/>
            <w:right w:w="108" w:type="dxa"/>
          </w:tblCellMar>
        </w:tblPrEx>
        <w:trPr>
          <w:trHeight w:val="330"/>
        </w:trPr>
        <w:tc>
          <w:tcPr>
            <w:tcW w:w="3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2"/>
                <w:sz w:val="16"/>
                <w:szCs w:val="16"/>
                <w:highlight w:val="none"/>
              </w:rPr>
            </w:pPr>
            <w:r>
              <w:rPr>
                <w:rFonts w:ascii="Times New Roman" w:eastAsia="宋体" w:hAnsi="Times New Roman" w:cs="Times New Roman" w:hint="default"/>
                <w:color w:val="000000"/>
                <w:spacing w:val="2"/>
                <w:sz w:val="16"/>
                <w:szCs w:val="16"/>
                <w:highlight w:val="none"/>
              </w:rPr>
              <w:t>资金情</w:t>
            </w:r>
            <w:r>
              <w:rPr>
                <w:rFonts w:ascii="Times New Roman" w:eastAsia="宋体" w:hAnsi="Times New Roman" w:cs="Times New Roman" w:hint="default"/>
                <w:color w:val="000000"/>
                <w:spacing w:val="-2"/>
                <w:sz w:val="16"/>
                <w:szCs w:val="16"/>
                <w:highlight w:val="none"/>
              </w:rPr>
              <w:t>况</w:t>
            </w:r>
          </w:p>
          <w:p>
            <w:pPr>
              <w:keepNext w:val="0"/>
              <w:keepLines w:val="0"/>
              <w:pageBreakBefore w:val="0"/>
              <w:widowControl w:val="0"/>
              <w:tabs>
                <w:tab w:val="left" w:pos="402"/>
              </w:tabs>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rPr>
              <w:t>(万</w:t>
            </w:r>
            <w:r>
              <w:rPr>
                <w:rFonts w:ascii="Times New Roman" w:eastAsia="宋体" w:hAnsi="Times New Roman" w:cs="Times New Roman" w:hint="default"/>
                <w:color w:val="000000"/>
                <w:spacing w:val="-4"/>
                <w:sz w:val="16"/>
                <w:szCs w:val="16"/>
                <w:highlight w:val="none"/>
              </w:rPr>
              <w:t>元</w:t>
            </w:r>
            <w:r>
              <w:rPr>
                <w:rFonts w:ascii="Times New Roman" w:eastAsia="宋体" w:hAnsi="Times New Roman" w:cs="Times New Roman" w:hint="default"/>
                <w:color w:val="000000"/>
                <w:spacing w:val="-31"/>
                <w:sz w:val="16"/>
                <w:szCs w:val="16"/>
                <w:highlight w:val="none"/>
              </w:rPr>
              <w:t xml:space="preserve"> </w:t>
            </w:r>
            <w:r>
              <w:rPr>
                <w:rFonts w:ascii="Times New Roman" w:eastAsia="宋体" w:hAnsi="Times New Roman" w:cs="Times New Roman" w:hint="default"/>
                <w:color w:val="000000"/>
                <w:spacing w:val="-4"/>
                <w:sz w:val="16"/>
                <w:szCs w:val="16"/>
                <w:highlight w:val="none"/>
              </w:rPr>
              <w:t>)</w:t>
            </w:r>
          </w:p>
        </w:tc>
        <w:tc>
          <w:tcPr>
            <w:tcW w:w="34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firstLine="320" w:leftChars="50" w:firstLineChars="200"/>
              <w:textAlignment w:val="auto"/>
            </w:pPr>
            <w:r>
              <w:rPr>
                <w:rFonts w:ascii="Times New Roman" w:eastAsia="宋体" w:hAnsi="Times New Roman" w:cs="Times New Roman" w:hint="default"/>
                <w:color w:val="000000"/>
                <w:spacing w:val="16"/>
                <w:sz w:val="16"/>
                <w:szCs w:val="16"/>
                <w:highlight w:val="none"/>
              </w:rPr>
              <w:t>年度金额</w:t>
            </w:r>
          </w:p>
        </w:tc>
        <w:tc>
          <w:tcPr>
            <w:tcW w:w="52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cs="Times New Roman" w:hint="eastAsia"/>
                <w:color w:val="000000"/>
                <w:sz w:val="16"/>
                <w:szCs w:val="16"/>
                <w:highlight w:val="none"/>
                <w:lang w:val="en-US" w:eastAsia="zh-CN"/>
              </w:rPr>
              <w:t>7462.65</w:t>
            </w:r>
          </w:p>
        </w:tc>
      </w:tr>
      <w:tr>
        <w:tblPrEx>
          <w:tblW w:w="0" w:type="auto"/>
          <w:tblInd w:w="0" w:type="dxa"/>
          <w:tblLayout w:type="fixed"/>
          <w:tblCellMar>
            <w:top w:w="0" w:type="dxa"/>
            <w:left w:w="108" w:type="dxa"/>
            <w:bottom w:w="0" w:type="dxa"/>
            <w:right w:w="108" w:type="dxa"/>
          </w:tblCellMar>
        </w:tblPrEx>
        <w:trPr>
          <w:trHeight w:val="330"/>
        </w:trPr>
        <w:tc>
          <w:tcPr>
            <w:tcW w:w="346"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34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firstLine="800" w:leftChars="50" w:firstLineChars="500"/>
              <w:textAlignment w:val="auto"/>
            </w:pPr>
            <w:r>
              <w:rPr>
                <w:rFonts w:ascii="Times New Roman" w:eastAsia="宋体" w:hAnsi="Times New Roman" w:cs="Times New Roman" w:hint="default"/>
                <w:color w:val="000000"/>
                <w:spacing w:val="-1"/>
                <w:sz w:val="16"/>
                <w:szCs w:val="16"/>
                <w:highlight w:val="none"/>
              </w:rPr>
              <w:t>其中；中央补助</w:t>
            </w:r>
          </w:p>
        </w:tc>
        <w:tc>
          <w:tcPr>
            <w:tcW w:w="52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cs="Times New Roman" w:hint="eastAsia"/>
                <w:color w:val="000000"/>
                <w:sz w:val="16"/>
                <w:szCs w:val="16"/>
                <w:highlight w:val="none"/>
                <w:lang w:val="en-US" w:eastAsia="zh-CN"/>
              </w:rPr>
              <w:t>5970.12</w:t>
            </w:r>
          </w:p>
        </w:tc>
      </w:tr>
      <w:tr>
        <w:tblPrEx>
          <w:tblW w:w="0" w:type="auto"/>
          <w:tblInd w:w="0" w:type="dxa"/>
          <w:tblLayout w:type="fixed"/>
          <w:tblCellMar>
            <w:top w:w="0" w:type="dxa"/>
            <w:left w:w="108" w:type="dxa"/>
            <w:bottom w:w="0" w:type="dxa"/>
            <w:right w:w="108" w:type="dxa"/>
          </w:tblCellMar>
        </w:tblPrEx>
        <w:trPr>
          <w:trHeight w:val="330"/>
        </w:trPr>
        <w:tc>
          <w:tcPr>
            <w:tcW w:w="346"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34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firstLine="1280" w:leftChars="50" w:firstLineChars="800"/>
              <w:textAlignment w:val="auto"/>
            </w:pPr>
            <w:r>
              <w:rPr>
                <w:rFonts w:ascii="Times New Roman" w:eastAsia="宋体" w:hAnsi="Times New Roman" w:cs="Times New Roman" w:hint="default"/>
                <w:color w:val="000000"/>
                <w:spacing w:val="-2"/>
                <w:sz w:val="16"/>
                <w:szCs w:val="16"/>
                <w:highlight w:val="none"/>
              </w:rPr>
              <w:t>省级补助</w:t>
            </w:r>
          </w:p>
        </w:tc>
        <w:tc>
          <w:tcPr>
            <w:tcW w:w="52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cs="Times New Roman" w:hint="eastAsia"/>
                <w:color w:val="000000"/>
                <w:sz w:val="16"/>
                <w:szCs w:val="16"/>
                <w:highlight w:val="none"/>
                <w:lang w:val="en-US" w:eastAsia="zh-CN"/>
              </w:rPr>
              <w:t>1492.53</w:t>
            </w:r>
          </w:p>
        </w:tc>
      </w:tr>
      <w:tr>
        <w:tblPrEx>
          <w:tblW w:w="0" w:type="auto"/>
          <w:tblInd w:w="0" w:type="dxa"/>
          <w:tblLayout w:type="fixed"/>
          <w:tblCellMar>
            <w:top w:w="0" w:type="dxa"/>
            <w:left w:w="108" w:type="dxa"/>
            <w:bottom w:w="0" w:type="dxa"/>
            <w:right w:w="108" w:type="dxa"/>
          </w:tblCellMar>
        </w:tblPrEx>
        <w:trPr>
          <w:trHeight w:val="1015"/>
        </w:trPr>
        <w:tc>
          <w:tcPr>
            <w:tcW w:w="346"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346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firstLine="1280" w:leftChars="50" w:firstLineChars="800"/>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lang w:val="en-US" w:eastAsia="zh-CN"/>
              </w:rPr>
              <w:t>县级补助</w:t>
            </w:r>
          </w:p>
        </w:tc>
        <w:tc>
          <w:tcPr>
            <w:tcW w:w="52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pPr>
            <w:r>
              <w:rPr>
                <w:rFonts w:cs="Times New Roman" w:hint="eastAsia"/>
                <w:color w:val="000000"/>
                <w:sz w:val="16"/>
                <w:szCs w:val="16"/>
                <w:highlight w:val="none"/>
                <w:lang w:val="en-US" w:eastAsia="zh-CN"/>
              </w:rPr>
              <w:t>0</w:t>
            </w:r>
          </w:p>
        </w:tc>
      </w:tr>
      <w:tr>
        <w:tblPrEx>
          <w:tblW w:w="0" w:type="auto"/>
          <w:tblInd w:w="0" w:type="dxa"/>
          <w:tblLayout w:type="fixed"/>
          <w:tblCellMar>
            <w:top w:w="0" w:type="dxa"/>
            <w:left w:w="108" w:type="dxa"/>
            <w:bottom w:w="0" w:type="dxa"/>
            <w:right w:w="108" w:type="dxa"/>
          </w:tblCellMar>
        </w:tblPrEx>
        <w:trPr>
          <w:trHeight w:val="508"/>
        </w:trPr>
        <w:tc>
          <w:tcPr>
            <w:tcW w:w="3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eastAsia="宋体" w:hAnsi="Times New Roman" w:cs="Times New Roman" w:hint="default"/>
                <w:color w:val="000000"/>
                <w:spacing w:val="12"/>
                <w:sz w:val="16"/>
                <w:szCs w:val="16"/>
                <w:highlight w:val="none"/>
              </w:rPr>
            </w:pPr>
            <w:r>
              <w:rPr>
                <w:rFonts w:ascii="Times New Roman" w:eastAsia="宋体" w:hAnsi="Times New Roman" w:cs="Times New Roman" w:hint="default"/>
                <w:color w:val="000000"/>
                <w:spacing w:val="12"/>
                <w:sz w:val="16"/>
                <w:szCs w:val="16"/>
                <w:highlight w:val="none"/>
              </w:rPr>
              <w:t>年度总</w:t>
            </w:r>
          </w:p>
          <w:p>
            <w:pPr>
              <w:keepNext w:val="0"/>
              <w:keepLines w:val="0"/>
              <w:pageBreakBefore w:val="0"/>
              <w:widowControl w:val="0"/>
              <w:kinsoku/>
              <w:wordWrap/>
              <w:overflowPunct/>
              <w:topLinePunct w:val="0"/>
              <w:autoSpaceDE/>
              <w:autoSpaceDN/>
              <w:bidi w:val="0"/>
              <w:adjustRightInd/>
              <w:snapToGrid/>
              <w:spacing w:line="240" w:lineRule="exact"/>
              <w:ind w:left="105" w:leftChars="50"/>
              <w:jc w:val="both"/>
              <w:textAlignment w:val="auto"/>
              <w:rPr>
                <w:rFonts w:ascii="宋体" w:cs="宋体"/>
                <w:sz w:val="18"/>
                <w:szCs w:val="18"/>
              </w:rPr>
            </w:pPr>
            <w:r>
              <w:rPr>
                <w:rFonts w:ascii="Times New Roman" w:eastAsia="宋体" w:hAnsi="Times New Roman" w:cs="Times New Roman" w:hint="default"/>
                <w:color w:val="000000"/>
                <w:spacing w:val="6"/>
                <w:sz w:val="16"/>
                <w:szCs w:val="16"/>
                <w:highlight w:val="none"/>
              </w:rPr>
              <w:t>体目标</w:t>
            </w:r>
          </w:p>
        </w:tc>
        <w:tc>
          <w:tcPr>
            <w:tcW w:w="867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5"/>
                <w:sz w:val="16"/>
                <w:szCs w:val="16"/>
                <w:highlight w:val="none"/>
              </w:rPr>
              <w:t>目</w:t>
            </w:r>
            <w:r>
              <w:rPr>
                <w:rFonts w:ascii="Times New Roman" w:eastAsia="宋体" w:hAnsi="Times New Roman" w:cs="Times New Roman" w:hint="default"/>
                <w:color w:val="000000"/>
                <w:spacing w:val="3"/>
                <w:sz w:val="16"/>
                <w:szCs w:val="16"/>
                <w:highlight w:val="none"/>
              </w:rPr>
              <w:t xml:space="preserve"> </w:t>
            </w:r>
            <w:r>
              <w:rPr>
                <w:rFonts w:ascii="Times New Roman" w:eastAsia="宋体" w:hAnsi="Times New Roman" w:cs="Times New Roman" w:hint="default"/>
                <w:color w:val="000000"/>
                <w:spacing w:val="-15"/>
                <w:sz w:val="16"/>
                <w:szCs w:val="16"/>
                <w:highlight w:val="none"/>
              </w:rPr>
              <w:t>标</w:t>
            </w:r>
            <w:r>
              <w:rPr>
                <w:rFonts w:ascii="Times New Roman" w:eastAsia="宋体" w:hAnsi="Times New Roman" w:cs="Times New Roman" w:hint="default"/>
                <w:color w:val="000000"/>
                <w:spacing w:val="-3"/>
                <w:sz w:val="16"/>
                <w:szCs w:val="16"/>
                <w:highlight w:val="none"/>
              </w:rPr>
              <w:t xml:space="preserve"> </w:t>
            </w:r>
            <w:r>
              <w:rPr>
                <w:rFonts w:ascii="Times New Roman" w:eastAsia="宋体" w:hAnsi="Times New Roman" w:cs="Times New Roman" w:hint="default"/>
                <w:color w:val="000000"/>
                <w:spacing w:val="-15"/>
                <w:sz w:val="16"/>
                <w:szCs w:val="16"/>
                <w:highlight w:val="none"/>
              </w:rPr>
              <w:t>：</w:t>
            </w:r>
            <w:r>
              <w:rPr>
                <w:rFonts w:ascii="Times New Roman" w:eastAsia="宋体" w:hAnsi="Times New Roman" w:cs="Times New Roman" w:hint="default"/>
                <w:color w:val="000000"/>
                <w:spacing w:val="3"/>
                <w:sz w:val="16"/>
                <w:szCs w:val="16"/>
                <w:highlight w:val="none"/>
              </w:rPr>
              <w:t>1.免费向城乡居民提供基本公共卫生服务。</w:t>
            </w:r>
          </w:p>
          <w:p>
            <w:pPr>
              <w:keepNext w:val="0"/>
              <w:keepLines w:val="0"/>
              <w:pageBreakBefore w:val="0"/>
              <w:widowControl w:val="0"/>
              <w:kinsoku/>
              <w:wordWrap/>
              <w:overflowPunct/>
              <w:topLinePunct w:val="0"/>
              <w:autoSpaceDE/>
              <w:autoSpaceDN/>
              <w:bidi w:val="0"/>
              <w:adjustRightInd/>
              <w:snapToGrid/>
              <w:spacing w:line="240" w:lineRule="exact"/>
              <w:ind w:right="0" w:firstLine="640" w:rightChars="0" w:firstLineChars="40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2.保持重点地方病防治措施全面落实。开展职业病防治，</w:t>
            </w:r>
            <w:r>
              <w:rPr>
                <w:rFonts w:ascii="Times New Roman" w:eastAsia="宋体" w:hAnsi="Times New Roman" w:cs="Times New Roman" w:hint="default"/>
                <w:color w:val="000000"/>
                <w:sz w:val="16"/>
                <w:szCs w:val="16"/>
                <w:highlight w:val="none"/>
              </w:rPr>
              <w:t>最大限度地保护放射工作人员、患者和公众的健康权益。同时推进妇幼卫生、健</w:t>
            </w:r>
            <w:r>
              <w:rPr>
                <w:rFonts w:ascii="Times New Roman" w:eastAsia="宋体" w:hAnsi="Times New Roman" w:cs="Times New Roman" w:hint="default"/>
                <w:color w:val="000000"/>
                <w:spacing w:val="3"/>
                <w:sz w:val="16"/>
                <w:szCs w:val="16"/>
                <w:highlight w:val="none"/>
              </w:rPr>
              <w:t>康素养促进、医养结合和老年健康服务、卫生应急等</w:t>
            </w:r>
            <w:r>
              <w:rPr>
                <w:rFonts w:ascii="Times New Roman" w:eastAsia="宋体" w:hAnsi="Times New Roman" w:cs="Times New Roman" w:hint="default"/>
                <w:color w:val="000000"/>
                <w:spacing w:val="2"/>
                <w:sz w:val="16"/>
                <w:szCs w:val="16"/>
                <w:highlight w:val="none"/>
              </w:rPr>
              <w:t>方面工作。</w:t>
            </w:r>
          </w:p>
        </w:tc>
      </w:tr>
      <w:tr>
        <w:tblPrEx>
          <w:tblW w:w="0" w:type="auto"/>
          <w:tblInd w:w="0" w:type="dxa"/>
          <w:tblLayout w:type="fixed"/>
          <w:tblCellMar>
            <w:top w:w="0" w:type="dxa"/>
            <w:left w:w="108" w:type="dxa"/>
            <w:bottom w:w="0" w:type="dxa"/>
            <w:right w:w="108" w:type="dxa"/>
          </w:tblCellMar>
        </w:tblPrEx>
        <w:trPr>
          <w:trHeight w:val="363"/>
        </w:trPr>
        <w:tc>
          <w:tcPr>
            <w:tcW w:w="3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7"/>
                <w:sz w:val="16"/>
                <w:szCs w:val="16"/>
                <w:highlight w:val="none"/>
              </w:rPr>
              <w:t>绩效指标</w:t>
            </w:r>
          </w:p>
        </w:tc>
        <w:tc>
          <w:tcPr>
            <w:tcW w:w="5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z w:val="16"/>
                <w:szCs w:val="16"/>
                <w:highlight w:val="none"/>
              </w:rPr>
              <w:t>一级</w:t>
            </w:r>
            <w:r>
              <w:rPr>
                <w:rFonts w:ascii="Times New Roman" w:eastAsia="宋体" w:hAnsi="Times New Roman" w:cs="Times New Roman" w:hint="default"/>
                <w:color w:val="000000"/>
                <w:spacing w:val="-3"/>
                <w:sz w:val="16"/>
                <w:szCs w:val="16"/>
                <w:highlight w:val="none"/>
              </w:rPr>
              <w:t>指标</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rPr>
              <w:t>二级指标</w:t>
            </w: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rPr>
              <w:t>三级指标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rPr>
              <w:t>指标值</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cs="宋体"/>
                <w:sz w:val="18"/>
                <w:szCs w:val="18"/>
              </w:rPr>
            </w:pPr>
            <w:r>
              <w:rPr>
                <w:rFonts w:ascii="Times New Roman" w:hAnsi="Times New Roman" w:cs="Times New Roman" w:hint="default"/>
                <w:sz w:val="16"/>
                <w:szCs w:val="16"/>
                <w:highlight w:val="none"/>
                <w:lang w:val="en-US" w:eastAsia="zh-CN"/>
              </w:rPr>
              <w:t>产出指标</w:t>
            </w: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rPr>
              <w:t>数量指标</w:t>
            </w: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适龄儿童国家免疫规划疫苗接种率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≥90%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7岁以下儿童健康管理率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≥85%</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lang w:val="en-US" w:eastAsia="zh-CN"/>
              </w:rPr>
              <w:t>0-6岁儿童眼保健和视力检查覆盖率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w:t>
            </w:r>
            <w:r>
              <w:rPr>
                <w:rFonts w:ascii="Times New Roman" w:eastAsia="宋体" w:hAnsi="Times New Roman" w:cs="Times New Roman" w:hint="default"/>
                <w:color w:val="000000"/>
                <w:spacing w:val="-2"/>
                <w:sz w:val="16"/>
                <w:szCs w:val="16"/>
                <w:highlight w:val="none"/>
                <w:lang w:val="en-US" w:eastAsia="zh-CN"/>
              </w:rPr>
              <w:t>90%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孕产妇系统管理率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lang w:val="en-US" w:eastAsia="zh-CN"/>
              </w:rPr>
              <w:t>≥</w:t>
            </w:r>
            <w:r>
              <w:rPr>
                <w:rFonts w:ascii="Times New Roman" w:eastAsia="宋体" w:hAnsi="Times New Roman" w:cs="Times New Roman" w:hint="default"/>
                <w:color w:val="000000"/>
                <w:spacing w:val="-2"/>
                <w:sz w:val="16"/>
                <w:szCs w:val="16"/>
                <w:highlight w:val="none"/>
              </w:rPr>
              <w:t>90%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3岁以下儿童系统管理率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≥80%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rPr>
              <w:t>高血压患者管理人数(万人)</w:t>
            </w:r>
          </w:p>
        </w:tc>
        <w:tc>
          <w:tcPr>
            <w:tcW w:w="2004" w:type="dxa"/>
            <w:noWrap w:val="0"/>
            <w:vAlign w:val="center"/>
          </w:tcPr>
          <w:p>
            <w:pPr>
              <w:keepNext w:val="0"/>
              <w:keepLines w:val="0"/>
              <w:pageBreakBefore w:val="0"/>
              <w:widowControl w:val="0"/>
              <w:tabs>
                <w:tab w:val="center" w:pos="803"/>
              </w:tabs>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z w:val="16"/>
                <w:szCs w:val="16"/>
                <w:highlight w:val="none"/>
                <w:lang w:val="en-US" w:eastAsia="zh-CN"/>
              </w:rPr>
              <w:t>8.2284</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rPr>
              <w:t>2型糖尿病患者管理人数(万人)</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z w:val="16"/>
                <w:szCs w:val="16"/>
                <w:highlight w:val="none"/>
                <w:lang w:val="en-US" w:eastAsia="zh-CN"/>
              </w:rPr>
              <w:t>2.8411</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肺结核患者管理率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≥90%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社区在册居家严重精神障碍患者健康管理率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≥80%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儿童中医药健康管理率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≥7</w:t>
            </w:r>
            <w:r>
              <w:rPr>
                <w:rFonts w:ascii="Times New Roman" w:eastAsia="宋体" w:hAnsi="Times New Roman" w:cs="Times New Roman" w:hint="default"/>
                <w:color w:val="000000"/>
                <w:spacing w:val="-5"/>
                <w:sz w:val="16"/>
                <w:szCs w:val="16"/>
                <w:highlight w:val="none"/>
                <w:lang w:val="en-US" w:eastAsia="zh-CN"/>
              </w:rPr>
              <w:t>7</w:t>
            </w:r>
            <w:r>
              <w:rPr>
                <w:rFonts w:ascii="Times New Roman" w:eastAsia="宋体" w:hAnsi="Times New Roman" w:cs="Times New Roman" w:hint="default"/>
                <w:color w:val="000000"/>
                <w:spacing w:val="-5"/>
                <w:sz w:val="16"/>
                <w:szCs w:val="16"/>
                <w:highlight w:val="none"/>
              </w:rPr>
              <w:t>%</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老年人中医药健康管理率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z w:val="16"/>
                <w:szCs w:val="16"/>
                <w:highlight w:val="none"/>
                <w:lang w:val="en-US" w:eastAsia="zh-CN"/>
              </w:rPr>
              <w:t>≥70%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rPr>
              <w:t>卫生监督协管各行业年巡查(访)2次完成率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≥90%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r>
              <w:rPr>
                <w:rFonts w:ascii="Times New Roman" w:eastAsia="宋体" w:hAnsi="Times New Roman" w:cs="Times New Roman" w:hint="default"/>
                <w:color w:val="000000"/>
                <w:spacing w:val="-1"/>
                <w:sz w:val="16"/>
                <w:szCs w:val="16"/>
                <w:highlight w:val="none"/>
                <w:lang w:val="en-US" w:eastAsia="zh-CN"/>
              </w:rPr>
              <w:t>职业健康检查服务覆盖率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≥90%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汉仪中秀体简" w:eastAsia="汉仪中秀体简" w:hAnsi="汉仪中秀体简" w:cs="汉仪中秀体简" w:hint="eastAsia"/>
                <w:color w:val="000000"/>
                <w:kern w:val="0"/>
                <w:sz w:val="18"/>
                <w:szCs w:val="18"/>
                <w:lang w:bidi="ar"/>
              </w:rPr>
            </w:pPr>
            <w:r>
              <w:rPr>
                <w:rFonts w:ascii="Times New Roman" w:eastAsia="宋体" w:hAnsi="Times New Roman" w:cs="Times New Roman" w:hint="default"/>
                <w:color w:val="000000"/>
                <w:spacing w:val="-1"/>
                <w:sz w:val="16"/>
                <w:szCs w:val="16"/>
                <w:highlight w:val="none"/>
                <w:lang w:val="en-US" w:eastAsia="zh-CN"/>
              </w:rPr>
              <w:t>地方病防治工作任务完成率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汉仪中秀体简" w:eastAsia="汉仪中秀体简" w:hAnsi="汉仪中秀体简" w:cs="汉仪中秀体简"/>
                <w:color w:val="000000"/>
                <w:kern w:val="0"/>
                <w:sz w:val="18"/>
                <w:szCs w:val="18"/>
                <w:lang w:bidi="ar"/>
              </w:rPr>
            </w:pPr>
            <w:r>
              <w:rPr>
                <w:rFonts w:ascii="Times New Roman" w:eastAsia="宋体" w:hAnsi="Times New Roman" w:cs="Times New Roman" w:hint="default"/>
                <w:color w:val="000000"/>
                <w:spacing w:val="-5"/>
                <w:sz w:val="16"/>
                <w:szCs w:val="16"/>
                <w:highlight w:val="none"/>
                <w:lang w:val="en-US" w:eastAsia="zh-CN"/>
              </w:rPr>
              <w:t>≥95%</w:t>
            </w:r>
          </w:p>
        </w:tc>
      </w:tr>
      <w:tr>
        <w:tblPrEx>
          <w:tblW w:w="0" w:type="auto"/>
          <w:tblInd w:w="0" w:type="dxa"/>
          <w:tblLayout w:type="fixed"/>
          <w:tblCellMar>
            <w:top w:w="0" w:type="dxa"/>
            <w:left w:w="108" w:type="dxa"/>
            <w:bottom w:w="0" w:type="dxa"/>
            <w:right w:w="108" w:type="dxa"/>
          </w:tblCellMar>
        </w:tblPrEx>
        <w:trPr>
          <w:trHeight w:val="420"/>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hAnsi="宋体" w:cs="宋体" w:hint="eastAsia"/>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hAnsi="宋体" w:cs="宋体" w:hint="eastAsia"/>
                <w:sz w:val="18"/>
                <w:szCs w:val="18"/>
              </w:rPr>
            </w:pPr>
            <w:r>
              <w:rPr>
                <w:rFonts w:ascii="Times New Roman" w:eastAsia="宋体" w:hAnsi="Times New Roman" w:cs="Times New Roman" w:hint="default"/>
                <w:color w:val="000000"/>
                <w:spacing w:val="-1"/>
                <w:sz w:val="16"/>
                <w:szCs w:val="16"/>
                <w:highlight w:val="none"/>
                <w:lang w:val="en-US" w:eastAsia="zh-CN"/>
              </w:rPr>
              <w:t>宫颈癌、乳腺癌筛查目标人群覆盖率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lang w:val="en-US" w:eastAsia="zh-CN"/>
              </w:rPr>
              <w:t>较上年度提高</w:t>
            </w:r>
          </w:p>
        </w:tc>
      </w:tr>
      <w:tr>
        <w:tblPrEx>
          <w:tblW w:w="0" w:type="auto"/>
          <w:tblInd w:w="0" w:type="dxa"/>
          <w:tblLayout w:type="fixed"/>
          <w:tblCellMar>
            <w:top w:w="0" w:type="dxa"/>
            <w:left w:w="108" w:type="dxa"/>
            <w:bottom w:w="0" w:type="dxa"/>
            <w:right w:w="108" w:type="dxa"/>
          </w:tblCellMar>
        </w:tblPrEx>
        <w:trPr>
          <w:trHeight w:val="444"/>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hAnsi="宋体" w:cs="宋体" w:hint="eastAsia"/>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hAnsi="宋体" w:cs="宋体" w:hint="eastAsia"/>
                <w:color w:val="000000"/>
                <w:kern w:val="0"/>
                <w:sz w:val="18"/>
                <w:szCs w:val="18"/>
                <w:lang w:bidi="ar"/>
              </w:rPr>
            </w:pPr>
            <w:r>
              <w:rPr>
                <w:rFonts w:ascii="Times New Roman" w:eastAsia="宋体" w:hAnsi="Times New Roman" w:cs="Times New Roman" w:hint="default"/>
                <w:color w:val="000000"/>
                <w:spacing w:val="-1"/>
                <w:sz w:val="16"/>
                <w:szCs w:val="16"/>
                <w:highlight w:val="none"/>
                <w:lang w:val="en-US" w:eastAsia="zh-CN"/>
              </w:rPr>
              <w:t>脱贫地区儿童营养改善项目重点县覆盖率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lang w:val="en-US" w:eastAsia="zh-CN"/>
              </w:rPr>
              <w:t>100%</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hAnsi="宋体" w:cs="宋体" w:hint="eastAsia"/>
                <w:sz w:val="18"/>
                <w:szCs w:val="18"/>
              </w:rPr>
            </w:pPr>
            <w:r>
              <w:rPr>
                <w:rFonts w:ascii="Times New Roman" w:eastAsia="宋体" w:hAnsi="Times New Roman" w:cs="Times New Roman" w:hint="default"/>
                <w:color w:val="000000"/>
                <w:spacing w:val="-2"/>
                <w:sz w:val="16"/>
                <w:szCs w:val="16"/>
                <w:highlight w:val="none"/>
              </w:rPr>
              <w:t>质量指标</w:t>
            </w: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hAnsi="宋体" w:cs="宋体" w:hint="eastAsia"/>
                <w:color w:val="000000"/>
                <w:kern w:val="0"/>
                <w:sz w:val="18"/>
                <w:szCs w:val="18"/>
                <w:lang w:bidi="ar"/>
              </w:rPr>
            </w:pPr>
            <w:r>
              <w:rPr>
                <w:rFonts w:ascii="Times New Roman" w:eastAsia="宋体" w:hAnsi="Times New Roman" w:cs="Times New Roman" w:hint="default"/>
                <w:color w:val="000000"/>
                <w:spacing w:val="-1"/>
                <w:sz w:val="16"/>
                <w:szCs w:val="16"/>
                <w:highlight w:val="none"/>
              </w:rPr>
              <w:t>居民规范化电子健康档案覆盖率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lang w:val="en-US" w:eastAsia="zh-CN"/>
              </w:rPr>
              <w:t>≥</w:t>
            </w:r>
            <w:r>
              <w:rPr>
                <w:rFonts w:ascii="Times New Roman" w:eastAsia="宋体" w:hAnsi="Times New Roman" w:cs="Times New Roman" w:hint="default"/>
                <w:color w:val="000000"/>
                <w:spacing w:val="-2"/>
                <w:sz w:val="16"/>
                <w:szCs w:val="16"/>
                <w:highlight w:val="none"/>
              </w:rPr>
              <w:t>6</w:t>
            </w:r>
            <w:r>
              <w:rPr>
                <w:rFonts w:ascii="Times New Roman" w:eastAsia="宋体" w:hAnsi="Times New Roman" w:cs="Times New Roman" w:hint="default"/>
                <w:color w:val="000000"/>
                <w:spacing w:val="-2"/>
                <w:sz w:val="16"/>
                <w:szCs w:val="16"/>
                <w:highlight w:val="none"/>
                <w:lang w:val="en-US" w:eastAsia="zh-CN"/>
              </w:rPr>
              <w:t>2</w:t>
            </w:r>
            <w:r>
              <w:rPr>
                <w:rFonts w:ascii="Times New Roman" w:eastAsia="宋体" w:hAnsi="Times New Roman" w:cs="Times New Roman" w:hint="default"/>
                <w:color w:val="000000"/>
                <w:spacing w:val="-2"/>
                <w:sz w:val="16"/>
                <w:szCs w:val="16"/>
                <w:highlight w:val="none"/>
              </w:rPr>
              <w:t>%</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hAnsi="宋体" w:cs="宋体" w:hint="eastAsia"/>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hAnsi="宋体" w:cs="宋体" w:hint="eastAsia"/>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hAnsi="宋体" w:cs="宋体" w:hint="eastAsia"/>
                <w:sz w:val="18"/>
                <w:szCs w:val="18"/>
              </w:rPr>
            </w:pPr>
            <w:r>
              <w:rPr>
                <w:rFonts w:ascii="Times New Roman" w:eastAsia="宋体" w:hAnsi="Times New Roman" w:cs="Times New Roman" w:hint="default"/>
                <w:color w:val="000000"/>
                <w:spacing w:val="-1"/>
                <w:sz w:val="16"/>
                <w:szCs w:val="16"/>
                <w:highlight w:val="none"/>
              </w:rPr>
              <w:t>高血压患者基层规范管理服务率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2"/>
                <w:sz w:val="16"/>
                <w:szCs w:val="16"/>
                <w:highlight w:val="none"/>
                <w:lang w:val="en-US" w:eastAsia="zh-CN"/>
              </w:rPr>
              <w:t>≥</w:t>
            </w:r>
            <w:r>
              <w:rPr>
                <w:rFonts w:ascii="Times New Roman" w:eastAsia="宋体" w:hAnsi="Times New Roman" w:cs="Times New Roman" w:hint="default"/>
                <w:color w:val="000000"/>
                <w:spacing w:val="-2"/>
                <w:sz w:val="16"/>
                <w:szCs w:val="16"/>
                <w:highlight w:val="none"/>
              </w:rPr>
              <w:t>6</w:t>
            </w:r>
            <w:r>
              <w:rPr>
                <w:rFonts w:ascii="Times New Roman" w:eastAsia="宋体" w:hAnsi="Times New Roman" w:cs="Times New Roman" w:hint="default"/>
                <w:color w:val="000000"/>
                <w:spacing w:val="-2"/>
                <w:sz w:val="16"/>
                <w:szCs w:val="16"/>
                <w:highlight w:val="none"/>
                <w:lang w:val="en-US" w:eastAsia="zh-CN"/>
              </w:rPr>
              <w:t>2</w:t>
            </w:r>
            <w:r>
              <w:rPr>
                <w:rFonts w:ascii="Times New Roman" w:eastAsia="宋体" w:hAnsi="Times New Roman" w:cs="Times New Roman" w:hint="default"/>
                <w:color w:val="000000"/>
                <w:spacing w:val="-2"/>
                <w:sz w:val="16"/>
                <w:szCs w:val="16"/>
                <w:highlight w:val="none"/>
              </w:rPr>
              <w:t>%</w:t>
            </w:r>
          </w:p>
        </w:tc>
      </w:tr>
      <w:tr>
        <w:tblPrEx>
          <w:tblW w:w="0" w:type="auto"/>
          <w:tblInd w:w="0" w:type="dxa"/>
          <w:tblLayout w:type="fixed"/>
          <w:tblCellMar>
            <w:top w:w="0" w:type="dxa"/>
            <w:left w:w="108" w:type="dxa"/>
            <w:bottom w:w="0" w:type="dxa"/>
            <w:right w:w="108" w:type="dxa"/>
          </w:tblCellMar>
        </w:tblPrEx>
        <w:trPr>
          <w:trHeight w:val="363"/>
        </w:trPr>
        <w:tc>
          <w:tcPr>
            <w:tcW w:w="346"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cs="宋体"/>
                <w:sz w:val="18"/>
                <w:szCs w:val="18"/>
              </w:rPr>
            </w:pPr>
          </w:p>
        </w:tc>
        <w:tc>
          <w:tcPr>
            <w:tcW w:w="512" w:type="dxa"/>
            <w:vMerge/>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hAnsi="宋体" w:cs="宋体" w:hint="eastAsia"/>
                <w:sz w:val="18"/>
                <w:szCs w:val="18"/>
              </w:rPr>
            </w:pPr>
          </w:p>
        </w:tc>
        <w:tc>
          <w:tcPr>
            <w:tcW w:w="585" w:type="dxa"/>
            <w:vMerg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hAnsi="宋体" w:cs="宋体" w:hint="eastAsia"/>
                <w:sz w:val="18"/>
                <w:szCs w:val="18"/>
              </w:rPr>
            </w:pPr>
          </w:p>
        </w:tc>
        <w:tc>
          <w:tcPr>
            <w:tcW w:w="5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宋体" w:hAnsi="宋体" w:cs="宋体" w:hint="eastAsia"/>
                <w:sz w:val="18"/>
                <w:szCs w:val="18"/>
              </w:rPr>
            </w:pPr>
            <w:r>
              <w:rPr>
                <w:rFonts w:ascii="Times New Roman" w:eastAsia="宋体" w:hAnsi="Times New Roman" w:cs="Times New Roman" w:hint="default"/>
                <w:color w:val="000000"/>
                <w:spacing w:val="-1"/>
                <w:sz w:val="16"/>
                <w:szCs w:val="16"/>
                <w:highlight w:val="none"/>
              </w:rPr>
              <w:t>2型糖尿病患者基层规范管理服务率</w:t>
            </w:r>
          </w:p>
        </w:tc>
        <w:tc>
          <w:tcPr>
            <w:tcW w:w="2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宋体" w:cs="宋体"/>
                <w:sz w:val="18"/>
                <w:szCs w:val="18"/>
              </w:rPr>
            </w:pPr>
            <w:r>
              <w:rPr>
                <w:rFonts w:ascii="Times New Roman" w:eastAsia="宋体" w:hAnsi="Times New Roman" w:cs="Times New Roman" w:hint="default"/>
                <w:color w:val="000000"/>
                <w:spacing w:val="-5"/>
                <w:sz w:val="16"/>
                <w:szCs w:val="16"/>
                <w:highlight w:val="none"/>
              </w:rPr>
              <w:t>≥6</w:t>
            </w:r>
            <w:r>
              <w:rPr>
                <w:rFonts w:ascii="Times New Roman" w:eastAsia="宋体" w:hAnsi="Times New Roman" w:cs="Times New Roman" w:hint="default"/>
                <w:color w:val="000000"/>
                <w:spacing w:val="-5"/>
                <w:sz w:val="16"/>
                <w:szCs w:val="16"/>
                <w:highlight w:val="none"/>
                <w:lang w:val="en-US" w:eastAsia="zh-CN"/>
              </w:rPr>
              <w:t>2</w:t>
            </w:r>
            <w:r>
              <w:rPr>
                <w:rFonts w:ascii="Times New Roman" w:eastAsia="宋体" w:hAnsi="Times New Roman" w:cs="Times New Roman" w:hint="default"/>
                <w:color w:val="000000"/>
                <w:spacing w:val="-5"/>
                <w:sz w:val="16"/>
                <w:szCs w:val="16"/>
                <w:highlight w:val="none"/>
              </w:rPr>
              <w:t>%</w:t>
            </w:r>
          </w:p>
        </w:tc>
      </w:tr>
    </w:tbl>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2.“全国计划生育</w:t>
      </w:r>
      <w:r>
        <w:rPr>
          <w:rFonts w:ascii="仿宋_GB2312" w:eastAsia="仿宋_GB2312" w:hAnsi="TimesNewRoman" w:cs="TimesNewRoman" w:hint="eastAsia"/>
          <w:b/>
          <w:sz w:val="32"/>
          <w:szCs w:val="32"/>
          <w:lang w:val="en-US" w:eastAsia="zh-CN"/>
        </w:rPr>
        <w:t>奖励扶助、</w:t>
      </w:r>
      <w:r>
        <w:rPr>
          <w:rFonts w:ascii="仿宋_GB2312" w:eastAsia="仿宋_GB2312" w:hAnsi="TimesNewRoman" w:cs="TimesNewRoman" w:hint="eastAsia"/>
          <w:b/>
          <w:sz w:val="32"/>
          <w:szCs w:val="32"/>
        </w:rPr>
        <w:t>特别扶助制度”项目。</w:t>
      </w:r>
    </w:p>
    <w:p>
      <w:pPr>
        <w:topLinePunct/>
        <w:adjustRightInd w:val="0"/>
        <w:snapToGrid w:val="0"/>
        <w:spacing w:line="560" w:lineRule="exact"/>
        <w:ind w:firstLine="640" w:firstLineChars="200"/>
        <w:rPr>
          <w:rFonts w:ascii="仿宋_GB2312" w:eastAsia="仿宋_GB2312" w:hint="eastAsia"/>
          <w:color w:val="333333"/>
          <w:sz w:val="28"/>
          <w:szCs w:val="32"/>
          <w:shd w:val="clear" w:color="auto" w:fill="FFFFFF"/>
          <w:lang w:eastAsia="zh-CN"/>
        </w:rPr>
      </w:pPr>
      <w:r>
        <w:rPr>
          <w:rFonts w:ascii="仿宋_GB2312" w:eastAsia="仿宋_GB2312" w:hAnsi="TimesNewRoman" w:cs="TimesNewRoman" w:hint="eastAsia"/>
          <w:sz w:val="32"/>
          <w:szCs w:val="32"/>
        </w:rPr>
        <w:t>（1）项目概述</w:t>
      </w:r>
      <w:r>
        <w:rPr>
          <w:rFonts w:ascii="仿宋_GB2312" w:eastAsia="仿宋_GB2312" w:hAnsi="TimesNewRoman" w:cs="TimesNewRoman" w:hint="eastAsia"/>
          <w:sz w:val="32"/>
          <w:szCs w:val="32"/>
          <w:lang w:eastAsia="zh-CN"/>
        </w:rPr>
        <w:t>：</w:t>
      </w:r>
      <w:r>
        <w:rPr>
          <w:rFonts w:ascii="仿宋_GB2312" w:eastAsia="仿宋_GB2312" w:hint="eastAsia"/>
          <w:color w:val="333333"/>
          <w:sz w:val="28"/>
          <w:szCs w:val="32"/>
          <w:shd w:val="clear" w:color="auto" w:fill="FFFFFF"/>
        </w:rPr>
        <w:t>根据</w:t>
      </w:r>
      <w:r>
        <w:rPr>
          <w:rFonts w:ascii="仿宋_GB2312" w:eastAsia="仿宋_GB2312" w:hint="eastAsia"/>
          <w:color w:val="333333"/>
          <w:sz w:val="28"/>
          <w:szCs w:val="32"/>
          <w:shd w:val="clear" w:color="auto" w:fill="FFFFFF"/>
          <w:lang w:eastAsia="zh-CN"/>
        </w:rPr>
        <w:t>计划生育服务要求</w:t>
      </w:r>
      <w:r>
        <w:rPr>
          <w:rFonts w:ascii="仿宋_GB2312" w:eastAsia="仿宋_GB2312" w:hint="eastAsia"/>
          <w:color w:val="333333"/>
          <w:sz w:val="28"/>
          <w:szCs w:val="32"/>
          <w:shd w:val="clear" w:color="auto" w:fill="FFFFFF"/>
        </w:rPr>
        <w:t>，该项费用支出符合相关法律法规规定，符合国民经济和社会发展规划及其他专项规划要求，保障</w:t>
      </w:r>
      <w:r>
        <w:rPr>
          <w:rFonts w:ascii="仿宋_GB2312" w:eastAsia="仿宋_GB2312" w:hint="eastAsia"/>
          <w:color w:val="333333"/>
          <w:sz w:val="28"/>
          <w:szCs w:val="32"/>
          <w:shd w:val="clear" w:color="auto" w:fill="FFFFFF"/>
          <w:lang w:eastAsia="zh-CN"/>
        </w:rPr>
        <w:t>实行计划生育家庭的合法权益。</w:t>
      </w:r>
    </w:p>
    <w:p>
      <w:pPr>
        <w:topLinePunct/>
        <w:adjustRightInd w:val="0"/>
        <w:snapToGrid w:val="0"/>
        <w:spacing w:line="560" w:lineRule="exact"/>
        <w:ind w:firstLine="640" w:firstLineChars="200"/>
        <w:rPr>
          <w:rFonts w:ascii="仿宋_GB2312" w:eastAsia="仿宋_GB2312" w:hint="eastAsia"/>
          <w:color w:val="333333"/>
          <w:sz w:val="28"/>
          <w:szCs w:val="32"/>
          <w:shd w:val="clear" w:color="auto" w:fill="FFFFFF"/>
          <w:lang w:val="en-US" w:eastAsia="zh-CN"/>
        </w:rPr>
      </w:pPr>
      <w:r>
        <w:rPr>
          <w:rFonts w:ascii="仿宋_GB2312" w:eastAsia="仿宋_GB2312" w:hAnsi="TimesNewRoman" w:cs="TimesNewRoman" w:hint="eastAsia"/>
          <w:sz w:val="32"/>
          <w:szCs w:val="32"/>
        </w:rPr>
        <w:t>（2）立项依据</w:t>
      </w:r>
      <w:r>
        <w:rPr>
          <w:rFonts w:ascii="仿宋_GB2312" w:eastAsia="仿宋_GB2312" w:hAnsi="TimesNewRoman" w:cs="TimesNewRoman" w:hint="eastAsia"/>
          <w:sz w:val="32"/>
          <w:szCs w:val="32"/>
          <w:lang w:val="en-US" w:eastAsia="zh-CN"/>
        </w:rPr>
        <w:t>:</w:t>
      </w:r>
      <w:r>
        <w:rPr>
          <w:rFonts w:ascii="仿宋_GB2312" w:eastAsia="仿宋_GB2312" w:hint="eastAsia"/>
          <w:color w:val="333333"/>
          <w:sz w:val="28"/>
          <w:szCs w:val="32"/>
          <w:shd w:val="clear" w:color="auto" w:fill="FFFFFF"/>
        </w:rPr>
        <w:t>按照寿政［2013］23号、淮府办[2013]75号、淮府[2010]80号</w:t>
      </w:r>
      <w:r>
        <w:rPr>
          <w:rFonts w:ascii="仿宋_GB2312" w:eastAsia="仿宋_GB2312" w:hint="eastAsia"/>
          <w:color w:val="333333"/>
          <w:sz w:val="28"/>
          <w:szCs w:val="32"/>
          <w:shd w:val="clear" w:color="auto" w:fill="FFFFFF"/>
          <w:lang w:eastAsia="zh-CN"/>
        </w:rPr>
        <w:t>、寿办发[2022]7号</w:t>
      </w:r>
      <w:r>
        <w:rPr>
          <w:rFonts w:ascii="仿宋_GB2312" w:eastAsia="仿宋_GB2312" w:hint="eastAsia"/>
          <w:color w:val="333333"/>
          <w:sz w:val="28"/>
          <w:szCs w:val="32"/>
          <w:shd w:val="clear" w:color="auto" w:fill="FFFFFF"/>
          <w:lang w:val="en-US" w:eastAsia="zh-CN"/>
        </w:rPr>
        <w:t xml:space="preserve">、寿政办秘〔2022〕41号等文件要求。 </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（3）实施主体</w:t>
      </w:r>
      <w:r>
        <w:rPr>
          <w:rFonts w:ascii="仿宋_GB2312" w:eastAsia="仿宋_GB2312" w:hAnsi="TimesNewRoman" w:cs="TimesNewRoman" w:hint="eastAsia"/>
          <w:sz w:val="32"/>
          <w:szCs w:val="32"/>
          <w:lang w:val="en-US" w:eastAsia="zh-CN"/>
        </w:rPr>
        <w:t>:寿县卫生健康委员会。</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（4）起止时间</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2024年度。</w:t>
      </w:r>
    </w:p>
    <w:p>
      <w:pPr>
        <w:topLinePunct/>
        <w:adjustRightInd w:val="0"/>
        <w:snapToGrid w:val="0"/>
        <w:spacing w:line="560" w:lineRule="exact"/>
        <w:ind w:firstLine="640" w:firstLineChars="200"/>
        <w:rPr>
          <w:rFonts w:ascii="仿宋_GB2312" w:eastAsia="仿宋_GB2312" w:hint="eastAsia"/>
          <w:color w:val="333333"/>
          <w:sz w:val="28"/>
          <w:szCs w:val="32"/>
          <w:shd w:val="clear" w:color="auto" w:fill="FFFFFF"/>
          <w:lang w:eastAsia="zh-CN"/>
        </w:rPr>
      </w:pPr>
      <w:r>
        <w:rPr>
          <w:rFonts w:ascii="仿宋_GB2312" w:eastAsia="仿宋_GB2312" w:hAnsi="TimesNewRoman" w:cs="TimesNewRoman" w:hint="eastAsia"/>
          <w:sz w:val="32"/>
          <w:szCs w:val="32"/>
        </w:rPr>
        <w:t>（5）项目内容</w:t>
      </w:r>
      <w:r>
        <w:rPr>
          <w:rFonts w:ascii="仿宋_GB2312" w:eastAsia="仿宋_GB2312" w:hAnsi="TimesNewRoman" w:cs="TimesNewRoman" w:hint="eastAsia"/>
          <w:sz w:val="32"/>
          <w:szCs w:val="32"/>
          <w:lang w:eastAsia="zh-CN"/>
        </w:rPr>
        <w:t>：</w:t>
      </w:r>
      <w:r>
        <w:rPr>
          <w:rFonts w:ascii="仿宋_GB2312" w:eastAsia="仿宋_GB2312" w:hint="eastAsia"/>
          <w:color w:val="333333"/>
          <w:sz w:val="28"/>
          <w:szCs w:val="32"/>
          <w:shd w:val="clear" w:color="auto" w:fill="FFFFFF"/>
        </w:rPr>
        <w:t>完成</w:t>
      </w:r>
      <w:r>
        <w:rPr>
          <w:rFonts w:ascii="仿宋_GB2312" w:eastAsia="仿宋_GB2312" w:hint="eastAsia"/>
          <w:color w:val="333333"/>
          <w:sz w:val="28"/>
          <w:szCs w:val="32"/>
          <w:shd w:val="clear" w:color="auto" w:fill="FFFFFF"/>
          <w:lang w:val="en-US" w:eastAsia="zh-CN"/>
        </w:rPr>
        <w:t>2024年计划生育奖扶、特扶支出。</w:t>
      </w:r>
    </w:p>
    <w:p>
      <w:pPr>
        <w:topLinePunct/>
        <w:adjustRightInd w:val="0"/>
        <w:snapToGrid w:val="0"/>
        <w:spacing w:line="56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2094.12万元</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tbl>
      <w:tblPr>
        <w:tblStyle w:val="TableNormal"/>
        <w:tblW w:w="9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751"/>
        <w:gridCol w:w="2696"/>
        <w:gridCol w:w="1788"/>
        <w:gridCol w:w="1772"/>
        <w:gridCol w:w="1344"/>
      </w:tblGrid>
      <w:tr>
        <w:tblPrEx>
          <w:tblW w:w="9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877"/>
        </w:trPr>
        <w:tc>
          <w:tcPr>
            <w:tcW w:w="935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8"/>
                <w:szCs w:val="28"/>
                <w:u w:val="none"/>
              </w:rPr>
            </w:pPr>
            <w:r>
              <w:rPr>
                <w:rFonts w:ascii="宋体" w:eastAsia="宋体" w:hAnsi="宋体" w:cs="宋体" w:hint="eastAsia"/>
                <w:b/>
                <w:bCs/>
                <w:i w:val="0"/>
                <w:iCs w:val="0"/>
                <w:color w:val="000000"/>
                <w:kern w:val="0"/>
                <w:sz w:val="28"/>
                <w:szCs w:val="28"/>
                <w:u w:val="none"/>
                <w:lang w:val="en-US" w:eastAsia="zh-CN" w:bidi="ar"/>
              </w:rPr>
              <w:t>项目支出绩效目标表</w:t>
            </w:r>
          </w:p>
        </w:tc>
      </w:tr>
      <w:tr>
        <w:tblPrEx>
          <w:tblW w:w="9351" w:type="dxa"/>
          <w:tblInd w:w="93" w:type="dxa"/>
          <w:shd w:val="clear" w:color="auto" w:fill="auto"/>
          <w:tblLayout w:type="fixed"/>
          <w:tblCellMar>
            <w:top w:w="0" w:type="dxa"/>
            <w:left w:w="108" w:type="dxa"/>
            <w:bottom w:w="0" w:type="dxa"/>
            <w:right w:w="108" w:type="dxa"/>
          </w:tblCellMar>
        </w:tblPrEx>
        <w:trPr>
          <w:trHeight w:val="567"/>
        </w:trPr>
        <w:tc>
          <w:tcPr>
            <w:tcW w:w="1751" w:type="dxa"/>
            <w:tcBorders>
              <w:top w:val="nil"/>
              <w:left w:val="nil"/>
              <w:bottom w:val="nil"/>
              <w:right w:val="nil"/>
            </w:tcBorders>
            <w:shd w:val="clear" w:color="auto" w:fill="auto"/>
            <w:vAlign w:val="center"/>
          </w:tcPr>
          <w:p>
            <w:pPr>
              <w:jc w:val="center"/>
              <w:rPr>
                <w:rFonts w:ascii="宋体" w:eastAsia="宋体" w:hAnsi="宋体" w:cs="宋体" w:hint="eastAsia"/>
                <w:b/>
                <w:bCs/>
                <w:i w:val="0"/>
                <w:iCs w:val="0"/>
                <w:color w:val="000000"/>
                <w:sz w:val="28"/>
                <w:szCs w:val="28"/>
                <w:u w:val="none"/>
              </w:rPr>
            </w:pPr>
          </w:p>
        </w:tc>
        <w:tc>
          <w:tcPr>
            <w:tcW w:w="2696" w:type="dxa"/>
            <w:tcBorders>
              <w:top w:val="nil"/>
              <w:left w:val="nil"/>
              <w:bottom w:val="nil"/>
              <w:right w:val="nil"/>
            </w:tcBorders>
            <w:shd w:val="clear" w:color="auto" w:fill="auto"/>
            <w:vAlign w:val="center"/>
          </w:tcPr>
          <w:p>
            <w:pPr>
              <w:jc w:val="center"/>
              <w:rPr>
                <w:rFonts w:ascii="宋体" w:eastAsia="宋体" w:hAnsi="宋体" w:cs="宋体" w:hint="eastAsia"/>
                <w:b/>
                <w:bCs/>
                <w:i w:val="0"/>
                <w:iCs w:val="0"/>
                <w:color w:val="000000"/>
                <w:sz w:val="28"/>
                <w:szCs w:val="28"/>
                <w:u w:val="none"/>
              </w:rPr>
            </w:pPr>
          </w:p>
        </w:tc>
        <w:tc>
          <w:tcPr>
            <w:tcW w:w="178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8"/>
                <w:szCs w:val="28"/>
                <w:u w:val="none"/>
              </w:rPr>
            </w:pPr>
            <w:r>
              <w:rPr>
                <w:rFonts w:ascii="宋体" w:eastAsia="宋体" w:hAnsi="宋体" w:cs="宋体" w:hint="eastAsia"/>
                <w:i w:val="0"/>
                <w:iCs w:val="0"/>
                <w:color w:val="000000"/>
                <w:kern w:val="0"/>
                <w:sz w:val="28"/>
                <w:szCs w:val="28"/>
                <w:u w:val="none"/>
                <w:lang w:val="en-US" w:eastAsia="zh-CN" w:bidi="ar"/>
              </w:rPr>
              <w:t>2024年</w:t>
            </w:r>
          </w:p>
        </w:tc>
        <w:tc>
          <w:tcPr>
            <w:tcW w:w="1772" w:type="dxa"/>
            <w:tcBorders>
              <w:top w:val="nil"/>
              <w:left w:val="nil"/>
              <w:bottom w:val="nil"/>
              <w:right w:val="nil"/>
            </w:tcBorders>
            <w:shd w:val="clear" w:color="auto" w:fill="auto"/>
            <w:vAlign w:val="center"/>
          </w:tcPr>
          <w:p>
            <w:pPr>
              <w:jc w:val="center"/>
              <w:rPr>
                <w:rFonts w:ascii="宋体" w:eastAsia="宋体" w:hAnsi="宋体" w:cs="宋体" w:hint="eastAsia"/>
                <w:b/>
                <w:bCs/>
                <w:i w:val="0"/>
                <w:iCs w:val="0"/>
                <w:color w:val="000000"/>
                <w:sz w:val="28"/>
                <w:szCs w:val="28"/>
                <w:u w:val="none"/>
              </w:rPr>
            </w:pPr>
          </w:p>
        </w:tc>
        <w:tc>
          <w:tcPr>
            <w:tcW w:w="13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8"/>
                <w:szCs w:val="28"/>
                <w:u w:val="none"/>
              </w:rPr>
            </w:pPr>
            <w:r>
              <w:rPr>
                <w:rFonts w:ascii="宋体" w:eastAsia="宋体" w:hAnsi="宋体" w:cs="宋体" w:hint="eastAsia"/>
                <w:i w:val="0"/>
                <w:iCs w:val="0"/>
                <w:color w:val="000000"/>
                <w:kern w:val="0"/>
                <w:sz w:val="28"/>
                <w:szCs w:val="28"/>
                <w:u w:val="none"/>
                <w:lang w:val="en-US" w:eastAsia="zh-CN" w:bidi="ar"/>
              </w:rPr>
              <w:t>单位：万元</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项目名称</w:t>
            </w: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国家基本公共卫生服务项目</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项目金额</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2049.12</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省级主管部门</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安徽省卫生健康委</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市级主管部门</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淮南市卫生健康委</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县级财政部门</w:t>
            </w: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寿县财政局</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县级主管部门</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资金情况</w:t>
            </w: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ind w:firstLine="400" w:firstLineChars="200"/>
              <w:jc w:val="both"/>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年度金额</w:t>
            </w:r>
          </w:p>
        </w:tc>
        <w:tc>
          <w:tcPr>
            <w:tcW w:w="49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Times New Roman" w:eastAsia="宋体" w:hAnsi="Times New Roman" w:cs="Times New Roman" w:hint="default"/>
                <w:i w:val="0"/>
                <w:iCs w:val="0"/>
                <w:color w:val="000000"/>
                <w:sz w:val="20"/>
                <w:szCs w:val="20"/>
                <w:u w:val="none"/>
              </w:rPr>
            </w:pPr>
            <w:r>
              <w:rPr>
                <w:rFonts w:ascii="Times New Roman" w:eastAsia="宋体" w:hAnsi="Times New Roman" w:cs="Times New Roman" w:hint="default"/>
                <w:i w:val="0"/>
                <w:iCs w:val="0"/>
                <w:color w:val="000000"/>
                <w:kern w:val="0"/>
                <w:sz w:val="20"/>
                <w:szCs w:val="20"/>
                <w:u w:val="none"/>
                <w:lang w:val="en-US" w:eastAsia="zh-CN" w:bidi="ar"/>
              </w:rPr>
              <w:t>2094.12</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ind w:firstLine="1000" w:firstLineChars="500"/>
              <w:jc w:val="both"/>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其中；中央补助</w:t>
            </w:r>
          </w:p>
        </w:tc>
        <w:tc>
          <w:tcPr>
            <w:tcW w:w="49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Times New Roman" w:eastAsia="宋体" w:hAnsi="Times New Roman" w:cs="Times New Roman" w:hint="default"/>
                <w:i w:val="0"/>
                <w:iCs w:val="0"/>
                <w:color w:val="000000"/>
                <w:sz w:val="20"/>
                <w:szCs w:val="20"/>
                <w:u w:val="none"/>
              </w:rPr>
            </w:pPr>
            <w:r>
              <w:rPr>
                <w:rFonts w:ascii="Times New Roman" w:eastAsia="宋体" w:hAnsi="Times New Roman" w:cs="Times New Roman" w:hint="default"/>
                <w:i w:val="0"/>
                <w:iCs w:val="0"/>
                <w:color w:val="000000"/>
                <w:kern w:val="0"/>
                <w:sz w:val="20"/>
                <w:szCs w:val="20"/>
                <w:u w:val="none"/>
                <w:lang w:val="en-US" w:eastAsia="zh-CN" w:bidi="ar"/>
              </w:rPr>
              <w:t>2094.12</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ind w:firstLine="1600" w:firstLineChars="800"/>
              <w:jc w:val="both"/>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省级补助</w:t>
            </w:r>
          </w:p>
        </w:tc>
        <w:tc>
          <w:tcPr>
            <w:tcW w:w="49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Times New Roman" w:eastAsia="宋体" w:hAnsi="Times New Roman" w:cs="Times New Roman" w:hint="default"/>
                <w:i w:val="0"/>
                <w:iCs w:val="0"/>
                <w:color w:val="000000"/>
                <w:sz w:val="20"/>
                <w:szCs w:val="20"/>
                <w:u w:val="none"/>
              </w:rPr>
            </w:pPr>
            <w:r>
              <w:rPr>
                <w:rFonts w:ascii="Times New Roman" w:eastAsia="宋体" w:hAnsi="Times New Roman" w:cs="Times New Roman" w:hint="default"/>
                <w:i w:val="0"/>
                <w:iCs w:val="0"/>
                <w:color w:val="000000"/>
                <w:kern w:val="0"/>
                <w:sz w:val="20"/>
                <w:szCs w:val="20"/>
                <w:u w:val="none"/>
                <w:lang w:val="en-US" w:eastAsia="zh-CN" w:bidi="ar"/>
              </w:rPr>
              <w:t>0</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年度总</w:t>
            </w:r>
          </w:p>
        </w:tc>
        <w:tc>
          <w:tcPr>
            <w:tcW w:w="760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right"/>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户籍</w:t>
            </w:r>
            <w:r>
              <w:rPr>
                <w:rFonts w:ascii="宋体" w:eastAsia="宋体" w:hAnsi="宋体" w:cs="宋体" w:hint="eastAsia"/>
                <w:i w:val="0"/>
                <w:iCs w:val="0"/>
                <w:color w:val="000000"/>
                <w:kern w:val="0"/>
                <w:sz w:val="20"/>
                <w:szCs w:val="20"/>
                <w:u w:val="none"/>
                <w:lang w:val="en-US" w:eastAsia="zh-CN" w:bidi="ar"/>
              </w:rPr>
              <w:t>在本辖区内农村独生子女、二女户夫妇双方年满</w:t>
            </w:r>
            <w:r>
              <w:rPr>
                <w:rFonts w:ascii="Times New Roman" w:eastAsia="宋体" w:hAnsi="Times New Roman" w:cs="Times New Roman" w:hint="default"/>
                <w:i w:val="0"/>
                <w:iCs w:val="0"/>
                <w:color w:val="000000"/>
                <w:kern w:val="0"/>
                <w:sz w:val="20"/>
                <w:szCs w:val="20"/>
                <w:u w:val="none"/>
                <w:lang w:val="en-US" w:eastAsia="zh-CN" w:bidi="ar"/>
              </w:rPr>
              <w:t>60</w:t>
            </w:r>
            <w:r>
              <w:rPr>
                <w:rFonts w:ascii="宋体" w:eastAsia="宋体" w:hAnsi="宋体" w:cs="宋体" w:hint="eastAsia"/>
                <w:i w:val="0"/>
                <w:iCs w:val="0"/>
                <w:color w:val="000000"/>
                <w:kern w:val="0"/>
                <w:sz w:val="20"/>
                <w:szCs w:val="20"/>
                <w:u w:val="none"/>
                <w:lang w:val="en-US" w:eastAsia="zh-CN" w:bidi="ar"/>
              </w:rPr>
              <w:t>周岁享受计划生育家庭奖扶助、特别扶助</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体目标</w:t>
            </w:r>
          </w:p>
        </w:tc>
        <w:tc>
          <w:tcPr>
            <w:tcW w:w="760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bottom"/>
          </w:tcPr>
          <w:p>
            <w:pPr>
              <w:jc w:val="right"/>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绩效指标</w:t>
            </w:r>
          </w:p>
        </w:tc>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一级指标</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二级指标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三级指标</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指标值</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产出指标</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数量指标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奖励扶助、特别扶助</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14000人</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bottom"/>
          </w:tcPr>
          <w:p>
            <w:pPr>
              <w:jc w:val="center"/>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质量指标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奖励扶助、特别扶助</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时效指标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奖励扶助、特别扶助</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每年6月底前打卡到位</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成本指标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效益指标</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经济效益指标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社会效益指标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奖励扶助、特别扶助</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14000例</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生态效益指标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jc w:val="center"/>
              <w:rPr>
                <w:rFonts w:ascii="宋体" w:eastAsia="宋体" w:hAnsi="宋体" w:cs="宋体" w:hint="eastAsia"/>
                <w:i w:val="0"/>
                <w:iCs w:val="0"/>
                <w:color w:val="000000"/>
                <w:sz w:val="22"/>
                <w:szCs w:val="22"/>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jc w:val="both"/>
              <w:rPr>
                <w:rFonts w:ascii="宋体" w:eastAsia="宋体" w:hAnsi="宋体" w:cs="宋体" w:hint="eastAsia"/>
                <w:i w:val="0"/>
                <w:iCs w:val="0"/>
                <w:color w:val="000000"/>
                <w:sz w:val="22"/>
                <w:szCs w:val="22"/>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可持续影响指标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计生奖励扶助对象</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终生享受</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满意度指标</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服务对象</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奖励扶助对象满满意率</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9351" w:type="dxa"/>
          <w:tblInd w:w="93" w:type="dxa"/>
          <w:shd w:val="clear" w:color="auto" w:fill="auto"/>
          <w:tblLayout w:type="fixed"/>
          <w:tblCellMar>
            <w:top w:w="0" w:type="dxa"/>
            <w:left w:w="108" w:type="dxa"/>
            <w:bottom w:w="0" w:type="dxa"/>
            <w:right w:w="108" w:type="dxa"/>
          </w:tblCellMar>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满意度指标</w:t>
            </w: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hAnsi="宋体" w:cs="宋体" w:hint="eastAsia"/>
                <w:i w:val="0"/>
                <w:iCs w:val="0"/>
                <w:color w:val="000000"/>
                <w:sz w:val="20"/>
                <w:szCs w:val="20"/>
                <w:u w:val="none"/>
              </w:rPr>
            </w:pPr>
          </w:p>
        </w:tc>
        <w:tc>
          <w:tcPr>
            <w:tcW w:w="13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r>
    </w:tbl>
    <w:p>
      <w:pPr>
        <w:pStyle w:val="BodyTextFirstIndent2"/>
        <w:ind w:left="0" w:firstLine="0" w:leftChars="0" w:firstLineChars="0"/>
        <w:rPr>
          <w:rFonts w:hint="eastAsia"/>
        </w:rPr>
      </w:pPr>
    </w:p>
    <w:p>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lang w:val="en-US" w:eastAsia="zh-CN"/>
        </w:rPr>
        <w:t>3</w:t>
      </w:r>
      <w:r>
        <w:rPr>
          <w:rFonts w:ascii="仿宋_GB2312" w:eastAsia="仿宋_GB2312" w:hAnsi="TimesNewRoman" w:cs="TimesNewRoman" w:hint="eastAsia"/>
          <w:b/>
          <w:sz w:val="32"/>
          <w:szCs w:val="32"/>
        </w:rPr>
        <w:t>.“非税疫苗收入”项目。</w:t>
      </w:r>
    </w:p>
    <w:p>
      <w:pPr>
        <w:topLinePunct/>
        <w:adjustRightInd w:val="0"/>
        <w:snapToGrid w:val="0"/>
        <w:spacing w:line="580" w:lineRule="exact"/>
        <w:ind w:firstLine="640" w:firstLineChars="200"/>
        <w:rPr>
          <w:rFonts w:ascii="仿宋_GB2312" w:eastAsia="仿宋_GB2312" w:hAnsi="楷体"/>
          <w:sz w:val="32"/>
          <w:szCs w:val="32"/>
        </w:rPr>
      </w:pPr>
      <w:r>
        <w:rPr>
          <w:rFonts w:ascii="仿宋_GB2312" w:eastAsia="仿宋_GB2312" w:hAnsi="TimesNewRoman" w:cs="TimesNewRoman" w:hint="eastAsia"/>
          <w:sz w:val="32"/>
          <w:szCs w:val="32"/>
        </w:rPr>
        <w:t>（1）项目概述：疾控中心</w:t>
      </w:r>
      <w:r>
        <w:rPr>
          <w:rFonts w:ascii="仿宋_GB2312" w:eastAsia="仿宋_GB2312" w:hAnsi="楷体" w:hint="eastAsia"/>
          <w:sz w:val="32"/>
          <w:szCs w:val="32"/>
        </w:rPr>
        <w:t>非税项目，用于购置全县二类疫苗，保障全县二类苗供应。</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（2）立项依据：疫苗管理法。</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（3）实施主体：寿县疾病预防控制中心。</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（4）起止时间：2024年1-12月。</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（5）项目内容：依据安徽省二类疫苗集中采购品种目录，保障全县二类疫苗供应，使受种者知情、自愿、自费接种，为群众提供安全有效、价格合理的二类疫苗，保护广大群众身体健康。</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（6）年度预算安排：1500万元。</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（7）绩效目标：</w:t>
      </w:r>
    </w:p>
    <w:p>
      <w:pPr>
        <w:topLinePunct/>
        <w:adjustRightInd w:val="0"/>
        <w:snapToGrid w:val="0"/>
        <w:spacing w:line="580" w:lineRule="exact"/>
        <w:ind w:firstLine="640" w:firstLineChars="200"/>
        <w:rPr>
          <w:rFonts w:ascii="仿宋_GB2312" w:eastAsia="仿宋_GB2312" w:hAnsi="楷体"/>
          <w:sz w:val="32"/>
          <w:szCs w:val="32"/>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8"/>
        <w:gridCol w:w="1005"/>
        <w:gridCol w:w="225"/>
        <w:gridCol w:w="1701"/>
        <w:gridCol w:w="1423"/>
        <w:gridCol w:w="1848"/>
        <w:gridCol w:w="414"/>
        <w:gridCol w:w="196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3"/>
        </w:trPr>
        <w:tc>
          <w:tcPr>
            <w:tcW w:w="9020" w:type="dxa"/>
            <w:gridSpan w:val="8"/>
            <w:tcBorders>
              <w:top w:val="nil"/>
              <w:left w:val="nil"/>
              <w:bottom w:val="nil"/>
              <w:right w:val="nil"/>
            </w:tcBorders>
            <w:vAlign w:val="center"/>
          </w:tcPr>
          <w:p>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tblPrEx>
          <w:tblW w:w="0" w:type="auto"/>
          <w:tblInd w:w="0" w:type="dxa"/>
          <w:tblLayout w:type="fixed"/>
          <w:tblCellMar>
            <w:top w:w="0" w:type="dxa"/>
            <w:left w:w="108" w:type="dxa"/>
            <w:bottom w:w="0" w:type="dxa"/>
            <w:right w:w="108" w:type="dxa"/>
          </w:tblCellMar>
        </w:tblPrEx>
        <w:trPr>
          <w:trHeight w:val="270"/>
        </w:trPr>
        <w:tc>
          <w:tcPr>
            <w:tcW w:w="9020" w:type="dxa"/>
            <w:gridSpan w:val="8"/>
            <w:tcBorders>
              <w:top w:val="nil"/>
              <w:left w:val="nil"/>
              <w:right w:val="nil"/>
            </w:tcBorders>
            <w:vAlign w:val="center"/>
          </w:tcPr>
          <w:p>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项目名称</w:t>
            </w:r>
          </w:p>
        </w:tc>
        <w:tc>
          <w:tcPr>
            <w:tcW w:w="7577" w:type="dxa"/>
            <w:gridSpan w:val="6"/>
            <w:vAlign w:val="center"/>
          </w:tcPr>
          <w:p>
            <w:pPr>
              <w:spacing w:line="260" w:lineRule="exact"/>
              <w:jc w:val="center"/>
              <w:rPr>
                <w:rFonts w:ascii="宋体" w:cs="宋体"/>
                <w:sz w:val="18"/>
                <w:szCs w:val="18"/>
              </w:rPr>
            </w:pPr>
            <w:r>
              <w:rPr>
                <w:rFonts w:ascii="宋体" w:cs="宋体" w:hint="eastAsia"/>
                <w:sz w:val="18"/>
                <w:szCs w:val="18"/>
              </w:rPr>
              <w:t>非税疫苗收入</w:t>
            </w:r>
          </w:p>
        </w:tc>
      </w:tr>
      <w:tr>
        <w:tblPrEx>
          <w:tblW w:w="0" w:type="auto"/>
          <w:tblInd w:w="0" w:type="dxa"/>
          <w:tblLayout w:type="fixed"/>
          <w:tblCellMar>
            <w:top w:w="0" w:type="dxa"/>
            <w:left w:w="108" w:type="dxa"/>
            <w:bottom w:w="0" w:type="dxa"/>
            <w:right w:w="108" w:type="dxa"/>
          </w:tblCellMar>
        </w:tblPrEx>
        <w:trPr>
          <w:trHeight w:val="491"/>
        </w:trPr>
        <w:tc>
          <w:tcPr>
            <w:tcW w:w="1443"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主管部门   及代码</w:t>
            </w:r>
          </w:p>
        </w:tc>
        <w:tc>
          <w:tcPr>
            <w:tcW w:w="3349" w:type="dxa"/>
            <w:gridSpan w:val="3"/>
            <w:vAlign w:val="center"/>
          </w:tcPr>
          <w:p>
            <w:pPr>
              <w:spacing w:line="260" w:lineRule="exact"/>
              <w:jc w:val="center"/>
              <w:rPr>
                <w:rFonts w:ascii="宋体" w:cs="宋体"/>
                <w:sz w:val="18"/>
                <w:szCs w:val="18"/>
              </w:rPr>
            </w:pPr>
            <w:r>
              <w:rPr>
                <w:rFonts w:ascii="宋体" w:cs="宋体" w:hint="eastAsia"/>
                <w:sz w:val="18"/>
                <w:szCs w:val="18"/>
              </w:rPr>
              <w:t>153-寿县卫生健康委员会</w:t>
            </w:r>
          </w:p>
        </w:tc>
        <w:tc>
          <w:tcPr>
            <w:tcW w:w="1848" w:type="dxa"/>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实施单位</w:t>
            </w:r>
          </w:p>
        </w:tc>
        <w:tc>
          <w:tcPr>
            <w:tcW w:w="2380" w:type="dxa"/>
            <w:gridSpan w:val="2"/>
            <w:vAlign w:val="center"/>
          </w:tcPr>
          <w:p>
            <w:pPr>
              <w:spacing w:line="260" w:lineRule="exact"/>
              <w:jc w:val="center"/>
              <w:rPr>
                <w:sz w:val="18"/>
                <w:szCs w:val="18"/>
              </w:rPr>
            </w:pPr>
            <w:r>
              <w:rPr>
                <w:rFonts w:ascii="宋体" w:cs="宋体" w:hint="eastAsia"/>
                <w:sz w:val="18"/>
                <w:szCs w:val="18"/>
              </w:rPr>
              <w:t>寿县疾病预防控制中心</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项目来源</w:t>
            </w:r>
          </w:p>
        </w:tc>
        <w:tc>
          <w:tcPr>
            <w:tcW w:w="3349" w:type="dxa"/>
            <w:gridSpan w:val="3"/>
            <w:vAlign w:val="center"/>
          </w:tcPr>
          <w:p>
            <w:pPr>
              <w:spacing w:line="260" w:lineRule="exact"/>
              <w:jc w:val="center"/>
              <w:rPr>
                <w:rFonts w:ascii="宋体" w:cs="宋体"/>
                <w:sz w:val="18"/>
                <w:szCs w:val="18"/>
              </w:rPr>
            </w:pPr>
            <w:r>
              <w:rPr>
                <w:rFonts w:ascii="宋体" w:cs="宋体" w:hint="eastAsia"/>
                <w:sz w:val="18"/>
                <w:szCs w:val="18"/>
              </w:rPr>
              <w:t>本级</w:t>
            </w:r>
            <w:r>
              <w:rPr>
                <w:rFonts w:ascii="宋体" w:cs="宋体"/>
                <w:sz w:val="18"/>
                <w:szCs w:val="18"/>
              </w:rPr>
              <w:t>申报</w:t>
            </w:r>
          </w:p>
        </w:tc>
        <w:tc>
          <w:tcPr>
            <w:tcW w:w="1848" w:type="dxa"/>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项目期</w:t>
            </w:r>
          </w:p>
        </w:tc>
        <w:tc>
          <w:tcPr>
            <w:tcW w:w="2380" w:type="dxa"/>
            <w:gridSpan w:val="2"/>
            <w:vAlign w:val="center"/>
          </w:tcPr>
          <w:p>
            <w:pPr>
              <w:spacing w:line="260" w:lineRule="exact"/>
              <w:jc w:val="center"/>
              <w:rPr>
                <w:sz w:val="18"/>
                <w:szCs w:val="18"/>
              </w:rPr>
            </w:pPr>
            <w:r>
              <w:rPr>
                <w:rFonts w:hint="eastAsia"/>
                <w:sz w:val="18"/>
                <w:szCs w:val="18"/>
              </w:rPr>
              <w:t>2024年</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3349"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年度资金总额：</w:t>
            </w:r>
          </w:p>
        </w:tc>
        <w:tc>
          <w:tcPr>
            <w:tcW w:w="4228" w:type="dxa"/>
            <w:gridSpan w:val="3"/>
            <w:vAlign w:val="center"/>
          </w:tcPr>
          <w:p>
            <w:pPr>
              <w:spacing w:line="260" w:lineRule="exact"/>
              <w:jc w:val="center"/>
              <w:rPr>
                <w:rFonts w:ascii="宋体" w:cs="宋体"/>
                <w:sz w:val="18"/>
                <w:szCs w:val="18"/>
              </w:rPr>
            </w:pPr>
            <w:r>
              <w:rPr>
                <w:rFonts w:ascii="宋体" w:cs="宋体" w:hint="eastAsia"/>
                <w:sz w:val="18"/>
                <w:szCs w:val="18"/>
              </w:rPr>
              <w:t>1500万元</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Merge/>
            <w:vAlign w:val="center"/>
          </w:tcPr>
          <w:p>
            <w:pPr>
              <w:spacing w:line="260" w:lineRule="exact"/>
              <w:jc w:val="center"/>
              <w:rPr>
                <w:rFonts w:ascii="宋体" w:cs="宋体"/>
                <w:sz w:val="18"/>
                <w:szCs w:val="18"/>
              </w:rPr>
            </w:pPr>
          </w:p>
        </w:tc>
        <w:tc>
          <w:tcPr>
            <w:tcW w:w="3349"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其中：财政拨款</w:t>
            </w:r>
          </w:p>
        </w:tc>
        <w:tc>
          <w:tcPr>
            <w:tcW w:w="4228" w:type="dxa"/>
            <w:gridSpan w:val="3"/>
            <w:vAlign w:val="center"/>
          </w:tcPr>
          <w:p>
            <w:pPr>
              <w:spacing w:line="260" w:lineRule="exact"/>
              <w:jc w:val="right"/>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Merge/>
            <w:vAlign w:val="center"/>
          </w:tcPr>
          <w:p>
            <w:pPr>
              <w:spacing w:line="260" w:lineRule="exact"/>
              <w:jc w:val="center"/>
              <w:rPr>
                <w:rFonts w:ascii="宋体" w:cs="宋体"/>
                <w:sz w:val="18"/>
                <w:szCs w:val="18"/>
              </w:rPr>
            </w:pPr>
          </w:p>
        </w:tc>
        <w:tc>
          <w:tcPr>
            <w:tcW w:w="3349"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上年结转</w:t>
            </w:r>
          </w:p>
        </w:tc>
        <w:tc>
          <w:tcPr>
            <w:tcW w:w="4228" w:type="dxa"/>
            <w:gridSpan w:val="3"/>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Merge/>
            <w:vAlign w:val="center"/>
          </w:tcPr>
          <w:p>
            <w:pPr>
              <w:spacing w:line="260" w:lineRule="exact"/>
              <w:jc w:val="center"/>
              <w:rPr>
                <w:rFonts w:ascii="宋体" w:cs="宋体"/>
                <w:sz w:val="18"/>
                <w:szCs w:val="18"/>
              </w:rPr>
            </w:pPr>
          </w:p>
        </w:tc>
        <w:tc>
          <w:tcPr>
            <w:tcW w:w="3349"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其他资金</w:t>
            </w:r>
          </w:p>
        </w:tc>
        <w:tc>
          <w:tcPr>
            <w:tcW w:w="4228" w:type="dxa"/>
            <w:gridSpan w:val="3"/>
            <w:vAlign w:val="center"/>
          </w:tcPr>
          <w:p>
            <w:pPr>
              <w:spacing w:line="260" w:lineRule="exact"/>
              <w:jc w:val="center"/>
              <w:rPr>
                <w:rFonts w:ascii="宋体" w:cs="宋体"/>
                <w:sz w:val="18"/>
                <w:szCs w:val="18"/>
              </w:rPr>
            </w:pPr>
            <w:r>
              <w:rPr>
                <w:rFonts w:ascii="宋体" w:cs="宋体" w:hint="eastAsia"/>
                <w:sz w:val="18"/>
                <w:szCs w:val="18"/>
              </w:rPr>
              <w:t>1500万元</w:t>
            </w:r>
          </w:p>
        </w:tc>
      </w:tr>
      <w:tr>
        <w:tblPrEx>
          <w:tblW w:w="0" w:type="auto"/>
          <w:tblInd w:w="0" w:type="dxa"/>
          <w:tblLayout w:type="fixed"/>
          <w:tblCellMar>
            <w:top w:w="0" w:type="dxa"/>
            <w:left w:w="108" w:type="dxa"/>
            <w:bottom w:w="0" w:type="dxa"/>
            <w:right w:w="108" w:type="dxa"/>
          </w:tblCellMar>
        </w:tblPrEx>
        <w:trPr>
          <w:trHeight w:val="1015"/>
        </w:trPr>
        <w:tc>
          <w:tcPr>
            <w:tcW w:w="438"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年度</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目标</w:t>
            </w:r>
          </w:p>
        </w:tc>
        <w:tc>
          <w:tcPr>
            <w:tcW w:w="8582" w:type="dxa"/>
            <w:gridSpan w:val="7"/>
            <w:vAlign w:val="center"/>
          </w:tcPr>
          <w:p>
            <w:pPr>
              <w:spacing w:line="260" w:lineRule="exact"/>
              <w:ind w:firstLine="360" w:firstLineChars="200"/>
              <w:jc w:val="left"/>
              <w:rPr>
                <w:rFonts w:ascii="宋体" w:cs="宋体"/>
                <w:sz w:val="18"/>
                <w:szCs w:val="18"/>
              </w:rPr>
            </w:pPr>
            <w:r>
              <w:rPr>
                <w:rFonts w:ascii="宋体" w:cs="宋体" w:hint="eastAsia"/>
                <w:sz w:val="18"/>
                <w:szCs w:val="18"/>
              </w:rPr>
              <w:t>为贯彻落实《疫苗流通和预防接种管理条例》，依据安徽省二类疫苗集中采购品种目录，保障全县二类疫苗供应，使受种者知情、自愿、自费接种，为群众提供安全有效、价格合理的二类疫苗，保护广大群众身体健康。</w:t>
            </w:r>
          </w:p>
        </w:tc>
      </w:tr>
      <w:tr>
        <w:tblPrEx>
          <w:tblW w:w="0" w:type="auto"/>
          <w:tblInd w:w="0" w:type="dxa"/>
          <w:tblLayout w:type="fixed"/>
          <w:tblCellMar>
            <w:top w:w="0" w:type="dxa"/>
            <w:left w:w="108" w:type="dxa"/>
            <w:bottom w:w="0" w:type="dxa"/>
            <w:right w:w="108" w:type="dxa"/>
          </w:tblCellMar>
        </w:tblPrEx>
        <w:trPr>
          <w:trHeight w:val="508"/>
        </w:trPr>
        <w:tc>
          <w:tcPr>
            <w:tcW w:w="438" w:type="dxa"/>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绩</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效</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指</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标</w:t>
            </w:r>
          </w:p>
        </w:tc>
        <w:tc>
          <w:tcPr>
            <w:tcW w:w="1230"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一级</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指标</w:t>
            </w:r>
          </w:p>
        </w:tc>
        <w:tc>
          <w:tcPr>
            <w:tcW w:w="1701"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二级指标</w:t>
            </w:r>
          </w:p>
        </w:tc>
        <w:tc>
          <w:tcPr>
            <w:tcW w:w="3685" w:type="dxa"/>
            <w:gridSpan w:val="3"/>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三级指标</w:t>
            </w:r>
          </w:p>
        </w:tc>
        <w:tc>
          <w:tcPr>
            <w:tcW w:w="1966"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指标值</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产出指标</w:t>
            </w:r>
          </w:p>
        </w:tc>
        <w:tc>
          <w:tcPr>
            <w:tcW w:w="1701" w:type="dxa"/>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数量指标</w:t>
            </w:r>
          </w:p>
        </w:tc>
        <w:tc>
          <w:tcPr>
            <w:tcW w:w="3685"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38家预防接种门诊、狂犬病门诊接种覆盖率</w:t>
            </w:r>
          </w:p>
        </w:tc>
        <w:tc>
          <w:tcPr>
            <w:tcW w:w="1966" w:type="dxa"/>
            <w:vAlign w:val="center"/>
          </w:tcPr>
          <w:p>
            <w:pPr>
              <w:spacing w:line="260" w:lineRule="exact"/>
              <w:jc w:val="center"/>
              <w:rPr>
                <w:rFonts w:ascii="宋体" w:cs="宋体"/>
                <w:sz w:val="18"/>
                <w:szCs w:val="18"/>
              </w:rPr>
            </w:pPr>
            <w:r>
              <w:rPr>
                <w:rFonts w:ascii="宋体" w:cs="宋体" w:hint="eastAsia"/>
                <w:sz w:val="18"/>
                <w:szCs w:val="18"/>
              </w:rPr>
              <w:t>100%</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textAlignment w:val="center"/>
              <w:rPr>
                <w:rFonts w:ascii="宋体" w:hAnsi="宋体" w:cs="宋体"/>
                <w:color w:val="000000"/>
                <w:kern w:val="0"/>
                <w:sz w:val="18"/>
                <w:szCs w:val="18"/>
                <w:lang w:bidi="ar"/>
              </w:rPr>
            </w:pPr>
          </w:p>
        </w:tc>
        <w:tc>
          <w:tcPr>
            <w:tcW w:w="1701" w:type="dxa"/>
            <w:vMerge/>
            <w:vAlign w:val="center"/>
          </w:tcPr>
          <w:p>
            <w:pPr>
              <w:spacing w:line="260" w:lineRule="exact"/>
              <w:jc w:val="center"/>
              <w:textAlignment w:val="center"/>
              <w:rPr>
                <w:rFonts w:ascii="宋体" w:hAnsi="宋体" w:cs="宋体"/>
                <w:color w:val="000000"/>
                <w:kern w:val="0"/>
                <w:sz w:val="18"/>
                <w:szCs w:val="18"/>
                <w:lang w:bidi="ar"/>
              </w:rPr>
            </w:pPr>
          </w:p>
        </w:tc>
        <w:tc>
          <w:tcPr>
            <w:tcW w:w="3685" w:type="dxa"/>
            <w:gridSpan w:val="3"/>
            <w:vAlign w:val="center"/>
          </w:tcPr>
          <w:p>
            <w:pPr>
              <w:spacing w:line="26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全省二类疫苗品种集中采购目录</w:t>
            </w:r>
          </w:p>
        </w:tc>
        <w:tc>
          <w:tcPr>
            <w:tcW w:w="1966" w:type="dxa"/>
            <w:vAlign w:val="center"/>
          </w:tcPr>
          <w:p>
            <w:pPr>
              <w:spacing w:line="260" w:lineRule="exact"/>
              <w:jc w:val="center"/>
              <w:rPr>
                <w:rFonts w:ascii="宋体" w:cs="宋体"/>
                <w:sz w:val="18"/>
                <w:szCs w:val="18"/>
              </w:rPr>
            </w:pPr>
            <w:r>
              <w:rPr>
                <w:rFonts w:ascii="宋体" w:cs="宋体" w:hint="eastAsia"/>
                <w:sz w:val="18"/>
                <w:szCs w:val="18"/>
              </w:rPr>
              <w:t>30种</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textAlignment w:val="center"/>
              <w:rPr>
                <w:rFonts w:ascii="宋体" w:hAnsi="宋体" w:cs="宋体"/>
                <w:color w:val="000000"/>
                <w:kern w:val="0"/>
                <w:sz w:val="18"/>
                <w:szCs w:val="18"/>
                <w:lang w:bidi="ar"/>
              </w:rPr>
            </w:pPr>
          </w:p>
        </w:tc>
        <w:tc>
          <w:tcPr>
            <w:tcW w:w="1701" w:type="dxa"/>
            <w:vMerge/>
            <w:vAlign w:val="center"/>
          </w:tcPr>
          <w:p>
            <w:pPr>
              <w:spacing w:line="260" w:lineRule="exact"/>
              <w:jc w:val="center"/>
              <w:textAlignment w:val="center"/>
              <w:rPr>
                <w:rFonts w:ascii="宋体" w:hAnsi="宋体" w:cs="宋体"/>
                <w:color w:val="000000"/>
                <w:kern w:val="0"/>
                <w:sz w:val="18"/>
                <w:szCs w:val="18"/>
                <w:lang w:bidi="ar"/>
              </w:rPr>
            </w:pPr>
          </w:p>
        </w:tc>
        <w:tc>
          <w:tcPr>
            <w:tcW w:w="3685" w:type="dxa"/>
            <w:gridSpan w:val="3"/>
            <w:vAlign w:val="center"/>
          </w:tcPr>
          <w:p>
            <w:pPr>
              <w:spacing w:line="26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二类疫苗统一分发供应</w:t>
            </w:r>
          </w:p>
        </w:tc>
        <w:tc>
          <w:tcPr>
            <w:tcW w:w="1966" w:type="dxa"/>
            <w:vAlign w:val="center"/>
          </w:tcPr>
          <w:p>
            <w:pPr>
              <w:spacing w:line="260" w:lineRule="exact"/>
              <w:jc w:val="center"/>
              <w:rPr>
                <w:rFonts w:ascii="宋体" w:cs="宋体"/>
                <w:sz w:val="18"/>
                <w:szCs w:val="18"/>
              </w:rPr>
            </w:pPr>
            <w:r>
              <w:rPr>
                <w:rFonts w:ascii="宋体" w:cs="宋体" w:hint="eastAsia"/>
                <w:sz w:val="18"/>
                <w:szCs w:val="18"/>
              </w:rPr>
              <w:t>100%</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701" w:type="dxa"/>
            <w:vMerge/>
            <w:vAlign w:val="center"/>
          </w:tcPr>
          <w:p>
            <w:pPr>
              <w:spacing w:line="260" w:lineRule="exact"/>
              <w:jc w:val="center"/>
              <w:rPr>
                <w:rFonts w:ascii="宋体" w:cs="宋体"/>
                <w:sz w:val="18"/>
                <w:szCs w:val="18"/>
              </w:rPr>
            </w:pPr>
          </w:p>
        </w:tc>
        <w:tc>
          <w:tcPr>
            <w:tcW w:w="3685" w:type="dxa"/>
            <w:gridSpan w:val="3"/>
            <w:vAlign w:val="center"/>
          </w:tcPr>
          <w:p>
            <w:pPr>
              <w:spacing w:line="26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二类疫苗价格按标准收取</w:t>
            </w:r>
          </w:p>
        </w:tc>
        <w:tc>
          <w:tcPr>
            <w:tcW w:w="1966" w:type="dxa"/>
            <w:vAlign w:val="center"/>
          </w:tcPr>
          <w:p>
            <w:pPr>
              <w:spacing w:line="260" w:lineRule="exact"/>
              <w:jc w:val="center"/>
              <w:rPr>
                <w:rFonts w:ascii="宋体" w:cs="宋体"/>
                <w:sz w:val="18"/>
                <w:szCs w:val="18"/>
              </w:rPr>
            </w:pPr>
            <w:r>
              <w:rPr>
                <w:rFonts w:ascii="宋体" w:cs="宋体" w:hint="eastAsia"/>
                <w:sz w:val="18"/>
                <w:szCs w:val="18"/>
              </w:rPr>
              <w:t>100%</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701"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质量指标</w:t>
            </w:r>
          </w:p>
        </w:tc>
        <w:tc>
          <w:tcPr>
            <w:tcW w:w="3685" w:type="dxa"/>
            <w:gridSpan w:val="3"/>
            <w:vAlign w:val="center"/>
          </w:tcPr>
          <w:p>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二类疫苗集中采购合格率</w:t>
            </w:r>
          </w:p>
        </w:tc>
        <w:tc>
          <w:tcPr>
            <w:tcW w:w="1966" w:type="dxa"/>
            <w:vAlign w:val="center"/>
          </w:tcPr>
          <w:p>
            <w:pPr>
              <w:spacing w:line="260" w:lineRule="exact"/>
              <w:jc w:val="center"/>
              <w:rPr>
                <w:rFonts w:ascii="宋体" w:cs="宋体"/>
                <w:sz w:val="18"/>
                <w:szCs w:val="18"/>
              </w:rPr>
            </w:pPr>
            <w:r>
              <w:rPr>
                <w:rFonts w:ascii="宋体" w:cs="宋体" w:hint="eastAsia"/>
                <w:sz w:val="18"/>
                <w:szCs w:val="18"/>
              </w:rPr>
              <w:t>100%</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701"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时效指标</w:t>
            </w:r>
          </w:p>
        </w:tc>
        <w:tc>
          <w:tcPr>
            <w:tcW w:w="3685" w:type="dxa"/>
            <w:gridSpan w:val="3"/>
            <w:vAlign w:val="center"/>
          </w:tcPr>
          <w:p>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二类疫苗款还款</w:t>
            </w:r>
          </w:p>
        </w:tc>
        <w:tc>
          <w:tcPr>
            <w:tcW w:w="1966" w:type="dxa"/>
            <w:vAlign w:val="center"/>
          </w:tcPr>
          <w:p>
            <w:pPr>
              <w:widowControl/>
              <w:jc w:val="center"/>
              <w:rPr>
                <w:rFonts w:ascii="宋体" w:hAnsi="宋体" w:cs="宋体"/>
                <w:kern w:val="0"/>
                <w:sz w:val="20"/>
                <w:szCs w:val="20"/>
              </w:rPr>
            </w:pPr>
            <w:r>
              <w:rPr>
                <w:rFonts w:ascii="宋体" w:cs="宋体" w:hint="eastAsia"/>
                <w:sz w:val="18"/>
                <w:szCs w:val="18"/>
              </w:rPr>
              <w:t>≤3个月</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701"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成本指标</w:t>
            </w:r>
          </w:p>
        </w:tc>
        <w:tc>
          <w:tcPr>
            <w:tcW w:w="3685" w:type="dxa"/>
            <w:gridSpan w:val="3"/>
            <w:vAlign w:val="center"/>
          </w:tcPr>
          <w:p>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疫苗成本</w:t>
            </w:r>
          </w:p>
        </w:tc>
        <w:tc>
          <w:tcPr>
            <w:tcW w:w="1966" w:type="dxa"/>
            <w:vAlign w:val="center"/>
          </w:tcPr>
          <w:p>
            <w:pPr>
              <w:spacing w:line="260" w:lineRule="exact"/>
              <w:jc w:val="center"/>
              <w:rPr>
                <w:rFonts w:ascii="宋体" w:cs="宋体"/>
                <w:sz w:val="18"/>
                <w:szCs w:val="18"/>
              </w:rPr>
            </w:pPr>
            <w:r>
              <w:rPr>
                <w:rFonts w:ascii="宋体" w:cs="宋体" w:hint="eastAsia"/>
                <w:sz w:val="18"/>
                <w:szCs w:val="18"/>
              </w:rPr>
              <w:t>1500万元</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效益指标</w:t>
            </w:r>
          </w:p>
        </w:tc>
        <w:tc>
          <w:tcPr>
            <w:tcW w:w="1701" w:type="dxa"/>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社会效益指标</w:t>
            </w:r>
          </w:p>
        </w:tc>
        <w:tc>
          <w:tcPr>
            <w:tcW w:w="3685" w:type="dxa"/>
            <w:gridSpan w:val="3"/>
            <w:vAlign w:val="center"/>
          </w:tcPr>
          <w:p>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保障疫苗针对疾病的发生和流行</w:t>
            </w:r>
          </w:p>
        </w:tc>
        <w:tc>
          <w:tcPr>
            <w:tcW w:w="1966" w:type="dxa"/>
            <w:vAlign w:val="center"/>
          </w:tcPr>
          <w:p>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有效</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textAlignment w:val="center"/>
              <w:rPr>
                <w:rFonts w:ascii="宋体" w:hAnsi="宋体" w:cs="宋体"/>
                <w:color w:val="000000"/>
                <w:kern w:val="0"/>
                <w:sz w:val="18"/>
                <w:szCs w:val="18"/>
                <w:lang w:bidi="ar"/>
              </w:rPr>
            </w:pPr>
          </w:p>
        </w:tc>
        <w:tc>
          <w:tcPr>
            <w:tcW w:w="1701" w:type="dxa"/>
            <w:vMerge/>
            <w:vAlign w:val="center"/>
          </w:tcPr>
          <w:p>
            <w:pPr>
              <w:spacing w:line="260" w:lineRule="exact"/>
              <w:jc w:val="center"/>
              <w:textAlignment w:val="center"/>
              <w:rPr>
                <w:rFonts w:ascii="宋体" w:hAnsi="宋体" w:cs="宋体"/>
                <w:color w:val="000000"/>
                <w:kern w:val="0"/>
                <w:sz w:val="18"/>
                <w:szCs w:val="18"/>
                <w:lang w:bidi="ar"/>
              </w:rPr>
            </w:pPr>
          </w:p>
        </w:tc>
        <w:tc>
          <w:tcPr>
            <w:tcW w:w="3685" w:type="dxa"/>
            <w:gridSpan w:val="3"/>
            <w:vAlign w:val="center"/>
          </w:tcPr>
          <w:p>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降低疫苗针对疾病的发生种剂</w:t>
            </w:r>
          </w:p>
        </w:tc>
        <w:tc>
          <w:tcPr>
            <w:tcW w:w="1966" w:type="dxa"/>
            <w:vAlign w:val="center"/>
          </w:tcPr>
          <w:p>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长期</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701" w:type="dxa"/>
            <w:vMerge/>
            <w:vAlign w:val="center"/>
          </w:tcPr>
          <w:p>
            <w:pPr>
              <w:spacing w:line="260" w:lineRule="exact"/>
              <w:jc w:val="center"/>
              <w:rPr>
                <w:rFonts w:ascii="宋体" w:cs="宋体"/>
                <w:sz w:val="18"/>
                <w:szCs w:val="18"/>
              </w:rPr>
            </w:pPr>
          </w:p>
        </w:tc>
        <w:tc>
          <w:tcPr>
            <w:tcW w:w="3685" w:type="dxa"/>
            <w:gridSpan w:val="3"/>
            <w:vAlign w:val="center"/>
          </w:tcPr>
          <w:p>
            <w:pPr>
              <w:spacing w:line="260" w:lineRule="exact"/>
              <w:jc w:val="left"/>
              <w:textAlignment w:val="center"/>
              <w:rPr>
                <w:rFonts w:ascii="宋体" w:hAnsi="宋体" w:cs="宋体"/>
                <w:color w:val="000000"/>
                <w:kern w:val="0"/>
                <w:sz w:val="18"/>
                <w:szCs w:val="18"/>
                <w:lang w:bidi="ar"/>
              </w:rPr>
            </w:pPr>
          </w:p>
        </w:tc>
        <w:tc>
          <w:tcPr>
            <w:tcW w:w="1966" w:type="dxa"/>
            <w:vAlign w:val="center"/>
          </w:tcPr>
          <w:p>
            <w:pPr>
              <w:spacing w:line="260" w:lineRule="exact"/>
              <w:jc w:val="center"/>
              <w:rPr>
                <w:rFonts w:ascii="宋体" w:hAnsi="宋体" w:cs="宋体"/>
                <w:color w:val="000000"/>
                <w:kern w:val="0"/>
                <w:sz w:val="18"/>
                <w:szCs w:val="18"/>
                <w:lang w:bidi="ar"/>
              </w:rPr>
            </w:pPr>
          </w:p>
        </w:tc>
      </w:tr>
      <w:tr>
        <w:tblPrEx>
          <w:tblW w:w="0" w:type="auto"/>
          <w:tblInd w:w="0" w:type="dxa"/>
          <w:tblLayout w:type="fixed"/>
          <w:tblCellMar>
            <w:top w:w="0" w:type="dxa"/>
            <w:left w:w="108" w:type="dxa"/>
            <w:bottom w:w="0" w:type="dxa"/>
            <w:right w:w="108" w:type="dxa"/>
          </w:tblCellMar>
        </w:tblPrEx>
        <w:trPr>
          <w:trHeight w:val="420"/>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701" w:type="dxa"/>
            <w:vMerge w:val="restart"/>
            <w:vAlign w:val="center"/>
          </w:tcPr>
          <w:p>
            <w:pPr>
              <w:spacing w:line="260" w:lineRule="exact"/>
              <w:jc w:val="center"/>
              <w:rPr>
                <w:rFonts w:ascii="宋体" w:hAnsi="宋体" w:cs="宋体"/>
                <w:sz w:val="18"/>
                <w:szCs w:val="18"/>
              </w:rPr>
            </w:pPr>
            <w:r>
              <w:rPr>
                <w:rFonts w:ascii="宋体" w:hAnsi="宋体" w:cs="宋体" w:hint="eastAsia"/>
                <w:sz w:val="18"/>
                <w:szCs w:val="18"/>
              </w:rPr>
              <w:t>可持续影响指标</w:t>
            </w:r>
          </w:p>
        </w:tc>
        <w:tc>
          <w:tcPr>
            <w:tcW w:w="3685" w:type="dxa"/>
            <w:gridSpan w:val="3"/>
            <w:vAlign w:val="center"/>
          </w:tcPr>
          <w:p>
            <w:pPr>
              <w:spacing w:line="260" w:lineRule="exact"/>
              <w:jc w:val="left"/>
              <w:textAlignment w:val="center"/>
              <w:rPr>
                <w:rFonts w:ascii="宋体" w:hAnsi="宋体" w:cs="宋体"/>
                <w:color w:val="000000"/>
                <w:kern w:val="0"/>
                <w:sz w:val="18"/>
                <w:szCs w:val="18"/>
                <w:lang w:bidi="ar"/>
              </w:rPr>
            </w:pPr>
          </w:p>
        </w:tc>
        <w:tc>
          <w:tcPr>
            <w:tcW w:w="1966" w:type="dxa"/>
            <w:vAlign w:val="center"/>
          </w:tcPr>
          <w:p>
            <w:pPr>
              <w:spacing w:line="260" w:lineRule="exact"/>
              <w:jc w:val="center"/>
              <w:rPr>
                <w:rFonts w:ascii="宋体" w:hAnsi="宋体" w:cs="宋体"/>
                <w:color w:val="000000"/>
                <w:kern w:val="0"/>
                <w:sz w:val="18"/>
                <w:szCs w:val="18"/>
                <w:lang w:bidi="ar"/>
              </w:rPr>
            </w:pPr>
          </w:p>
        </w:tc>
      </w:tr>
      <w:tr>
        <w:tblPrEx>
          <w:tblW w:w="0" w:type="auto"/>
          <w:tblInd w:w="0" w:type="dxa"/>
          <w:tblLayout w:type="fixed"/>
          <w:tblCellMar>
            <w:top w:w="0" w:type="dxa"/>
            <w:left w:w="108" w:type="dxa"/>
            <w:bottom w:w="0" w:type="dxa"/>
            <w:right w:w="108" w:type="dxa"/>
          </w:tblCellMar>
        </w:tblPrEx>
        <w:trPr>
          <w:trHeight w:val="444"/>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701" w:type="dxa"/>
            <w:vMerge/>
            <w:vAlign w:val="center"/>
          </w:tcPr>
          <w:p>
            <w:pPr>
              <w:spacing w:line="260" w:lineRule="exact"/>
              <w:jc w:val="center"/>
              <w:rPr>
                <w:rFonts w:ascii="宋体" w:hAnsi="宋体" w:cs="宋体"/>
                <w:sz w:val="18"/>
                <w:szCs w:val="18"/>
              </w:rPr>
            </w:pPr>
          </w:p>
        </w:tc>
        <w:tc>
          <w:tcPr>
            <w:tcW w:w="3685" w:type="dxa"/>
            <w:gridSpan w:val="3"/>
            <w:vAlign w:val="center"/>
          </w:tcPr>
          <w:p>
            <w:pPr>
              <w:spacing w:line="260" w:lineRule="exact"/>
              <w:jc w:val="left"/>
              <w:textAlignment w:val="center"/>
              <w:rPr>
                <w:rFonts w:ascii="宋体" w:hAnsi="宋体" w:cs="宋体"/>
                <w:color w:val="000000"/>
                <w:kern w:val="0"/>
                <w:sz w:val="18"/>
                <w:szCs w:val="18"/>
                <w:lang w:bidi="ar"/>
              </w:rPr>
            </w:pPr>
          </w:p>
        </w:tc>
        <w:tc>
          <w:tcPr>
            <w:tcW w:w="1966" w:type="dxa"/>
            <w:vAlign w:val="center"/>
          </w:tcPr>
          <w:p>
            <w:pPr>
              <w:spacing w:line="260" w:lineRule="exact"/>
              <w:jc w:val="center"/>
              <w:rPr>
                <w:rFonts w:ascii="宋体" w:hAnsi="宋体" w:cs="宋体"/>
                <w:color w:val="000000"/>
                <w:kern w:val="0"/>
                <w:sz w:val="18"/>
                <w:szCs w:val="18"/>
                <w:lang w:bidi="ar"/>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Align w:val="center"/>
          </w:tcPr>
          <w:p>
            <w:pPr>
              <w:spacing w:line="260" w:lineRule="exact"/>
              <w:jc w:val="center"/>
              <w:rPr>
                <w:rFonts w:ascii="宋体" w:hAnsi="宋体" w:cs="宋体"/>
                <w:sz w:val="18"/>
                <w:szCs w:val="18"/>
              </w:rPr>
            </w:pPr>
            <w:r>
              <w:rPr>
                <w:rFonts w:ascii="宋体" w:hAnsi="宋体" w:cs="宋体" w:hint="eastAsia"/>
                <w:sz w:val="18"/>
                <w:szCs w:val="18"/>
              </w:rPr>
              <w:t>满意度指标</w:t>
            </w:r>
          </w:p>
        </w:tc>
        <w:tc>
          <w:tcPr>
            <w:tcW w:w="1701" w:type="dxa"/>
            <w:vAlign w:val="center"/>
          </w:tcPr>
          <w:p>
            <w:pPr>
              <w:spacing w:line="260" w:lineRule="exact"/>
              <w:jc w:val="center"/>
              <w:rPr>
                <w:rFonts w:ascii="宋体" w:hAnsi="宋体" w:cs="宋体"/>
                <w:sz w:val="18"/>
                <w:szCs w:val="18"/>
              </w:rPr>
            </w:pPr>
            <w:r>
              <w:rPr>
                <w:rFonts w:ascii="宋体" w:hAnsi="宋体" w:cs="宋体" w:hint="eastAsia"/>
                <w:sz w:val="18"/>
                <w:szCs w:val="18"/>
              </w:rPr>
              <w:t>满意度指标</w:t>
            </w:r>
          </w:p>
        </w:tc>
        <w:tc>
          <w:tcPr>
            <w:tcW w:w="3685" w:type="dxa"/>
            <w:gridSpan w:val="3"/>
            <w:vAlign w:val="center"/>
          </w:tcPr>
          <w:p>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服务群众满意度</w:t>
            </w:r>
          </w:p>
        </w:tc>
        <w:tc>
          <w:tcPr>
            <w:tcW w:w="1966" w:type="dxa"/>
            <w:vAlign w:val="center"/>
          </w:tcPr>
          <w:p>
            <w:pPr>
              <w:widowControl/>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≥90%</w:t>
            </w:r>
          </w:p>
        </w:tc>
      </w:tr>
    </w:tbl>
    <w:p>
      <w:pPr>
        <w:topLinePunct/>
        <w:adjustRightInd w:val="0"/>
        <w:snapToGrid w:val="0"/>
        <w:spacing w:line="580" w:lineRule="exact"/>
        <w:ind w:firstLine="640" w:firstLineChars="200"/>
        <w:rPr>
          <w:rFonts w:ascii="仿宋_GB2312" w:eastAsia="仿宋_GB2312" w:hAnsi="TimesNewRoman" w:cs="TimesNewRoman"/>
          <w:b/>
          <w:sz w:val="32"/>
          <w:szCs w:val="32"/>
        </w:rPr>
      </w:pPr>
      <w:r>
        <w:rPr>
          <w:rFonts w:ascii="仿宋_GB2312" w:eastAsia="仿宋_GB2312" w:hAnsi="TimesNewRoman" w:cs="TimesNewRoman" w:hint="eastAsia"/>
          <w:b/>
          <w:sz w:val="32"/>
          <w:szCs w:val="32"/>
          <w:lang w:val="en-US" w:eastAsia="zh-CN"/>
        </w:rPr>
        <w:t>4</w:t>
      </w:r>
      <w:r>
        <w:rPr>
          <w:rFonts w:ascii="仿宋_GB2312" w:eastAsia="仿宋_GB2312" w:hAnsi="TimesNewRoman" w:cs="TimesNewRoman" w:hint="eastAsia"/>
          <w:b/>
          <w:sz w:val="32"/>
          <w:szCs w:val="32"/>
        </w:rPr>
        <w:t>.“2024基本公共卫生服务”项目。</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（1）项目概述：“2024基本公共卫生服务”项目包括中补艾滋病、中补结核病、中补慢病、省补免疫规划等中省补项目。</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（2）立项依据：中省补项目文件及实施方案。</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（3）实施主体：寿县疾病预防控制中心。</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（4）起止时间：2024年1-12月。</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（5）项目内容：做好艾滋病病人督导服药及病人随访；进一步减少结核感染、患病和死亡，切实降低结核病负担；推广癌症、心脑血管疾病等重点慢性病早期筛查和干预适宜技术。</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（6）年度预算安排：336万元。</w:t>
      </w:r>
    </w:p>
    <w:p>
      <w:pPr>
        <w:topLinePunct/>
        <w:adjustRightInd w:val="0"/>
        <w:snapToGrid w:val="0"/>
        <w:spacing w:line="580" w:lineRule="exact"/>
        <w:ind w:firstLine="640" w:firstLineChars="200"/>
        <w:rPr>
          <w:rFonts w:ascii="仿宋_GB2312" w:eastAsia="仿宋_GB2312" w:hAnsi="TimesNewRoman" w:cs="TimesNewRoman"/>
          <w:sz w:val="32"/>
          <w:szCs w:val="32"/>
        </w:rPr>
      </w:pPr>
      <w:r>
        <w:rPr>
          <w:rFonts w:ascii="仿宋_GB2312" w:eastAsia="仿宋_GB2312" w:hAnsi="TimesNewRoman" w:cs="TimesNewRoman" w:hint="eastAsia"/>
          <w:sz w:val="32"/>
          <w:szCs w:val="32"/>
        </w:rPr>
        <w:t>（7）绩效目标：</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8"/>
        <w:gridCol w:w="1005"/>
        <w:gridCol w:w="225"/>
        <w:gridCol w:w="1559"/>
        <w:gridCol w:w="1565"/>
        <w:gridCol w:w="1837"/>
        <w:gridCol w:w="11"/>
        <w:gridCol w:w="238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3"/>
        </w:trPr>
        <w:tc>
          <w:tcPr>
            <w:tcW w:w="9020" w:type="dxa"/>
            <w:gridSpan w:val="8"/>
            <w:tcBorders>
              <w:top w:val="nil"/>
              <w:left w:val="nil"/>
              <w:bottom w:val="nil"/>
              <w:right w:val="nil"/>
            </w:tcBorders>
            <w:vAlign w:val="center"/>
          </w:tcPr>
          <w:p>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tblPrEx>
          <w:tblW w:w="0" w:type="auto"/>
          <w:tblInd w:w="0" w:type="dxa"/>
          <w:tblLayout w:type="fixed"/>
          <w:tblCellMar>
            <w:top w:w="0" w:type="dxa"/>
            <w:left w:w="108" w:type="dxa"/>
            <w:bottom w:w="0" w:type="dxa"/>
            <w:right w:w="108" w:type="dxa"/>
          </w:tblCellMar>
        </w:tblPrEx>
        <w:trPr>
          <w:trHeight w:val="270"/>
        </w:trPr>
        <w:tc>
          <w:tcPr>
            <w:tcW w:w="9020" w:type="dxa"/>
            <w:gridSpan w:val="8"/>
            <w:tcBorders>
              <w:top w:val="nil"/>
              <w:left w:val="nil"/>
              <w:right w:val="nil"/>
            </w:tcBorders>
            <w:vAlign w:val="center"/>
          </w:tcPr>
          <w:p>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项目名称</w:t>
            </w:r>
          </w:p>
        </w:tc>
        <w:tc>
          <w:tcPr>
            <w:tcW w:w="7577" w:type="dxa"/>
            <w:gridSpan w:val="6"/>
            <w:vAlign w:val="center"/>
          </w:tcPr>
          <w:p>
            <w:pPr>
              <w:spacing w:line="260" w:lineRule="exact"/>
              <w:jc w:val="center"/>
              <w:rPr>
                <w:rFonts w:ascii="宋体" w:cs="宋体"/>
                <w:sz w:val="18"/>
                <w:szCs w:val="18"/>
              </w:rPr>
            </w:pPr>
            <w:r>
              <w:rPr>
                <w:rFonts w:ascii="宋体" w:cs="宋体" w:hint="eastAsia"/>
                <w:sz w:val="18"/>
                <w:szCs w:val="18"/>
              </w:rPr>
              <w:t>2024基本公共卫生服务</w:t>
            </w:r>
          </w:p>
        </w:tc>
      </w:tr>
      <w:tr>
        <w:tblPrEx>
          <w:tblW w:w="0" w:type="auto"/>
          <w:tblInd w:w="0" w:type="dxa"/>
          <w:tblLayout w:type="fixed"/>
          <w:tblCellMar>
            <w:top w:w="0" w:type="dxa"/>
            <w:left w:w="108" w:type="dxa"/>
            <w:bottom w:w="0" w:type="dxa"/>
            <w:right w:w="108" w:type="dxa"/>
          </w:tblCellMar>
        </w:tblPrEx>
        <w:trPr>
          <w:trHeight w:val="491"/>
        </w:trPr>
        <w:tc>
          <w:tcPr>
            <w:tcW w:w="1443"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主管部门   及代码</w:t>
            </w:r>
          </w:p>
        </w:tc>
        <w:tc>
          <w:tcPr>
            <w:tcW w:w="3349" w:type="dxa"/>
            <w:gridSpan w:val="3"/>
            <w:vAlign w:val="center"/>
          </w:tcPr>
          <w:p>
            <w:pPr>
              <w:spacing w:line="260" w:lineRule="exact"/>
              <w:jc w:val="center"/>
              <w:rPr>
                <w:rFonts w:ascii="宋体" w:cs="宋体"/>
                <w:sz w:val="18"/>
                <w:szCs w:val="18"/>
              </w:rPr>
            </w:pPr>
            <w:r>
              <w:rPr>
                <w:rFonts w:ascii="宋体" w:cs="宋体" w:hint="eastAsia"/>
                <w:sz w:val="18"/>
                <w:szCs w:val="18"/>
              </w:rPr>
              <w:t>153-寿县卫生健康委员会</w:t>
            </w:r>
          </w:p>
        </w:tc>
        <w:tc>
          <w:tcPr>
            <w:tcW w:w="1848" w:type="dxa"/>
            <w:gridSpan w:val="2"/>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实施单位</w:t>
            </w:r>
          </w:p>
        </w:tc>
        <w:tc>
          <w:tcPr>
            <w:tcW w:w="2380" w:type="dxa"/>
            <w:vAlign w:val="center"/>
          </w:tcPr>
          <w:p>
            <w:pPr>
              <w:spacing w:line="260" w:lineRule="exact"/>
              <w:jc w:val="center"/>
              <w:rPr>
                <w:sz w:val="18"/>
                <w:szCs w:val="18"/>
              </w:rPr>
            </w:pPr>
            <w:r>
              <w:rPr>
                <w:rFonts w:ascii="宋体" w:cs="宋体" w:hint="eastAsia"/>
                <w:sz w:val="18"/>
                <w:szCs w:val="18"/>
              </w:rPr>
              <w:t>寿县疾病预防控制中心</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项目来源</w:t>
            </w:r>
          </w:p>
        </w:tc>
        <w:tc>
          <w:tcPr>
            <w:tcW w:w="3349" w:type="dxa"/>
            <w:gridSpan w:val="3"/>
            <w:vAlign w:val="center"/>
          </w:tcPr>
          <w:p>
            <w:pPr>
              <w:spacing w:line="260" w:lineRule="exact"/>
              <w:jc w:val="center"/>
              <w:rPr>
                <w:rFonts w:ascii="宋体" w:cs="宋体"/>
                <w:sz w:val="18"/>
                <w:szCs w:val="18"/>
              </w:rPr>
            </w:pPr>
            <w:r>
              <w:rPr>
                <w:rFonts w:ascii="宋体" w:cs="宋体" w:hint="eastAsia"/>
                <w:sz w:val="18"/>
                <w:szCs w:val="18"/>
              </w:rPr>
              <w:t>本级</w:t>
            </w:r>
            <w:r>
              <w:rPr>
                <w:rFonts w:ascii="宋体" w:cs="宋体"/>
                <w:sz w:val="18"/>
                <w:szCs w:val="18"/>
              </w:rPr>
              <w:t>申报</w:t>
            </w:r>
          </w:p>
        </w:tc>
        <w:tc>
          <w:tcPr>
            <w:tcW w:w="1848" w:type="dxa"/>
            <w:gridSpan w:val="2"/>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项目期</w:t>
            </w:r>
          </w:p>
        </w:tc>
        <w:tc>
          <w:tcPr>
            <w:tcW w:w="2380" w:type="dxa"/>
            <w:vAlign w:val="center"/>
          </w:tcPr>
          <w:p>
            <w:pPr>
              <w:spacing w:line="260" w:lineRule="exact"/>
              <w:jc w:val="center"/>
              <w:rPr>
                <w:sz w:val="18"/>
                <w:szCs w:val="18"/>
              </w:rPr>
            </w:pPr>
            <w:r>
              <w:rPr>
                <w:rFonts w:hint="eastAsia"/>
                <w:sz w:val="18"/>
                <w:szCs w:val="18"/>
              </w:rPr>
              <w:t>2024年</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3349"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年度资金总额：</w:t>
            </w:r>
          </w:p>
        </w:tc>
        <w:tc>
          <w:tcPr>
            <w:tcW w:w="4228" w:type="dxa"/>
            <w:gridSpan w:val="3"/>
            <w:vAlign w:val="center"/>
          </w:tcPr>
          <w:p>
            <w:pPr>
              <w:spacing w:line="260" w:lineRule="exact"/>
              <w:jc w:val="center"/>
              <w:rPr>
                <w:rFonts w:ascii="宋体" w:cs="宋体"/>
                <w:sz w:val="18"/>
                <w:szCs w:val="18"/>
              </w:rPr>
            </w:pPr>
            <w:r>
              <w:rPr>
                <w:rFonts w:ascii="宋体" w:cs="宋体" w:hint="eastAsia"/>
                <w:sz w:val="18"/>
                <w:szCs w:val="18"/>
              </w:rPr>
              <w:t>336万元</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Merge/>
            <w:vAlign w:val="center"/>
          </w:tcPr>
          <w:p>
            <w:pPr>
              <w:spacing w:line="260" w:lineRule="exact"/>
              <w:jc w:val="center"/>
              <w:rPr>
                <w:rFonts w:ascii="宋体" w:cs="宋体"/>
                <w:sz w:val="18"/>
                <w:szCs w:val="18"/>
              </w:rPr>
            </w:pPr>
          </w:p>
        </w:tc>
        <w:tc>
          <w:tcPr>
            <w:tcW w:w="3349"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其中：财政拨款</w:t>
            </w:r>
          </w:p>
        </w:tc>
        <w:tc>
          <w:tcPr>
            <w:tcW w:w="4228" w:type="dxa"/>
            <w:gridSpan w:val="3"/>
            <w:vAlign w:val="center"/>
          </w:tcPr>
          <w:p>
            <w:pPr>
              <w:spacing w:line="260" w:lineRule="exact"/>
              <w:jc w:val="center"/>
              <w:rPr>
                <w:rFonts w:ascii="宋体" w:cs="宋体"/>
                <w:sz w:val="18"/>
                <w:szCs w:val="18"/>
              </w:rPr>
            </w:pPr>
            <w:r>
              <w:rPr>
                <w:rFonts w:ascii="宋体" w:cs="宋体" w:hint="eastAsia"/>
                <w:sz w:val="18"/>
                <w:szCs w:val="18"/>
              </w:rPr>
              <w:t>336万元</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Merge/>
            <w:vAlign w:val="center"/>
          </w:tcPr>
          <w:p>
            <w:pPr>
              <w:spacing w:line="260" w:lineRule="exact"/>
              <w:jc w:val="center"/>
              <w:rPr>
                <w:rFonts w:ascii="宋体" w:cs="宋体"/>
                <w:sz w:val="18"/>
                <w:szCs w:val="18"/>
              </w:rPr>
            </w:pPr>
          </w:p>
        </w:tc>
        <w:tc>
          <w:tcPr>
            <w:tcW w:w="3349"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上年结转</w:t>
            </w:r>
          </w:p>
        </w:tc>
        <w:tc>
          <w:tcPr>
            <w:tcW w:w="4228" w:type="dxa"/>
            <w:gridSpan w:val="3"/>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30"/>
        </w:trPr>
        <w:tc>
          <w:tcPr>
            <w:tcW w:w="1443" w:type="dxa"/>
            <w:gridSpan w:val="2"/>
            <w:vMerge/>
            <w:vAlign w:val="center"/>
          </w:tcPr>
          <w:p>
            <w:pPr>
              <w:spacing w:line="260" w:lineRule="exact"/>
              <w:jc w:val="center"/>
              <w:rPr>
                <w:rFonts w:ascii="宋体" w:cs="宋体"/>
                <w:sz w:val="18"/>
                <w:szCs w:val="18"/>
              </w:rPr>
            </w:pPr>
          </w:p>
        </w:tc>
        <w:tc>
          <w:tcPr>
            <w:tcW w:w="3349" w:type="dxa"/>
            <w:gridSpan w:val="3"/>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其他资金</w:t>
            </w:r>
          </w:p>
        </w:tc>
        <w:tc>
          <w:tcPr>
            <w:tcW w:w="4228" w:type="dxa"/>
            <w:gridSpan w:val="3"/>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1015"/>
        </w:trPr>
        <w:tc>
          <w:tcPr>
            <w:tcW w:w="438"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年度</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目标</w:t>
            </w:r>
          </w:p>
        </w:tc>
        <w:tc>
          <w:tcPr>
            <w:tcW w:w="8582" w:type="dxa"/>
            <w:gridSpan w:val="7"/>
            <w:vAlign w:val="center"/>
          </w:tcPr>
          <w:p>
            <w:pPr>
              <w:spacing w:line="260" w:lineRule="exact"/>
              <w:jc w:val="left"/>
              <w:rPr>
                <w:rFonts w:ascii="宋体" w:cs="宋体"/>
                <w:sz w:val="18"/>
                <w:szCs w:val="18"/>
              </w:rPr>
            </w:pPr>
            <w:r>
              <w:rPr>
                <w:rFonts w:ascii="宋体" w:cs="宋体" w:hint="eastAsia"/>
                <w:sz w:val="18"/>
                <w:szCs w:val="18"/>
              </w:rPr>
              <w:t>1.有效控制艾滋病疫情，全县艾滋病疫情继续控制在低流行水平。2.进一步减少结核感染、患病和死亡，切实降低结核病负担。3.推广癌症、心脑血管疾病等重点慢性病早期筛查和干预适宜技术，健全完善慢性病机器危害因素。</w:t>
            </w:r>
          </w:p>
        </w:tc>
      </w:tr>
      <w:tr>
        <w:tblPrEx>
          <w:tblW w:w="0" w:type="auto"/>
          <w:tblInd w:w="0" w:type="dxa"/>
          <w:tblLayout w:type="fixed"/>
          <w:tblCellMar>
            <w:top w:w="0" w:type="dxa"/>
            <w:left w:w="108" w:type="dxa"/>
            <w:bottom w:w="0" w:type="dxa"/>
            <w:right w:w="108" w:type="dxa"/>
          </w:tblCellMar>
        </w:tblPrEx>
        <w:trPr>
          <w:trHeight w:val="508"/>
        </w:trPr>
        <w:tc>
          <w:tcPr>
            <w:tcW w:w="438" w:type="dxa"/>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绩</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效</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指</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标</w:t>
            </w:r>
          </w:p>
        </w:tc>
        <w:tc>
          <w:tcPr>
            <w:tcW w:w="1230"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一级</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指标</w:t>
            </w:r>
          </w:p>
        </w:tc>
        <w:tc>
          <w:tcPr>
            <w:tcW w:w="1559"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二级指标</w:t>
            </w:r>
          </w:p>
        </w:tc>
        <w:tc>
          <w:tcPr>
            <w:tcW w:w="3402"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三级指标</w:t>
            </w:r>
          </w:p>
        </w:tc>
        <w:tc>
          <w:tcPr>
            <w:tcW w:w="2391" w:type="dxa"/>
            <w:gridSpan w:val="2"/>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指标值</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产出指标</w:t>
            </w:r>
          </w:p>
        </w:tc>
        <w:tc>
          <w:tcPr>
            <w:tcW w:w="1559"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数量指标</w:t>
            </w:r>
          </w:p>
        </w:tc>
        <w:tc>
          <w:tcPr>
            <w:tcW w:w="3402" w:type="dxa"/>
            <w:gridSpan w:val="2"/>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疟疾媒介调查点数量</w:t>
            </w:r>
          </w:p>
        </w:tc>
        <w:tc>
          <w:tcPr>
            <w:tcW w:w="2391" w:type="dxa"/>
            <w:gridSpan w:val="2"/>
            <w:vAlign w:val="center"/>
          </w:tcPr>
          <w:p>
            <w:pPr>
              <w:spacing w:line="260" w:lineRule="exact"/>
              <w:jc w:val="center"/>
              <w:rPr>
                <w:rFonts w:ascii="宋体" w:cs="宋体"/>
                <w:sz w:val="18"/>
                <w:szCs w:val="18"/>
              </w:rPr>
            </w:pPr>
            <w:r>
              <w:rPr>
                <w:rFonts w:ascii="宋体" w:cs="宋体" w:hint="eastAsia"/>
                <w:sz w:val="18"/>
                <w:szCs w:val="18"/>
              </w:rPr>
              <w:t>1</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559" w:type="dxa"/>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质量指标</w:t>
            </w:r>
          </w:p>
        </w:tc>
        <w:tc>
          <w:tcPr>
            <w:tcW w:w="3402" w:type="dxa"/>
            <w:gridSpan w:val="2"/>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适龄儿童国家免疫规划疫苗接种率</w:t>
            </w:r>
          </w:p>
        </w:tc>
        <w:tc>
          <w:tcPr>
            <w:tcW w:w="2391" w:type="dxa"/>
            <w:gridSpan w:val="2"/>
            <w:vAlign w:val="center"/>
          </w:tcPr>
          <w:p>
            <w:pPr>
              <w:spacing w:line="260" w:lineRule="exact"/>
              <w:jc w:val="center"/>
              <w:rPr>
                <w:rFonts w:ascii="宋体" w:cs="宋体"/>
                <w:sz w:val="18"/>
                <w:szCs w:val="18"/>
              </w:rPr>
            </w:pPr>
            <w:r>
              <w:rPr>
                <w:rFonts w:ascii="宋体" w:hAnsi="宋体" w:cs="宋体" w:hint="eastAsia"/>
                <w:color w:val="000000"/>
                <w:kern w:val="0"/>
                <w:sz w:val="18"/>
                <w:szCs w:val="18"/>
                <w:lang w:bidi="ar"/>
              </w:rPr>
              <w:t>≥90%</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559" w:type="dxa"/>
            <w:vMerge/>
            <w:vAlign w:val="center"/>
          </w:tcPr>
          <w:p>
            <w:pPr>
              <w:spacing w:line="260" w:lineRule="exact"/>
              <w:jc w:val="center"/>
              <w:rPr>
                <w:rFonts w:ascii="宋体" w:cs="宋体"/>
                <w:sz w:val="18"/>
                <w:szCs w:val="18"/>
              </w:rPr>
            </w:pPr>
          </w:p>
        </w:tc>
        <w:tc>
          <w:tcPr>
            <w:tcW w:w="3402" w:type="dxa"/>
            <w:gridSpan w:val="2"/>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死因</w:t>
            </w:r>
            <w:r>
              <w:rPr>
                <w:rFonts w:ascii="宋体" w:hAnsi="宋体" w:cs="宋体"/>
                <w:color w:val="000000"/>
                <w:kern w:val="0"/>
                <w:sz w:val="18"/>
                <w:szCs w:val="18"/>
                <w:lang w:bidi="ar"/>
              </w:rPr>
              <w:t>监测数据规范报告率</w:t>
            </w:r>
          </w:p>
        </w:tc>
        <w:tc>
          <w:tcPr>
            <w:tcW w:w="2391" w:type="dxa"/>
            <w:gridSpan w:val="2"/>
            <w:vAlign w:val="center"/>
          </w:tcPr>
          <w:p>
            <w:pPr>
              <w:spacing w:line="260" w:lineRule="exact"/>
              <w:jc w:val="center"/>
              <w:rPr>
                <w:rFonts w:ascii="宋体" w:cs="宋体"/>
                <w:sz w:val="18"/>
                <w:szCs w:val="18"/>
              </w:rPr>
            </w:pPr>
            <w:r>
              <w:rPr>
                <w:rFonts w:ascii="宋体" w:cs="宋体"/>
                <w:sz w:val="18"/>
                <w:szCs w:val="18"/>
              </w:rPr>
              <w:t>＞</w:t>
            </w:r>
            <w:r>
              <w:rPr>
                <w:rFonts w:ascii="宋体" w:cs="宋体" w:hint="eastAsia"/>
                <w:sz w:val="18"/>
                <w:szCs w:val="18"/>
              </w:rPr>
              <w:t>80%</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559" w:type="dxa"/>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成本指标</w:t>
            </w:r>
          </w:p>
        </w:tc>
        <w:tc>
          <w:tcPr>
            <w:tcW w:w="3402" w:type="dxa"/>
            <w:gridSpan w:val="2"/>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艾滋病治疗督导服药补助</w:t>
            </w:r>
          </w:p>
        </w:tc>
        <w:tc>
          <w:tcPr>
            <w:tcW w:w="2391" w:type="dxa"/>
            <w:gridSpan w:val="2"/>
            <w:vAlign w:val="center"/>
          </w:tcPr>
          <w:p>
            <w:pPr>
              <w:spacing w:line="260" w:lineRule="exact"/>
              <w:jc w:val="center"/>
              <w:rPr>
                <w:rFonts w:ascii="宋体" w:cs="宋体"/>
                <w:sz w:val="18"/>
                <w:szCs w:val="18"/>
              </w:rPr>
            </w:pPr>
            <w:r>
              <w:rPr>
                <w:rFonts w:ascii="宋体" w:cs="宋体" w:hint="eastAsia"/>
                <w:sz w:val="18"/>
                <w:szCs w:val="18"/>
              </w:rPr>
              <w:t>120元/人</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559" w:type="dxa"/>
            <w:vMerge/>
            <w:vAlign w:val="center"/>
          </w:tcPr>
          <w:p>
            <w:pPr>
              <w:spacing w:line="260" w:lineRule="exact"/>
              <w:jc w:val="center"/>
              <w:rPr>
                <w:rFonts w:ascii="宋体" w:cs="宋体"/>
                <w:sz w:val="18"/>
                <w:szCs w:val="18"/>
              </w:rPr>
            </w:pPr>
          </w:p>
        </w:tc>
        <w:tc>
          <w:tcPr>
            <w:tcW w:w="3402" w:type="dxa"/>
            <w:gridSpan w:val="2"/>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艾滋病咨询检测</w:t>
            </w:r>
          </w:p>
        </w:tc>
        <w:tc>
          <w:tcPr>
            <w:tcW w:w="2391" w:type="dxa"/>
            <w:gridSpan w:val="2"/>
            <w:vAlign w:val="center"/>
          </w:tcPr>
          <w:p>
            <w:pPr>
              <w:spacing w:line="260" w:lineRule="exact"/>
              <w:jc w:val="center"/>
              <w:rPr>
                <w:rFonts w:ascii="宋体" w:cs="宋体"/>
                <w:sz w:val="18"/>
                <w:szCs w:val="18"/>
              </w:rPr>
            </w:pPr>
            <w:r>
              <w:rPr>
                <w:rFonts w:ascii="宋体" w:cs="宋体" w:hint="eastAsia"/>
                <w:sz w:val="18"/>
                <w:szCs w:val="18"/>
              </w:rPr>
              <w:t>6元/人</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Merge w:val="restart"/>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效益指标</w:t>
            </w:r>
          </w:p>
        </w:tc>
        <w:tc>
          <w:tcPr>
            <w:tcW w:w="1559" w:type="dxa"/>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社会效益指标</w:t>
            </w:r>
          </w:p>
        </w:tc>
        <w:tc>
          <w:tcPr>
            <w:tcW w:w="3402" w:type="dxa"/>
            <w:gridSpan w:val="2"/>
            <w:vAlign w:val="center"/>
          </w:tcPr>
          <w:p>
            <w:pPr>
              <w:spacing w:line="26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妥善处置疫苗疑似预防接种异常反应</w:t>
            </w:r>
          </w:p>
        </w:tc>
        <w:tc>
          <w:tcPr>
            <w:tcW w:w="2391" w:type="dxa"/>
            <w:gridSpan w:val="2"/>
            <w:vAlign w:val="center"/>
          </w:tcPr>
          <w:p>
            <w:pPr>
              <w:spacing w:line="260" w:lineRule="exact"/>
              <w:jc w:val="center"/>
              <w:rPr>
                <w:rFonts w:ascii="宋体" w:cs="宋体"/>
                <w:sz w:val="18"/>
                <w:szCs w:val="18"/>
              </w:rPr>
            </w:pPr>
            <w:r>
              <w:rPr>
                <w:rFonts w:ascii="宋体" w:cs="宋体"/>
                <w:sz w:val="18"/>
                <w:szCs w:val="18"/>
              </w:rPr>
              <w:t>妥善处置</w:t>
            </w:r>
          </w:p>
        </w:tc>
      </w:tr>
      <w:tr>
        <w:tblPrEx>
          <w:tblW w:w="0" w:type="auto"/>
          <w:tblInd w:w="0" w:type="dxa"/>
          <w:tblLayout w:type="fixed"/>
          <w:tblCellMar>
            <w:top w:w="0" w:type="dxa"/>
            <w:left w:w="108" w:type="dxa"/>
            <w:bottom w:w="0" w:type="dxa"/>
            <w:right w:w="108" w:type="dxa"/>
          </w:tblCellMar>
        </w:tblPrEx>
        <w:trPr>
          <w:trHeight w:val="420"/>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559" w:type="dxa"/>
            <w:vMerge w:val="restart"/>
            <w:vAlign w:val="center"/>
          </w:tcPr>
          <w:p>
            <w:pPr>
              <w:spacing w:line="260" w:lineRule="exact"/>
              <w:jc w:val="center"/>
              <w:rPr>
                <w:rFonts w:ascii="宋体" w:hAnsi="宋体" w:cs="宋体"/>
                <w:sz w:val="18"/>
                <w:szCs w:val="18"/>
              </w:rPr>
            </w:pPr>
            <w:r>
              <w:rPr>
                <w:rFonts w:ascii="宋体" w:hAnsi="宋体" w:cs="宋体" w:hint="eastAsia"/>
                <w:sz w:val="18"/>
                <w:szCs w:val="18"/>
              </w:rPr>
              <w:t>可持续影响指标</w:t>
            </w:r>
          </w:p>
        </w:tc>
        <w:tc>
          <w:tcPr>
            <w:tcW w:w="3402" w:type="dxa"/>
            <w:gridSpan w:val="2"/>
            <w:vAlign w:val="center"/>
          </w:tcPr>
          <w:p>
            <w:pPr>
              <w:spacing w:line="26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艾滋病疫情处于低流行水平</w:t>
            </w:r>
          </w:p>
        </w:tc>
        <w:tc>
          <w:tcPr>
            <w:tcW w:w="2391" w:type="dxa"/>
            <w:gridSpan w:val="2"/>
            <w:vAlign w:val="center"/>
          </w:tcPr>
          <w:p>
            <w:pPr>
              <w:spacing w:line="260" w:lineRule="exact"/>
              <w:jc w:val="center"/>
              <w:rPr>
                <w:rFonts w:ascii="宋体" w:cs="宋体"/>
                <w:sz w:val="18"/>
                <w:szCs w:val="18"/>
              </w:rPr>
            </w:pPr>
            <w:r>
              <w:rPr>
                <w:rFonts w:ascii="宋体" w:cs="宋体"/>
                <w:sz w:val="18"/>
                <w:szCs w:val="18"/>
              </w:rPr>
              <w:t>中长期</w:t>
            </w:r>
          </w:p>
        </w:tc>
      </w:tr>
      <w:tr>
        <w:tblPrEx>
          <w:tblW w:w="0" w:type="auto"/>
          <w:tblInd w:w="0" w:type="dxa"/>
          <w:tblLayout w:type="fixed"/>
          <w:tblCellMar>
            <w:top w:w="0" w:type="dxa"/>
            <w:left w:w="108" w:type="dxa"/>
            <w:bottom w:w="0" w:type="dxa"/>
            <w:right w:w="108" w:type="dxa"/>
          </w:tblCellMar>
        </w:tblPrEx>
        <w:trPr>
          <w:trHeight w:val="444"/>
        </w:trPr>
        <w:tc>
          <w:tcPr>
            <w:tcW w:w="438" w:type="dxa"/>
            <w:vMerge/>
            <w:vAlign w:val="center"/>
          </w:tcPr>
          <w:p>
            <w:pPr>
              <w:spacing w:line="260" w:lineRule="exact"/>
              <w:jc w:val="center"/>
              <w:rPr>
                <w:rFonts w:ascii="宋体" w:cs="宋体"/>
                <w:sz w:val="18"/>
                <w:szCs w:val="18"/>
              </w:rPr>
            </w:pPr>
          </w:p>
        </w:tc>
        <w:tc>
          <w:tcPr>
            <w:tcW w:w="1230" w:type="dxa"/>
            <w:gridSpan w:val="2"/>
            <w:vMerge/>
            <w:vAlign w:val="center"/>
          </w:tcPr>
          <w:p>
            <w:pPr>
              <w:spacing w:line="260" w:lineRule="exact"/>
              <w:jc w:val="center"/>
              <w:rPr>
                <w:rFonts w:ascii="宋体" w:cs="宋体"/>
                <w:sz w:val="18"/>
                <w:szCs w:val="18"/>
              </w:rPr>
            </w:pPr>
          </w:p>
        </w:tc>
        <w:tc>
          <w:tcPr>
            <w:tcW w:w="1559" w:type="dxa"/>
            <w:vMerge/>
            <w:vAlign w:val="center"/>
          </w:tcPr>
          <w:p>
            <w:pPr>
              <w:spacing w:line="260" w:lineRule="exact"/>
              <w:jc w:val="center"/>
              <w:rPr>
                <w:rFonts w:ascii="宋体" w:hAnsi="宋体" w:cs="宋体"/>
                <w:sz w:val="18"/>
                <w:szCs w:val="18"/>
              </w:rPr>
            </w:pPr>
          </w:p>
        </w:tc>
        <w:tc>
          <w:tcPr>
            <w:tcW w:w="3402" w:type="dxa"/>
            <w:gridSpan w:val="2"/>
            <w:vAlign w:val="center"/>
          </w:tcPr>
          <w:p>
            <w:pPr>
              <w:spacing w:line="260" w:lineRule="exact"/>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确保全县儿童身体健康</w:t>
            </w:r>
          </w:p>
        </w:tc>
        <w:tc>
          <w:tcPr>
            <w:tcW w:w="2391" w:type="dxa"/>
            <w:gridSpan w:val="2"/>
            <w:vAlign w:val="center"/>
          </w:tcPr>
          <w:p>
            <w:pPr>
              <w:spacing w:line="260" w:lineRule="exact"/>
              <w:jc w:val="center"/>
              <w:rPr>
                <w:rFonts w:ascii="宋体" w:cs="宋体"/>
                <w:sz w:val="18"/>
                <w:szCs w:val="18"/>
              </w:rPr>
            </w:pPr>
            <w:r>
              <w:rPr>
                <w:rFonts w:ascii="宋体" w:cs="宋体"/>
                <w:sz w:val="18"/>
                <w:szCs w:val="18"/>
              </w:rPr>
              <w:t>保持</w:t>
            </w:r>
          </w:p>
        </w:tc>
      </w:tr>
      <w:tr>
        <w:tblPrEx>
          <w:tblW w:w="0" w:type="auto"/>
          <w:tblInd w:w="0" w:type="dxa"/>
          <w:tblLayout w:type="fixed"/>
          <w:tblCellMar>
            <w:top w:w="0" w:type="dxa"/>
            <w:left w:w="108" w:type="dxa"/>
            <w:bottom w:w="0" w:type="dxa"/>
            <w:right w:w="108" w:type="dxa"/>
          </w:tblCellMar>
        </w:tblPrEx>
        <w:trPr>
          <w:trHeight w:val="363"/>
        </w:trPr>
        <w:tc>
          <w:tcPr>
            <w:tcW w:w="438" w:type="dxa"/>
            <w:vMerge/>
            <w:vAlign w:val="center"/>
          </w:tcPr>
          <w:p>
            <w:pPr>
              <w:spacing w:line="260" w:lineRule="exact"/>
              <w:jc w:val="center"/>
              <w:rPr>
                <w:rFonts w:ascii="宋体" w:cs="宋体"/>
                <w:sz w:val="18"/>
                <w:szCs w:val="18"/>
              </w:rPr>
            </w:pPr>
          </w:p>
        </w:tc>
        <w:tc>
          <w:tcPr>
            <w:tcW w:w="1230" w:type="dxa"/>
            <w:gridSpan w:val="2"/>
            <w:vAlign w:val="center"/>
          </w:tcPr>
          <w:p>
            <w:pPr>
              <w:spacing w:line="260" w:lineRule="exact"/>
              <w:jc w:val="center"/>
              <w:rPr>
                <w:rFonts w:ascii="宋体" w:hAnsi="宋体" w:cs="宋体"/>
                <w:sz w:val="18"/>
                <w:szCs w:val="18"/>
              </w:rPr>
            </w:pPr>
            <w:r>
              <w:rPr>
                <w:rFonts w:ascii="宋体" w:hAnsi="宋体" w:cs="宋体" w:hint="eastAsia"/>
                <w:sz w:val="18"/>
                <w:szCs w:val="18"/>
              </w:rPr>
              <w:t>满意度指标</w:t>
            </w:r>
          </w:p>
        </w:tc>
        <w:tc>
          <w:tcPr>
            <w:tcW w:w="1559" w:type="dxa"/>
            <w:vAlign w:val="center"/>
          </w:tcPr>
          <w:p>
            <w:pPr>
              <w:spacing w:line="260" w:lineRule="exact"/>
              <w:jc w:val="center"/>
              <w:rPr>
                <w:rFonts w:ascii="宋体" w:hAnsi="宋体" w:cs="宋体"/>
                <w:sz w:val="18"/>
                <w:szCs w:val="18"/>
              </w:rPr>
            </w:pPr>
            <w:r>
              <w:rPr>
                <w:rFonts w:ascii="宋体" w:hAnsi="宋体" w:cs="宋体" w:hint="eastAsia"/>
                <w:sz w:val="18"/>
                <w:szCs w:val="18"/>
              </w:rPr>
              <w:t>满意度指标</w:t>
            </w:r>
          </w:p>
        </w:tc>
        <w:tc>
          <w:tcPr>
            <w:tcW w:w="3402" w:type="dxa"/>
            <w:gridSpan w:val="2"/>
            <w:vAlign w:val="center"/>
          </w:tcPr>
          <w:p>
            <w:pPr>
              <w:spacing w:line="260" w:lineRule="exact"/>
              <w:jc w:val="left"/>
              <w:textAlignment w:val="center"/>
              <w:rPr>
                <w:rFonts w:ascii="宋体" w:hAnsi="宋体" w:cs="宋体"/>
                <w:sz w:val="18"/>
                <w:szCs w:val="18"/>
              </w:rPr>
            </w:pPr>
            <w:r>
              <w:rPr>
                <w:rFonts w:ascii="宋体" w:hAnsi="宋体" w:cs="宋体" w:hint="eastAsia"/>
                <w:color w:val="000000"/>
                <w:kern w:val="0"/>
                <w:sz w:val="18"/>
                <w:szCs w:val="18"/>
                <w:lang w:bidi="ar"/>
              </w:rPr>
              <w:t>服务群众满意度</w:t>
            </w:r>
          </w:p>
        </w:tc>
        <w:tc>
          <w:tcPr>
            <w:tcW w:w="2391" w:type="dxa"/>
            <w:gridSpan w:val="2"/>
            <w:vAlign w:val="center"/>
          </w:tcPr>
          <w:p>
            <w:pPr>
              <w:spacing w:line="260" w:lineRule="exact"/>
              <w:jc w:val="center"/>
              <w:rPr>
                <w:rFonts w:ascii="宋体" w:cs="宋体"/>
                <w:sz w:val="18"/>
                <w:szCs w:val="18"/>
              </w:rPr>
            </w:pPr>
            <w:r>
              <w:rPr>
                <w:rFonts w:ascii="宋体" w:hAnsi="宋体" w:cs="宋体" w:hint="eastAsia"/>
                <w:color w:val="000000"/>
                <w:kern w:val="0"/>
                <w:sz w:val="18"/>
                <w:szCs w:val="18"/>
                <w:lang w:bidi="ar"/>
              </w:rPr>
              <w:t>≥90%</w:t>
            </w:r>
          </w:p>
        </w:tc>
      </w:tr>
    </w:tbl>
    <w:p>
      <w:pPr>
        <w:pStyle w:val="BodyTextFirstIndent2"/>
        <w:ind w:left="0" w:firstLine="0" w:leftChars="0" w:firstLineChars="0"/>
        <w:rPr>
          <w:rFonts w:hint="eastAsia"/>
        </w:rPr>
      </w:pP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lang w:val="en-US" w:eastAsia="zh-CN"/>
        </w:rPr>
        <w:t>5</w:t>
      </w:r>
      <w:r>
        <w:rPr>
          <w:rFonts w:ascii="仿宋_GB2312" w:eastAsia="仿宋_GB2312" w:hAnsi="TimesNewRoman" w:cs="TimesNewRoman" w:hint="eastAsia"/>
          <w:b/>
          <w:sz w:val="32"/>
          <w:szCs w:val="32"/>
        </w:rPr>
        <w:t>.</w:t>
      </w:r>
      <w:r>
        <w:rPr>
          <w:rFonts w:ascii="仿宋_GB2312" w:eastAsia="仿宋_GB2312" w:hAnsi="楷体" w:hint="eastAsia"/>
          <w:b/>
          <w:sz w:val="32"/>
          <w:szCs w:val="32"/>
        </w:rPr>
        <w:t>“</w:t>
      </w:r>
      <w:r>
        <w:rPr>
          <w:rFonts w:ascii="仿宋_GB2312" w:eastAsia="仿宋_GB2312" w:hAnsi="楷体" w:hint="eastAsia"/>
          <w:b/>
          <w:sz w:val="32"/>
          <w:szCs w:val="32"/>
          <w:lang w:eastAsia="zh-CN"/>
        </w:rPr>
        <w:t>人员定补补助经费</w:t>
      </w:r>
      <w:r>
        <w:rPr>
          <w:rFonts w:ascii="仿宋_GB2312" w:eastAsia="仿宋_GB2312" w:hAnsi="楷体" w:hint="eastAsia"/>
          <w:b/>
          <w:sz w:val="32"/>
          <w:szCs w:val="32"/>
        </w:rPr>
        <w:t>”</w:t>
      </w:r>
      <w:r>
        <w:rPr>
          <w:rFonts w:ascii="仿宋_GB2312" w:eastAsia="仿宋_GB2312" w:hAnsi="TimesNewRoman" w:cs="TimesNewRoman" w:hint="eastAsia"/>
          <w:b/>
          <w:sz w:val="32"/>
          <w:szCs w:val="32"/>
        </w:rPr>
        <w:t>项目。</w:t>
      </w:r>
    </w:p>
    <w:p>
      <w:pPr>
        <w:adjustRightInd w:val="0"/>
        <w:snapToGrid w:val="0"/>
        <w:spacing w:line="600" w:lineRule="exact"/>
        <w:ind w:left="1598" w:hanging="960" w:leftChars="304" w:hangingChars="300"/>
        <w:rPr>
          <w:rFonts w:ascii="仿宋_GB2312" w:eastAsia="仿宋_GB2312" w:hAnsi="楷体" w:hint="eastAsia"/>
          <w:sz w:val="32"/>
          <w:szCs w:val="32"/>
          <w:lang w:eastAsia="zh-CN"/>
        </w:rPr>
      </w:pPr>
      <w:r>
        <w:rPr>
          <w:rFonts w:ascii="仿宋_GB2312" w:eastAsia="仿宋_GB2312" w:hAnsi="仿宋" w:hint="eastAsia"/>
          <w:sz w:val="32"/>
          <w:szCs w:val="32"/>
        </w:rPr>
        <w:t>（1）项目概述</w:t>
      </w:r>
      <w:r>
        <w:rPr>
          <w:rFonts w:ascii="仿宋_GB2312" w:eastAsia="仿宋_GB2312" w:hAnsi="仿宋" w:hint="eastAsia"/>
          <w:sz w:val="32"/>
          <w:szCs w:val="32"/>
          <w:lang w:eastAsia="zh-CN"/>
        </w:rPr>
        <w:t>。</w:t>
      </w:r>
      <w:r>
        <w:rPr>
          <w:rFonts w:ascii="仿宋_GB2312" w:eastAsia="仿宋_GB2312" w:hAnsi="楷体" w:hint="eastAsia"/>
          <w:sz w:val="32"/>
          <w:szCs w:val="32"/>
          <w:lang w:eastAsia="zh-CN"/>
        </w:rPr>
        <w:t>通过人员定补补助经费支出，保障包干人员工资、社保、公积金按时拨付。</w:t>
      </w:r>
    </w:p>
    <w:p>
      <w:pPr>
        <w:spacing w:line="600" w:lineRule="exact"/>
        <w:ind w:left="1646" w:hanging="1008" w:leftChars="304" w:hangingChars="315"/>
        <w:rPr>
          <w:rFonts w:ascii="仿宋_GB2312" w:eastAsia="仿宋_GB2312" w:hAnsi="楷体" w:hint="eastAsia"/>
          <w:sz w:val="32"/>
          <w:szCs w:val="32"/>
          <w:lang w:eastAsia="zh-CN"/>
        </w:rPr>
      </w:pPr>
      <w:r>
        <w:rPr>
          <w:rFonts w:ascii="仿宋_GB2312" w:eastAsia="仿宋_GB2312" w:hAnsi="TimesNewRoman" w:cs="TimesNewRoman" w:hint="eastAsia"/>
          <w:sz w:val="32"/>
          <w:szCs w:val="32"/>
        </w:rPr>
        <w:t>（2）立项依据。</w:t>
      </w:r>
      <w:r>
        <w:rPr>
          <w:rFonts w:ascii="仿宋_GB2312" w:eastAsia="仿宋_GB2312" w:hAnsi="楷体" w:hint="eastAsia"/>
          <w:sz w:val="32"/>
          <w:szCs w:val="32"/>
          <w:lang w:eastAsia="zh-CN"/>
        </w:rPr>
        <w:t>通过人员定补补助经费支出，保障包干人员工资、社保、公积金按时拨付。</w:t>
      </w:r>
    </w:p>
    <w:p>
      <w:pPr>
        <w:topLinePunct/>
        <w:adjustRightInd w:val="0"/>
        <w:snapToGrid w:val="0"/>
        <w:spacing w:line="560" w:lineRule="exact"/>
        <w:ind w:firstLine="640" w:firstLineChars="200"/>
        <w:rPr>
          <w:rFonts w:ascii="仿宋_GB2312" w:eastAsia="仿宋_GB2312" w:hAnsi="仿宋" w:hint="eastAsia"/>
          <w:sz w:val="32"/>
          <w:szCs w:val="32"/>
          <w:lang w:eastAsia="zh-CN"/>
        </w:rPr>
      </w:pPr>
      <w:r>
        <w:rPr>
          <w:rFonts w:ascii="仿宋_GB2312" w:eastAsia="仿宋_GB2312" w:hAnsi="TimesNewRoman" w:cs="TimesNewRoman" w:hint="eastAsia"/>
          <w:sz w:val="32"/>
          <w:szCs w:val="32"/>
        </w:rPr>
        <w:t>（3）实施主体。</w:t>
      </w:r>
      <w:r>
        <w:rPr>
          <w:rFonts w:ascii="仿宋_GB2312" w:eastAsia="仿宋_GB2312" w:hAnsi="仿宋" w:hint="eastAsia"/>
          <w:sz w:val="32"/>
          <w:szCs w:val="32"/>
          <w:lang w:eastAsia="zh-CN"/>
        </w:rPr>
        <w:t>寿县妇幼保健计划生育服务心。</w:t>
      </w:r>
    </w:p>
    <w:p>
      <w:pPr>
        <w:adjustRightInd w:val="0"/>
        <w:snapToGrid w:val="0"/>
        <w:spacing w:line="600" w:lineRule="exact"/>
        <w:ind w:left="1598" w:hanging="960" w:leftChars="304" w:hangingChars="300"/>
        <w:rPr>
          <w:rFonts w:ascii="仿宋_GB2312" w:eastAsia="仿宋_GB2312" w:hAnsi="仿宋" w:hint="default"/>
          <w:sz w:val="32"/>
          <w:szCs w:val="32"/>
          <w:lang w:val="en-US" w:eastAsia="zh-CN"/>
        </w:rPr>
      </w:pPr>
      <w:r>
        <w:rPr>
          <w:rFonts w:ascii="仿宋_GB2312" w:eastAsia="仿宋_GB2312" w:hAnsi="TimesNewRoman" w:cs="TimesNewRoman" w:hint="eastAsia"/>
          <w:sz w:val="32"/>
          <w:szCs w:val="32"/>
        </w:rPr>
        <w:t>（4）起止时间。</w:t>
      </w:r>
      <w:r>
        <w:rPr>
          <w:rFonts w:ascii="仿宋_GB2312" w:eastAsia="仿宋_GB2312" w:hAnsi="仿宋" w:hint="eastAsia"/>
          <w:sz w:val="32"/>
          <w:szCs w:val="32"/>
          <w:lang w:val="en-US" w:eastAsia="zh-CN"/>
        </w:rPr>
        <w:t>2024年1月-2024年12月</w:t>
      </w:r>
    </w:p>
    <w:p>
      <w:pPr>
        <w:adjustRightInd w:val="0"/>
        <w:snapToGrid w:val="0"/>
        <w:spacing w:line="600" w:lineRule="exact"/>
        <w:ind w:left="1598" w:hanging="960" w:leftChars="304" w:hangingChars="300"/>
        <w:rPr>
          <w:rFonts w:ascii="仿宋_GB2312" w:eastAsia="仿宋_GB2312" w:hAnsi="楷体" w:hint="eastAsia"/>
          <w:sz w:val="32"/>
          <w:szCs w:val="32"/>
          <w:lang w:eastAsia="zh-CN"/>
        </w:rPr>
      </w:pPr>
      <w:r>
        <w:rPr>
          <w:rFonts w:ascii="仿宋_GB2312" w:eastAsia="仿宋_GB2312" w:hAnsi="TimesNewRoman" w:cs="TimesNewRoman" w:hint="eastAsia"/>
          <w:sz w:val="32"/>
          <w:szCs w:val="32"/>
        </w:rPr>
        <w:t>（5）项目内容。</w:t>
      </w:r>
      <w:r>
        <w:rPr>
          <w:rFonts w:ascii="仿宋_GB2312" w:eastAsia="仿宋_GB2312" w:hAnsi="楷体" w:hint="eastAsia"/>
          <w:sz w:val="32"/>
          <w:szCs w:val="32"/>
          <w:lang w:eastAsia="zh-CN"/>
        </w:rPr>
        <w:t>通过人员定补补助经费支出，保障包干人员工资、社保、公积金按时拨付。</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val="en-US" w:eastAsia="zh-CN"/>
        </w:rPr>
        <w:t>年度预算资金57.70万元。</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3"/>
        </w:trPr>
        <w:tc>
          <w:tcPr>
            <w:tcW w:w="9020" w:type="dxa"/>
            <w:gridSpan w:val="7"/>
            <w:tcBorders>
              <w:top w:val="nil"/>
              <w:left w:val="nil"/>
              <w:bottom w:val="nil"/>
              <w:right w:val="nil"/>
            </w:tcBorders>
            <w:noWrap w:val="0"/>
            <w:vAlign w:val="center"/>
          </w:tcPr>
          <w:p>
            <w:pPr>
              <w:widowControl/>
              <w:jc w:val="center"/>
              <w:textAlignment w:val="center"/>
              <w:rPr>
                <w:rFonts w:ascii="宋体" w:hAnsi="宋体" w:cs="宋体" w:hint="eastAsia"/>
                <w:b/>
                <w:color w:val="000000"/>
                <w:kern w:val="0"/>
                <w:sz w:val="28"/>
                <w:szCs w:val="28"/>
                <w:lang w:bidi="ar"/>
              </w:rPr>
            </w:pPr>
          </w:p>
          <w:p>
            <w:pPr>
              <w:widowControl/>
              <w:jc w:val="center"/>
              <w:textAlignment w:val="center"/>
              <w:rPr>
                <w:rFonts w:ascii="宋体" w:hAnsi="宋体" w:cs="宋体" w:hint="eastAsia"/>
                <w:b/>
                <w:color w:val="000000"/>
                <w:kern w:val="0"/>
                <w:sz w:val="28"/>
                <w:szCs w:val="28"/>
                <w:lang w:bidi="ar"/>
              </w:rPr>
            </w:pPr>
          </w:p>
          <w:p>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tblPrEx>
          <w:tblW w:w="0" w:type="auto"/>
          <w:tblInd w:w="0" w:type="dxa"/>
          <w:tblLayout w:type="fixed"/>
          <w:tblCellMar>
            <w:top w:w="0" w:type="dxa"/>
            <w:left w:w="108" w:type="dxa"/>
            <w:bottom w:w="0" w:type="dxa"/>
            <w:right w:w="108" w:type="dxa"/>
          </w:tblCellMar>
        </w:tblPrEx>
        <w:trPr>
          <w:trHeight w:val="270"/>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项目名称</w:t>
            </w:r>
          </w:p>
        </w:tc>
        <w:tc>
          <w:tcPr>
            <w:tcW w:w="7577" w:type="dxa"/>
            <w:gridSpan w:val="4"/>
            <w:noWrap w:val="0"/>
            <w:vAlign w:val="center"/>
          </w:tcPr>
          <w:p>
            <w:pPr>
              <w:spacing w:line="260" w:lineRule="exact"/>
              <w:jc w:val="center"/>
              <w:rPr>
                <w:rFonts w:ascii="宋体" w:eastAsia="宋体" w:cs="宋体" w:hint="default"/>
                <w:sz w:val="18"/>
                <w:szCs w:val="18"/>
                <w:lang w:val="en-US" w:eastAsia="zh-CN"/>
              </w:rPr>
            </w:pPr>
            <w:r>
              <w:rPr>
                <w:rFonts w:ascii="宋体" w:cs="宋体" w:hint="eastAsia"/>
                <w:sz w:val="18"/>
                <w:szCs w:val="18"/>
                <w:lang w:val="en-US" w:eastAsia="zh-CN"/>
              </w:rPr>
              <w:t>人员定补补助经费</w:t>
            </w:r>
          </w:p>
        </w:tc>
      </w:tr>
      <w:tr>
        <w:tblPrEx>
          <w:tblW w:w="0" w:type="auto"/>
          <w:tblInd w:w="0" w:type="dxa"/>
          <w:tblLayout w:type="fixed"/>
          <w:tblCellMar>
            <w:top w:w="0" w:type="dxa"/>
            <w:left w:w="108" w:type="dxa"/>
            <w:bottom w:w="0" w:type="dxa"/>
            <w:right w:w="108" w:type="dxa"/>
          </w:tblCellMar>
        </w:tblPrEx>
        <w:trPr>
          <w:trHeight w:val="491"/>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主管部门   及代码</w:t>
            </w:r>
          </w:p>
        </w:tc>
        <w:tc>
          <w:tcPr>
            <w:tcW w:w="3349" w:type="dxa"/>
            <w:gridSpan w:val="2"/>
            <w:noWrap w:val="0"/>
            <w:vAlign w:val="center"/>
          </w:tcPr>
          <w:p>
            <w:pPr>
              <w:spacing w:line="260" w:lineRule="exact"/>
              <w:jc w:val="center"/>
              <w:rPr>
                <w:rFonts w:ascii="宋体" w:cs="宋体"/>
                <w:sz w:val="18"/>
                <w:szCs w:val="18"/>
              </w:rPr>
            </w:pPr>
            <w:r>
              <w:rPr>
                <w:rFonts w:ascii="宋体" w:cs="宋体" w:hint="eastAsia"/>
                <w:sz w:val="18"/>
                <w:szCs w:val="18"/>
                <w:lang w:val="en-US" w:eastAsia="zh-CN"/>
              </w:rPr>
              <w:t>寿县卫生健康委员会</w:t>
            </w:r>
          </w:p>
        </w:tc>
        <w:tc>
          <w:tcPr>
            <w:tcW w:w="1848" w:type="dxa"/>
            <w:noWrap w:val="0"/>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实施单位</w:t>
            </w:r>
          </w:p>
        </w:tc>
        <w:tc>
          <w:tcPr>
            <w:tcW w:w="2380" w:type="dxa"/>
            <w:noWrap w:val="0"/>
            <w:vAlign w:val="center"/>
          </w:tcPr>
          <w:p>
            <w:pPr>
              <w:spacing w:line="260" w:lineRule="exact"/>
              <w:jc w:val="center"/>
              <w:rPr>
                <w:sz w:val="18"/>
                <w:szCs w:val="18"/>
              </w:rPr>
            </w:pPr>
            <w:r>
              <w:rPr>
                <w:rFonts w:ascii="宋体" w:cs="宋体" w:hint="eastAsia"/>
                <w:sz w:val="18"/>
                <w:szCs w:val="18"/>
                <w:lang w:val="en-US" w:eastAsia="zh-CN"/>
              </w:rPr>
              <w:t>寿县妇幼保健计划生育服务中心</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项目来源</w:t>
            </w:r>
          </w:p>
        </w:tc>
        <w:tc>
          <w:tcPr>
            <w:tcW w:w="3349" w:type="dxa"/>
            <w:gridSpan w:val="2"/>
            <w:noWrap w:val="0"/>
            <w:vAlign w:val="center"/>
          </w:tcPr>
          <w:p>
            <w:pPr>
              <w:spacing w:line="260" w:lineRule="exact"/>
              <w:jc w:val="center"/>
              <w:rPr>
                <w:rFonts w:ascii="宋体" w:cs="宋体"/>
                <w:sz w:val="18"/>
                <w:szCs w:val="18"/>
              </w:rPr>
            </w:pPr>
          </w:p>
        </w:tc>
        <w:tc>
          <w:tcPr>
            <w:tcW w:w="1848" w:type="dxa"/>
            <w:noWrap w:val="0"/>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项目期</w:t>
            </w:r>
          </w:p>
        </w:tc>
        <w:tc>
          <w:tcPr>
            <w:tcW w:w="2380" w:type="dxa"/>
            <w:noWrap w:val="0"/>
            <w:vAlign w:val="center"/>
          </w:tcPr>
          <w:p>
            <w:pPr>
              <w:spacing w:line="260" w:lineRule="exact"/>
              <w:jc w:val="center"/>
              <w:rPr>
                <w:sz w:val="18"/>
                <w:szCs w:val="18"/>
              </w:rPr>
            </w:pP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项目资金</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年度资金总额：</w:t>
            </w:r>
          </w:p>
        </w:tc>
        <w:tc>
          <w:tcPr>
            <w:tcW w:w="4228" w:type="dxa"/>
            <w:gridSpan w:val="2"/>
            <w:noWrap w:val="0"/>
            <w:vAlign w:val="center"/>
          </w:tcPr>
          <w:p>
            <w:pPr>
              <w:spacing w:line="260" w:lineRule="exact"/>
              <w:jc w:val="right"/>
              <w:rPr>
                <w:rFonts w:ascii="宋体" w:eastAsia="宋体" w:cs="宋体" w:hint="default"/>
                <w:sz w:val="18"/>
                <w:szCs w:val="18"/>
                <w:lang w:val="en-US" w:eastAsia="zh-CN"/>
              </w:rPr>
            </w:pPr>
            <w:r>
              <w:rPr>
                <w:rFonts w:ascii="宋体" w:cs="宋体" w:hint="eastAsia"/>
                <w:sz w:val="18"/>
                <w:szCs w:val="18"/>
                <w:lang w:val="en-US" w:eastAsia="zh-CN"/>
              </w:rPr>
              <w:t>57.70</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其中：财政拨款</w:t>
            </w:r>
          </w:p>
        </w:tc>
        <w:tc>
          <w:tcPr>
            <w:tcW w:w="4228" w:type="dxa"/>
            <w:gridSpan w:val="2"/>
            <w:noWrap w:val="0"/>
            <w:vAlign w:val="center"/>
          </w:tcPr>
          <w:p>
            <w:pPr>
              <w:spacing w:line="260" w:lineRule="exact"/>
              <w:jc w:val="right"/>
              <w:rPr>
                <w:rFonts w:ascii="宋体" w:eastAsia="宋体" w:cs="宋体" w:hint="default"/>
                <w:sz w:val="18"/>
                <w:szCs w:val="18"/>
                <w:lang w:val="en-US" w:eastAsia="zh-CN"/>
              </w:rPr>
            </w:pPr>
            <w:r>
              <w:rPr>
                <w:rFonts w:ascii="宋体" w:cs="宋体" w:hint="eastAsia"/>
                <w:sz w:val="18"/>
                <w:szCs w:val="18"/>
                <w:lang w:val="en-US" w:eastAsia="zh-CN"/>
              </w:rPr>
              <w:t>57.70</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eastAsia="宋体" w:cs="宋体" w:hint="default"/>
                <w:sz w:val="18"/>
                <w:szCs w:val="18"/>
                <w:lang w:val="en-US" w:eastAsia="zh-CN"/>
              </w:rPr>
            </w:pPr>
          </w:p>
        </w:tc>
      </w:tr>
      <w:tr>
        <w:tblPrEx>
          <w:tblW w:w="0" w:type="auto"/>
          <w:tblInd w:w="0" w:type="dxa"/>
          <w:tblLayout w:type="fixed"/>
          <w:tblCellMar>
            <w:top w:w="0" w:type="dxa"/>
            <w:left w:w="108" w:type="dxa"/>
            <w:bottom w:w="0" w:type="dxa"/>
            <w:right w:w="108" w:type="dxa"/>
          </w:tblCellMar>
        </w:tblPrEx>
        <w:trPr>
          <w:trHeight w:val="1015"/>
        </w:trPr>
        <w:tc>
          <w:tcPr>
            <w:tcW w:w="438" w:type="dxa"/>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年度</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目标</w:t>
            </w:r>
          </w:p>
        </w:tc>
        <w:tc>
          <w:tcPr>
            <w:tcW w:w="8582" w:type="dxa"/>
            <w:gridSpan w:val="6"/>
            <w:noWrap w:val="0"/>
            <w:vAlign w:val="center"/>
          </w:tcPr>
          <w:p>
            <w:pPr>
              <w:spacing w:line="260" w:lineRule="exact"/>
              <w:jc w:val="left"/>
              <w:rPr>
                <w:rFonts w:ascii="宋体" w:eastAsia="宋体" w:cs="宋体" w:hint="default"/>
                <w:sz w:val="18"/>
                <w:szCs w:val="18"/>
                <w:lang w:val="en-US" w:eastAsia="zh-CN"/>
              </w:rPr>
            </w:pPr>
            <w:r>
              <w:rPr>
                <w:rFonts w:ascii="宋体" w:cs="宋体" w:hint="eastAsia"/>
                <w:sz w:val="18"/>
                <w:szCs w:val="18"/>
                <w:lang w:val="en-US" w:eastAsia="zh-CN"/>
              </w:rPr>
              <w:t>完成包干人员工资、社保、公积金等的拨付工作。</w:t>
            </w:r>
          </w:p>
        </w:tc>
      </w:tr>
      <w:tr>
        <w:tblPrEx>
          <w:tblW w:w="0" w:type="auto"/>
          <w:tblInd w:w="0" w:type="dxa"/>
          <w:tblLayout w:type="fixed"/>
          <w:tblCellMar>
            <w:top w:w="0" w:type="dxa"/>
            <w:left w:w="108" w:type="dxa"/>
            <w:bottom w:w="0" w:type="dxa"/>
            <w:right w:w="108" w:type="dxa"/>
          </w:tblCellMar>
        </w:tblPrEx>
        <w:trPr>
          <w:trHeight w:val="508"/>
        </w:trPr>
        <w:tc>
          <w:tcPr>
            <w:tcW w:w="438" w:type="dxa"/>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绩</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效</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指</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标</w:t>
            </w:r>
          </w:p>
        </w:tc>
        <w:tc>
          <w:tcPr>
            <w:tcW w:w="723" w:type="dxa"/>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一级</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指标值</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产出指标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数量指标</w:t>
            </w:r>
          </w:p>
        </w:tc>
        <w:tc>
          <w:tcPr>
            <w:tcW w:w="2872" w:type="dxa"/>
            <w:noWrap w:val="0"/>
            <w:vAlign w:val="center"/>
          </w:tcPr>
          <w:p>
            <w:pPr>
              <w:spacing w:line="260" w:lineRule="exact"/>
              <w:jc w:val="left"/>
              <w:textAlignment w:val="center"/>
              <w:rPr>
                <w:rFonts w:ascii="宋体" w:cs="宋体" w:hint="default"/>
                <w:sz w:val="18"/>
                <w:szCs w:val="18"/>
                <w:lang w:val="en-US"/>
              </w:rPr>
            </w:pPr>
            <w:r>
              <w:rPr>
                <w:rFonts w:ascii="宋体" w:hAnsi="宋体" w:cs="宋体" w:hint="eastAsia"/>
                <w:color w:val="000000"/>
                <w:kern w:val="0"/>
                <w:sz w:val="18"/>
                <w:szCs w:val="18"/>
                <w:lang w:val="en-US" w:eastAsia="zh-CN" w:bidi="ar"/>
              </w:rPr>
              <w:t>人员定补补助经费支出率</w:t>
            </w:r>
          </w:p>
        </w:tc>
        <w:tc>
          <w:tcPr>
            <w:tcW w:w="4228" w:type="dxa"/>
            <w:gridSpan w:val="2"/>
            <w:noWrap w:val="0"/>
            <w:vAlign w:val="center"/>
          </w:tcPr>
          <w:p>
            <w:pPr>
              <w:spacing w:line="260" w:lineRule="exact"/>
              <w:jc w:val="center"/>
              <w:rPr>
                <w:rFonts w:ascii="宋体" w:cs="宋体" w:hint="default"/>
                <w:sz w:val="18"/>
                <w:szCs w:val="18"/>
                <w:lang w:val="en-US"/>
              </w:rPr>
            </w:pPr>
            <w:r>
              <w:rPr>
                <w:rFonts w:ascii="宋体" w:hAnsi="宋体" w:cs="宋体" w:hint="eastAsia"/>
                <w:color w:val="000000"/>
                <w:kern w:val="0"/>
                <w:sz w:val="18"/>
                <w:szCs w:val="18"/>
                <w:lang w:val="en-US" w:eastAsia="zh-CN" w:bidi="ar"/>
              </w:rPr>
              <w:t>100.00%</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质量指标</w:t>
            </w: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时效指标</w:t>
            </w: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center"/>
              <w:textAlignment w:val="center"/>
              <w:rPr>
                <w:rFonts w:ascii="宋体" w:hAnsi="宋体" w:cs="宋体" w:hint="eastAsia"/>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成本指标</w:t>
            </w:r>
          </w:p>
        </w:tc>
        <w:tc>
          <w:tcPr>
            <w:tcW w:w="2872" w:type="dxa"/>
            <w:noWrap w:val="0"/>
            <w:vAlign w:val="center"/>
          </w:tcPr>
          <w:p>
            <w:pPr>
              <w:spacing w:line="260" w:lineRule="exact"/>
              <w:jc w:val="center"/>
              <w:textAlignment w:val="center"/>
              <w:rPr>
                <w:rFonts w:ascii="宋体" w:hAnsi="宋体" w:cs="宋体" w:hint="default"/>
                <w:color w:val="000000"/>
                <w:kern w:val="0"/>
                <w:sz w:val="18"/>
                <w:szCs w:val="18"/>
                <w:lang w:val="en-US" w:eastAsia="zh-CN" w:bidi="ar"/>
              </w:rPr>
            </w:pPr>
            <w:r>
              <w:rPr>
                <w:rFonts w:ascii="宋体" w:hAnsi="宋体" w:cs="宋体" w:hint="eastAsia"/>
                <w:color w:val="000000"/>
                <w:kern w:val="0"/>
                <w:sz w:val="18"/>
                <w:szCs w:val="18"/>
                <w:lang w:val="en-US" w:eastAsia="zh-CN" w:bidi="ar"/>
              </w:rPr>
              <w:t>基本工资</w:t>
            </w:r>
          </w:p>
        </w:tc>
        <w:tc>
          <w:tcPr>
            <w:tcW w:w="4228" w:type="dxa"/>
            <w:gridSpan w:val="2"/>
            <w:noWrap w:val="0"/>
            <w:vAlign w:val="center"/>
          </w:tcPr>
          <w:p>
            <w:pPr>
              <w:spacing w:line="260" w:lineRule="exact"/>
              <w:jc w:val="center"/>
              <w:rPr>
                <w:rFonts w:ascii="宋体" w:eastAsia="宋体" w:cs="宋体" w:hint="default"/>
                <w:sz w:val="18"/>
                <w:szCs w:val="18"/>
                <w:lang w:val="en-US" w:eastAsia="zh-CN"/>
              </w:rPr>
            </w:pPr>
            <w:r>
              <w:rPr>
                <w:rFonts w:ascii="宋体" w:hAnsi="宋体" w:cs="宋体" w:hint="eastAsia"/>
                <w:color w:val="000000"/>
                <w:kern w:val="0"/>
                <w:sz w:val="18"/>
                <w:szCs w:val="18"/>
                <w:lang w:val="en-US" w:eastAsia="zh-CN" w:bidi="ar"/>
              </w:rPr>
              <w:t>26.45万元</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textAlignment w:val="center"/>
              <w:rPr>
                <w:rFonts w:ascii="宋体" w:hAnsi="宋体" w:cs="宋体" w:hint="eastAsia"/>
                <w:color w:val="000000"/>
                <w:kern w:val="0"/>
                <w:sz w:val="18"/>
                <w:szCs w:val="18"/>
                <w:lang w:bidi="ar"/>
              </w:rPr>
            </w:pPr>
          </w:p>
        </w:tc>
        <w:tc>
          <w:tcPr>
            <w:tcW w:w="2872" w:type="dxa"/>
            <w:noWrap w:val="0"/>
            <w:vAlign w:val="center"/>
          </w:tcPr>
          <w:p>
            <w:pPr>
              <w:spacing w:line="260" w:lineRule="exact"/>
              <w:jc w:val="center"/>
              <w:textAlignment w:val="center"/>
              <w:rPr>
                <w:rFonts w:ascii="宋体" w:hAnsi="宋体" w:cs="宋体" w:hint="default"/>
                <w:color w:val="000000"/>
                <w:kern w:val="0"/>
                <w:sz w:val="18"/>
                <w:szCs w:val="18"/>
                <w:lang w:val="en-US" w:bidi="ar"/>
              </w:rPr>
            </w:pPr>
            <w:r>
              <w:rPr>
                <w:rFonts w:ascii="宋体" w:hAnsi="宋体" w:cs="宋体" w:hint="eastAsia"/>
                <w:color w:val="000000"/>
                <w:kern w:val="0"/>
                <w:sz w:val="18"/>
                <w:szCs w:val="18"/>
                <w:lang w:val="en-US" w:eastAsia="zh-CN" w:bidi="ar"/>
              </w:rPr>
              <w:t>基础性绩效工资</w:t>
            </w:r>
          </w:p>
        </w:tc>
        <w:tc>
          <w:tcPr>
            <w:tcW w:w="4228" w:type="dxa"/>
            <w:gridSpan w:val="2"/>
            <w:noWrap w:val="0"/>
            <w:vAlign w:val="center"/>
          </w:tcPr>
          <w:p>
            <w:pPr>
              <w:spacing w:line="260" w:lineRule="exact"/>
              <w:jc w:val="center"/>
              <w:textAlignment w:val="center"/>
              <w:rPr>
                <w:rFonts w:ascii="宋体" w:hAnsi="宋体" w:cs="宋体" w:hint="default"/>
                <w:color w:val="000000"/>
                <w:kern w:val="0"/>
                <w:sz w:val="18"/>
                <w:szCs w:val="18"/>
                <w:lang w:val="en-US" w:bidi="ar"/>
              </w:rPr>
            </w:pPr>
            <w:r>
              <w:rPr>
                <w:rFonts w:ascii="宋体" w:hAnsi="宋体" w:cs="宋体" w:hint="eastAsia"/>
                <w:color w:val="000000"/>
                <w:kern w:val="0"/>
                <w:sz w:val="18"/>
                <w:szCs w:val="18"/>
                <w:lang w:val="en-US" w:eastAsia="zh-CN" w:bidi="ar"/>
              </w:rPr>
              <w:t>9.16万元</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textAlignment w:val="center"/>
              <w:rPr>
                <w:rFonts w:ascii="宋体" w:hAnsi="宋体" w:cs="宋体" w:hint="eastAsia"/>
                <w:color w:val="000000"/>
                <w:kern w:val="0"/>
                <w:sz w:val="18"/>
                <w:szCs w:val="18"/>
                <w:lang w:bidi="ar"/>
              </w:rPr>
            </w:pPr>
          </w:p>
        </w:tc>
        <w:tc>
          <w:tcPr>
            <w:tcW w:w="2872" w:type="dxa"/>
            <w:noWrap w:val="0"/>
            <w:vAlign w:val="center"/>
          </w:tcPr>
          <w:p>
            <w:pPr>
              <w:spacing w:line="260" w:lineRule="exact"/>
              <w:jc w:val="center"/>
              <w:textAlignment w:val="center"/>
              <w:rPr>
                <w:rFonts w:ascii="宋体" w:eastAsia="宋体" w:hAnsi="宋体" w:cs="宋体" w:hint="default"/>
                <w:color w:val="000000"/>
                <w:kern w:val="0"/>
                <w:sz w:val="18"/>
                <w:szCs w:val="18"/>
                <w:lang w:val="en-US" w:eastAsia="zh-CN" w:bidi="ar"/>
              </w:rPr>
            </w:pPr>
            <w:r>
              <w:rPr>
                <w:rFonts w:ascii="宋体" w:hAnsi="宋体" w:cs="宋体" w:hint="eastAsia"/>
                <w:color w:val="000000"/>
                <w:kern w:val="0"/>
                <w:sz w:val="18"/>
                <w:szCs w:val="18"/>
                <w:lang w:val="en-US" w:eastAsia="zh-CN" w:bidi="ar"/>
              </w:rPr>
              <w:t>奖励性绩效工资</w:t>
            </w:r>
          </w:p>
        </w:tc>
        <w:tc>
          <w:tcPr>
            <w:tcW w:w="4228" w:type="dxa"/>
            <w:gridSpan w:val="2"/>
            <w:noWrap w:val="0"/>
            <w:vAlign w:val="center"/>
          </w:tcPr>
          <w:p>
            <w:pPr>
              <w:spacing w:line="260" w:lineRule="exact"/>
              <w:jc w:val="center"/>
              <w:textAlignment w:val="center"/>
              <w:rPr>
                <w:rFonts w:ascii="宋体" w:hAnsi="宋体" w:cs="宋体" w:hint="default"/>
                <w:color w:val="000000"/>
                <w:kern w:val="0"/>
                <w:sz w:val="18"/>
                <w:szCs w:val="18"/>
                <w:lang w:val="en-US" w:bidi="ar"/>
              </w:rPr>
            </w:pPr>
            <w:r>
              <w:rPr>
                <w:rFonts w:ascii="宋体" w:hAnsi="宋体" w:cs="宋体" w:hint="eastAsia"/>
                <w:color w:val="000000"/>
                <w:kern w:val="0"/>
                <w:sz w:val="18"/>
                <w:szCs w:val="18"/>
                <w:lang w:val="en-US" w:eastAsia="zh-CN" w:bidi="ar"/>
              </w:rPr>
              <w:t>5.38万元</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textAlignment w:val="center"/>
              <w:rPr>
                <w:rFonts w:ascii="宋体" w:hAnsi="宋体" w:cs="宋体" w:hint="eastAsia"/>
                <w:color w:val="000000"/>
                <w:kern w:val="0"/>
                <w:sz w:val="18"/>
                <w:szCs w:val="18"/>
                <w:lang w:bidi="ar"/>
              </w:rPr>
            </w:pPr>
          </w:p>
        </w:tc>
        <w:tc>
          <w:tcPr>
            <w:tcW w:w="2872" w:type="dxa"/>
            <w:noWrap w:val="0"/>
            <w:vAlign w:val="center"/>
          </w:tcPr>
          <w:p>
            <w:pPr>
              <w:spacing w:line="260" w:lineRule="exact"/>
              <w:jc w:val="center"/>
              <w:textAlignment w:val="center"/>
              <w:rPr>
                <w:rFonts w:ascii="宋体" w:hAnsi="宋体" w:cs="宋体" w:hint="default"/>
                <w:color w:val="000000"/>
                <w:kern w:val="0"/>
                <w:sz w:val="18"/>
                <w:szCs w:val="18"/>
                <w:lang w:val="en-US" w:eastAsia="zh-CN" w:bidi="ar"/>
              </w:rPr>
            </w:pPr>
            <w:r>
              <w:rPr>
                <w:rFonts w:ascii="宋体" w:hAnsi="宋体" w:cs="宋体" w:hint="eastAsia"/>
                <w:color w:val="000000"/>
                <w:kern w:val="0"/>
                <w:sz w:val="18"/>
                <w:szCs w:val="18"/>
                <w:lang w:val="en-US" w:eastAsia="zh-CN" w:bidi="ar"/>
              </w:rPr>
              <w:t>社会保险费用</w:t>
            </w:r>
          </w:p>
        </w:tc>
        <w:tc>
          <w:tcPr>
            <w:tcW w:w="4228" w:type="dxa"/>
            <w:gridSpan w:val="2"/>
            <w:noWrap w:val="0"/>
            <w:vAlign w:val="center"/>
          </w:tcPr>
          <w:p>
            <w:pPr>
              <w:spacing w:line="260" w:lineRule="exact"/>
              <w:jc w:val="center"/>
              <w:textAlignment w:val="center"/>
              <w:rPr>
                <w:rFonts w:ascii="宋体" w:hAnsi="宋体" w:cs="宋体" w:hint="default"/>
                <w:color w:val="000000"/>
                <w:kern w:val="0"/>
                <w:sz w:val="18"/>
                <w:szCs w:val="18"/>
                <w:lang w:val="en-US" w:eastAsia="zh-CN" w:bidi="ar"/>
              </w:rPr>
            </w:pPr>
            <w:r>
              <w:rPr>
                <w:rFonts w:ascii="宋体" w:hAnsi="宋体" w:cs="宋体" w:hint="eastAsia"/>
                <w:color w:val="000000"/>
                <w:kern w:val="0"/>
                <w:sz w:val="18"/>
                <w:szCs w:val="18"/>
                <w:lang w:val="en-US" w:eastAsia="zh-CN" w:bidi="ar"/>
              </w:rPr>
              <w:t>12.11万元</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textAlignment w:val="center"/>
              <w:rPr>
                <w:rFonts w:ascii="宋体" w:cs="宋体"/>
                <w:sz w:val="18"/>
                <w:szCs w:val="18"/>
              </w:rPr>
            </w:pPr>
          </w:p>
        </w:tc>
        <w:tc>
          <w:tcPr>
            <w:tcW w:w="2872" w:type="dxa"/>
            <w:noWrap w:val="0"/>
            <w:vAlign w:val="center"/>
          </w:tcPr>
          <w:p>
            <w:pPr>
              <w:spacing w:line="260" w:lineRule="exact"/>
              <w:jc w:val="center"/>
              <w:textAlignment w:val="center"/>
              <w:rPr>
                <w:rFonts w:ascii="宋体" w:hAnsi="宋体" w:cs="宋体" w:hint="default"/>
                <w:color w:val="000000"/>
                <w:kern w:val="0"/>
                <w:sz w:val="18"/>
                <w:szCs w:val="18"/>
                <w:lang w:val="en-US" w:eastAsia="zh-CN" w:bidi="ar"/>
              </w:rPr>
            </w:pPr>
            <w:r>
              <w:rPr>
                <w:rFonts w:ascii="宋体" w:hAnsi="宋体" w:cs="宋体" w:hint="eastAsia"/>
                <w:color w:val="000000"/>
                <w:kern w:val="0"/>
                <w:sz w:val="18"/>
                <w:szCs w:val="18"/>
                <w:lang w:val="en-US" w:eastAsia="zh-CN" w:bidi="ar"/>
              </w:rPr>
              <w:t>住房公积金</w:t>
            </w:r>
          </w:p>
        </w:tc>
        <w:tc>
          <w:tcPr>
            <w:tcW w:w="4228" w:type="dxa"/>
            <w:gridSpan w:val="2"/>
            <w:noWrap w:val="0"/>
            <w:vAlign w:val="center"/>
          </w:tcPr>
          <w:p>
            <w:pPr>
              <w:spacing w:line="260" w:lineRule="exact"/>
              <w:jc w:val="center"/>
              <w:textAlignment w:val="center"/>
              <w:rPr>
                <w:rFonts w:ascii="宋体" w:hAnsi="宋体" w:cs="宋体" w:hint="default"/>
                <w:color w:val="000000"/>
                <w:kern w:val="0"/>
                <w:sz w:val="18"/>
                <w:szCs w:val="18"/>
                <w:lang w:val="en-US" w:eastAsia="zh-CN" w:bidi="ar"/>
              </w:rPr>
            </w:pPr>
            <w:r>
              <w:rPr>
                <w:rFonts w:ascii="宋体" w:hAnsi="宋体" w:cs="宋体" w:hint="eastAsia"/>
                <w:color w:val="000000"/>
                <w:kern w:val="0"/>
                <w:sz w:val="18"/>
                <w:szCs w:val="18"/>
                <w:lang w:val="en-US" w:eastAsia="zh-CN" w:bidi="ar"/>
              </w:rPr>
              <w:t>4.6万元</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效益指标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经济效益指标</w:t>
            </w: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社会效益指标</w:t>
            </w:r>
          </w:p>
        </w:tc>
        <w:tc>
          <w:tcPr>
            <w:tcW w:w="2872" w:type="dxa"/>
            <w:noWrap w:val="0"/>
            <w:vAlign w:val="center"/>
          </w:tcPr>
          <w:p>
            <w:pPr>
              <w:spacing w:line="260" w:lineRule="exact"/>
              <w:jc w:val="center"/>
              <w:textAlignment w:val="center"/>
              <w:rPr>
                <w:rFonts w:ascii="宋体" w:hAnsi="宋体" w:cs="宋体" w:hint="default"/>
                <w:color w:val="000000"/>
                <w:kern w:val="0"/>
                <w:sz w:val="18"/>
                <w:szCs w:val="18"/>
                <w:lang w:val="en-US" w:bidi="ar"/>
              </w:rPr>
            </w:pPr>
            <w:r>
              <w:rPr>
                <w:rFonts w:ascii="宋体" w:hAnsi="宋体" w:cs="宋体" w:hint="eastAsia"/>
                <w:color w:val="000000"/>
                <w:kern w:val="0"/>
                <w:sz w:val="18"/>
                <w:szCs w:val="18"/>
                <w:lang w:val="en-US" w:eastAsia="zh-CN" w:bidi="ar"/>
              </w:rPr>
              <w:t>职工满意度</w:t>
            </w:r>
          </w:p>
        </w:tc>
        <w:tc>
          <w:tcPr>
            <w:tcW w:w="4228" w:type="dxa"/>
            <w:gridSpan w:val="2"/>
            <w:noWrap w:val="0"/>
            <w:vAlign w:val="center"/>
          </w:tcPr>
          <w:p>
            <w:pPr>
              <w:spacing w:line="26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val="en-US" w:eastAsia="zh-CN" w:bidi="ar"/>
              </w:rPr>
              <w:t>≧90%</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生态效益指标</w:t>
            </w: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汉仪中秀体简" w:eastAsia="汉仪中秀体简" w:hAnsi="汉仪中秀体简" w:cs="汉仪中秀体简" w:hint="eastAsia"/>
                <w:color w:val="000000"/>
                <w:kern w:val="0"/>
                <w:sz w:val="18"/>
                <w:szCs w:val="18"/>
                <w:lang w:bidi="ar"/>
              </w:rPr>
            </w:pPr>
          </w:p>
        </w:tc>
        <w:tc>
          <w:tcPr>
            <w:tcW w:w="4228" w:type="dxa"/>
            <w:gridSpan w:val="2"/>
            <w:noWrap w:val="0"/>
            <w:vAlign w:val="center"/>
          </w:tcPr>
          <w:p>
            <w:pPr>
              <w:spacing w:line="260" w:lineRule="exact"/>
              <w:jc w:val="left"/>
              <w:textAlignment w:val="center"/>
              <w:rPr>
                <w:rFonts w:ascii="汉仪中秀体简" w:eastAsia="汉仪中秀体简" w:hAnsi="汉仪中秀体简" w:cs="汉仪中秀体简"/>
                <w:color w:val="000000"/>
                <w:kern w:val="0"/>
                <w:sz w:val="18"/>
                <w:szCs w:val="18"/>
                <w:lang w:bidi="ar"/>
              </w:rPr>
            </w:pPr>
          </w:p>
        </w:tc>
      </w:tr>
      <w:tr>
        <w:tblPrEx>
          <w:tblW w:w="0" w:type="auto"/>
          <w:tblInd w:w="0" w:type="dxa"/>
          <w:tblLayout w:type="fixed"/>
          <w:tblCellMar>
            <w:top w:w="0" w:type="dxa"/>
            <w:left w:w="108" w:type="dxa"/>
            <w:bottom w:w="0" w:type="dxa"/>
            <w:right w:w="108" w:type="dxa"/>
          </w:tblCellMar>
        </w:tblPrEx>
        <w:trPr>
          <w:trHeight w:val="420"/>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可持续影响指标</w:t>
            </w:r>
          </w:p>
        </w:tc>
        <w:tc>
          <w:tcPr>
            <w:tcW w:w="2872" w:type="dxa"/>
            <w:noWrap w:val="0"/>
            <w:vAlign w:val="center"/>
          </w:tcPr>
          <w:p>
            <w:pPr>
              <w:spacing w:line="260" w:lineRule="exact"/>
              <w:jc w:val="left"/>
              <w:textAlignment w:val="center"/>
              <w:rPr>
                <w:rFonts w:ascii="宋体" w:hAnsi="宋体" w:cs="宋体" w:hint="eastAsia"/>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444"/>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hAnsi="宋体" w:cs="宋体" w:hint="eastAsia"/>
                <w:sz w:val="18"/>
                <w:szCs w:val="18"/>
              </w:rPr>
            </w:pPr>
          </w:p>
        </w:tc>
        <w:tc>
          <w:tcPr>
            <w:tcW w:w="2872" w:type="dxa"/>
            <w:noWrap w:val="0"/>
            <w:vAlign w:val="center"/>
          </w:tcPr>
          <w:p>
            <w:pPr>
              <w:spacing w:line="260" w:lineRule="exact"/>
              <w:jc w:val="left"/>
              <w:textAlignment w:val="center"/>
              <w:rPr>
                <w:rFonts w:ascii="宋体" w:hAnsi="宋体" w:cs="宋体" w:hint="eastAsia"/>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rPr>
                <w:rFonts w:ascii="宋体" w:hAnsi="宋体" w:cs="宋体" w:hint="eastAsia"/>
                <w:sz w:val="18"/>
                <w:szCs w:val="18"/>
              </w:rPr>
            </w:pPr>
            <w:r>
              <w:rPr>
                <w:rFonts w:ascii="宋体" w:hAnsi="宋体" w:cs="宋体" w:hint="eastAsia"/>
                <w:color w:val="000000"/>
                <w:kern w:val="0"/>
                <w:sz w:val="18"/>
                <w:szCs w:val="18"/>
                <w:lang w:bidi="ar"/>
              </w:rPr>
              <w:t>…</w:t>
            </w:r>
          </w:p>
        </w:tc>
        <w:tc>
          <w:tcPr>
            <w:tcW w:w="2872" w:type="dxa"/>
            <w:noWrap w:val="0"/>
            <w:vAlign w:val="center"/>
          </w:tcPr>
          <w:p>
            <w:pPr>
              <w:spacing w:line="260" w:lineRule="exact"/>
              <w:jc w:val="left"/>
              <w:textAlignment w:val="center"/>
              <w:rPr>
                <w:rFonts w:ascii="宋体" w:hAnsi="宋体" w:cs="宋体" w:hint="eastAsia"/>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满意度指标</w:t>
            </w:r>
          </w:p>
        </w:tc>
        <w:tc>
          <w:tcPr>
            <w:tcW w:w="759" w:type="dxa"/>
            <w:gridSpan w:val="2"/>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满意度指标</w:t>
            </w:r>
          </w:p>
        </w:tc>
        <w:tc>
          <w:tcPr>
            <w:tcW w:w="2872" w:type="dxa"/>
            <w:noWrap w:val="0"/>
            <w:vAlign w:val="center"/>
          </w:tcPr>
          <w:p>
            <w:pPr>
              <w:spacing w:line="26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val="en-US" w:eastAsia="zh-CN" w:bidi="ar"/>
              </w:rPr>
              <w:t>职工满意度</w:t>
            </w:r>
          </w:p>
        </w:tc>
        <w:tc>
          <w:tcPr>
            <w:tcW w:w="4228" w:type="dxa"/>
            <w:gridSpan w:val="2"/>
            <w:noWrap w:val="0"/>
            <w:vAlign w:val="center"/>
          </w:tcPr>
          <w:p>
            <w:pPr>
              <w:spacing w:line="26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val="en-US" w:eastAsia="zh-CN" w:bidi="ar"/>
              </w:rPr>
              <w:t>≧90%</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hAnsi="宋体" w:cs="宋体" w:hint="eastAsia"/>
                <w:sz w:val="18"/>
                <w:szCs w:val="18"/>
              </w:rPr>
            </w:pPr>
          </w:p>
        </w:tc>
        <w:tc>
          <w:tcPr>
            <w:tcW w:w="759" w:type="dxa"/>
            <w:gridSpan w:val="2"/>
            <w:vMerge/>
            <w:noWrap w:val="0"/>
            <w:vAlign w:val="center"/>
          </w:tcPr>
          <w:p>
            <w:pPr>
              <w:spacing w:line="260" w:lineRule="exact"/>
              <w:jc w:val="center"/>
              <w:rPr>
                <w:rFonts w:ascii="宋体" w:hAnsi="宋体" w:cs="宋体" w:hint="eastAsia"/>
                <w:sz w:val="18"/>
                <w:szCs w:val="18"/>
              </w:rPr>
            </w:pPr>
          </w:p>
        </w:tc>
        <w:tc>
          <w:tcPr>
            <w:tcW w:w="2872" w:type="dxa"/>
            <w:noWrap w:val="0"/>
            <w:vAlign w:val="center"/>
          </w:tcPr>
          <w:p>
            <w:pPr>
              <w:spacing w:line="260" w:lineRule="exact"/>
              <w:jc w:val="left"/>
              <w:textAlignment w:val="center"/>
              <w:rPr>
                <w:rFonts w:ascii="宋体" w:hAnsi="宋体" w:cs="宋体" w:hint="eastAsia"/>
                <w:sz w:val="18"/>
                <w:szCs w:val="18"/>
              </w:rPr>
            </w:pPr>
          </w:p>
        </w:tc>
        <w:tc>
          <w:tcPr>
            <w:tcW w:w="4228" w:type="dxa"/>
            <w:gridSpan w:val="2"/>
            <w:noWrap w:val="0"/>
            <w:vAlign w:val="center"/>
          </w:tcPr>
          <w:p>
            <w:pPr>
              <w:spacing w:line="260" w:lineRule="exact"/>
              <w:jc w:val="center"/>
              <w:rPr>
                <w:rFonts w:ascii="宋体" w:cs="宋体"/>
                <w:sz w:val="18"/>
                <w:szCs w:val="18"/>
              </w:rPr>
            </w:pPr>
          </w:p>
        </w:tc>
      </w:tr>
    </w:tbl>
    <w:p>
      <w:pPr>
        <w:topLinePunct/>
        <w:adjustRightInd w:val="0"/>
        <w:snapToGrid w:val="0"/>
        <w:spacing w:line="560" w:lineRule="exact"/>
        <w:ind w:firstLine="640" w:firstLineChars="200"/>
        <w:rPr>
          <w:rFonts w:ascii="仿宋_GB2312" w:eastAsia="仿宋_GB2312" w:hAnsi="TimesNewRoman" w:cs="TimesNewRoman" w:hint="eastAsia"/>
          <w:sz w:val="32"/>
          <w:szCs w:val="32"/>
        </w:rPr>
      </w:pPr>
    </w:p>
    <w:p>
      <w:pPr>
        <w:topLinePunct/>
        <w:adjustRightInd w:val="0"/>
        <w:snapToGrid w:val="0"/>
        <w:spacing w:line="560" w:lineRule="exact"/>
        <w:ind w:firstLine="640" w:firstLineChars="200"/>
        <w:rPr>
          <w:rFonts w:ascii="仿宋_GB2312" w:eastAsia="仿宋_GB2312" w:hAnsi="楷体" w:hint="eastAsia"/>
          <w:sz w:val="32"/>
          <w:szCs w:val="32"/>
        </w:rPr>
      </w:pP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（二）机关运行经费。</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卫生健康委员会</w:t>
      </w:r>
      <w:r>
        <w:rPr>
          <w:rFonts w:ascii="仿宋_GB2312" w:eastAsia="仿宋_GB2312" w:hAnsi="TimesNewRoman" w:cs="TimesNewRoman" w:hint="eastAsia"/>
          <w:sz w:val="32"/>
          <w:szCs w:val="32"/>
        </w:rPr>
        <w:t>2024年机关运行经费财政拨款预算</w:t>
      </w:r>
      <w:r>
        <w:rPr>
          <w:rFonts w:ascii="仿宋_GB2312" w:eastAsia="仿宋_GB2312" w:hAnsi="TimesNewRoman" w:cs="TimesNewRoman" w:hint="eastAsia"/>
          <w:sz w:val="32"/>
          <w:szCs w:val="32"/>
          <w:lang w:val="en-US" w:eastAsia="zh-CN"/>
        </w:rPr>
        <w:t>81.27</w:t>
      </w:r>
      <w:r>
        <w:rPr>
          <w:rFonts w:ascii="仿宋_GB2312" w:eastAsia="仿宋_GB2312" w:hAnsi="TimesNewRoman" w:cs="TimesNewRoman" w:hint="eastAsia"/>
          <w:sz w:val="32"/>
          <w:szCs w:val="32"/>
        </w:rPr>
        <w:t>万元，比2023年预算减少</w:t>
      </w:r>
      <w:r>
        <w:rPr>
          <w:rFonts w:ascii="仿宋_GB2312" w:eastAsia="仿宋_GB2312" w:hAnsi="TimesNewRoman" w:cs="TimesNewRoman" w:hint="eastAsia"/>
          <w:sz w:val="32"/>
          <w:szCs w:val="32"/>
          <w:lang w:val="en-US" w:eastAsia="zh-CN"/>
        </w:rPr>
        <w:t>5.94</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6.81</w:t>
      </w:r>
      <w:r>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rPr>
        <w:t>下降主要原因是</w:t>
      </w:r>
      <w:r>
        <w:rPr>
          <w:rFonts w:ascii="仿宋_GB2312" w:eastAsia="仿宋_GB2312" w:hAnsi="TimesNewRoman" w:cs="TimesNewRoman" w:hint="eastAsia"/>
          <w:sz w:val="32"/>
          <w:szCs w:val="32"/>
          <w:lang w:val="en-US" w:eastAsia="zh-CN"/>
        </w:rPr>
        <w:t>压缩部门办公费用</w:t>
      </w:r>
      <w:r>
        <w:rPr>
          <w:rFonts w:ascii="仿宋_GB2312" w:eastAsia="仿宋_GB2312" w:hAnsi="TimesNewRoman" w:cs="TimesNewRoman" w:hint="eastAsia"/>
          <w:sz w:val="32"/>
          <w:szCs w:val="32"/>
        </w:rPr>
        <w:t>。</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（三）政府采购情况。</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eastAsia="zh-CN"/>
        </w:rPr>
        <w:t>寿县卫生健康委员会</w:t>
      </w:r>
      <w:r>
        <w:rPr>
          <w:rFonts w:ascii="仿宋_GB2312" w:eastAsia="仿宋_GB2312" w:hAnsi="仿宋" w:hint="eastAsia"/>
          <w:sz w:val="32"/>
          <w:szCs w:val="32"/>
        </w:rPr>
        <w:t>（部门）202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年（各）单位政府采购预算总额</w:t>
      </w:r>
      <w:r>
        <w:rPr>
          <w:rFonts w:ascii="仿宋_GB2312" w:eastAsia="仿宋_GB2312" w:hAnsi="仿宋" w:hint="eastAsia"/>
          <w:sz w:val="32"/>
          <w:szCs w:val="32"/>
          <w:lang w:val="en-US" w:eastAsia="zh-CN"/>
        </w:rPr>
        <w:t>1291.91</w:t>
      </w:r>
      <w:r>
        <w:rPr>
          <w:rFonts w:ascii="仿宋_GB2312" w:eastAsia="仿宋_GB2312" w:hAnsi="仿宋" w:hint="eastAsia"/>
          <w:sz w:val="32"/>
          <w:szCs w:val="32"/>
        </w:rPr>
        <w:t>万元。其中：政府采购货物预算</w:t>
      </w:r>
      <w:r>
        <w:rPr>
          <w:rFonts w:ascii="仿宋_GB2312" w:eastAsia="仿宋_GB2312" w:hAnsi="仿宋" w:hint="eastAsia"/>
          <w:sz w:val="32"/>
          <w:szCs w:val="32"/>
          <w:lang w:val="en-US" w:eastAsia="zh-CN"/>
        </w:rPr>
        <w:t>1291.91</w:t>
      </w:r>
      <w:r>
        <w:rPr>
          <w:rFonts w:ascii="仿宋_GB2312" w:eastAsia="仿宋_GB2312" w:hAnsi="仿宋" w:hint="eastAsia"/>
          <w:sz w:val="32"/>
          <w:szCs w:val="32"/>
        </w:rPr>
        <w:t>万元，政府采购工程预算</w:t>
      </w:r>
      <w:r>
        <w:rPr>
          <w:rFonts w:ascii="仿宋_GB2312" w:eastAsia="仿宋_GB2312" w:hAnsi="仿宋" w:hint="eastAsia"/>
          <w:sz w:val="32"/>
          <w:szCs w:val="32"/>
          <w:lang w:val="en-US" w:eastAsia="zh-CN"/>
        </w:rPr>
        <w:t>0</w:t>
      </w:r>
      <w:r>
        <w:rPr>
          <w:rFonts w:ascii="仿宋_GB2312" w:eastAsia="仿宋_GB2312" w:hAnsi="仿宋" w:hint="eastAsia"/>
          <w:sz w:val="32"/>
          <w:szCs w:val="32"/>
        </w:rPr>
        <w:t>万元，政府采购服务预算</w:t>
      </w:r>
      <w:r>
        <w:rPr>
          <w:rFonts w:ascii="仿宋_GB2312" w:eastAsia="仿宋_GB2312" w:hAnsi="仿宋" w:hint="eastAsia"/>
          <w:sz w:val="32"/>
          <w:szCs w:val="32"/>
          <w:lang w:val="en-US" w:eastAsia="zh-CN"/>
        </w:rPr>
        <w:t>0</w:t>
      </w:r>
      <w:r>
        <w:rPr>
          <w:rFonts w:ascii="仿宋_GB2312" w:eastAsia="仿宋_GB2312" w:hAnsi="仿宋" w:hint="eastAsia"/>
          <w:sz w:val="32"/>
          <w:szCs w:val="32"/>
        </w:rPr>
        <w:t>万元。</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（四）国有资产占有使用情况。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highlight w:val="none"/>
        </w:rPr>
      </w:pPr>
      <w:r>
        <w:rPr>
          <w:rFonts w:ascii="仿宋_GB2312" w:eastAsia="仿宋_GB2312" w:hAnsi="TimesNewRoman" w:cs="TimesNewRoman" w:hint="eastAsia"/>
          <w:kern w:val="0"/>
          <w:sz w:val="32"/>
          <w:szCs w:val="32"/>
          <w:highlight w:val="none"/>
        </w:rPr>
        <w:t>寿县</w:t>
      </w:r>
      <w:r>
        <w:rPr>
          <w:rFonts w:ascii="仿宋_GB2312" w:eastAsia="仿宋_GB2312" w:hAnsi="仿宋" w:hint="eastAsia"/>
          <w:sz w:val="32"/>
          <w:szCs w:val="32"/>
          <w:highlight w:val="none"/>
          <w:lang w:eastAsia="zh-CN"/>
        </w:rPr>
        <w:t>卫生健康委员会</w:t>
      </w:r>
      <w:r>
        <w:rPr>
          <w:rFonts w:ascii="仿宋_GB2312" w:eastAsia="仿宋_GB2312" w:hAnsi="仿宋" w:hint="eastAsia"/>
          <w:sz w:val="32"/>
          <w:szCs w:val="32"/>
          <w:highlight w:val="none"/>
        </w:rPr>
        <w:t>（部门）</w:t>
      </w:r>
      <w:r>
        <w:rPr>
          <w:rFonts w:ascii="仿宋_GB2312" w:eastAsia="仿宋_GB2312" w:hAnsi="TimesNewRoman" w:cs="TimesNewRoman" w:hint="eastAsia"/>
          <w:sz w:val="32"/>
          <w:szCs w:val="32"/>
          <w:highlight w:val="none"/>
        </w:rPr>
        <w:t>共有车辆</w:t>
      </w:r>
      <w:r>
        <w:rPr>
          <w:rFonts w:ascii="仿宋_GB2312" w:eastAsia="仿宋_GB2312" w:hAnsi="TimesNewRoman" w:cs="TimesNewRoman" w:hint="eastAsia"/>
          <w:sz w:val="32"/>
          <w:szCs w:val="32"/>
          <w:highlight w:val="none"/>
          <w:lang w:val="en-US" w:eastAsia="zh-CN"/>
        </w:rPr>
        <w:t>75</w:t>
      </w:r>
      <w:r>
        <w:rPr>
          <w:rFonts w:ascii="仿宋_GB2312" w:eastAsia="仿宋_GB2312" w:hAnsi="TimesNewRoman" w:cs="TimesNewRoman" w:hint="eastAsia"/>
          <w:sz w:val="32"/>
          <w:szCs w:val="32"/>
          <w:highlight w:val="none"/>
        </w:rPr>
        <w:t>辆，其中：其他用车</w:t>
      </w:r>
      <w:r>
        <w:rPr>
          <w:rFonts w:ascii="仿宋_GB2312" w:eastAsia="仿宋_GB2312" w:hAnsi="TimesNewRoman" w:cs="TimesNewRoman" w:hint="eastAsia"/>
          <w:sz w:val="32"/>
          <w:szCs w:val="32"/>
          <w:highlight w:val="none"/>
          <w:lang w:val="en-US" w:eastAsia="zh-CN"/>
        </w:rPr>
        <w:t>75</w:t>
      </w:r>
      <w:r>
        <w:rPr>
          <w:rFonts w:ascii="仿宋_GB2312" w:eastAsia="仿宋_GB2312" w:hAnsi="TimesNewRoman" w:cs="TimesNewRoman" w:hint="eastAsia"/>
          <w:sz w:val="32"/>
          <w:szCs w:val="32"/>
          <w:highlight w:val="none"/>
        </w:rPr>
        <w:t>辆。单价50万元以上的通用设备</w:t>
      </w:r>
      <w:r>
        <w:rPr>
          <w:rFonts w:ascii="仿宋_GB2312" w:eastAsia="仿宋_GB2312" w:hAnsi="TimesNewRoman" w:cs="TimesNewRoman" w:hint="eastAsia"/>
          <w:sz w:val="32"/>
          <w:szCs w:val="32"/>
          <w:highlight w:val="none"/>
          <w:lang w:val="en-US" w:eastAsia="zh-CN"/>
        </w:rPr>
        <w:t>10</w:t>
      </w:r>
      <w:r>
        <w:rPr>
          <w:rFonts w:ascii="仿宋_GB2312" w:eastAsia="仿宋_GB2312" w:hAnsi="TimesNewRoman" w:cs="TimesNewRoman" w:hint="eastAsia"/>
          <w:sz w:val="32"/>
          <w:szCs w:val="32"/>
          <w:highlight w:val="none"/>
        </w:rPr>
        <w:t>台（套），单价100万元以上的专用设备</w:t>
      </w:r>
      <w:r>
        <w:rPr>
          <w:rFonts w:ascii="仿宋_GB2312" w:eastAsia="仿宋_GB2312" w:hAnsi="TimesNewRoman" w:cs="TimesNewRoman" w:hint="eastAsia"/>
          <w:sz w:val="32"/>
          <w:szCs w:val="32"/>
          <w:highlight w:val="none"/>
          <w:lang w:val="en-US" w:eastAsia="zh-CN"/>
        </w:rPr>
        <w:t>62</w:t>
      </w:r>
      <w:r>
        <w:rPr>
          <w:rFonts w:ascii="仿宋_GB2312" w:eastAsia="仿宋_GB2312" w:hAnsi="TimesNewRoman" w:cs="TimesNewRoman" w:hint="eastAsia"/>
          <w:sz w:val="32"/>
          <w:szCs w:val="32"/>
          <w:highlight w:val="none"/>
        </w:rPr>
        <w:t>台（套）。</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（五）绩效目标设置情况。</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cs="宋体" w:hint="eastAsia"/>
          <w:kern w:val="0"/>
          <w:sz w:val="32"/>
          <w:szCs w:val="32"/>
          <w:lang w:eastAsia="zh-CN"/>
        </w:rPr>
        <w:t>寿县卫生健康委员会</w:t>
      </w:r>
      <w:r>
        <w:rPr>
          <w:rFonts w:ascii="仿宋_GB2312" w:eastAsia="仿宋_GB2312" w:hAnsi="仿宋" w:cs="宋体" w:hint="eastAsia"/>
          <w:kern w:val="0"/>
          <w:sz w:val="32"/>
          <w:szCs w:val="32"/>
        </w:rPr>
        <w:t>（部门）</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年项目支出按规定设置支出绩效目标，部门预算编制了</w:t>
      </w:r>
      <w:r>
        <w:rPr>
          <w:rFonts w:ascii="仿宋_GB2312" w:eastAsia="仿宋_GB2312" w:hAnsi="仿宋" w:hint="eastAsia"/>
          <w:sz w:val="32"/>
          <w:szCs w:val="32"/>
          <w:lang w:val="en-US" w:eastAsia="zh-CN"/>
        </w:rPr>
        <w:t>102</w:t>
      </w:r>
      <w:r>
        <w:rPr>
          <w:rFonts w:ascii="仿宋_GB2312" w:eastAsia="仿宋_GB2312" w:hAnsi="仿宋" w:hint="eastAsia"/>
          <w:sz w:val="32"/>
          <w:szCs w:val="32"/>
        </w:rPr>
        <w:t>个项目实行了绩效目标管理，涉及一般公共预算当年财政拨款</w:t>
      </w:r>
      <w:r>
        <w:rPr>
          <w:rFonts w:ascii="仿宋_GB2312" w:eastAsia="仿宋_GB2312" w:hAnsi="仿宋" w:hint="eastAsia"/>
          <w:sz w:val="32"/>
          <w:szCs w:val="32"/>
          <w:lang w:val="en-US" w:eastAsia="zh-CN"/>
        </w:rPr>
        <w:t>10730.7</w:t>
      </w:r>
      <w:r>
        <w:rPr>
          <w:rFonts w:ascii="仿宋_GB2312" w:eastAsia="仿宋_GB2312" w:hAnsi="仿宋" w:hint="eastAsia"/>
          <w:sz w:val="32"/>
          <w:szCs w:val="32"/>
        </w:rPr>
        <w:t>万元，</w:t>
      </w:r>
      <w:r>
        <w:rPr>
          <w:rFonts w:ascii="仿宋_GB2312" w:eastAsia="仿宋_GB2312" w:hAnsi="仿宋" w:hint="eastAsia"/>
          <w:sz w:val="32"/>
          <w:szCs w:val="32"/>
          <w:lang w:eastAsia="zh-CN"/>
        </w:rPr>
        <w:t>单位资金收入</w:t>
      </w:r>
      <w:r>
        <w:rPr>
          <w:rFonts w:ascii="仿宋_GB2312" w:eastAsia="仿宋_GB2312" w:hAnsi="仿宋" w:hint="eastAsia"/>
          <w:sz w:val="32"/>
          <w:szCs w:val="32"/>
          <w:lang w:val="en-US" w:eastAsia="zh-CN"/>
        </w:rPr>
        <w:t>62603.11万元</w:t>
      </w:r>
      <w:r>
        <w:rPr>
          <w:rFonts w:ascii="仿宋_GB2312" w:eastAsia="仿宋_GB2312" w:hAnsi="仿宋" w:hint="eastAsia"/>
          <w:sz w:val="32"/>
          <w:szCs w:val="32"/>
        </w:rPr>
        <w:t>。</w:t>
      </w:r>
    </w:p>
    <w:p>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 名词解释</w:t>
      </w:r>
    </w:p>
    <w:p>
      <w:pPr>
        <w:topLinePunct/>
        <w:adjustRightInd w:val="0"/>
        <w:snapToGrid w:val="0"/>
        <w:spacing w:line="560" w:lineRule="exact"/>
        <w:rPr>
          <w:rFonts w:ascii="TimesNewRoman" w:eastAsia="黑体" w:hAnsi="TimesNewRoman"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ascii="楷体_GB2312" w:eastAsia="楷体_GB2312" w:hAnsi="TimesNewRoman" w:cs="TimesNewRoman" w:hint="eastAsia"/>
          <w:sz w:val="32"/>
          <w:szCs w:val="32"/>
        </w:rPr>
        <w:t>一、财政拨款收入</w:t>
      </w:r>
      <w:r>
        <w:rPr>
          <w:rFonts w:ascii="楷体_GB2312" w:eastAsia="楷体_GB2312" w:hAnsi="TimesNewRoman" w:cs="TimesNewRoman" w:hint="eastAsia"/>
          <w:b/>
          <w:sz w:val="32"/>
          <w:szCs w:val="32"/>
        </w:rPr>
        <w:t>：</w:t>
      </w:r>
      <w:r>
        <w:rPr>
          <w:rFonts w:ascii="TimesNewRoman" w:hAnsi="TimesNewRoman" w:cs="TimesNewRoman"/>
          <w:sz w:val="32"/>
          <w:szCs w:val="32"/>
        </w:rPr>
        <w:t>指部门或单位从同级财政部门取得的财政预算资金。</w:t>
      </w:r>
    </w:p>
    <w:p>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sz w:val="32"/>
          <w:szCs w:val="32"/>
        </w:rPr>
      </w:pPr>
      <w:r>
        <w:rPr>
          <w:rFonts w:ascii="楷体_GB2312" w:eastAsia="楷体_GB2312" w:hAnsi="TimesNewRoman" w:cs="TimesNewRoman"/>
          <w:kern w:val="2"/>
          <w:sz w:val="32"/>
          <w:szCs w:val="32"/>
        </w:rPr>
        <w:t>二、事业收入：</w:t>
      </w:r>
      <w:r>
        <w:rPr>
          <w:rFonts w:ascii="TimesNewRoman" w:eastAsia="仿宋_GB2312" w:hAnsi="TimesNewRoman" w:cs="TimesNewRoman"/>
          <w:sz w:val="32"/>
          <w:szCs w:val="32"/>
        </w:rPr>
        <w:t>指事业单位开展专业业务活动及辅助活动所取得的收入。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三、财政专户管理资金：</w:t>
      </w:r>
      <w:r>
        <w:rPr>
          <w:rFonts w:ascii="TimesNewRoman" w:eastAsia="仿宋_GB2312" w:hAnsi="TimesNewRoman" w:cs="TimesNewRoman"/>
          <w:sz w:val="32"/>
          <w:szCs w:val="32"/>
        </w:rPr>
        <w:t>指按照非税收入管理相关规定，纳入财政专户管理的教育收费等。</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四、事业单位经营收入：</w:t>
      </w:r>
      <w:r>
        <w:rPr>
          <w:rFonts w:ascii="TimesNewRoman" w:eastAsia="仿宋_GB2312" w:hAnsi="TimesNewRoman" w:cs="TimesNewRoman"/>
          <w:sz w:val="32"/>
          <w:szCs w:val="32"/>
        </w:rPr>
        <w:t>指事业单位在专业业务活动及其辅助活动之外开展非独立核算经营活动取得的收入。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五、附属单位上缴收入：</w:t>
      </w:r>
      <w:r>
        <w:rPr>
          <w:rFonts w:ascii="TimesNewRoman" w:eastAsia="仿宋_GB2312" w:hAnsi="TimesNewRoman" w:cs="TimesNewRoman"/>
          <w:sz w:val="32"/>
          <w:szCs w:val="32"/>
        </w:rPr>
        <w:t>本单位所属下级单位上缴给本单位的全部收入。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六、上年结转：</w:t>
      </w:r>
      <w:r>
        <w:rPr>
          <w:rFonts w:ascii="TimesNewRoman" w:eastAsia="仿宋_GB2312" w:hAnsi="TimesNewRoman" w:cs="TimesNewRoman"/>
          <w:sz w:val="32"/>
          <w:szCs w:val="32"/>
        </w:rPr>
        <w:t>指以前年度安排、结转到本年仍按原用途继续使用的资金。</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七、结转下年：</w:t>
      </w:r>
      <w:r>
        <w:rPr>
          <w:rFonts w:ascii="TimesNewRoman" w:eastAsia="仿宋_GB2312" w:hAnsi="TimesNewRoman" w:cs="TimesNewRoman"/>
          <w:sz w:val="32"/>
          <w:szCs w:val="32"/>
        </w:rPr>
        <w:t>指以前年度预算安排、因客观条件发生变化无法按原计划实施，需以后年度按原用途继续使用的资金。</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八、基本支出：</w:t>
      </w:r>
      <w:r>
        <w:rPr>
          <w:rFonts w:ascii="TimesNewRoman" w:eastAsia="仿宋_GB2312" w:hAnsi="TimesNewRoman" w:cs="TimesNewRoman"/>
          <w:sz w:val="32"/>
          <w:szCs w:val="32"/>
        </w:rPr>
        <w:t>指为保障机构正常运转、完成日常工作任务而发生的人员支出和公用支出。</w:t>
      </w:r>
    </w:p>
    <w:p>
      <w:pPr>
        <w:pStyle w:val="NormalWeb"/>
        <w:topLinePunct/>
        <w:spacing w:beforeAutospacing="0" w:afterAutospacing="0" w:line="560" w:lineRule="exact"/>
        <w:ind w:firstLine="627" w:firstLineChars="196"/>
        <w:jc w:val="both"/>
        <w:rPr>
          <w:rFonts w:ascii="TimesNewRoman" w:eastAsia="仿宋_GB2312" w:hAnsi="TimesNewRoman" w:cs="TimesNewRoman" w:hint="eastAsia"/>
          <w:sz w:val="32"/>
          <w:szCs w:val="32"/>
          <w:lang w:eastAsia="zh-CN"/>
        </w:rPr>
      </w:pPr>
      <w:r>
        <w:rPr>
          <w:rFonts w:ascii="楷体_GB2312" w:eastAsia="楷体_GB2312" w:hAnsi="TimesNewRoman" w:cs="TimesNewRoman"/>
          <w:kern w:val="2"/>
          <w:sz w:val="32"/>
          <w:szCs w:val="32"/>
        </w:rPr>
        <w:t>九、项目支出：</w:t>
      </w:r>
      <w:r>
        <w:rPr>
          <w:rFonts w:ascii="TimesNewRoman" w:eastAsia="仿宋_GB2312" w:hAnsi="TimesNewRoman" w:cs="TimesNewRoman"/>
          <w:sz w:val="32"/>
          <w:szCs w:val="32"/>
        </w:rPr>
        <w:t>指在除基本支出之外的支出，主要用于完成特定的工作任务和事业发展目标。</w:t>
      </w:r>
    </w:p>
    <w:p>
      <w:pPr>
        <w:pStyle w:val="NormalWeb"/>
        <w:topLinePunct/>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十、机关运行经费:</w:t>
      </w:r>
      <w:r>
        <w:rPr>
          <w:rFonts w:ascii="TimesNewRoman" w:eastAsia="仿宋_GB2312" w:hAnsi="TimesNewRoman"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560" w:firstLineChars="200"/>
        <w:rPr>
          <w:rFonts w:ascii="仿宋" w:eastAsia="仿宋" w:hAnsi="仿宋" w:cs="仿宋" w:hint="eastAsia"/>
          <w:sz w:val="32"/>
          <w:szCs w:val="32"/>
        </w:rPr>
      </w:pPr>
      <w:r>
        <w:rPr>
          <w:rFonts w:ascii="宋体" w:eastAsia="宋体" w:hAnsi="宋体" w:cs="宋体" w:hint="eastAsia"/>
          <w:b/>
          <w:sz w:val="28"/>
          <w:szCs w:val="28"/>
        </w:rPr>
        <w:t>十一、支出功能分类科目:</w:t>
      </w:r>
      <w:r>
        <w:rPr>
          <w:rFonts w:ascii="仿宋" w:eastAsia="仿宋" w:hAnsi="仿宋" w:cs="仿宋" w:hint="eastAsia"/>
          <w:sz w:val="32"/>
          <w:szCs w:val="32"/>
        </w:rPr>
        <w:t>主要反映政府活动的不同功能和政策目标，具体设类、款、项三级。</w:t>
      </w:r>
    </w:p>
    <w:p>
      <w:pPr>
        <w:ind w:firstLine="560" w:firstLineChars="200"/>
        <w:rPr>
          <w:rFonts w:ascii="仿宋" w:eastAsia="仿宋" w:hAnsi="仿宋" w:cs="仿宋" w:hint="eastAsia"/>
          <w:sz w:val="32"/>
          <w:szCs w:val="32"/>
        </w:rPr>
      </w:pPr>
      <w:r>
        <w:rPr>
          <w:rFonts w:ascii="宋体" w:eastAsia="宋体" w:hAnsi="宋体" w:cs="宋体" w:hint="eastAsia"/>
          <w:b/>
          <w:sz w:val="28"/>
          <w:szCs w:val="28"/>
        </w:rPr>
        <w:t>十二、支出经济分类科目：</w:t>
      </w:r>
      <w:r>
        <w:rPr>
          <w:rFonts w:ascii="仿宋" w:eastAsia="仿宋" w:hAnsi="仿宋" w:cs="仿宋" w:hint="eastAsia"/>
          <w:sz w:val="32"/>
          <w:szCs w:val="32"/>
        </w:rPr>
        <w:t>是指政府支出按经济性质和具体用途所作的一种分类科目，具体设类、款两级。</w:t>
      </w:r>
    </w:p>
    <w:p>
      <w:pPr>
        <w:pStyle w:val="NormalWeb"/>
        <w:topLinePunct/>
        <w:spacing w:beforeAutospacing="0" w:afterAutospacing="0" w:line="560" w:lineRule="exact"/>
        <w:ind w:firstLine="480" w:firstLineChars="150"/>
        <w:jc w:val="both"/>
        <w:rPr>
          <w:rStyle w:val="Strong"/>
          <w:rFonts w:ascii="TimesNewRoman" w:eastAsia="楷体_GB2312" w:hAnsi="TimesNewRoman" w:cs="TimesNewRoman"/>
          <w:b w:val="0"/>
          <w:sz w:val="32"/>
          <w:szCs w:val="32"/>
        </w:rPr>
      </w:pPr>
    </w:p>
    <w:p/>
    <w:sectPr>
      <w:footerReference w:type="default" r:id="rId6"/>
      <w:type w:val="oddPage"/>
      <w:pgSz w:w="11907" w:h="16840"/>
      <w:pgMar w:top="2098" w:right="1474" w:bottom="1985" w:left="1588" w:header="851" w:footer="1021"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Segoe Print"/>
    <w:panose1 w:val="02020603050405020304"/>
    <w:charset w:val="00"/>
    <w:family w:val="auto"/>
    <w:pitch w:val="default"/>
    <w:sig w:usb0="00000000" w:usb1="00000000" w:usb2="00000029" w:usb3="00000000" w:csb0="600001FF" w:csb1="FFFF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中秀体简">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left="420" w:leftChars="200"/>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38</w:t>
    </w:r>
    <w:r>
      <w:rPr>
        <w:rFonts w:ascii="宋体" w:hAnsi="宋体" w:hint="eastAsia"/>
        <w:sz w:val="28"/>
        <w:szCs w:val="28"/>
      </w:rPr>
      <w:fldChar w:fldCharType="end"/>
    </w:r>
    <w:r>
      <w:rPr>
        <w:rFonts w:ascii="宋体" w:hAnsi="宋体" w:hint="eastAsia"/>
        <w:sz w:val="28"/>
        <w:szCs w:val="28"/>
      </w:rPr>
      <w:t xml:space="preserve"> —</w:t>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180"/>
      <w:jc w:val="right"/>
    </w:pPr>
    <w:r>
      <w:rPr>
        <w:rFonts w:ascii="宋体" w:hAnsi="宋体"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ascii="宋体" w:hAnsi="宋体" w:hint="eastAsia"/>
        <w:sz w:val="28"/>
        <w:szCs w:val="28"/>
      </w:rPr>
      <w:t xml:space="preserv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97723D7"/>
    <w:multiLevelType w:val="singleLevel"/>
    <w:tmpl w:val="897723D7"/>
    <w:lvl w:ilvl="0">
      <w:start w:val="1"/>
      <w:numFmt w:val="chineseCounting"/>
      <w:suff w:val="space"/>
      <w:lvlText w:val="(%1）"/>
      <w:lvlJc w:val="left"/>
      <w:rPr>
        <w:rFonts w:hint="eastAsia"/>
      </w:rPr>
    </w:lvl>
  </w:abstractNum>
  <w:abstractNum w:abstractNumId="1">
    <w:nsid w:val="5FC62BEB"/>
    <w:multiLevelType w:val="singleLevel"/>
    <w:tmpl w:val="5FC62BEB"/>
    <w:lvl w:ilvl="0">
      <w:start w:val="1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C97AC9"/>
    <w:rsid w:val="00EA75D6"/>
    <w:rsid w:val="017E56CD"/>
    <w:rsid w:val="05757041"/>
    <w:rsid w:val="077D10BD"/>
    <w:rsid w:val="08420FC8"/>
    <w:rsid w:val="0946032A"/>
    <w:rsid w:val="0A32761B"/>
    <w:rsid w:val="0C083304"/>
    <w:rsid w:val="0C607954"/>
    <w:rsid w:val="10174541"/>
    <w:rsid w:val="102939FD"/>
    <w:rsid w:val="12906D89"/>
    <w:rsid w:val="14E65A90"/>
    <w:rsid w:val="19C72DC1"/>
    <w:rsid w:val="1F7F1D1B"/>
    <w:rsid w:val="20B568ED"/>
    <w:rsid w:val="21BC76C3"/>
    <w:rsid w:val="2ACC7C8C"/>
    <w:rsid w:val="2DAD1DDF"/>
    <w:rsid w:val="2DC67876"/>
    <w:rsid w:val="30666EEB"/>
    <w:rsid w:val="347F63B3"/>
    <w:rsid w:val="34C97AC9"/>
    <w:rsid w:val="35383540"/>
    <w:rsid w:val="355456F5"/>
    <w:rsid w:val="3E5F0F6A"/>
    <w:rsid w:val="3FBE2AF9"/>
    <w:rsid w:val="412D28AA"/>
    <w:rsid w:val="42B75700"/>
    <w:rsid w:val="4395470C"/>
    <w:rsid w:val="47780FC3"/>
    <w:rsid w:val="480E1D79"/>
    <w:rsid w:val="4BD50693"/>
    <w:rsid w:val="4CC92B94"/>
    <w:rsid w:val="4E080B5F"/>
    <w:rsid w:val="51D31186"/>
    <w:rsid w:val="54D07DBD"/>
    <w:rsid w:val="56522FCF"/>
    <w:rsid w:val="589809DC"/>
    <w:rsid w:val="5B2670A3"/>
    <w:rsid w:val="5B982FBB"/>
    <w:rsid w:val="5BD32416"/>
    <w:rsid w:val="5C125D92"/>
    <w:rsid w:val="61D273B3"/>
    <w:rsid w:val="64861973"/>
    <w:rsid w:val="66594174"/>
    <w:rsid w:val="6A651176"/>
    <w:rsid w:val="6BB01220"/>
    <w:rsid w:val="6FDA6FB1"/>
    <w:rsid w:val="70740662"/>
    <w:rsid w:val="75F85E1F"/>
    <w:rsid w:val="768502B5"/>
    <w:rsid w:val="77BB0607"/>
    <w:rsid w:val="77E030CE"/>
    <w:rsid w:val="784312A7"/>
    <w:rsid w:val="79C42BF2"/>
    <w:rsid w:val="7ABA3227"/>
    <w:rsid w:val="7F641279"/>
  </w:rsids>
  <w:docVars>
    <w:docVar w:name="commondata" w:val="eyJoZGlkIjoiOWMwMmIyYTE5NTc0ZmZiZWYyZWE1NGJjZDNjZjg4Y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BodyTextIndent">
    <w:name w:val="Body Text Indent"/>
    <w:basedOn w:val="Normal"/>
    <w:autoRedefine/>
    <w:qFormat/>
    <w:pPr>
      <w:ind w:firstLine="570"/>
    </w:pPr>
    <w:rPr>
      <w:rFonts w:ascii="黑体" w:eastAsia="仿宋_GB2312"/>
      <w:sz w:val="2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NormalWeb">
    <w:name w:val="Normal (Web)"/>
    <w:basedOn w:val="Normal"/>
    <w:autoRedefine/>
    <w:qFormat/>
    <w:pPr>
      <w:spacing w:beforeAutospacing="1" w:afterAutospacing="1"/>
      <w:jc w:val="left"/>
    </w:pPr>
    <w:rPr>
      <w:rFonts w:ascii="Calibri" w:hAnsi="Calibri"/>
      <w:kern w:val="0"/>
      <w:sz w:val="24"/>
    </w:rPr>
  </w:style>
  <w:style w:type="paragraph" w:styleId="BodyTextFirstIndent2">
    <w:name w:val="Body Text First Indent 2"/>
    <w:basedOn w:val="BodyTextIndent"/>
    <w:qFormat/>
    <w:pPr>
      <w:spacing w:after="120"/>
      <w:ind w:left="420" w:firstLine="420" w:leftChars="200" w:firstLineChars="200"/>
    </w:pPr>
    <w:rPr>
      <w:rFonts w:ascii="Times New Roman" w:eastAsia="宋体"/>
      <w:sz w:val="21"/>
      <w:szCs w:val="24"/>
    </w:rPr>
  </w:style>
  <w:style w:type="character" w:styleId="Strong">
    <w:name w:val="Strong"/>
    <w:basedOn w:val="DefaultParagraphFont"/>
    <w:autoRedefine/>
    <w:qFormat/>
    <w:rPr>
      <w:b/>
      <w:bCs/>
    </w:rPr>
  </w:style>
  <w:style w:type="table" w:customStyle="1" w:styleId="TableNormal0">
    <w:name w:val="Table Normal_0"/>
    <w:autoRedefine/>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S鸡</cp:lastModifiedBy>
  <cp:revision>1</cp:revision>
  <dcterms:created xsi:type="dcterms:W3CDTF">2024-01-16T02:39:00Z</dcterms:created>
  <dcterms:modified xsi:type="dcterms:W3CDTF">2024-02-19T08:36:08Z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A5CDCA23260648BEB29637CA039F22EE_13</vt:lpwstr>
  </property>
  <property fmtid="{D5CDD505-2E9C-101B-9397-08002B2CF9AE}" pid="3" name="KSOProductBuildVer">
    <vt:lpwstr>2052-12.1.0.16120</vt:lpwstr>
  </property>
</Properties>
</file>