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90" w:lineRule="atLeast"/>
        <w:ind w:left="0" w:right="0" w:firstLine="641"/>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寿县水利局2023年政府信息公开工作</w:t>
      </w:r>
    </w:p>
    <w:p>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90" w:lineRule="atLeast"/>
        <w:ind w:left="0" w:right="0" w:firstLine="641"/>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年度报告</w:t>
      </w:r>
    </w:p>
    <w:p>
      <w:pPr>
        <w:pStyle w:val="2"/>
        <w:keepNext w:val="0"/>
        <w:keepLines w:val="0"/>
        <w:widowControl/>
        <w:suppressLineNumbers w:val="0"/>
        <w:wordWrap w:val="0"/>
        <w:spacing w:line="590" w:lineRule="atLeast"/>
        <w:ind w:left="0" w:right="0" w:firstLine="640"/>
        <w:jc w:val="left"/>
        <w:rPr>
          <w:rFonts w:ascii="Calibri" w:hAnsi="Calibri" w:cs="Calibri"/>
          <w:sz w:val="24"/>
          <w:szCs w:val="24"/>
        </w:rPr>
      </w:pPr>
      <w:r>
        <w:rPr>
          <w:rFonts w:ascii="仿宋" w:hAnsi="仿宋" w:eastAsia="仿宋" w:cs="仿宋"/>
          <w:sz w:val="32"/>
          <w:szCs w:val="32"/>
        </w:rPr>
        <w:t>本报告依据《中华人民共和国政府信息公开条例》（国务院令第711号）和《国务院办公厅政府信息与政务公开办公室关于印发〈中华人民共和国政府信息公开工作年度报告格式〉的通知》（国办公开办函〔2021〕30号）及《安徽省政务公开办公室关于做好2023年度政府信息公开工作年度报告编制和数据报送工作的通知》（皖政务办秘〔2024〕2号）文件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2023年1月1日至12月31日</w:t>
      </w:r>
      <w:r>
        <w:rPr>
          <w:rFonts w:hint="eastAsia" w:ascii="仿宋" w:hAnsi="仿宋" w:eastAsia="仿宋" w:cs="仿宋"/>
          <w:color w:val="000000"/>
          <w:sz w:val="32"/>
          <w:szCs w:val="32"/>
        </w:rPr>
        <w:t>。报告的电子版可在寿县人民政府网站下载（http://www.shouxian.gov.cn/）。如对本报告有任何疑问，请与寿县水利局办公室联系（地址：寿县国投大厦10楼，电话0554-3125242，邮编：232200）。</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ascii="黑体" w:hAnsi="宋体" w:eastAsia="黑体" w:cs="黑体"/>
          <w:color w:val="000000"/>
          <w:sz w:val="32"/>
          <w:szCs w:val="32"/>
        </w:rPr>
        <w:t>一、总体情况</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2023年，寿县水利局按照县委、县政府的统一部署，认真贯彻落实《条例》和省、市关于政府信息公开工作的要求，围绕《寿县2023年政务公开重点工作任务清单》文件，及时主动公开政府信息，切实加强政策解读，积极回应社会关切，深化重点领域信息公开，政务公开工作进展有序。</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ascii="楷体" w:hAnsi="楷体" w:eastAsia="楷体" w:cs="楷体"/>
          <w:b/>
          <w:bCs/>
          <w:color w:val="000000"/>
          <w:sz w:val="32"/>
          <w:szCs w:val="32"/>
        </w:rPr>
        <w:t>（一）主动公开情况</w:t>
      </w:r>
      <w:r>
        <w:rPr>
          <w:rFonts w:ascii="方正楷体_GBK" w:hAnsi="方正楷体_GBK" w:eastAsia="方正楷体_GBK" w:cs="方正楷体_GBK"/>
          <w:b/>
          <w:bCs/>
          <w:color w:val="000000"/>
          <w:sz w:val="32"/>
          <w:szCs w:val="32"/>
        </w:rPr>
        <w:t> </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围绕水利重点领域工作，加大主动公开力度，不断提升政务公开常态化、规范化水平。今年主动发布各类信息380条，包括行政运行权力类信息138条，建议提案类信息27条，政策法规类信息36条，政策解读信息3条，机构设置、机构领导、决策部署落实情况等其他信息176条。</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楷体" w:hAnsi="楷体" w:eastAsia="楷体" w:cs="楷体"/>
          <w:b/>
          <w:bCs/>
          <w:color w:val="000000"/>
          <w:sz w:val="32"/>
          <w:szCs w:val="32"/>
        </w:rPr>
        <w:t>（二）依申请公开</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我局全面畅通政府信息依申请公开渠道，统一答复文书格式，认真做好依申请公开办理工作。本年度接到依申请公开信息3条，均遵循依申请公开的法定时限，及时办理与回复。本年度没有发生针对本部门有关政府信息公开事务的行政复议和行政诉讼案件。</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楷体" w:hAnsi="楷体" w:eastAsia="楷体" w:cs="楷体"/>
          <w:b/>
          <w:bCs/>
          <w:color w:val="000000"/>
          <w:sz w:val="32"/>
          <w:szCs w:val="32"/>
        </w:rPr>
        <w:t>（三）政府信息管理</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我局积极探索建立保障政府信息公开的长效机制。通过加强和完善制度建设，进一步规范信息公开的工作流程。我局建立由办公室（信息中心）作为对外</w:t>
      </w:r>
      <w:r>
        <w:rPr>
          <w:rFonts w:ascii="方正仿宋_GBK" w:hAnsi="方正仿宋_GBK" w:eastAsia="方正仿宋_GBK" w:cs="方正仿宋_GBK"/>
          <w:color w:val="000000"/>
          <w:sz w:val="32"/>
          <w:szCs w:val="32"/>
        </w:rPr>
        <w:t>“</w:t>
      </w:r>
      <w:r>
        <w:rPr>
          <w:rFonts w:hint="eastAsia" w:ascii="仿宋" w:hAnsi="仿宋" w:eastAsia="仿宋" w:cs="仿宋"/>
          <w:color w:val="000000"/>
          <w:sz w:val="32"/>
          <w:szCs w:val="32"/>
        </w:rPr>
        <w:t>窗口</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统一受理、答复依申请公开信息，按照目录要求收集公开信息并在网上公开。同时，严格遵循</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谁公开、谁审查、谁负责</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原则，确保了政务信息公开工作扎实有效开展。健全完善信息公开保密审查制度，提高政府信息公开工作的规范化水平。</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楷体" w:hAnsi="楷体" w:eastAsia="楷体" w:cs="楷体"/>
          <w:b/>
          <w:bCs/>
          <w:color w:val="000000"/>
          <w:sz w:val="32"/>
          <w:szCs w:val="32"/>
        </w:rPr>
        <w:t>（四）平台建设</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我局依托政府门户网站，维护信息公开平台，主动公开日常政务工作，重点公开河湖长制工作落实、农村供水保障、水旱灾害预警及应对、重大水利建设项目批准与实施、行政权力运行等与公众切身利益相关的信息。</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楷体" w:hAnsi="楷体" w:eastAsia="楷体" w:cs="楷体"/>
          <w:b/>
          <w:bCs/>
          <w:color w:val="000000"/>
          <w:sz w:val="32"/>
          <w:szCs w:val="32"/>
        </w:rPr>
        <w:t>（五）监督保障</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一是压实工作责任，制定任务分解表，把政务公开工作分解到各股室、局直各单位，按时完成省、市、县季度性测评问题反馈整改，及时向县政务公开办报送整改结果。二是坚持“一事一审”，所有上网信息经认真后发布，确保公开信息权威可靠。三是规范流程，明确了政府信息公开过程中的责任划分、责任认定、处理情形等，严格规范本局信息公开程序。2023年社会评议良好，未产生责任追究结果。</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default" w:ascii="黑体" w:hAnsi="宋体" w:eastAsia="黑体" w:cs="黑体"/>
          <w:color w:val="000000"/>
          <w:sz w:val="32"/>
          <w:szCs w:val="32"/>
        </w:rPr>
        <w:t>二、主动公开政府信息情况</w:t>
      </w:r>
    </w:p>
    <w:tbl>
      <w:tblPr>
        <w:tblStyle w:val="3"/>
        <w:tblW w:w="7517"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76"/>
        <w:gridCol w:w="1879"/>
        <w:gridCol w:w="1879"/>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7517" w:type="dxa"/>
            <w:gridSpan w:val="4"/>
            <w:tcBorders>
              <w:top w:val="single" w:color="auto" w:sz="6" w:space="0"/>
              <w:left w:val="single" w:color="auto" w:sz="6" w:space="0"/>
              <w:bottom w:val="single" w:color="auto" w:sz="6" w:space="0"/>
              <w:right w:val="single" w:color="auto" w:sz="6" w:space="0"/>
            </w:tcBorders>
            <w:shd w:val="clear" w:color="auto" w:fill="C6D9F1"/>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本年制发件数</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本年废止件数</w:t>
            </w:r>
          </w:p>
        </w:tc>
        <w:tc>
          <w:tcPr>
            <w:tcW w:w="1883"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规章</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1883"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行政规范性文件</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187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1883"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7517"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5641"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行政许可</w:t>
            </w:r>
          </w:p>
        </w:tc>
        <w:tc>
          <w:tcPr>
            <w:tcW w:w="5641"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7517"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5641"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行政处罚</w:t>
            </w:r>
          </w:p>
        </w:tc>
        <w:tc>
          <w:tcPr>
            <w:tcW w:w="5641"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行政强制</w:t>
            </w:r>
          </w:p>
        </w:tc>
        <w:tc>
          <w:tcPr>
            <w:tcW w:w="5641" w:type="dxa"/>
            <w:gridSpan w:val="3"/>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7517" w:type="dxa"/>
            <w:gridSpan w:val="4"/>
            <w:tcBorders>
              <w:top w:val="nil"/>
              <w:left w:val="single" w:color="auto" w:sz="6" w:space="0"/>
              <w:bottom w:val="single" w:color="auto" w:sz="6" w:space="0"/>
              <w:right w:val="single" w:color="auto" w:sz="6" w:space="0"/>
            </w:tcBorders>
            <w:shd w:val="clear" w:color="auto" w:fill="C6D9F1"/>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5"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信息内容</w:t>
            </w:r>
          </w:p>
        </w:tc>
        <w:tc>
          <w:tcPr>
            <w:tcW w:w="5641"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58" w:hRule="atLeast"/>
        </w:trPr>
        <w:tc>
          <w:tcPr>
            <w:tcW w:w="1876" w:type="dxa"/>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行政事业性收费</w:t>
            </w:r>
          </w:p>
        </w:tc>
        <w:tc>
          <w:tcPr>
            <w:tcW w:w="5641" w:type="dxa"/>
            <w:gridSpan w:val="3"/>
            <w:tcBorders>
              <w:top w:val="nil"/>
              <w:left w:val="nil"/>
              <w:bottom w:val="single" w:color="auto" w:sz="6" w:space="0"/>
              <w:right w:val="single" w:color="000000"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bl>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default" w:ascii="黑体" w:hAnsi="宋体" w:eastAsia="黑体" w:cs="黑体"/>
          <w:color w:val="000000"/>
          <w:sz w:val="32"/>
          <w:szCs w:val="32"/>
        </w:rPr>
        <w:t>三、收到和处理政府信息公开申请情况</w:t>
      </w:r>
    </w:p>
    <w:tbl>
      <w:tblPr>
        <w:tblStyle w:val="3"/>
        <w:tblW w:w="7985"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931"/>
        <w:gridCol w:w="866"/>
        <w:gridCol w:w="2520"/>
        <w:gridCol w:w="519"/>
        <w:gridCol w:w="519"/>
        <w:gridCol w:w="519"/>
        <w:gridCol w:w="519"/>
        <w:gridCol w:w="519"/>
        <w:gridCol w:w="546"/>
        <w:gridCol w:w="5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4317" w:type="dxa"/>
            <w:gridSpan w:val="3"/>
            <w:vMerge w:val="restart"/>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（本列数据的勾稽关系为：第一项加第二项之和，等于第三项加第四项之和）</w:t>
            </w:r>
          </w:p>
        </w:tc>
        <w:tc>
          <w:tcPr>
            <w:tcW w:w="3668" w:type="dxa"/>
            <w:gridSpan w:val="7"/>
            <w:tcBorders>
              <w:top w:val="single" w:color="auto" w:sz="6" w:space="0"/>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4317"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519"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自然人</w:t>
            </w:r>
          </w:p>
        </w:tc>
        <w:tc>
          <w:tcPr>
            <w:tcW w:w="2622"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法人或其他组织</w:t>
            </w:r>
          </w:p>
        </w:tc>
        <w:tc>
          <w:tcPr>
            <w:tcW w:w="527" w:type="dxa"/>
            <w:vMerge w:val="restart"/>
            <w:tcBorders>
              <w:top w:val="nil"/>
              <w:left w:val="nil"/>
              <w:bottom w:val="inset"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2286" w:hRule="atLeast"/>
          <w:jc w:val="center"/>
        </w:trPr>
        <w:tc>
          <w:tcPr>
            <w:tcW w:w="4317" w:type="dxa"/>
            <w:gridSpan w:val="3"/>
            <w:vMerge w:val="continue"/>
            <w:tcBorders>
              <w:top w:val="single" w:color="auto" w:sz="6" w:space="0"/>
              <w:left w:val="single" w:color="auto" w:sz="6" w:space="0"/>
              <w:bottom w:val="inset"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519"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51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商业</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企业</w:t>
            </w:r>
          </w:p>
        </w:tc>
        <w:tc>
          <w:tcPr>
            <w:tcW w:w="51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科研</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机构</w:t>
            </w:r>
          </w:p>
        </w:tc>
        <w:tc>
          <w:tcPr>
            <w:tcW w:w="51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社会公益组织</w:t>
            </w:r>
          </w:p>
        </w:tc>
        <w:tc>
          <w:tcPr>
            <w:tcW w:w="51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法律服务机构</w:t>
            </w:r>
          </w:p>
        </w:tc>
        <w:tc>
          <w:tcPr>
            <w:tcW w:w="546"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其他</w:t>
            </w:r>
          </w:p>
        </w:tc>
        <w:tc>
          <w:tcPr>
            <w:tcW w:w="527" w:type="dxa"/>
            <w:vMerge w:val="continue"/>
            <w:tcBorders>
              <w:top w:val="nil"/>
              <w:left w:val="nil"/>
              <w:bottom w:val="inset"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4317"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一、本年新收政府信息公开申请数量</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3</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55" w:hRule="atLeast"/>
          <w:jc w:val="center"/>
        </w:trPr>
        <w:tc>
          <w:tcPr>
            <w:tcW w:w="4317"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二、上年结转政府信息公开申请数量</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931" w:type="dxa"/>
            <w:vMerge w:val="restart"/>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三、本年度办理结果</w:t>
            </w:r>
          </w:p>
        </w:tc>
        <w:tc>
          <w:tcPr>
            <w:tcW w:w="3386"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（一）予以公开</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1</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0"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3386"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（二）部分公开（区分处理的，只计这一情形，不计其他情形）</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（三）不予公开</w:t>
            </w: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1.属于国家秘密</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9"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2.其他法律行政法规禁止公开</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9"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3.危及“三安全一稳定”</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4.保护第三方合法权益</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7"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5.属于三类内部事务信息</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03"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6.属于四类过程性信息</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7.属于行政执法案卷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8.属于行政查询事项</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89"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（四）无法提供</w:t>
            </w: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1.本机关不掌握相关政府信息</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2</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9"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2.没有现成信息需要另行制作</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43"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3.补正后申请内容仍不明确</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restart"/>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（五）不予处理</w:t>
            </w: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1.信访举报投诉类申请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2.重复申请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4"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3.要求提供公开出版物</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56"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top"/>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4.无正当理由大量反复申请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22"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both"/>
              <w:rPr>
                <w:rFonts w:hint="default" w:ascii="Calibri" w:hAnsi="Calibri" w:cs="Calibri"/>
                <w:sz w:val="24"/>
                <w:szCs w:val="24"/>
              </w:rPr>
            </w:pPr>
            <w:r>
              <w:rPr>
                <w:rFonts w:hint="eastAsia" w:ascii="宋体" w:hAnsi="宋体" w:eastAsia="宋体" w:cs="宋体"/>
                <w:color w:val="000000"/>
                <w:sz w:val="20"/>
                <w:szCs w:val="20"/>
              </w:rPr>
              <w:t>5.要求行政机关确认或重新出具已获取信息</w:t>
            </w:r>
          </w:p>
        </w:tc>
        <w:tc>
          <w:tcPr>
            <w:tcW w:w="519"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inset"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1537"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restart"/>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（六）其他处理</w:t>
            </w:r>
          </w:p>
        </w:tc>
        <w:tc>
          <w:tcPr>
            <w:tcW w:w="2520"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both"/>
              <w:rPr>
                <w:rFonts w:hint="default" w:ascii="Calibri" w:hAnsi="Calibri" w:cs="Calibri"/>
                <w:sz w:val="24"/>
                <w:szCs w:val="24"/>
              </w:rPr>
            </w:pPr>
            <w:r>
              <w:rPr>
                <w:rFonts w:hint="eastAsia" w:ascii="宋体" w:hAnsi="宋体" w:eastAsia="宋体" w:cs="宋体"/>
                <w:color w:val="000000"/>
                <w:sz w:val="20"/>
                <w:szCs w:val="20"/>
              </w:rPr>
              <w:t>1.申请人无正当理由逾期不补正、行政机关不再处理其政府信息公开申请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41"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both"/>
              <w:rPr>
                <w:rFonts w:hint="default" w:ascii="Calibri" w:hAnsi="Calibri" w:cs="Calibri"/>
                <w:sz w:val="24"/>
                <w:szCs w:val="24"/>
              </w:rPr>
            </w:pPr>
            <w:r>
              <w:rPr>
                <w:rFonts w:hint="eastAsia" w:ascii="宋体" w:hAnsi="宋体" w:eastAsia="宋体" w:cs="宋体"/>
                <w:color w:val="000000"/>
                <w:sz w:val="20"/>
                <w:szCs w:val="20"/>
              </w:rPr>
              <w:t>2.申请人逾期未按收费通知要求缴纳费用、行政机关不再处理其政府信息公开申请</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866" w:type="dxa"/>
            <w:vMerge w:val="continue"/>
            <w:tcBorders>
              <w:top w:val="nil"/>
              <w:left w:val="nil"/>
              <w:bottom w:val="single"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2520"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3.其他</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15" w:hRule="atLeast"/>
          <w:jc w:val="center"/>
        </w:trPr>
        <w:tc>
          <w:tcPr>
            <w:tcW w:w="931" w:type="dxa"/>
            <w:vMerge w:val="continue"/>
            <w:tcBorders>
              <w:top w:val="nil"/>
              <w:left w:val="single" w:color="auto" w:sz="6" w:space="0"/>
              <w:bottom w:val="inset" w:color="auto" w:sz="6" w:space="0"/>
              <w:right w:val="single" w:color="auto" w:sz="6" w:space="0"/>
            </w:tcBorders>
            <w:shd w:val="clear" w:color="auto" w:fill="auto"/>
            <w:tcMar>
              <w:left w:w="57" w:type="dxa"/>
              <w:right w:w="57" w:type="dxa"/>
            </w:tcMar>
            <w:vAlign w:val="center"/>
          </w:tcPr>
          <w:p>
            <w:pPr>
              <w:rPr>
                <w:rFonts w:hint="eastAsia" w:ascii="宋体"/>
                <w:sz w:val="24"/>
                <w:szCs w:val="24"/>
              </w:rPr>
            </w:pPr>
          </w:p>
        </w:tc>
        <w:tc>
          <w:tcPr>
            <w:tcW w:w="3386" w:type="dxa"/>
            <w:gridSpan w:val="2"/>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（七）总计</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 </w:t>
            </w:r>
            <w:r>
              <w:rPr>
                <w:rFonts w:hint="eastAsia" w:ascii="宋体" w:hAnsi="宋体" w:eastAsia="宋体" w:cs="宋体"/>
                <w:sz w:val="20"/>
                <w:szCs w:val="20"/>
              </w:rPr>
              <w:t>3</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sz w:val="20"/>
                <w:szCs w:val="20"/>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6" w:hRule="atLeast"/>
          <w:jc w:val="center"/>
        </w:trPr>
        <w:tc>
          <w:tcPr>
            <w:tcW w:w="4317" w:type="dxa"/>
            <w:gridSpan w:val="3"/>
            <w:tcBorders>
              <w:top w:val="nil"/>
              <w:left w:val="single" w:color="auto" w:sz="6" w:space="0"/>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rPr>
                <w:rFonts w:hint="default" w:ascii="Calibri" w:hAnsi="Calibri" w:cs="Calibri"/>
                <w:sz w:val="24"/>
                <w:szCs w:val="24"/>
              </w:rPr>
            </w:pPr>
            <w:r>
              <w:rPr>
                <w:rFonts w:hint="eastAsia" w:ascii="宋体" w:hAnsi="宋体" w:eastAsia="宋体" w:cs="宋体"/>
                <w:color w:val="000000"/>
                <w:sz w:val="20"/>
                <w:szCs w:val="20"/>
              </w:rPr>
              <w:t>四、结转下年度继续办理</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 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 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19"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46"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27" w:type="dxa"/>
            <w:tcBorders>
              <w:top w:val="nil"/>
              <w:left w:val="nil"/>
              <w:bottom w:val="single" w:color="auto" w:sz="6" w:space="0"/>
              <w:right w:val="single" w:color="auto" w:sz="6" w:space="0"/>
            </w:tcBorders>
            <w:shd w:val="clear" w:color="auto" w:fill="auto"/>
            <w:tcMar>
              <w:left w:w="57" w:type="dxa"/>
              <w:right w:w="57"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bl>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default" w:ascii="黑体" w:hAnsi="宋体" w:eastAsia="黑体" w:cs="黑体"/>
          <w:color w:val="000000"/>
          <w:sz w:val="32"/>
          <w:szCs w:val="32"/>
        </w:rPr>
        <w:t>四、政府信息公开行政复议、行政诉讼情况</w:t>
      </w:r>
    </w:p>
    <w:tbl>
      <w:tblPr>
        <w:tblStyle w:val="3"/>
        <w:tblW w:w="739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0"/>
        <w:gridCol w:w="490"/>
        <w:gridCol w:w="490"/>
        <w:gridCol w:w="491"/>
        <w:gridCol w:w="495"/>
        <w:gridCol w:w="491"/>
        <w:gridCol w:w="491"/>
        <w:gridCol w:w="491"/>
        <w:gridCol w:w="491"/>
        <w:gridCol w:w="497"/>
        <w:gridCol w:w="491"/>
        <w:gridCol w:w="491"/>
        <w:gridCol w:w="491"/>
        <w:gridCol w:w="491"/>
        <w:gridCol w:w="5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407" w:hRule="atLeast"/>
          <w:jc w:val="center"/>
        </w:trPr>
        <w:tc>
          <w:tcPr>
            <w:tcW w:w="2456" w:type="dxa"/>
            <w:gridSpan w:val="5"/>
            <w:tcBorders>
              <w:top w:val="single" w:color="auto" w:sz="6" w:space="0"/>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行政复议</w:t>
            </w:r>
          </w:p>
        </w:tc>
        <w:tc>
          <w:tcPr>
            <w:tcW w:w="4934" w:type="dxa"/>
            <w:gridSpan w:val="10"/>
            <w:tcBorders>
              <w:top w:val="single" w:color="auto" w:sz="6" w:space="0"/>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7" w:hRule="atLeast"/>
          <w:jc w:val="center"/>
        </w:trPr>
        <w:tc>
          <w:tcPr>
            <w:tcW w:w="490" w:type="dxa"/>
            <w:vMerge w:val="restart"/>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结果维持</w:t>
            </w:r>
          </w:p>
        </w:tc>
        <w:tc>
          <w:tcPr>
            <w:tcW w:w="490"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纠正</w:t>
            </w:r>
          </w:p>
        </w:tc>
        <w:tc>
          <w:tcPr>
            <w:tcW w:w="490"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其他</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tc>
        <w:tc>
          <w:tcPr>
            <w:tcW w:w="491"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尚未</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审结</w:t>
            </w:r>
          </w:p>
        </w:tc>
        <w:tc>
          <w:tcPr>
            <w:tcW w:w="495" w:type="dxa"/>
            <w:vMerge w:val="restart"/>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c>
          <w:tcPr>
            <w:tcW w:w="2461"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未经复议直接起诉</w:t>
            </w:r>
          </w:p>
        </w:tc>
        <w:tc>
          <w:tcPr>
            <w:tcW w:w="2473" w:type="dxa"/>
            <w:gridSpan w:val="5"/>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564" w:hRule="atLeast"/>
          <w:jc w:val="center"/>
        </w:trPr>
        <w:tc>
          <w:tcPr>
            <w:tcW w:w="490" w:type="dxa"/>
            <w:vMerge w:val="continue"/>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490"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490"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491"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495" w:type="dxa"/>
            <w:vMerge w:val="continue"/>
            <w:tcBorders>
              <w:top w:val="nil"/>
              <w:left w:val="nil"/>
              <w:bottom w:val="single" w:color="auto" w:sz="6" w:space="0"/>
              <w:right w:val="single" w:color="auto" w:sz="6" w:space="0"/>
            </w:tcBorders>
            <w:shd w:val="clear" w:color="auto" w:fill="auto"/>
            <w:tcMar>
              <w:left w:w="108" w:type="dxa"/>
              <w:right w:w="108" w:type="dxa"/>
            </w:tcMar>
            <w:vAlign w:val="center"/>
          </w:tcPr>
          <w:p>
            <w:pPr>
              <w:rPr>
                <w:rFonts w:hint="eastAsia" w:ascii="宋体"/>
                <w:sz w:val="24"/>
                <w:szCs w:val="24"/>
              </w:rPr>
            </w:pP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维持</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纠正</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其他</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尚未</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审结</w:t>
            </w:r>
          </w:p>
        </w:tc>
        <w:tc>
          <w:tcPr>
            <w:tcW w:w="497"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维持</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纠正</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其他</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结果</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尚未</w:t>
            </w:r>
          </w:p>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审结</w:t>
            </w:r>
          </w:p>
        </w:tc>
        <w:tc>
          <w:tcPr>
            <w:tcW w:w="50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696" w:hRule="atLeast"/>
          <w:jc w:val="center"/>
        </w:trPr>
        <w:tc>
          <w:tcPr>
            <w:tcW w:w="490" w:type="dxa"/>
            <w:tcBorders>
              <w:top w:val="nil"/>
              <w:left w:val="single" w:color="auto" w:sz="6" w:space="0"/>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0"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5"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7"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491"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c>
          <w:tcPr>
            <w:tcW w:w="509" w:type="dxa"/>
            <w:tcBorders>
              <w:top w:val="nil"/>
              <w:left w:val="nil"/>
              <w:bottom w:val="single" w:color="auto" w:sz="6" w:space="0"/>
              <w:right w:val="single" w:color="auto" w:sz="6" w:space="0"/>
            </w:tcBorders>
            <w:shd w:val="clear" w:color="auto" w:fill="auto"/>
            <w:tcMar>
              <w:left w:w="108" w:type="dxa"/>
              <w:right w:w="108" w:type="dxa"/>
            </w:tcMar>
            <w:vAlign w:val="center"/>
          </w:tcPr>
          <w:p>
            <w:pPr>
              <w:pStyle w:val="2"/>
              <w:keepNext w:val="0"/>
              <w:keepLines w:val="0"/>
              <w:widowControl/>
              <w:suppressLineNumbers w:val="0"/>
              <w:autoSpaceDE w:val="0"/>
              <w:autoSpaceDN/>
              <w:spacing w:line="360" w:lineRule="atLeast"/>
              <w:ind w:left="0" w:right="0"/>
              <w:jc w:val="center"/>
              <w:rPr>
                <w:rFonts w:hint="default" w:ascii="Calibri" w:hAnsi="Calibri" w:cs="Calibri"/>
                <w:sz w:val="24"/>
                <w:szCs w:val="24"/>
              </w:rPr>
            </w:pPr>
            <w:r>
              <w:rPr>
                <w:rFonts w:hint="eastAsia" w:ascii="宋体" w:hAnsi="宋体" w:eastAsia="宋体" w:cs="宋体"/>
                <w:color w:val="000000"/>
                <w:sz w:val="20"/>
                <w:szCs w:val="20"/>
              </w:rPr>
              <w:t>0</w:t>
            </w:r>
          </w:p>
        </w:tc>
      </w:tr>
    </w:tbl>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default" w:ascii="黑体" w:hAnsi="宋体" w:eastAsia="黑体" w:cs="黑体"/>
          <w:color w:val="000000"/>
          <w:sz w:val="32"/>
          <w:szCs w:val="32"/>
        </w:rPr>
        <w:t>五、存在的主要问题及改进情况</w:t>
      </w:r>
    </w:p>
    <w:p>
      <w:pPr>
        <w:pStyle w:val="2"/>
        <w:keepNext w:val="0"/>
        <w:keepLines w:val="0"/>
        <w:widowControl/>
        <w:suppressLineNumbers w:val="0"/>
        <w:autoSpaceDE w:val="0"/>
        <w:autoSpaceDN/>
        <w:spacing w:line="590" w:lineRule="atLeast"/>
        <w:ind w:left="0" w:right="0" w:firstLine="472"/>
        <w:jc w:val="both"/>
        <w:rPr>
          <w:rFonts w:hint="default" w:ascii="Calibri" w:hAnsi="Calibri" w:cs="Calibri"/>
          <w:sz w:val="24"/>
          <w:szCs w:val="24"/>
        </w:rPr>
      </w:pPr>
      <w:r>
        <w:rPr>
          <w:rFonts w:hint="eastAsia" w:ascii="楷体" w:hAnsi="楷体" w:eastAsia="楷体" w:cs="楷体"/>
          <w:b/>
          <w:bCs/>
          <w:color w:val="000000"/>
          <w:sz w:val="32"/>
          <w:szCs w:val="32"/>
        </w:rPr>
        <w:t>（一）存在的主要问题</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主要在加强基础性日常管理、丰富政务公开方式以及信息公开的及时性、部分栏目信息发布量偏少等方面存在不足。</w:t>
      </w:r>
    </w:p>
    <w:p>
      <w:pPr>
        <w:pStyle w:val="2"/>
        <w:keepNext w:val="0"/>
        <w:keepLines w:val="0"/>
        <w:widowControl/>
        <w:suppressLineNumbers w:val="0"/>
        <w:autoSpaceDE w:val="0"/>
        <w:autoSpaceDN/>
        <w:spacing w:line="590" w:lineRule="atLeast"/>
        <w:ind w:left="0" w:right="0" w:firstLine="469"/>
        <w:jc w:val="both"/>
        <w:rPr>
          <w:rFonts w:hint="default" w:ascii="Calibri" w:hAnsi="Calibri" w:cs="Calibri"/>
          <w:sz w:val="24"/>
          <w:szCs w:val="24"/>
        </w:rPr>
      </w:pPr>
      <w:r>
        <w:rPr>
          <w:rFonts w:hint="eastAsia" w:ascii="楷体" w:hAnsi="楷体" w:eastAsia="楷体" w:cs="楷体"/>
          <w:b/>
          <w:bCs/>
          <w:color w:val="000000"/>
          <w:sz w:val="32"/>
          <w:szCs w:val="32"/>
        </w:rPr>
        <w:t>（二）下一步工作打算</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000000"/>
          <w:sz w:val="32"/>
          <w:szCs w:val="32"/>
        </w:rPr>
        <w:t>进一步加强日常管理工作。继续强化专人负责信息公开工作,明确工作职责,以服务群众为目的,进一步加强政府信息公开通过多种渠道进行宣传,以提高群众对政府</w:t>
      </w:r>
      <w:bookmarkStart w:id="0" w:name="_GoBack"/>
      <w:bookmarkEnd w:id="0"/>
      <w:r>
        <w:rPr>
          <w:rFonts w:hint="eastAsia" w:ascii="仿宋" w:hAnsi="仿宋" w:eastAsia="仿宋" w:cs="仿宋"/>
          <w:color w:val="000000"/>
          <w:sz w:val="32"/>
          <w:szCs w:val="32"/>
        </w:rPr>
        <w:t>信息公开的知晓率和参与度。在规定的政府信息公开范围内,及时发布和更新依法应主动公开的政府信息,并做好答复依申请公开政府信息工作。</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000000"/>
          <w:sz w:val="32"/>
          <w:szCs w:val="32"/>
        </w:rPr>
        <w:t>进一步丰富政务公开方式。以社会需求为响,在不断深化政府信息公开内容的同时,努力做到公开方式、解读方式的灵活多样。强化政策解读，做好重大政策解读。</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000000"/>
          <w:sz w:val="32"/>
          <w:szCs w:val="32"/>
        </w:rPr>
        <w:t>进一步加强信息梳理。为确保信息发布的及时性，要加强与各相关股室的信息沟通，及时梳理出待发布信息，确保信息公开及时、全面、准确。同时，增强做好政务公开工作的主动性和自觉性。</w:t>
      </w:r>
    </w:p>
    <w:p>
      <w:pPr>
        <w:pStyle w:val="2"/>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仿宋" w:hAnsi="仿宋" w:eastAsia="仿宋" w:cs="仿宋"/>
          <w:color w:val="000000"/>
          <w:sz w:val="32"/>
          <w:szCs w:val="32"/>
        </w:rPr>
        <w:t>进一步提高政务公开意识。确保政府信息公开工作能按照既定的工作流程有效运作。</w:t>
      </w:r>
      <w:r>
        <w:rPr>
          <w:rFonts w:hint="default" w:ascii="Calibri" w:hAnsi="Calibri" w:cs="Calibri"/>
          <w:color w:val="000000"/>
          <w:sz w:val="32"/>
          <w:szCs w:val="32"/>
        </w:rPr>
        <w:t> </w:t>
      </w:r>
      <w:r>
        <w:rPr>
          <w:rFonts w:hint="eastAsia" w:ascii="仿宋" w:hAnsi="仿宋" w:eastAsia="仿宋" w:cs="仿宋"/>
          <w:color w:val="000000"/>
          <w:sz w:val="32"/>
          <w:szCs w:val="32"/>
        </w:rPr>
        <w:t>进一步拓宽政府信息公开内容深度。结合我县水利工作的重点、公众关注的焦点，深化信息公开内容，扩大主动公开范围:及时发布即时性信息，充分满足群众知情权。</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default" w:ascii="黑体" w:hAnsi="宋体" w:eastAsia="黑体" w:cs="黑体"/>
          <w:color w:val="000000"/>
          <w:sz w:val="32"/>
          <w:szCs w:val="32"/>
        </w:rPr>
        <w:t>六、其他需要报告的事项</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1.信息处理费情况：按照《国务院办公厅关于印发&lt;政府信息公开信息处理费管理办法&gt;的通知》(国办函〔2020〕109号)和《安徽省财政厅安徽省发展和改革委员会关于政府信息公开信息处理费用有关事项的通知》（皖财综〔2021〕28号）文件，本年度未收取信息处理费。</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2.基层</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两化</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工作情况：按照省市县要求，高标准落实</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两化</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建设意见，增设</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两化</w:t>
      </w:r>
      <w:r>
        <w:rPr>
          <w:rFonts w:hint="eastAsia" w:ascii="方正仿宋_GBK" w:hAnsi="方正仿宋_GBK" w:eastAsia="方正仿宋_GBK" w:cs="方正仿宋_GBK"/>
          <w:color w:val="000000"/>
          <w:sz w:val="32"/>
          <w:szCs w:val="32"/>
        </w:rPr>
        <w:t>”</w:t>
      </w:r>
      <w:r>
        <w:rPr>
          <w:rFonts w:hint="eastAsia" w:ascii="仿宋" w:hAnsi="仿宋" w:eastAsia="仿宋" w:cs="仿宋"/>
          <w:color w:val="000000"/>
          <w:sz w:val="32"/>
          <w:szCs w:val="32"/>
        </w:rPr>
        <w:t>栏目，并按要求及时更新，主要包含水利工程建设，水旱灾害防御，河湖长制，水资源管理和水土保持，农村饮水安全监管，推进城乡供水一体化等内容，全年累计公开信息200余条。</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 </w:t>
      </w:r>
    </w:p>
    <w:p>
      <w:pPr>
        <w:pStyle w:val="2"/>
        <w:keepNext w:val="0"/>
        <w:keepLines w:val="0"/>
        <w:widowControl/>
        <w:suppressLineNumbers w:val="0"/>
        <w:autoSpaceDE w:val="0"/>
        <w:autoSpaceDN/>
        <w:spacing w:line="590" w:lineRule="atLeast"/>
        <w:ind w:left="0" w:right="0" w:firstLine="640"/>
        <w:jc w:val="both"/>
        <w:rPr>
          <w:rFonts w:hint="default" w:ascii="Calibri" w:hAnsi="Calibri" w:cs="Calibri"/>
          <w:sz w:val="24"/>
          <w:szCs w:val="24"/>
        </w:rPr>
      </w:pPr>
      <w:r>
        <w:rPr>
          <w:rFonts w:hint="eastAsia" w:ascii="仿宋" w:hAnsi="仿宋" w:eastAsia="仿宋" w:cs="仿宋"/>
          <w:color w:val="000000"/>
          <w:sz w:val="32"/>
          <w:szCs w:val="32"/>
        </w:rPr>
        <w:t> </w:t>
      </w:r>
    </w:p>
    <w:p>
      <w:pPr>
        <w:pStyle w:val="2"/>
        <w:keepNext w:val="0"/>
        <w:keepLines w:val="0"/>
        <w:widowControl/>
        <w:suppressLineNumbers w:val="0"/>
        <w:autoSpaceDE w:val="0"/>
        <w:autoSpaceDN/>
        <w:spacing w:line="590" w:lineRule="atLeast"/>
        <w:ind w:left="0" w:right="0" w:firstLine="640"/>
        <w:jc w:val="right"/>
        <w:rPr>
          <w:rFonts w:hint="default" w:ascii="Calibri" w:hAnsi="Calibri" w:cs="Calibri"/>
          <w:sz w:val="24"/>
          <w:szCs w:val="24"/>
        </w:rPr>
      </w:pPr>
      <w:r>
        <w:rPr>
          <w:rFonts w:hint="eastAsia" w:ascii="仿宋" w:hAnsi="仿宋" w:eastAsia="仿宋" w:cs="仿宋"/>
          <w:color w:val="000000"/>
          <w:sz w:val="32"/>
          <w:szCs w:val="32"/>
        </w:rPr>
        <w:t>  2024年1月23日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mU1NWNlMzU1NGE3M2QyODFhMDY2YjMxODk1MTEifQ=="/>
  </w:docVars>
  <w:rsids>
    <w:rsidRoot w:val="00000000"/>
    <w:rsid w:val="506C7660"/>
    <w:rsid w:val="72BF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2024-01-29T03:53:00Z</dcterms:created>
  <dc:creator>Administrator</dc:creator>
  <cp:lastModifiedBy>李海静</cp:lastModifiedBy>
  <dcterms:modified xsi:type="dcterms:W3CDTF">2024-02-06T08:12:54Z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D26186BEDA284A499ACBDE6CD846AE30_12</vt:lpwstr>
  </property>
</Properties>
</file>