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32"/>
          <w:szCs w:val="32"/>
        </w:rPr>
      </w:pPr>
      <w:r>
        <w:rPr>
          <w:rFonts w:hint="eastAsia" w:ascii="宋体" w:hAnsi="宋体" w:eastAsia="宋体"/>
          <w:b/>
          <w:bCs/>
          <w:sz w:val="32"/>
          <w:szCs w:val="32"/>
        </w:rPr>
        <w:t>《</w:t>
      </w:r>
      <w:r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  <w:t>寿县张李乡张李村</w:t>
      </w:r>
      <w:r>
        <w:rPr>
          <w:rFonts w:hint="eastAsia" w:ascii="宋体" w:hAnsi="宋体" w:eastAsia="宋体"/>
          <w:b/>
          <w:bCs/>
          <w:sz w:val="32"/>
          <w:szCs w:val="32"/>
        </w:rPr>
        <w:t>村庄规划（2</w:t>
      </w:r>
      <w:r>
        <w:rPr>
          <w:rFonts w:ascii="宋体" w:hAnsi="宋体" w:eastAsia="宋体"/>
          <w:b/>
          <w:bCs/>
          <w:sz w:val="32"/>
          <w:szCs w:val="32"/>
        </w:rPr>
        <w:t>021</w:t>
      </w:r>
      <w:r>
        <w:rPr>
          <w:rFonts w:hint="eastAsia" w:ascii="宋体" w:hAnsi="宋体" w:eastAsia="宋体"/>
          <w:b/>
          <w:bCs/>
          <w:sz w:val="32"/>
          <w:szCs w:val="32"/>
        </w:rPr>
        <w:t>-</w:t>
      </w:r>
      <w:r>
        <w:rPr>
          <w:rFonts w:ascii="宋体" w:hAnsi="宋体" w:eastAsia="宋体"/>
          <w:b/>
          <w:bCs/>
          <w:sz w:val="32"/>
          <w:szCs w:val="32"/>
        </w:rPr>
        <w:t>2035</w:t>
      </w:r>
      <w:r>
        <w:rPr>
          <w:rFonts w:hint="eastAsia" w:ascii="宋体" w:hAnsi="宋体" w:eastAsia="宋体"/>
          <w:b/>
          <w:bCs/>
          <w:sz w:val="32"/>
          <w:szCs w:val="32"/>
        </w:rPr>
        <w:t>年）》</w:t>
      </w:r>
    </w:p>
    <w:p>
      <w:pPr>
        <w:jc w:val="center"/>
        <w:rPr>
          <w:rFonts w:ascii="宋体" w:hAnsi="宋体" w:eastAsia="宋体"/>
          <w:b/>
          <w:bCs/>
          <w:sz w:val="32"/>
          <w:szCs w:val="32"/>
        </w:rPr>
      </w:pPr>
      <w:r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  <w:t>批前</w:t>
      </w:r>
      <w:r>
        <w:rPr>
          <w:rFonts w:hint="eastAsia" w:ascii="宋体" w:hAnsi="宋体" w:eastAsia="宋体"/>
          <w:b/>
          <w:bCs/>
          <w:sz w:val="32"/>
          <w:szCs w:val="32"/>
        </w:rPr>
        <w:t>公示</w:t>
      </w:r>
    </w:p>
    <w:p>
      <w:pPr>
        <w:spacing w:line="360" w:lineRule="auto"/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为落实《自然资源部办公厅关于加强村庄规划促进乡村振兴的通知》以及《安徽省自然资源厅关于做好村庄规划的通知》要求，促进安徽省乡村振兴战略深入实施，有效指导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张李村</w:t>
      </w:r>
      <w:r>
        <w:rPr>
          <w:rFonts w:hint="eastAsia" w:ascii="宋体" w:hAnsi="宋体" w:eastAsia="宋体"/>
          <w:sz w:val="28"/>
          <w:szCs w:val="28"/>
        </w:rPr>
        <w:t>的发展建设，结合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张李村</w:t>
      </w:r>
      <w:r>
        <w:rPr>
          <w:rFonts w:hint="eastAsia" w:ascii="宋体" w:hAnsi="宋体" w:eastAsia="宋体"/>
          <w:sz w:val="28"/>
          <w:szCs w:val="28"/>
        </w:rPr>
        <w:t>的实际情况，编制了《寿县张李乡</w:t>
      </w:r>
      <w:r>
        <w:rPr>
          <w:rFonts w:hint="eastAsia" w:ascii="宋体" w:hAnsi="宋体" w:eastAsia="宋体"/>
          <w:sz w:val="28"/>
          <w:szCs w:val="28"/>
          <w:lang w:eastAsia="zh-CN"/>
        </w:rPr>
        <w:t>张李村</w:t>
      </w:r>
      <w:r>
        <w:rPr>
          <w:rFonts w:hint="eastAsia" w:ascii="宋体" w:hAnsi="宋体" w:eastAsia="宋体"/>
          <w:sz w:val="28"/>
          <w:szCs w:val="28"/>
        </w:rPr>
        <w:t>村庄规划（</w:t>
      </w:r>
      <w:r>
        <w:rPr>
          <w:rFonts w:ascii="宋体" w:hAnsi="宋体" w:eastAsia="宋体"/>
          <w:sz w:val="28"/>
          <w:szCs w:val="28"/>
        </w:rPr>
        <w:t>2021-2035年）》</w:t>
      </w:r>
      <w:r>
        <w:rPr>
          <w:rFonts w:hint="eastAsia" w:ascii="宋体" w:hAnsi="宋体" w:eastAsia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以下简称《规划》</w:t>
      </w:r>
      <w:r>
        <w:rPr>
          <w:rFonts w:hint="eastAsia" w:ascii="宋体" w:hAnsi="宋体" w:eastAsia="宋体"/>
          <w:sz w:val="28"/>
          <w:szCs w:val="28"/>
          <w:lang w:eastAsia="zh-CN"/>
        </w:rPr>
        <w:t>）</w:t>
      </w:r>
      <w:r>
        <w:rPr>
          <w:rFonts w:ascii="宋体" w:hAnsi="宋体" w:eastAsia="宋体"/>
          <w:sz w:val="28"/>
          <w:szCs w:val="28"/>
        </w:rPr>
        <w:t>。</w:t>
      </w:r>
      <w:r>
        <w:rPr>
          <w:rFonts w:hint="eastAsia" w:ascii="宋体" w:hAnsi="宋体" w:eastAsia="宋体"/>
          <w:sz w:val="28"/>
          <w:szCs w:val="28"/>
        </w:rPr>
        <w:t>依据《中华人民共和国城乡规划法》、《安徽省城乡规划条例》、《安徽省村庄规划编制指南》等要求，现将《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规划</w:t>
      </w:r>
      <w:r>
        <w:rPr>
          <w:rFonts w:ascii="宋体" w:hAnsi="宋体" w:eastAsia="宋体"/>
          <w:sz w:val="28"/>
          <w:szCs w:val="28"/>
        </w:rPr>
        <w:t>》主要内容予以公示（公示</w:t>
      </w:r>
      <w:bookmarkStart w:id="1" w:name="_GoBack"/>
      <w:bookmarkEnd w:id="1"/>
      <w:r>
        <w:rPr>
          <w:rFonts w:ascii="宋体" w:hAnsi="宋体" w:eastAsia="宋体"/>
          <w:sz w:val="28"/>
          <w:szCs w:val="28"/>
        </w:rPr>
        <w:t>内容详见附件）</w:t>
      </w:r>
      <w:r>
        <w:rPr>
          <w:rFonts w:hint="eastAsia" w:ascii="宋体" w:hAnsi="宋体" w:eastAsia="宋体"/>
          <w:sz w:val="28"/>
          <w:szCs w:val="28"/>
        </w:rPr>
        <w:t>，欢迎社会各界人士积极参与，提出意见和建议。</w:t>
      </w:r>
    </w:p>
    <w:p>
      <w:pPr>
        <w:spacing w:line="360" w:lineRule="auto"/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公示时间：2</w:t>
      </w:r>
      <w:r>
        <w:rPr>
          <w:rFonts w:ascii="宋体" w:hAnsi="宋体" w:eastAsia="宋体"/>
          <w:sz w:val="28"/>
          <w:szCs w:val="28"/>
        </w:rPr>
        <w:t>02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/>
          <w:sz w:val="28"/>
          <w:szCs w:val="28"/>
        </w:rPr>
        <w:t>年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/>
          <w:sz w:val="28"/>
          <w:szCs w:val="28"/>
        </w:rPr>
        <w:t>月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/>
          <w:sz w:val="28"/>
          <w:szCs w:val="28"/>
        </w:rPr>
        <w:t>日-</w:t>
      </w:r>
      <w:r>
        <w:rPr>
          <w:rFonts w:ascii="宋体" w:hAnsi="宋体" w:eastAsia="宋体"/>
          <w:sz w:val="28"/>
          <w:szCs w:val="28"/>
        </w:rPr>
        <w:t>202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/>
          <w:sz w:val="28"/>
          <w:szCs w:val="28"/>
        </w:rPr>
        <w:t>年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/>
          <w:sz w:val="28"/>
          <w:szCs w:val="28"/>
        </w:rPr>
        <w:t>月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/>
          <w:sz w:val="28"/>
          <w:szCs w:val="28"/>
        </w:rPr>
        <w:t>日</w:t>
      </w:r>
    </w:p>
    <w:p>
      <w:pPr>
        <w:spacing w:line="360" w:lineRule="auto"/>
        <w:ind w:firstLine="560" w:firstLineChars="200"/>
        <w:jc w:val="left"/>
        <w:rPr>
          <w:rFonts w:hint="default" w:ascii="宋体" w:hAnsi="宋体" w:eastAsia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highlight w:val="none"/>
        </w:rPr>
        <w:t>联系电话：</w:t>
      </w:r>
      <w:r>
        <w:rPr>
          <w:rFonts w:hint="eastAsia" w:ascii="宋体" w:hAnsi="宋体" w:eastAsia="宋体"/>
          <w:sz w:val="28"/>
          <w:szCs w:val="28"/>
          <w:highlight w:val="none"/>
          <w:lang w:val="en-US" w:eastAsia="zh-CN"/>
        </w:rPr>
        <w:t>05544516000</w:t>
      </w:r>
    </w:p>
    <w:p>
      <w:pPr>
        <w:spacing w:line="360" w:lineRule="auto"/>
        <w:ind w:firstLine="560" w:firstLineChars="200"/>
        <w:jc w:val="left"/>
        <w:rPr>
          <w:rFonts w:hint="default" w:ascii="宋体" w:hAnsi="宋体" w:eastAsia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highlight w:val="none"/>
        </w:rPr>
        <w:t xml:space="preserve">邮 </w:t>
      </w:r>
      <w:r>
        <w:rPr>
          <w:rFonts w:ascii="宋体" w:hAnsi="宋体" w:eastAsia="宋体"/>
          <w:sz w:val="28"/>
          <w:szCs w:val="28"/>
          <w:highlight w:val="none"/>
        </w:rPr>
        <w:t xml:space="preserve">   </w:t>
      </w:r>
      <w:r>
        <w:rPr>
          <w:rFonts w:hint="eastAsia" w:ascii="宋体" w:hAnsi="宋体" w:eastAsia="宋体"/>
          <w:sz w:val="28"/>
          <w:szCs w:val="28"/>
          <w:highlight w:val="none"/>
        </w:rPr>
        <w:t>箱：</w:t>
      </w:r>
      <w:r>
        <w:rPr>
          <w:rFonts w:hint="eastAsia" w:ascii="宋体" w:hAnsi="宋体" w:eastAsia="宋体"/>
          <w:sz w:val="28"/>
          <w:szCs w:val="28"/>
          <w:highlight w:val="none"/>
          <w:lang w:val="en-US" w:eastAsia="zh-CN"/>
        </w:rPr>
        <w:t>2786707519@qq.com</w:t>
      </w:r>
    </w:p>
    <w:p>
      <w:pPr>
        <w:spacing w:line="360" w:lineRule="auto"/>
        <w:ind w:firstLine="560" w:firstLineChars="200"/>
        <w:jc w:val="left"/>
        <w:rPr>
          <w:rFonts w:hint="default" w:ascii="宋体" w:hAnsi="宋体" w:eastAsia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highlight w:val="none"/>
        </w:rPr>
        <w:t>联系地址：安徽省</w:t>
      </w:r>
      <w:r>
        <w:rPr>
          <w:rFonts w:hint="eastAsia" w:ascii="宋体" w:hAnsi="宋体" w:eastAsia="宋体"/>
          <w:sz w:val="28"/>
          <w:szCs w:val="28"/>
          <w:highlight w:val="none"/>
          <w:lang w:val="en-US" w:eastAsia="zh-CN"/>
        </w:rPr>
        <w:t>淮南</w:t>
      </w:r>
      <w:r>
        <w:rPr>
          <w:rFonts w:hint="eastAsia" w:ascii="宋体" w:hAnsi="宋体" w:eastAsia="宋体"/>
          <w:sz w:val="28"/>
          <w:szCs w:val="28"/>
          <w:highlight w:val="none"/>
        </w:rPr>
        <w:t>市</w:t>
      </w:r>
      <w:r>
        <w:rPr>
          <w:rFonts w:hint="eastAsia" w:ascii="宋体" w:hAnsi="宋体" w:eastAsia="宋体"/>
          <w:sz w:val="28"/>
          <w:szCs w:val="28"/>
          <w:highlight w:val="none"/>
          <w:lang w:val="en-US" w:eastAsia="zh-CN"/>
        </w:rPr>
        <w:t>寿县张李乡人民政府</w:t>
      </w:r>
    </w:p>
    <w:p>
      <w:pPr>
        <w:spacing w:line="360" w:lineRule="auto"/>
        <w:ind w:firstLine="560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公示附件：</w:t>
      </w:r>
    </w:p>
    <w:p>
      <w:pPr>
        <w:spacing w:line="360" w:lineRule="auto"/>
        <w:ind w:firstLine="562"/>
        <w:jc w:val="center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《寿县张李乡</w:t>
      </w:r>
      <w:r>
        <w:rPr>
          <w:rFonts w:hint="eastAsia" w:ascii="宋体" w:hAnsi="宋体" w:eastAsia="宋体"/>
          <w:b/>
          <w:bCs/>
          <w:sz w:val="28"/>
          <w:szCs w:val="28"/>
          <w:lang w:eastAsia="zh-CN"/>
        </w:rPr>
        <w:t>张李村</w:t>
      </w:r>
      <w:r>
        <w:rPr>
          <w:rFonts w:hint="eastAsia" w:ascii="宋体" w:hAnsi="宋体" w:eastAsia="宋体"/>
          <w:b/>
          <w:bCs/>
          <w:sz w:val="28"/>
          <w:szCs w:val="28"/>
        </w:rPr>
        <w:t>村庄规划（2021-2035年）</w:t>
      </w:r>
      <w:r>
        <w:rPr>
          <w:rFonts w:ascii="宋体" w:hAnsi="宋体" w:eastAsia="宋体"/>
          <w:b/>
          <w:bCs/>
          <w:sz w:val="28"/>
          <w:szCs w:val="28"/>
        </w:rPr>
        <w:t>》</w:t>
      </w:r>
    </w:p>
    <w:p>
      <w:pPr>
        <w:spacing w:line="360" w:lineRule="auto"/>
        <w:ind w:firstLine="562"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一、规划范围</w:t>
      </w:r>
    </w:p>
    <w:p>
      <w:pPr>
        <w:spacing w:line="360" w:lineRule="auto"/>
        <w:ind w:firstLine="560" w:firstLineChars="200"/>
        <w:jc w:val="left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本次规划范围为寿县张李乡</w:t>
      </w:r>
      <w:r>
        <w:rPr>
          <w:rFonts w:hint="eastAsia" w:ascii="宋体" w:hAnsi="宋体" w:eastAsia="宋体"/>
          <w:sz w:val="28"/>
          <w:szCs w:val="28"/>
          <w:lang w:eastAsia="zh-CN"/>
        </w:rPr>
        <w:t>张李村</w:t>
      </w:r>
      <w:r>
        <w:rPr>
          <w:rFonts w:hint="eastAsia" w:ascii="宋体" w:hAnsi="宋体" w:eastAsia="宋体"/>
          <w:sz w:val="28"/>
          <w:szCs w:val="28"/>
        </w:rPr>
        <w:t>行政管辖范围，总用地面积865.24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11</w:t>
      </w:r>
      <w:r>
        <w:rPr>
          <w:rFonts w:hint="eastAsia" w:ascii="宋体" w:hAnsi="宋体" w:eastAsia="宋体"/>
          <w:sz w:val="28"/>
          <w:szCs w:val="28"/>
        </w:rPr>
        <w:t>公顷</w:t>
      </w:r>
    </w:p>
    <w:p>
      <w:pPr>
        <w:spacing w:line="360" w:lineRule="auto"/>
        <w:ind w:firstLine="562"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二、规划期限</w:t>
      </w:r>
    </w:p>
    <w:p>
      <w:pPr>
        <w:spacing w:line="360" w:lineRule="auto"/>
        <w:ind w:firstLine="562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本次规划期限为</w:t>
      </w:r>
      <w:r>
        <w:rPr>
          <w:rFonts w:ascii="宋体" w:hAnsi="宋体" w:eastAsia="宋体"/>
          <w:sz w:val="28"/>
          <w:szCs w:val="28"/>
        </w:rPr>
        <w:t>2021-2035年，规划基期年为2021年，规划近期目标年为2025年，规划远期目标年为2035年。</w:t>
      </w:r>
    </w:p>
    <w:p>
      <w:pPr>
        <w:spacing w:line="360" w:lineRule="auto"/>
        <w:ind w:firstLine="562"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三、目标定位</w:t>
      </w:r>
    </w:p>
    <w:p>
      <w:pPr>
        <w:spacing w:line="360" w:lineRule="auto"/>
        <w:ind w:firstLine="562"/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以村庄现状农业种植为基础，发挥张李村区位条件和建设配套优势，发展培育新型经营主体，全力改造提升基础设施，持续推进人居环境整治，将张李村打造成集优粮种植、农产品加工、绿色仓储、电商物流于一体的县域南部综合服务中心村。</w:t>
      </w:r>
    </w:p>
    <w:p>
      <w:pPr>
        <w:spacing w:line="360" w:lineRule="auto"/>
        <w:ind w:firstLine="562"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四、村庄发展类型</w:t>
      </w:r>
    </w:p>
    <w:p>
      <w:pPr>
        <w:spacing w:line="360" w:lineRule="auto"/>
        <w:ind w:firstLine="562"/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在对居民点建设用地规模、人口规模、发展水平、空心化程度等要素充分分析的基础上，将现状31个自然村分为17个提升型、9个稳定型、3个收缩型、2个撤并型，明确村庄分类引导如下表：</w:t>
      </w:r>
    </w:p>
    <w:tbl>
      <w:tblPr>
        <w:tblStyle w:val="6"/>
        <w:tblW w:w="4997" w:type="pct"/>
        <w:jc w:val="center"/>
        <w:tblCellSpacing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40"/>
        <w:gridCol w:w="777"/>
        <w:gridCol w:w="1038"/>
        <w:gridCol w:w="855"/>
        <w:gridCol w:w="921"/>
        <w:gridCol w:w="552"/>
        <w:gridCol w:w="589"/>
        <w:gridCol w:w="1041"/>
        <w:gridCol w:w="884"/>
        <w:gridCol w:w="12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tblCellSpacing w:w="0" w:type="dxa"/>
          <w:jc w:val="center"/>
        </w:trPr>
        <w:tc>
          <w:tcPr>
            <w:tcW w:w="263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464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自然村</w:t>
            </w:r>
          </w:p>
        </w:tc>
        <w:tc>
          <w:tcPr>
            <w:tcW w:w="62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村民组</w:t>
            </w:r>
          </w:p>
        </w:tc>
        <w:tc>
          <w:tcPr>
            <w:tcW w:w="511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自然村分类</w:t>
            </w:r>
          </w:p>
        </w:tc>
        <w:tc>
          <w:tcPr>
            <w:tcW w:w="55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备注</w:t>
            </w:r>
          </w:p>
        </w:tc>
        <w:tc>
          <w:tcPr>
            <w:tcW w:w="33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352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自然村</w:t>
            </w:r>
          </w:p>
        </w:tc>
        <w:tc>
          <w:tcPr>
            <w:tcW w:w="622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村民组</w:t>
            </w:r>
          </w:p>
        </w:tc>
        <w:tc>
          <w:tcPr>
            <w:tcW w:w="528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自然村分类</w:t>
            </w:r>
          </w:p>
        </w:tc>
        <w:tc>
          <w:tcPr>
            <w:tcW w:w="755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tblCellSpacing w:w="0" w:type="dxa"/>
          <w:jc w:val="center"/>
        </w:trPr>
        <w:tc>
          <w:tcPr>
            <w:tcW w:w="263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464" w:type="pct"/>
            <w:vMerge w:val="restar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朝坊</w:t>
            </w:r>
          </w:p>
        </w:tc>
        <w:tc>
          <w:tcPr>
            <w:tcW w:w="62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朝坊</w:t>
            </w:r>
          </w:p>
        </w:tc>
        <w:tc>
          <w:tcPr>
            <w:tcW w:w="511" w:type="pct"/>
            <w:vMerge w:val="restar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提升型</w:t>
            </w:r>
          </w:p>
        </w:tc>
        <w:tc>
          <w:tcPr>
            <w:tcW w:w="550" w:type="pct"/>
            <w:vMerge w:val="restar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张李中心村</w:t>
            </w:r>
          </w:p>
        </w:tc>
        <w:tc>
          <w:tcPr>
            <w:tcW w:w="33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27</w:t>
            </w:r>
          </w:p>
        </w:tc>
        <w:tc>
          <w:tcPr>
            <w:tcW w:w="352" w:type="pct"/>
            <w:vMerge w:val="restar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姚东</w:t>
            </w:r>
          </w:p>
        </w:tc>
        <w:tc>
          <w:tcPr>
            <w:tcW w:w="622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姚东</w:t>
            </w:r>
          </w:p>
        </w:tc>
        <w:tc>
          <w:tcPr>
            <w:tcW w:w="528" w:type="pct"/>
            <w:vMerge w:val="restar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稳定型</w:t>
            </w:r>
          </w:p>
        </w:tc>
        <w:tc>
          <w:tcPr>
            <w:tcW w:w="755" w:type="pct"/>
            <w:vMerge w:val="restar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张李街道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tblCellSpacing w:w="0" w:type="dxa"/>
          <w:jc w:val="center"/>
        </w:trPr>
        <w:tc>
          <w:tcPr>
            <w:tcW w:w="263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2</w:t>
            </w:r>
          </w:p>
        </w:tc>
        <w:tc>
          <w:tcPr>
            <w:tcW w:w="464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李套</w:t>
            </w:r>
          </w:p>
        </w:tc>
        <w:tc>
          <w:tcPr>
            <w:tcW w:w="511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50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3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52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22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中心组2</w:t>
            </w:r>
          </w:p>
        </w:tc>
        <w:tc>
          <w:tcPr>
            <w:tcW w:w="528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55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tblCellSpacing w:w="0" w:type="dxa"/>
          <w:jc w:val="center"/>
        </w:trPr>
        <w:tc>
          <w:tcPr>
            <w:tcW w:w="263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464" w:type="pct"/>
            <w:vMerge w:val="restar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西套</w:t>
            </w:r>
          </w:p>
        </w:tc>
        <w:tc>
          <w:tcPr>
            <w:tcW w:w="62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西套</w:t>
            </w:r>
          </w:p>
        </w:tc>
        <w:tc>
          <w:tcPr>
            <w:tcW w:w="511" w:type="pct"/>
            <w:vMerge w:val="restar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提升型</w:t>
            </w:r>
          </w:p>
        </w:tc>
        <w:tc>
          <w:tcPr>
            <w:tcW w:w="550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3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52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东套</w:t>
            </w:r>
          </w:p>
        </w:tc>
        <w:tc>
          <w:tcPr>
            <w:tcW w:w="622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东套</w:t>
            </w:r>
          </w:p>
        </w:tc>
        <w:tc>
          <w:tcPr>
            <w:tcW w:w="528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撤并型</w:t>
            </w:r>
          </w:p>
        </w:tc>
        <w:tc>
          <w:tcPr>
            <w:tcW w:w="755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引导至张李街道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tblCellSpacing w:w="0" w:type="dxa"/>
          <w:jc w:val="center"/>
        </w:trPr>
        <w:tc>
          <w:tcPr>
            <w:tcW w:w="263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4</w:t>
            </w:r>
          </w:p>
        </w:tc>
        <w:tc>
          <w:tcPr>
            <w:tcW w:w="464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酒坊</w:t>
            </w:r>
          </w:p>
        </w:tc>
        <w:tc>
          <w:tcPr>
            <w:tcW w:w="511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50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3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52" w:type="pct"/>
            <w:vMerge w:val="restar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林郢</w:t>
            </w:r>
          </w:p>
        </w:tc>
        <w:tc>
          <w:tcPr>
            <w:tcW w:w="622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林郢组</w:t>
            </w:r>
          </w:p>
        </w:tc>
        <w:tc>
          <w:tcPr>
            <w:tcW w:w="528" w:type="pct"/>
            <w:vMerge w:val="restar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稳定型</w:t>
            </w:r>
          </w:p>
        </w:tc>
        <w:tc>
          <w:tcPr>
            <w:tcW w:w="755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  <w:tblCellSpacing w:w="0" w:type="dxa"/>
          <w:jc w:val="center"/>
        </w:trPr>
        <w:tc>
          <w:tcPr>
            <w:tcW w:w="263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5</w:t>
            </w:r>
          </w:p>
        </w:tc>
        <w:tc>
          <w:tcPr>
            <w:tcW w:w="464" w:type="pct"/>
            <w:vMerge w:val="restar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老庄</w:t>
            </w:r>
          </w:p>
        </w:tc>
        <w:tc>
          <w:tcPr>
            <w:tcW w:w="62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杨郢</w:t>
            </w:r>
          </w:p>
        </w:tc>
        <w:tc>
          <w:tcPr>
            <w:tcW w:w="511" w:type="pct"/>
            <w:vMerge w:val="restar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提升型</w:t>
            </w:r>
          </w:p>
        </w:tc>
        <w:tc>
          <w:tcPr>
            <w:tcW w:w="550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3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31</w:t>
            </w:r>
          </w:p>
        </w:tc>
        <w:tc>
          <w:tcPr>
            <w:tcW w:w="352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22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友好组</w:t>
            </w:r>
          </w:p>
        </w:tc>
        <w:tc>
          <w:tcPr>
            <w:tcW w:w="528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55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tblCellSpacing w:w="0" w:type="dxa"/>
          <w:jc w:val="center"/>
        </w:trPr>
        <w:tc>
          <w:tcPr>
            <w:tcW w:w="263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6</w:t>
            </w:r>
          </w:p>
        </w:tc>
        <w:tc>
          <w:tcPr>
            <w:tcW w:w="464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老庄组</w:t>
            </w:r>
          </w:p>
        </w:tc>
        <w:tc>
          <w:tcPr>
            <w:tcW w:w="511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50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3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32</w:t>
            </w:r>
          </w:p>
        </w:tc>
        <w:tc>
          <w:tcPr>
            <w:tcW w:w="352" w:type="pct"/>
            <w:vMerge w:val="restar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张李</w:t>
            </w:r>
          </w:p>
        </w:tc>
        <w:tc>
          <w:tcPr>
            <w:tcW w:w="622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张李组</w:t>
            </w:r>
          </w:p>
        </w:tc>
        <w:tc>
          <w:tcPr>
            <w:tcW w:w="528" w:type="pct"/>
            <w:vMerge w:val="restar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收缩型</w:t>
            </w:r>
          </w:p>
        </w:tc>
        <w:tc>
          <w:tcPr>
            <w:tcW w:w="755" w:type="pct"/>
            <w:vMerge w:val="restar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引导至张李街道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tblCellSpacing w:w="0" w:type="dxa"/>
          <w:jc w:val="center"/>
        </w:trPr>
        <w:tc>
          <w:tcPr>
            <w:tcW w:w="263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7</w:t>
            </w:r>
          </w:p>
        </w:tc>
        <w:tc>
          <w:tcPr>
            <w:tcW w:w="464" w:type="pct"/>
            <w:vMerge w:val="restar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大塘</w:t>
            </w:r>
          </w:p>
        </w:tc>
        <w:tc>
          <w:tcPr>
            <w:tcW w:w="62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大塘组</w:t>
            </w:r>
          </w:p>
        </w:tc>
        <w:tc>
          <w:tcPr>
            <w:tcW w:w="511" w:type="pct"/>
            <w:vMerge w:val="restar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提升型</w:t>
            </w:r>
          </w:p>
        </w:tc>
        <w:tc>
          <w:tcPr>
            <w:tcW w:w="550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3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52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22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路西组</w:t>
            </w:r>
          </w:p>
        </w:tc>
        <w:tc>
          <w:tcPr>
            <w:tcW w:w="528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55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tblCellSpacing w:w="0" w:type="dxa"/>
          <w:jc w:val="center"/>
        </w:trPr>
        <w:tc>
          <w:tcPr>
            <w:tcW w:w="263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8</w:t>
            </w:r>
          </w:p>
        </w:tc>
        <w:tc>
          <w:tcPr>
            <w:tcW w:w="464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小塘组</w:t>
            </w:r>
          </w:p>
        </w:tc>
        <w:tc>
          <w:tcPr>
            <w:tcW w:w="511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50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3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34</w:t>
            </w:r>
          </w:p>
        </w:tc>
        <w:tc>
          <w:tcPr>
            <w:tcW w:w="352" w:type="pct"/>
            <w:vMerge w:val="restar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柿元</w:t>
            </w:r>
          </w:p>
        </w:tc>
        <w:tc>
          <w:tcPr>
            <w:tcW w:w="622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柿元组</w:t>
            </w:r>
          </w:p>
        </w:tc>
        <w:tc>
          <w:tcPr>
            <w:tcW w:w="528" w:type="pct"/>
            <w:vMerge w:val="restar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稳定型</w:t>
            </w:r>
          </w:p>
        </w:tc>
        <w:tc>
          <w:tcPr>
            <w:tcW w:w="755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tblCellSpacing w:w="0" w:type="dxa"/>
          <w:jc w:val="center"/>
        </w:trPr>
        <w:tc>
          <w:tcPr>
            <w:tcW w:w="263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9</w:t>
            </w:r>
          </w:p>
        </w:tc>
        <w:tc>
          <w:tcPr>
            <w:tcW w:w="464" w:type="pct"/>
            <w:vMerge w:val="restar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周岗</w:t>
            </w:r>
          </w:p>
        </w:tc>
        <w:tc>
          <w:tcPr>
            <w:tcW w:w="62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周岗组</w:t>
            </w:r>
          </w:p>
        </w:tc>
        <w:tc>
          <w:tcPr>
            <w:tcW w:w="511" w:type="pct"/>
            <w:vMerge w:val="restar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提升型</w:t>
            </w:r>
          </w:p>
        </w:tc>
        <w:tc>
          <w:tcPr>
            <w:tcW w:w="550" w:type="pct"/>
            <w:vMerge w:val="restar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张李街道</w:t>
            </w:r>
          </w:p>
        </w:tc>
        <w:tc>
          <w:tcPr>
            <w:tcW w:w="33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35</w:t>
            </w:r>
          </w:p>
        </w:tc>
        <w:tc>
          <w:tcPr>
            <w:tcW w:w="352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22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前进组</w:t>
            </w:r>
          </w:p>
        </w:tc>
        <w:tc>
          <w:tcPr>
            <w:tcW w:w="528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55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tblCellSpacing w:w="0" w:type="dxa"/>
          <w:jc w:val="center"/>
        </w:trPr>
        <w:tc>
          <w:tcPr>
            <w:tcW w:w="263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64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前郢组1</w:t>
            </w:r>
          </w:p>
        </w:tc>
        <w:tc>
          <w:tcPr>
            <w:tcW w:w="511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50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3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36</w:t>
            </w:r>
          </w:p>
        </w:tc>
        <w:tc>
          <w:tcPr>
            <w:tcW w:w="352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塘东</w:t>
            </w:r>
          </w:p>
        </w:tc>
        <w:tc>
          <w:tcPr>
            <w:tcW w:w="622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塘东组</w:t>
            </w:r>
          </w:p>
        </w:tc>
        <w:tc>
          <w:tcPr>
            <w:tcW w:w="528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稳定型</w:t>
            </w:r>
          </w:p>
        </w:tc>
        <w:tc>
          <w:tcPr>
            <w:tcW w:w="755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tblCellSpacing w:w="0" w:type="dxa"/>
          <w:jc w:val="center"/>
        </w:trPr>
        <w:tc>
          <w:tcPr>
            <w:tcW w:w="263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64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新庄</w:t>
            </w:r>
          </w:p>
        </w:tc>
        <w:tc>
          <w:tcPr>
            <w:tcW w:w="62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新庄组1</w:t>
            </w:r>
          </w:p>
        </w:tc>
        <w:tc>
          <w:tcPr>
            <w:tcW w:w="511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提升型</w:t>
            </w:r>
          </w:p>
        </w:tc>
        <w:tc>
          <w:tcPr>
            <w:tcW w:w="550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3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37</w:t>
            </w:r>
          </w:p>
        </w:tc>
        <w:tc>
          <w:tcPr>
            <w:tcW w:w="352" w:type="pct"/>
            <w:vMerge w:val="restar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冲郢</w:t>
            </w:r>
          </w:p>
        </w:tc>
        <w:tc>
          <w:tcPr>
            <w:tcW w:w="622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冲郢组</w:t>
            </w:r>
          </w:p>
        </w:tc>
        <w:tc>
          <w:tcPr>
            <w:tcW w:w="528" w:type="pct"/>
            <w:vMerge w:val="restar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收缩型</w:t>
            </w:r>
          </w:p>
        </w:tc>
        <w:tc>
          <w:tcPr>
            <w:tcW w:w="755" w:type="pct"/>
            <w:vMerge w:val="restar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引导至张李街道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tblCellSpacing w:w="0" w:type="dxa"/>
          <w:jc w:val="center"/>
        </w:trPr>
        <w:tc>
          <w:tcPr>
            <w:tcW w:w="263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64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庙西</w:t>
            </w:r>
          </w:p>
        </w:tc>
        <w:tc>
          <w:tcPr>
            <w:tcW w:w="62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庙西</w:t>
            </w:r>
          </w:p>
        </w:tc>
        <w:tc>
          <w:tcPr>
            <w:tcW w:w="511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提升型</w:t>
            </w:r>
          </w:p>
        </w:tc>
        <w:tc>
          <w:tcPr>
            <w:tcW w:w="550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3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38</w:t>
            </w:r>
          </w:p>
        </w:tc>
        <w:tc>
          <w:tcPr>
            <w:tcW w:w="352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22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社东组</w:t>
            </w:r>
          </w:p>
        </w:tc>
        <w:tc>
          <w:tcPr>
            <w:tcW w:w="528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55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tblCellSpacing w:w="0" w:type="dxa"/>
          <w:jc w:val="center"/>
        </w:trPr>
        <w:tc>
          <w:tcPr>
            <w:tcW w:w="263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64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东郢</w:t>
            </w:r>
          </w:p>
        </w:tc>
        <w:tc>
          <w:tcPr>
            <w:tcW w:w="62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东郢</w:t>
            </w:r>
          </w:p>
        </w:tc>
        <w:tc>
          <w:tcPr>
            <w:tcW w:w="511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提升型</w:t>
            </w:r>
          </w:p>
        </w:tc>
        <w:tc>
          <w:tcPr>
            <w:tcW w:w="550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3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39</w:t>
            </w:r>
          </w:p>
        </w:tc>
        <w:tc>
          <w:tcPr>
            <w:tcW w:w="352" w:type="pct"/>
            <w:vMerge w:val="restar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油陈</w:t>
            </w:r>
          </w:p>
        </w:tc>
        <w:tc>
          <w:tcPr>
            <w:tcW w:w="622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油陈组</w:t>
            </w:r>
          </w:p>
        </w:tc>
        <w:tc>
          <w:tcPr>
            <w:tcW w:w="528" w:type="pct"/>
            <w:vMerge w:val="restar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收缩型</w:t>
            </w:r>
          </w:p>
        </w:tc>
        <w:tc>
          <w:tcPr>
            <w:tcW w:w="755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tblCellSpacing w:w="0" w:type="dxa"/>
          <w:jc w:val="center"/>
        </w:trPr>
        <w:tc>
          <w:tcPr>
            <w:tcW w:w="263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64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集中</w:t>
            </w:r>
          </w:p>
        </w:tc>
        <w:tc>
          <w:tcPr>
            <w:tcW w:w="62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集中</w:t>
            </w:r>
          </w:p>
        </w:tc>
        <w:tc>
          <w:tcPr>
            <w:tcW w:w="511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提升型</w:t>
            </w:r>
          </w:p>
        </w:tc>
        <w:tc>
          <w:tcPr>
            <w:tcW w:w="550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3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40</w:t>
            </w:r>
          </w:p>
        </w:tc>
        <w:tc>
          <w:tcPr>
            <w:tcW w:w="352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22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陈庄组</w:t>
            </w:r>
          </w:p>
        </w:tc>
        <w:tc>
          <w:tcPr>
            <w:tcW w:w="528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55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tblCellSpacing w:w="0" w:type="dxa"/>
          <w:jc w:val="center"/>
        </w:trPr>
        <w:tc>
          <w:tcPr>
            <w:tcW w:w="263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64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西楼</w:t>
            </w:r>
          </w:p>
        </w:tc>
        <w:tc>
          <w:tcPr>
            <w:tcW w:w="62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西楼</w:t>
            </w:r>
          </w:p>
        </w:tc>
        <w:tc>
          <w:tcPr>
            <w:tcW w:w="511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提升型</w:t>
            </w:r>
          </w:p>
        </w:tc>
        <w:tc>
          <w:tcPr>
            <w:tcW w:w="550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3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41</w:t>
            </w:r>
          </w:p>
        </w:tc>
        <w:tc>
          <w:tcPr>
            <w:tcW w:w="352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西郢</w:t>
            </w:r>
          </w:p>
        </w:tc>
        <w:tc>
          <w:tcPr>
            <w:tcW w:w="622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西郢组2</w:t>
            </w:r>
          </w:p>
        </w:tc>
        <w:tc>
          <w:tcPr>
            <w:tcW w:w="528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稳定型</w:t>
            </w:r>
          </w:p>
        </w:tc>
        <w:tc>
          <w:tcPr>
            <w:tcW w:w="755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tblCellSpacing w:w="0" w:type="dxa"/>
          <w:jc w:val="center"/>
        </w:trPr>
        <w:tc>
          <w:tcPr>
            <w:tcW w:w="263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64" w:type="pct"/>
            <w:vMerge w:val="restar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校西</w:t>
            </w:r>
          </w:p>
        </w:tc>
        <w:tc>
          <w:tcPr>
            <w:tcW w:w="62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西郢组1</w:t>
            </w:r>
          </w:p>
        </w:tc>
        <w:tc>
          <w:tcPr>
            <w:tcW w:w="511" w:type="pct"/>
            <w:vMerge w:val="restar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提升型</w:t>
            </w:r>
          </w:p>
        </w:tc>
        <w:tc>
          <w:tcPr>
            <w:tcW w:w="550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3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42</w:t>
            </w:r>
          </w:p>
        </w:tc>
        <w:tc>
          <w:tcPr>
            <w:tcW w:w="352" w:type="pct"/>
            <w:vMerge w:val="restar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井沿</w:t>
            </w:r>
          </w:p>
        </w:tc>
        <w:tc>
          <w:tcPr>
            <w:tcW w:w="622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井沿组</w:t>
            </w:r>
          </w:p>
        </w:tc>
        <w:tc>
          <w:tcPr>
            <w:tcW w:w="528" w:type="pct"/>
            <w:vMerge w:val="restar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稳定型</w:t>
            </w:r>
          </w:p>
        </w:tc>
        <w:tc>
          <w:tcPr>
            <w:tcW w:w="755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tblCellSpacing w:w="0" w:type="dxa"/>
          <w:jc w:val="center"/>
        </w:trPr>
        <w:tc>
          <w:tcPr>
            <w:tcW w:w="263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64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校西</w:t>
            </w:r>
          </w:p>
        </w:tc>
        <w:tc>
          <w:tcPr>
            <w:tcW w:w="511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50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3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43</w:t>
            </w:r>
          </w:p>
        </w:tc>
        <w:tc>
          <w:tcPr>
            <w:tcW w:w="352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22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利民组</w:t>
            </w:r>
          </w:p>
        </w:tc>
        <w:tc>
          <w:tcPr>
            <w:tcW w:w="528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55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tblCellSpacing w:w="0" w:type="dxa"/>
          <w:jc w:val="center"/>
        </w:trPr>
        <w:tc>
          <w:tcPr>
            <w:tcW w:w="263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64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老楼</w:t>
            </w:r>
          </w:p>
        </w:tc>
        <w:tc>
          <w:tcPr>
            <w:tcW w:w="62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老楼</w:t>
            </w:r>
          </w:p>
        </w:tc>
        <w:tc>
          <w:tcPr>
            <w:tcW w:w="511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提升型</w:t>
            </w:r>
          </w:p>
        </w:tc>
        <w:tc>
          <w:tcPr>
            <w:tcW w:w="550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3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44</w:t>
            </w:r>
          </w:p>
        </w:tc>
        <w:tc>
          <w:tcPr>
            <w:tcW w:w="352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22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光明组</w:t>
            </w:r>
          </w:p>
        </w:tc>
        <w:tc>
          <w:tcPr>
            <w:tcW w:w="528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55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tblCellSpacing w:w="0" w:type="dxa"/>
          <w:jc w:val="center"/>
        </w:trPr>
        <w:tc>
          <w:tcPr>
            <w:tcW w:w="263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19</w:t>
            </w:r>
          </w:p>
        </w:tc>
        <w:tc>
          <w:tcPr>
            <w:tcW w:w="464" w:type="pct"/>
            <w:vMerge w:val="restar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老圩</w:t>
            </w:r>
          </w:p>
        </w:tc>
        <w:tc>
          <w:tcPr>
            <w:tcW w:w="62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后楼</w:t>
            </w:r>
          </w:p>
        </w:tc>
        <w:tc>
          <w:tcPr>
            <w:tcW w:w="511" w:type="pct"/>
            <w:vMerge w:val="restar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提升型</w:t>
            </w:r>
          </w:p>
        </w:tc>
        <w:tc>
          <w:tcPr>
            <w:tcW w:w="550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3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45</w:t>
            </w:r>
          </w:p>
        </w:tc>
        <w:tc>
          <w:tcPr>
            <w:tcW w:w="352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坝沿组</w:t>
            </w:r>
          </w:p>
        </w:tc>
        <w:tc>
          <w:tcPr>
            <w:tcW w:w="622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坝沿组</w:t>
            </w:r>
          </w:p>
        </w:tc>
        <w:tc>
          <w:tcPr>
            <w:tcW w:w="528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稳定型</w:t>
            </w:r>
          </w:p>
        </w:tc>
        <w:tc>
          <w:tcPr>
            <w:tcW w:w="755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tblCellSpacing w:w="0" w:type="dxa"/>
          <w:jc w:val="center"/>
        </w:trPr>
        <w:tc>
          <w:tcPr>
            <w:tcW w:w="263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64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老圩</w:t>
            </w:r>
          </w:p>
        </w:tc>
        <w:tc>
          <w:tcPr>
            <w:tcW w:w="511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50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3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46</w:t>
            </w:r>
          </w:p>
        </w:tc>
        <w:tc>
          <w:tcPr>
            <w:tcW w:w="352" w:type="pct"/>
            <w:vMerge w:val="restar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前郢</w:t>
            </w:r>
          </w:p>
        </w:tc>
        <w:tc>
          <w:tcPr>
            <w:tcW w:w="622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前郢组2</w:t>
            </w:r>
          </w:p>
        </w:tc>
        <w:tc>
          <w:tcPr>
            <w:tcW w:w="528" w:type="pct"/>
            <w:vMerge w:val="restar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稳定型</w:t>
            </w:r>
          </w:p>
        </w:tc>
        <w:tc>
          <w:tcPr>
            <w:tcW w:w="755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tblCellSpacing w:w="0" w:type="dxa"/>
          <w:jc w:val="center"/>
        </w:trPr>
        <w:tc>
          <w:tcPr>
            <w:tcW w:w="263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21</w:t>
            </w:r>
          </w:p>
        </w:tc>
        <w:tc>
          <w:tcPr>
            <w:tcW w:w="464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油坊</w:t>
            </w:r>
          </w:p>
        </w:tc>
        <w:tc>
          <w:tcPr>
            <w:tcW w:w="62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油坊</w:t>
            </w:r>
          </w:p>
        </w:tc>
        <w:tc>
          <w:tcPr>
            <w:tcW w:w="511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提升型</w:t>
            </w:r>
          </w:p>
        </w:tc>
        <w:tc>
          <w:tcPr>
            <w:tcW w:w="550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3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47</w:t>
            </w:r>
          </w:p>
        </w:tc>
        <w:tc>
          <w:tcPr>
            <w:tcW w:w="352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22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后郢组</w:t>
            </w:r>
          </w:p>
        </w:tc>
        <w:tc>
          <w:tcPr>
            <w:tcW w:w="528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55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tblCellSpacing w:w="0" w:type="dxa"/>
          <w:jc w:val="center"/>
        </w:trPr>
        <w:tc>
          <w:tcPr>
            <w:tcW w:w="263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22</w:t>
            </w:r>
          </w:p>
        </w:tc>
        <w:tc>
          <w:tcPr>
            <w:tcW w:w="464" w:type="pct"/>
            <w:vMerge w:val="restar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中心组</w:t>
            </w:r>
          </w:p>
        </w:tc>
        <w:tc>
          <w:tcPr>
            <w:tcW w:w="62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中心组1</w:t>
            </w:r>
          </w:p>
        </w:tc>
        <w:tc>
          <w:tcPr>
            <w:tcW w:w="511" w:type="pct"/>
            <w:vMerge w:val="restar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提升型</w:t>
            </w:r>
          </w:p>
        </w:tc>
        <w:tc>
          <w:tcPr>
            <w:tcW w:w="550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3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48</w:t>
            </w:r>
          </w:p>
        </w:tc>
        <w:tc>
          <w:tcPr>
            <w:tcW w:w="352" w:type="pct"/>
            <w:vMerge w:val="restar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马郢</w:t>
            </w:r>
          </w:p>
        </w:tc>
        <w:tc>
          <w:tcPr>
            <w:tcW w:w="622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马郢组</w:t>
            </w:r>
          </w:p>
        </w:tc>
        <w:tc>
          <w:tcPr>
            <w:tcW w:w="528" w:type="pct"/>
            <w:vMerge w:val="restar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稳定型</w:t>
            </w:r>
          </w:p>
        </w:tc>
        <w:tc>
          <w:tcPr>
            <w:tcW w:w="755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tblCellSpacing w:w="0" w:type="dxa"/>
          <w:jc w:val="center"/>
        </w:trPr>
        <w:tc>
          <w:tcPr>
            <w:tcW w:w="263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23</w:t>
            </w:r>
          </w:p>
        </w:tc>
        <w:tc>
          <w:tcPr>
            <w:tcW w:w="464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宣明</w:t>
            </w:r>
          </w:p>
        </w:tc>
        <w:tc>
          <w:tcPr>
            <w:tcW w:w="511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50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3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49</w:t>
            </w:r>
          </w:p>
        </w:tc>
        <w:tc>
          <w:tcPr>
            <w:tcW w:w="352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22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新庄组2</w:t>
            </w:r>
          </w:p>
        </w:tc>
        <w:tc>
          <w:tcPr>
            <w:tcW w:w="528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55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tblCellSpacing w:w="0" w:type="dxa"/>
          <w:jc w:val="center"/>
        </w:trPr>
        <w:tc>
          <w:tcPr>
            <w:tcW w:w="263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24</w:t>
            </w:r>
          </w:p>
        </w:tc>
        <w:tc>
          <w:tcPr>
            <w:tcW w:w="464" w:type="pct"/>
            <w:vMerge w:val="restar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草门</w:t>
            </w:r>
          </w:p>
        </w:tc>
        <w:tc>
          <w:tcPr>
            <w:tcW w:w="62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新华</w:t>
            </w:r>
          </w:p>
        </w:tc>
        <w:tc>
          <w:tcPr>
            <w:tcW w:w="511" w:type="pct"/>
            <w:vMerge w:val="restar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提升型</w:t>
            </w:r>
          </w:p>
        </w:tc>
        <w:tc>
          <w:tcPr>
            <w:tcW w:w="550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3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50</w:t>
            </w:r>
          </w:p>
        </w:tc>
        <w:tc>
          <w:tcPr>
            <w:tcW w:w="352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22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张小庄组</w:t>
            </w:r>
          </w:p>
        </w:tc>
        <w:tc>
          <w:tcPr>
            <w:tcW w:w="528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55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——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tblCellSpacing w:w="0" w:type="dxa"/>
          <w:jc w:val="center"/>
        </w:trPr>
        <w:tc>
          <w:tcPr>
            <w:tcW w:w="263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25</w:t>
            </w:r>
          </w:p>
        </w:tc>
        <w:tc>
          <w:tcPr>
            <w:tcW w:w="464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62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草门</w:t>
            </w:r>
          </w:p>
        </w:tc>
        <w:tc>
          <w:tcPr>
            <w:tcW w:w="511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550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3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51</w:t>
            </w:r>
          </w:p>
        </w:tc>
        <w:tc>
          <w:tcPr>
            <w:tcW w:w="352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小郢</w:t>
            </w:r>
          </w:p>
        </w:tc>
        <w:tc>
          <w:tcPr>
            <w:tcW w:w="622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小郢</w:t>
            </w:r>
          </w:p>
        </w:tc>
        <w:tc>
          <w:tcPr>
            <w:tcW w:w="528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撤并型</w:t>
            </w:r>
          </w:p>
        </w:tc>
        <w:tc>
          <w:tcPr>
            <w:tcW w:w="755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引导至张李街道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" w:hRule="atLeast"/>
          <w:tblCellSpacing w:w="0" w:type="dxa"/>
          <w:jc w:val="center"/>
        </w:trPr>
        <w:tc>
          <w:tcPr>
            <w:tcW w:w="263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26</w:t>
            </w:r>
          </w:p>
        </w:tc>
        <w:tc>
          <w:tcPr>
            <w:tcW w:w="464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校东</w:t>
            </w:r>
          </w:p>
        </w:tc>
        <w:tc>
          <w:tcPr>
            <w:tcW w:w="620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校东</w:t>
            </w:r>
          </w:p>
        </w:tc>
        <w:tc>
          <w:tcPr>
            <w:tcW w:w="511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提升型</w:t>
            </w:r>
          </w:p>
        </w:tc>
        <w:tc>
          <w:tcPr>
            <w:tcW w:w="550" w:type="pct"/>
            <w:vMerge w:val="continue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1304" w:type="pct"/>
            <w:gridSpan w:val="3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528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755" w:type="pct"/>
            <w:shd w:val="clear" w:color="auto" w:fill="FFFFFF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18"/>
                <w:szCs w:val="18"/>
              </w:rPr>
              <w:t>——</w:t>
            </w:r>
          </w:p>
        </w:tc>
      </w:tr>
    </w:tbl>
    <w:p>
      <w:pPr>
        <w:spacing w:line="360" w:lineRule="auto"/>
        <w:ind w:firstLine="562"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五、产业布局</w:t>
      </w:r>
    </w:p>
    <w:p>
      <w:pPr>
        <w:spacing w:line="360" w:lineRule="auto"/>
        <w:ind w:firstLine="562"/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  <w:bookmarkStart w:id="0" w:name="_Toc22608"/>
      <w:r>
        <w:rPr>
          <w:rFonts w:hint="eastAsia" w:ascii="宋体" w:hAnsi="宋体" w:eastAsia="宋体"/>
          <w:sz w:val="28"/>
          <w:szCs w:val="28"/>
          <w:lang w:val="en-US" w:eastAsia="zh-CN"/>
        </w:rPr>
        <w:t>按照因地制宜的基本原则，结合张李村现状及未来发展需求，划</w:t>
      </w:r>
      <w:bookmarkEnd w:id="0"/>
      <w:r>
        <w:rPr>
          <w:rFonts w:hint="eastAsia" w:ascii="宋体" w:hAnsi="宋体" w:eastAsia="宋体"/>
          <w:sz w:val="28"/>
          <w:szCs w:val="28"/>
          <w:lang w:val="en-US" w:eastAsia="zh-CN"/>
        </w:rPr>
        <w:t>分村庄的产业发展布局：“一带、两轴、三片区”。</w:t>
      </w:r>
    </w:p>
    <w:p>
      <w:pPr>
        <w:spacing w:line="360" w:lineRule="auto"/>
        <w:ind w:firstLine="562"/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乡村风貌观光带：依托乡道197与双门至张李农村公路，提升张李街道环境，塑造大地风景，构建张李村对外乡村风貌的展示口。</w:t>
      </w:r>
    </w:p>
    <w:p>
      <w:pPr>
        <w:spacing w:line="360" w:lineRule="auto"/>
        <w:ind w:firstLine="562"/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洪小河生态保育轴&amp;杨西分干渠生态保育轴：依托项目区的洪小河、杨西分干渠两条水系，整治周边环境，做足生态保育文章。</w:t>
      </w:r>
    </w:p>
    <w:p>
      <w:pPr>
        <w:spacing w:line="360" w:lineRule="auto"/>
        <w:ind w:firstLine="562"/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产村融合示范区：提升片区基础环境，落实产业发展需求，打造张李村宜居宜业核心区。</w:t>
      </w:r>
    </w:p>
    <w:p>
      <w:pPr>
        <w:spacing w:line="360" w:lineRule="auto"/>
        <w:ind w:firstLine="562"/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优质粮食种植区：完善农业水利设施，打造高标准农田，构建现代农业发展示范区。</w:t>
      </w:r>
    </w:p>
    <w:p>
      <w:pPr>
        <w:spacing w:line="360" w:lineRule="auto"/>
        <w:ind w:firstLine="562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轻奢乡野休闲区：依托洪小河和大片林地的生态基地，打造张李村民的休闲游园。</w:t>
      </w:r>
    </w:p>
    <w:p>
      <w:pPr>
        <w:spacing w:line="360" w:lineRule="auto"/>
        <w:ind w:firstLine="562"/>
        <w:jc w:val="left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六、国土空间规划</w:t>
      </w:r>
    </w:p>
    <w:p>
      <w:pPr>
        <w:spacing w:line="360" w:lineRule="auto"/>
        <w:ind w:firstLine="562"/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（一）农用地调整</w:t>
      </w:r>
    </w:p>
    <w:p>
      <w:pPr>
        <w:spacing w:line="360" w:lineRule="auto"/>
        <w:ind w:firstLine="562"/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至2035年，项目区内耕地由583.43公顷调整为587.36公顷，增加3.93公顷；林地由36.79公顷调整为37.64公顷，减少0.85公顷；草地由0.87公顷调整为0.00公顷，减少0.87公顷。</w:t>
      </w:r>
    </w:p>
    <w:p>
      <w:pPr>
        <w:spacing w:line="360" w:lineRule="auto"/>
        <w:ind w:firstLine="562"/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（二）建设用地调整</w:t>
      </w:r>
    </w:p>
    <w:p>
      <w:pPr>
        <w:spacing w:line="360" w:lineRule="auto"/>
        <w:ind w:firstLine="562"/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至2035年，项目区建设用地总面积由142.03公顷调整为145.51公顷，增加3.48公顷；村庄建设用地面积由122.07公顷调整为112.21公顷，减少9.85公顷。</w:t>
      </w:r>
    </w:p>
    <w:p>
      <w:pPr>
        <w:spacing w:line="360" w:lineRule="auto"/>
        <w:ind w:firstLine="562"/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项目区内农村宅基地由59.38公顷调整为58.18公顷，减少1.19公顷；商业用地由0.84公顷调增为4.79公顷，增加3.94公顷；工业用地由0.18公顷调整为28.80公顷，增加28.60公顷（落实产业用地需求）；公路用地由5.09公顷调整为22.37公顷，增加17.27公顷（落实高速连接线用地需求及乡道拓宽需求）。</w:t>
      </w:r>
    </w:p>
    <w:p>
      <w:pPr>
        <w:spacing w:line="360" w:lineRule="auto"/>
        <w:ind w:firstLine="562"/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（三）陆地水域调整</w:t>
      </w:r>
    </w:p>
    <w:p>
      <w:pPr>
        <w:spacing w:line="360" w:lineRule="auto"/>
        <w:ind w:firstLine="562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至2035年，陆地水域由91.45公顷调整为81.06公顷，减少10.39公顷。</w:t>
      </w:r>
    </w:p>
    <w:p>
      <w:pPr>
        <w:spacing w:line="360" w:lineRule="auto"/>
        <w:jc w:val="center"/>
        <w:rPr>
          <w:rFonts w:hint="eastAsia" w:ascii="宋体" w:hAnsi="宋体" w:eastAsia="宋体"/>
          <w:b/>
          <w:bCs/>
          <w:sz w:val="28"/>
          <w:szCs w:val="28"/>
        </w:rPr>
      </w:pPr>
    </w:p>
    <w:p>
      <w:pPr>
        <w:spacing w:line="360" w:lineRule="auto"/>
        <w:jc w:val="center"/>
        <w:rPr>
          <w:rFonts w:hint="eastAsia" w:ascii="宋体" w:hAnsi="宋体" w:eastAsia="宋体"/>
          <w:b/>
          <w:bCs/>
          <w:sz w:val="28"/>
          <w:szCs w:val="28"/>
        </w:rPr>
      </w:pPr>
    </w:p>
    <w:p>
      <w:pPr>
        <w:spacing w:line="360" w:lineRule="auto"/>
        <w:jc w:val="center"/>
        <w:rPr>
          <w:rFonts w:hint="eastAsia" w:ascii="宋体" w:hAnsi="宋体" w:eastAsia="宋体"/>
          <w:b/>
          <w:bCs/>
          <w:sz w:val="28"/>
          <w:szCs w:val="28"/>
        </w:rPr>
      </w:pPr>
    </w:p>
    <w:p>
      <w:pPr>
        <w:spacing w:line="360" w:lineRule="auto"/>
        <w:jc w:val="center"/>
        <w:rPr>
          <w:rFonts w:hint="eastAsia" w:ascii="宋体" w:hAnsi="宋体" w:eastAsia="宋体"/>
          <w:b/>
          <w:bCs/>
          <w:sz w:val="28"/>
          <w:szCs w:val="28"/>
        </w:rPr>
      </w:pPr>
    </w:p>
    <w:p>
      <w:pPr>
        <w:spacing w:line="360" w:lineRule="auto"/>
        <w:jc w:val="center"/>
        <w:rPr>
          <w:rFonts w:hint="eastAsia" w:ascii="宋体" w:hAnsi="宋体" w:eastAsia="宋体"/>
          <w:b/>
          <w:bCs/>
          <w:sz w:val="28"/>
          <w:szCs w:val="28"/>
        </w:rPr>
      </w:pPr>
    </w:p>
    <w:p>
      <w:pPr>
        <w:spacing w:line="360" w:lineRule="auto"/>
        <w:jc w:val="center"/>
        <w:rPr>
          <w:rFonts w:hint="eastAsia" w:ascii="宋体" w:hAnsi="宋体" w:eastAsia="宋体"/>
          <w:b/>
          <w:bCs/>
          <w:sz w:val="28"/>
          <w:szCs w:val="28"/>
        </w:rPr>
      </w:pPr>
    </w:p>
    <w:p>
      <w:pPr>
        <w:spacing w:line="360" w:lineRule="auto"/>
        <w:jc w:val="center"/>
        <w:rPr>
          <w:rFonts w:hint="eastAsia" w:ascii="宋体" w:hAnsi="宋体" w:eastAsia="宋体"/>
          <w:b/>
          <w:bCs/>
          <w:sz w:val="28"/>
          <w:szCs w:val="28"/>
        </w:rPr>
      </w:pPr>
    </w:p>
    <w:p>
      <w:pPr>
        <w:spacing w:line="360" w:lineRule="auto"/>
        <w:jc w:val="center"/>
        <w:rPr>
          <w:rFonts w:hint="eastAsia" w:ascii="宋体" w:hAnsi="宋体" w:eastAsia="宋体"/>
          <w:b/>
          <w:bCs/>
          <w:sz w:val="28"/>
          <w:szCs w:val="28"/>
        </w:rPr>
      </w:pPr>
    </w:p>
    <w:p>
      <w:pPr>
        <w:spacing w:line="360" w:lineRule="auto"/>
        <w:jc w:val="center"/>
        <w:rPr>
          <w:rFonts w:hint="eastAsia" w:ascii="宋体" w:hAnsi="宋体" w:eastAsia="宋体"/>
          <w:b/>
          <w:bCs/>
          <w:sz w:val="28"/>
          <w:szCs w:val="28"/>
        </w:rPr>
      </w:pPr>
    </w:p>
    <w:p>
      <w:pPr>
        <w:spacing w:line="360" w:lineRule="auto"/>
        <w:jc w:val="both"/>
        <w:rPr>
          <w:rFonts w:hint="eastAsia" w:ascii="宋体" w:hAnsi="宋体" w:eastAsia="宋体"/>
          <w:b/>
          <w:bCs/>
          <w:sz w:val="28"/>
          <w:szCs w:val="28"/>
        </w:rPr>
      </w:pPr>
    </w:p>
    <w:p>
      <w:pPr>
        <w:spacing w:line="360" w:lineRule="auto"/>
        <w:jc w:val="left"/>
        <w:rPr>
          <w:rFonts w:hint="eastAsia"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附图1：</w:t>
      </w:r>
      <w:r>
        <w:rPr>
          <w:rFonts w:hint="eastAsia" w:ascii="宋体" w:hAnsi="宋体" w:eastAsia="宋体"/>
          <w:b/>
          <w:bCs/>
          <w:sz w:val="28"/>
          <w:szCs w:val="28"/>
        </w:rPr>
        <w:t>村域国土空间规划图</w:t>
      </w:r>
    </w:p>
    <w:p>
      <w:pPr>
        <w:spacing w:line="360" w:lineRule="auto"/>
        <w:jc w:val="left"/>
        <w:rPr>
          <w:rFonts w:hint="eastAsia" w:ascii="宋体" w:hAnsi="宋体" w:eastAsia="宋体"/>
          <w:b/>
          <w:bCs/>
          <w:sz w:val="28"/>
          <w:szCs w:val="28"/>
          <w:lang w:eastAsia="zh-CN"/>
        </w:rPr>
      </w:pPr>
      <w:r>
        <w:drawing>
          <wp:inline distT="0" distB="0" distL="114300" distR="114300">
            <wp:extent cx="5265420" cy="3713480"/>
            <wp:effectExtent l="0" t="0" r="1143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eastAsia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附图2：</w:t>
      </w:r>
      <w:r>
        <w:rPr>
          <w:rFonts w:hint="eastAsia" w:ascii="宋体" w:hAnsi="宋体" w:eastAsia="宋体"/>
          <w:b/>
          <w:bCs/>
          <w:sz w:val="28"/>
          <w:szCs w:val="28"/>
        </w:rPr>
        <w:t>重点区域规划引导图</w:t>
      </w:r>
      <w:r>
        <w:drawing>
          <wp:inline distT="0" distB="0" distL="114300" distR="114300">
            <wp:extent cx="5265420" cy="3687445"/>
            <wp:effectExtent l="0" t="0" r="1143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8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/>
          <w:b/>
          <w:bCs/>
          <w:sz w:val="28"/>
          <w:szCs w:val="28"/>
        </w:rPr>
      </w:pPr>
    </w:p>
    <w:p>
      <w:pPr>
        <w:spacing w:line="360" w:lineRule="auto"/>
        <w:jc w:val="left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附图3：近期建设项目布局图</w:t>
      </w:r>
    </w:p>
    <w:p>
      <w:pPr>
        <w:spacing w:line="360" w:lineRule="auto"/>
        <w:jc w:val="left"/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5420" cy="3694430"/>
            <wp:effectExtent l="0" t="0" r="1143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/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spacing w:line="360" w:lineRule="auto"/>
        <w:ind w:firstLine="562"/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spacing w:line="360" w:lineRule="auto"/>
        <w:ind w:firstLine="562"/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spacing w:line="360" w:lineRule="auto"/>
        <w:ind w:firstLine="562"/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spacing w:line="360" w:lineRule="auto"/>
        <w:ind w:firstLine="562"/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spacing w:line="360" w:lineRule="auto"/>
        <w:ind w:firstLine="562"/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spacing w:line="360" w:lineRule="auto"/>
        <w:ind w:firstLine="562"/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spacing w:line="360" w:lineRule="auto"/>
        <w:ind w:firstLine="562"/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spacing w:line="360" w:lineRule="auto"/>
        <w:ind w:firstLine="562"/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spacing w:line="360" w:lineRule="auto"/>
        <w:ind w:firstLine="562"/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spacing w:line="360" w:lineRule="auto"/>
        <w:ind w:firstLine="562"/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spacing w:line="360" w:lineRule="auto"/>
        <w:ind w:firstLine="562"/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spacing w:line="360" w:lineRule="auto"/>
        <w:jc w:val="center"/>
        <w:rPr>
          <w:rFonts w:ascii="宋体" w:hAnsi="宋体" w:eastAsia="宋体"/>
          <w:b/>
          <w:bCs/>
          <w:sz w:val="32"/>
          <w:szCs w:val="32"/>
        </w:rPr>
      </w:pPr>
      <w:r>
        <w:rPr>
          <w:rFonts w:hint="eastAsia" w:ascii="宋体" w:hAnsi="宋体" w:eastAsia="宋体"/>
          <w:b/>
          <w:bCs/>
          <w:sz w:val="32"/>
          <w:szCs w:val="32"/>
        </w:rPr>
        <w:t>国土空间用途管制规则</w:t>
      </w:r>
    </w:p>
    <w:p>
      <w:pPr>
        <w:spacing w:line="360" w:lineRule="auto"/>
        <w:ind w:firstLine="562"/>
        <w:jc w:val="left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规划期内在国土空间上进行的各类活动应按照以下规则进行，确需改变用途的，应按照国家和安徽省相关规定，对规划进行调整或修改。涉及永久基本农田、生态保护红线、历史文化保护线等有关控制线的，按照国家和安徽省有关要求进行管控。位于村庄建设边界外的村庄建设用地，在规划期内优先考虑按照实际情况逐步拆并，确实不能拆并的，应保留现状用地规模和范围，不得扩大。</w:t>
      </w:r>
    </w:p>
    <w:p>
      <w:pPr>
        <w:spacing w:line="360" w:lineRule="auto"/>
        <w:ind w:firstLine="562"/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耕地：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本村耕地保有量587.36公顷，已划定永久基本农田458.98公顷。永久基本农田重点用于粮食生产，高标准农田原则上全部用于粮食生产，一般耕地主要用于粮食和棉、油、糖、蔬菜等农产品及饲草饲料生产，在不破坏耕地耕作层且不造成耕地地类改变的前提下，可以适度种植其他农作物。禁止非农建设和破坏耕作层、改变耕地地类的农业生产活动。</w:t>
      </w:r>
    </w:p>
    <w:p>
      <w:pPr>
        <w:spacing w:line="360" w:lineRule="auto"/>
        <w:ind w:firstLine="562"/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林地：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本村林地37.64公顷。主要用于生长乔木、竹类、灌木。禁止非农建设，限制改变用途。公益林或生态保护红线范围内的林地禁止改变用途。</w:t>
      </w:r>
    </w:p>
    <w:p>
      <w:pPr>
        <w:spacing w:line="360" w:lineRule="auto"/>
        <w:ind w:firstLine="562"/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农业设施建设用地：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本村农业设施建设用地10.02公顷。主要用于建设为农业生产、农村生活服务的乡村道路用地以及种植设施、畜禽养殖设施、水产养殖设施。禁止非农建设。</w:t>
      </w:r>
    </w:p>
    <w:p>
      <w:pPr>
        <w:spacing w:line="360" w:lineRule="auto"/>
        <w:ind w:firstLine="562"/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农村宅基地：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本村居住用地58.19公顷。主要用于城乡住宅及其居住生活配套的社区服务设施建设。</w:t>
      </w:r>
    </w:p>
    <w:p>
      <w:pPr>
        <w:spacing w:line="360" w:lineRule="auto"/>
        <w:ind w:firstLine="562"/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公共管理与公共服务用地：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本次公共管理与公共服务用地9.37公顷。主要用于机关团体、科研、文化、教育、体育、卫生、社会福利等机构和设施建设。</w:t>
      </w:r>
    </w:p>
    <w:p>
      <w:pPr>
        <w:spacing w:line="360" w:lineRule="auto"/>
        <w:ind w:firstLine="562"/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商业服务业用地：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本村商业服务业用地4.95公顷。主要用于商业、商务金融以及娱乐康体等设施建设。</w:t>
      </w:r>
    </w:p>
    <w:p>
      <w:pPr>
        <w:spacing w:line="360" w:lineRule="auto"/>
        <w:ind w:firstLine="562"/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工业用地：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本村工业用地28.80公顷，主要用于工业生产。</w:t>
      </w:r>
    </w:p>
    <w:p>
      <w:pPr>
        <w:spacing w:line="360" w:lineRule="auto"/>
        <w:ind w:firstLine="562"/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仓储用地：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本村仓储用地3.23公顷，主要用于物流仓储和战略性物资储备。</w:t>
      </w:r>
    </w:p>
    <w:p>
      <w:pPr>
        <w:spacing w:line="360" w:lineRule="auto"/>
        <w:ind w:firstLine="562"/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交通运输用地：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本村交通运输用地23.42公顷，主要用于铁路、公路、机场、港口码头、管道运输、城市轨道交通、各种道路以及交通场站等交通运输设施及其附属设施建设。</w:t>
      </w:r>
    </w:p>
    <w:p>
      <w:pPr>
        <w:spacing w:line="360" w:lineRule="auto"/>
        <w:ind w:firstLine="562"/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公用设施用地：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本村公用设施用地11.42公顷，主要用于城乡和区域基础设施的供水、排水、供电、供燃气、供热、通信、邮政、广播电视、环卫、消防、干渠、水工等设施建设。</w:t>
      </w:r>
    </w:p>
    <w:p>
      <w:pPr>
        <w:spacing w:line="360" w:lineRule="auto"/>
        <w:ind w:firstLine="562"/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绿地与开敞空间用地：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本村绿地与开敞空间用地0.44公顷。主要用于城镇、村庄建设用地范围内的公园绿地、防护绿地、广场等公共开敞空间。禁止用作其他用途。</w:t>
      </w:r>
    </w:p>
    <w:p>
      <w:pPr>
        <w:spacing w:line="360" w:lineRule="auto"/>
        <w:ind w:firstLine="562"/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特殊用地：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本村特殊用地0.79公顷。主要用于军事、外事、宗教、安保、殡葬，以及文物古迹等具有特殊性质的土地。</w:t>
      </w:r>
    </w:p>
    <w:p>
      <w:pPr>
        <w:spacing w:line="360" w:lineRule="auto"/>
        <w:ind w:firstLine="562"/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留白用地：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预留5.28公顷（其中用途留白2.30公顷，指标留白2.98公顷）。主要用于暂不明确规划用地，待用地性质明确后可按要求直接使用。在用地项目明确前，按现状地类使用，不得闲置浪费。</w:t>
      </w:r>
    </w:p>
    <w:p>
      <w:pPr>
        <w:spacing w:line="360" w:lineRule="auto"/>
        <w:ind w:firstLine="562"/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陆地水域：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 xml:space="preserve">本村陆地水域81.06公顷。主要用于陆域内的河流、湖泊等天然陆地水域，以及水库、坑塘水面、沟渠等人工陆地水域。河流、湖泊、水库禁止改变用途，坑塘水面、沟渠禁止非农建设。 </w:t>
      </w:r>
    </w:p>
    <w:p>
      <w:pPr>
        <w:spacing w:line="360" w:lineRule="auto"/>
        <w:ind w:firstLine="562"/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  <w:lang w:val="en-US" w:eastAsia="zh-CN"/>
        </w:rPr>
        <w:t>其他土地：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本村其他土地3.19公顷。主要用于盐碱地、沙地、裸土地、裸岩石砾地等植被稀少的陆域自然荒野等土地以及空闲地、田坎、田间道。禁止非农建设，生态保护红线范围内的其他土地禁止改变用途。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仿宋_GB18030">
    <w:altName w:val="仿宋"/>
    <w:panose1 w:val="02000000000000000000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RhOWNhZmM5Nzk5YmY5ZjBmNjExODYyMmIxZmIxNzgifQ=="/>
  </w:docVars>
  <w:rsids>
    <w:rsidRoot w:val="00000000"/>
    <w:rsid w:val="02955094"/>
    <w:rsid w:val="069803F2"/>
    <w:rsid w:val="15B34AD2"/>
    <w:rsid w:val="17D74789"/>
    <w:rsid w:val="1D673EB0"/>
    <w:rsid w:val="21763FFE"/>
    <w:rsid w:val="21F66794"/>
    <w:rsid w:val="2A5A1E91"/>
    <w:rsid w:val="340068EA"/>
    <w:rsid w:val="554C4D58"/>
    <w:rsid w:val="598A3766"/>
    <w:rsid w:val="5D6921EB"/>
    <w:rsid w:val="7096659C"/>
    <w:rsid w:val="75CE5579"/>
    <w:rsid w:val="76C0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480" w:lineRule="auto"/>
      <w:jc w:val="center"/>
      <w:outlineLvl w:val="0"/>
    </w:pPr>
    <w:rPr>
      <w:rFonts w:asciiTheme="minorAscii" w:hAnsiTheme="minorAscii"/>
      <w:b/>
      <w:kern w:val="44"/>
      <w:sz w:val="36"/>
    </w:rPr>
  </w:style>
  <w:style w:type="paragraph" w:styleId="3">
    <w:name w:val="heading 2"/>
    <w:basedOn w:val="1"/>
    <w:next w:val="1"/>
    <w:link w:val="8"/>
    <w:autoRedefine/>
    <w:semiHidden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华文仿宋"/>
      <w:b/>
      <w:sz w:val="30"/>
    </w:rPr>
  </w:style>
  <w:style w:type="paragraph" w:styleId="4">
    <w:name w:val="heading 4"/>
    <w:basedOn w:val="1"/>
    <w:next w:val="1"/>
    <w:autoRedefine/>
    <w:semiHidden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/>
      <w:b/>
      <w:sz w:val="28"/>
    </w:rPr>
  </w:style>
  <w:style w:type="character" w:default="1" w:styleId="7">
    <w:name w:val="Default Paragraph Font"/>
    <w:autoRedefine/>
    <w:semiHidden/>
    <w:qFormat/>
    <w:uiPriority w:val="0"/>
    <w:rPr>
      <w:rFonts w:ascii="Times New Roman" w:hAnsi="Times New Roman" w:eastAsia="方正仿宋_GB18030"/>
      <w:sz w:val="28"/>
    </w:rPr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cs="宋体"/>
      <w:kern w:val="0"/>
    </w:rPr>
  </w:style>
  <w:style w:type="character" w:customStyle="1" w:styleId="8">
    <w:name w:val="标题 2 字符"/>
    <w:link w:val="3"/>
    <w:autoRedefine/>
    <w:qFormat/>
    <w:uiPriority w:val="0"/>
    <w:rPr>
      <w:rFonts w:ascii="Arial" w:hAnsi="Arial" w:eastAsia="华文仿宋"/>
      <w:b/>
      <w:sz w:val="30"/>
    </w:rPr>
  </w:style>
  <w:style w:type="character" w:customStyle="1" w:styleId="9">
    <w:name w:val="表图"/>
    <w:basedOn w:val="7"/>
    <w:autoRedefine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2021-09-28T00:37:00Z</dcterms:created>
  <dc:creator>lenovo</dc:creator>
  <cp:lastModifiedBy>Administrator</cp:lastModifiedBy>
  <dcterms:modified xsi:type="dcterms:W3CDTF">2024-02-01T08:04:35Z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C9E866948D1846BA9F1B4094205790A3_12</vt:lpwstr>
  </property>
</Properties>
</file>