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pPr>
        <w:widowControl/>
        <w:shd w:val="clear" w:color="auto" w:fill="FFFFFF"/>
        <w:spacing w:line="560" w:lineRule="exact"/>
        <w:jc w:val="center"/>
        <w:outlineLvl w:val="0"/>
        <w:rPr>
          <w:rFonts w:ascii="方正小标宋简体" w:eastAsia="方正小标宋简体" w:hAnsi="微软雅黑" w:cs="宋体"/>
          <w:color w:val="333333"/>
          <w:kern w:val="36"/>
          <w:sz w:val="44"/>
          <w:szCs w:val="44"/>
        </w:rPr>
      </w:pPr>
      <w:r>
        <w:rPr>
          <w:rFonts w:ascii="方正小标宋简体" w:eastAsia="方正小标宋简体" w:hAnsi="微软雅黑" w:cs="宋体" w:hint="eastAsia"/>
          <w:color w:val="333333"/>
          <w:kern w:val="36"/>
          <w:sz w:val="44"/>
          <w:szCs w:val="44"/>
        </w:rPr>
        <w:t>寿县交通运输局2023年政府信息公开工作年度报告</w:t>
      </w:r>
    </w:p>
    <w:p>
      <w:pPr>
        <w:widowControl/>
        <w:shd w:val="clear" w:color="auto" w:fill="FFFFFF"/>
        <w:spacing w:line="560" w:lineRule="exact"/>
        <w:ind w:firstLine="640"/>
        <w:rPr>
          <w:rFonts w:ascii="Times New Roman" w:eastAsia="微软雅黑" w:hAnsi="Times New Roman" w:cs="Times New Roman"/>
          <w:color w:val="000000"/>
          <w:kern w:val="0"/>
          <w:sz w:val="32"/>
          <w:szCs w:val="32"/>
        </w:rPr>
      </w:pPr>
    </w:p>
    <w:p>
      <w:pPr>
        <w:widowControl/>
        <w:shd w:val="clear" w:color="auto" w:fill="FFFFFF"/>
        <w:spacing w:line="560" w:lineRule="exact"/>
        <w:ind w:firstLine="640"/>
        <w:rPr>
          <w:rFonts w:ascii="仿宋_GB2312" w:eastAsia="仿宋_GB2312" w:hAnsi="微软雅黑" w:cs="宋体"/>
          <w:color w:val="333333"/>
          <w:kern w:val="0"/>
          <w:sz w:val="27"/>
          <w:szCs w:val="27"/>
        </w:rPr>
      </w:pPr>
      <w:bookmarkStart w:id="0" w:name="_GoBack"/>
      <w:r>
        <w:rPr>
          <w:rFonts w:ascii="仿宋_GB2312" w:eastAsia="仿宋_GB2312" w:hAnsi="Times New Roman" w:cs="Times New Roman" w:hint="eastAsia"/>
          <w:color w:val="000000"/>
          <w:kern w:val="0"/>
          <w:sz w:val="32"/>
          <w:szCs w:val="32"/>
        </w:rPr>
        <w:t>2023年，我局按照县政务公开办公室要求，严格贯彻落实《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2023年度政府信息公开工作年度报告编制和数据报送工作的通知》（皖政务办秘〔2024〕2号）文件精神，现结合我局工作实际，编制2023年度县交通运输局政府信息公开工作年度报告。包括</w:t>
      </w:r>
      <w:r>
        <w:rPr>
          <w:rFonts w:ascii="仿宋_GB2312" w:eastAsia="仿宋_GB2312" w:hAnsi="Times New Roman" w:cs="Times New Roman" w:hint="eastAsia"/>
          <w:color w:val="191919"/>
          <w:kern w:val="0"/>
          <w:sz w:val="32"/>
          <w:szCs w:val="32"/>
          <w:shd w:val="clear" w:color="auto" w:fill="FFFFFF"/>
        </w:rPr>
        <w:t>总体情况、主动公开政府信息情况、</w:t>
      </w:r>
      <w:r>
        <w:rPr>
          <w:rFonts w:ascii="仿宋_GB2312" w:eastAsia="仿宋_GB2312" w:hAnsi="Times New Roman" w:cs="Times New Roman" w:hint="eastAsia"/>
          <w:color w:val="333333"/>
          <w:kern w:val="0"/>
          <w:sz w:val="32"/>
          <w:szCs w:val="32"/>
          <w:shd w:val="clear" w:color="auto" w:fill="FFFFFF"/>
        </w:rPr>
        <w:t>收到和处理政府信息公开申请情况、政府信息公开行政复议、行政诉讼情况、存在的主要问题及改进情况、其他需要报告的事项。</w:t>
      </w:r>
      <w:r>
        <w:rPr>
          <w:rFonts w:ascii="仿宋_GB2312" w:eastAsia="仿宋_GB2312" w:hAnsi="Times New Roman" w:cs="Times New Roman" w:hint="eastAsia"/>
          <w:color w:val="000000"/>
          <w:kern w:val="0"/>
          <w:sz w:val="32"/>
          <w:szCs w:val="32"/>
        </w:rPr>
        <w:t>本报告中所列数据的统计期限自2023年1月1日起至2023年12月31日止。如对2023年度报告有疑问，请与寿县交通运输局办公室联系，地址：寿县宾阳大厦B座13楼；邮编：232200；电话：0554-4039949；0554-4039466。</w:t>
      </w:r>
    </w:p>
    <w:p>
      <w:pPr>
        <w:widowControl/>
        <w:shd w:val="clear" w:color="auto" w:fill="FFFFFF"/>
        <w:spacing w:line="560" w:lineRule="exact"/>
        <w:ind w:firstLine="640"/>
        <w:rPr>
          <w:rFonts w:ascii="黑体" w:eastAsia="黑体" w:hAnsi="黑体" w:cs="宋体"/>
          <w:color w:val="333333"/>
          <w:kern w:val="0"/>
          <w:sz w:val="27"/>
          <w:szCs w:val="27"/>
        </w:rPr>
      </w:pPr>
      <w:r>
        <w:rPr>
          <w:rFonts w:ascii="黑体" w:eastAsia="黑体" w:hAnsi="黑体" w:cs="宋体" w:hint="eastAsia"/>
          <w:color w:val="000000"/>
          <w:kern w:val="0"/>
          <w:sz w:val="32"/>
          <w:szCs w:val="32"/>
        </w:rPr>
        <w:t>一、总体情况</w:t>
      </w:r>
    </w:p>
    <w:p>
      <w:pPr>
        <w:widowControl/>
        <w:shd w:val="clear" w:color="auto" w:fill="FFFFFF"/>
        <w:spacing w:line="560" w:lineRule="exact"/>
        <w:ind w:firstLine="640"/>
        <w:rPr>
          <w:rFonts w:ascii="仿宋_GB2312" w:eastAsia="仿宋_GB2312" w:hAnsi="微软雅黑" w:cs="宋体"/>
          <w:color w:val="333333"/>
          <w:kern w:val="0"/>
          <w:sz w:val="27"/>
          <w:szCs w:val="27"/>
        </w:rPr>
      </w:pPr>
      <w:r>
        <w:rPr>
          <w:rFonts w:ascii="仿宋_GB2312" w:eastAsia="仿宋_GB2312" w:hAnsi="Times New Roman" w:cs="Times New Roman" w:hint="eastAsia"/>
          <w:color w:val="000000"/>
          <w:kern w:val="0"/>
          <w:sz w:val="32"/>
          <w:szCs w:val="32"/>
        </w:rPr>
        <w:t>2023年以来，我局围绕《寿县2023年度政务公开重点工作清单》，认真抓好政务公开工作，始终坚持以公开为常态，以不公开为例外，有效保障群众的知情权、参与权、监督权。</w:t>
      </w:r>
    </w:p>
    <w:p>
      <w:pPr>
        <w:widowControl/>
        <w:shd w:val="clear" w:color="auto" w:fill="FFFFFF"/>
        <w:spacing w:line="560" w:lineRule="exact"/>
        <w:ind w:firstLine="480" w:firstLineChars="150"/>
        <w:rPr>
          <w:rFonts w:ascii="楷体" w:eastAsia="楷体" w:hAnsi="楷体" w:cs="宋体"/>
          <w:color w:val="000000"/>
          <w:kern w:val="0"/>
          <w:sz w:val="32"/>
          <w:szCs w:val="32"/>
        </w:rPr>
      </w:pPr>
      <w:r>
        <w:rPr>
          <w:rFonts w:ascii="楷体" w:eastAsia="楷体" w:hAnsi="楷体" w:cs="宋体" w:hint="eastAsia"/>
          <w:color w:val="000000"/>
          <w:kern w:val="0"/>
          <w:sz w:val="32"/>
          <w:szCs w:val="32"/>
        </w:rPr>
        <w:t>（一）主动公开情况</w:t>
      </w:r>
    </w:p>
    <w:p>
      <w:pPr>
        <w:widowControl/>
        <w:shd w:val="clear" w:color="auto" w:fill="FFFFFF"/>
        <w:spacing w:line="560" w:lineRule="exact"/>
        <w:ind w:firstLine="640"/>
        <w:rPr>
          <w:rFonts w:ascii="仿宋_GB2312" w:eastAsia="仿宋_GB2312" w:hAnsi="微软雅黑" w:cs="宋体"/>
          <w:color w:val="333333"/>
          <w:kern w:val="0"/>
          <w:sz w:val="27"/>
          <w:szCs w:val="27"/>
        </w:rPr>
      </w:pPr>
      <w:r>
        <w:rPr>
          <w:rFonts w:ascii="仿宋_GB2312" w:eastAsia="仿宋_GB2312" w:hAnsi="Times New Roman" w:cs="Times New Roman" w:hint="eastAsia"/>
          <w:color w:val="000000"/>
          <w:kern w:val="0"/>
          <w:sz w:val="32"/>
          <w:szCs w:val="32"/>
        </w:rPr>
        <w:t>2023年以来，寿县交通运输局在县政府信息公开网上公布各类信息182条，保障人民群众的知情权。一是加大公开的主动性。对于交通相关政策，及时主动的进行公开。二是加大公开丰富性。进一步加大的政策解读、意见征集等领域的公开度。三是加大公开严谨性。对于公开内容，我局严格落实把关审核制度，做好隐私权的保密的工作，</w:t>
      </w:r>
      <w:r>
        <w:rPr>
          <w:rFonts w:ascii="仿宋_GB2312" w:eastAsia="仿宋_GB2312" w:hAnsi="Times New Roman" w:cs="Times New Roman" w:hint="eastAsia"/>
          <w:color w:val="000000"/>
          <w:kern w:val="0"/>
          <w:sz w:val="32"/>
          <w:szCs w:val="32"/>
        </w:rPr>
        <w:t>依法依规</w:t>
      </w:r>
      <w:r>
        <w:rPr>
          <w:rFonts w:ascii="仿宋_GB2312" w:eastAsia="仿宋_GB2312" w:hAnsi="Times New Roman" w:cs="Times New Roman" w:hint="eastAsia"/>
          <w:color w:val="000000"/>
          <w:kern w:val="0"/>
          <w:sz w:val="32"/>
          <w:szCs w:val="32"/>
        </w:rPr>
        <w:t>公开。</w:t>
      </w:r>
    </w:p>
    <w:p>
      <w:pPr>
        <w:widowControl/>
        <w:shd w:val="clear" w:color="auto" w:fill="FFFFFF"/>
        <w:spacing w:line="560" w:lineRule="exact"/>
        <w:ind w:firstLine="480" w:firstLineChars="150"/>
        <w:rPr>
          <w:rFonts w:ascii="楷体" w:eastAsia="楷体" w:hAnsi="楷体" w:cs="宋体"/>
          <w:color w:val="000000"/>
          <w:kern w:val="0"/>
          <w:sz w:val="32"/>
          <w:szCs w:val="32"/>
        </w:rPr>
      </w:pPr>
      <w:r>
        <w:rPr>
          <w:rFonts w:ascii="楷体" w:eastAsia="楷体" w:hAnsi="楷体" w:cs="宋体" w:hint="eastAsia"/>
          <w:color w:val="000000"/>
          <w:kern w:val="0"/>
          <w:sz w:val="32"/>
          <w:szCs w:val="32"/>
        </w:rPr>
        <w:t>（二）依申请公开情况</w:t>
      </w:r>
    </w:p>
    <w:p>
      <w:pPr>
        <w:widowControl/>
        <w:shd w:val="clear" w:color="auto" w:fill="FFFFFF"/>
        <w:spacing w:line="560" w:lineRule="exact"/>
        <w:ind w:firstLine="640"/>
        <w:rPr>
          <w:rFonts w:ascii="仿宋_GB2312" w:eastAsia="仿宋_GB2312" w:hAnsi="微软雅黑" w:cs="宋体"/>
          <w:color w:val="333333"/>
          <w:kern w:val="0"/>
          <w:sz w:val="27"/>
          <w:szCs w:val="27"/>
        </w:rPr>
      </w:pPr>
      <w:r>
        <w:rPr>
          <w:rFonts w:ascii="仿宋_GB2312" w:eastAsia="仿宋_GB2312" w:hAnsi="楷体" w:cs="宋体" w:hint="eastAsia"/>
          <w:color w:val="000000"/>
          <w:kern w:val="0"/>
          <w:sz w:val="32"/>
          <w:szCs w:val="32"/>
        </w:rPr>
        <w:t>2023年，我局未直接接</w:t>
      </w:r>
      <w:r>
        <w:rPr>
          <w:rFonts w:ascii="仿宋_GB2312" w:eastAsia="仿宋_GB2312" w:hAnsi="Times New Roman" w:cs="Times New Roman" w:hint="eastAsia"/>
          <w:color w:val="000000"/>
          <w:kern w:val="0"/>
          <w:sz w:val="32"/>
          <w:szCs w:val="32"/>
        </w:rPr>
        <w:t>到人民群众政务信息公开申请，未发生因政府信息公开工作被申请行政复议、提起行政诉讼情况。</w:t>
      </w:r>
    </w:p>
    <w:p>
      <w:pPr>
        <w:widowControl/>
        <w:shd w:val="clear" w:color="auto" w:fill="FFFFFF"/>
        <w:spacing w:line="560" w:lineRule="exact"/>
        <w:ind w:firstLine="480" w:firstLineChars="150"/>
        <w:rPr>
          <w:rFonts w:ascii="楷体" w:eastAsia="楷体" w:hAnsi="楷体" w:cs="宋体"/>
          <w:color w:val="000000"/>
          <w:kern w:val="0"/>
          <w:sz w:val="32"/>
          <w:szCs w:val="32"/>
        </w:rPr>
      </w:pPr>
      <w:r>
        <w:rPr>
          <w:rFonts w:ascii="楷体" w:eastAsia="楷体" w:hAnsi="楷体" w:cs="宋体" w:hint="eastAsia"/>
          <w:color w:val="000000"/>
          <w:kern w:val="0"/>
          <w:sz w:val="32"/>
          <w:szCs w:val="32"/>
        </w:rPr>
        <w:t>（三）政府信息管理</w:t>
      </w:r>
    </w:p>
    <w:p>
      <w:pPr>
        <w:widowControl/>
        <w:shd w:val="clear" w:color="auto" w:fill="FFFFFF"/>
        <w:spacing w:line="560" w:lineRule="exact"/>
        <w:ind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我局严格落实信息发布“三审”制，强化源头负责制。要求报送信息的源头股室要加强信息把关工作，强化领导审核和集体会商制度，确保信息准确无误，局政务领导公开领导小组办公室人员定期对公开目前进行维护和更新，并结合每季度第三方检测情况强化提升整改工作</w:t>
      </w:r>
    </w:p>
    <w:p>
      <w:pPr>
        <w:widowControl/>
        <w:shd w:val="clear" w:color="auto" w:fill="FFFFFF"/>
        <w:spacing w:line="560" w:lineRule="exact"/>
        <w:ind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（四）政府信息公开平台建设</w:t>
      </w:r>
    </w:p>
    <w:p>
      <w:pPr>
        <w:widowControl/>
        <w:shd w:val="clear" w:color="auto" w:fill="FFFFFF"/>
        <w:spacing w:line="56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kern w:val="0"/>
          <w:sz w:val="32"/>
          <w:szCs w:val="32"/>
        </w:rPr>
        <w:t>2023年，依据《安徽省交通运输领域基层政务公开事项指引目录及安徽省公共交通企事业单位信息公开标准化规范化工作指引》，进一步完善了政务公开两化模块，</w:t>
      </w:r>
      <w:r>
        <w:rPr>
          <w:rFonts w:ascii="仿宋_GB2312" w:eastAsia="仿宋_GB2312" w:hAnsi="Times New Roman" w:cs="Times New Roman" w:hint="eastAsia"/>
          <w:color w:val="000000"/>
          <w:sz w:val="32"/>
          <w:szCs w:val="32"/>
        </w:rPr>
        <w:t>编制了“运输服务”，“乡村振兴”、“办事服务”3大板块7子版块；其中运输服务板块分为：道路运输、水路运输、城乡旅客运输、综合运输四个字板块。乡村振兴板块分为：四好农村路子板块；办事服务板块分为：办事指南和办事结果子板块。平台建设更加完善</w:t>
      </w:r>
    </w:p>
    <w:p>
      <w:pPr>
        <w:widowControl/>
        <w:shd w:val="clear" w:color="auto" w:fill="FFFFFF"/>
        <w:spacing w:line="560" w:lineRule="exact"/>
        <w:ind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（五）监督保障</w:t>
      </w:r>
    </w:p>
    <w:p>
      <w:pPr>
        <w:widowControl/>
        <w:shd w:val="clear" w:color="auto" w:fill="FFFFFF"/>
        <w:spacing w:line="560" w:lineRule="exact"/>
        <w:ind w:firstLine="640"/>
        <w:rPr>
          <w:rFonts w:ascii="仿宋_GB2312" w:eastAsia="仿宋_GB2312" w:hAnsi="微软雅黑" w:cs="宋体"/>
          <w:color w:val="333333"/>
          <w:kern w:val="0"/>
          <w:sz w:val="27"/>
          <w:szCs w:val="27"/>
        </w:rPr>
      </w:pPr>
      <w:r>
        <w:rPr>
          <w:rFonts w:ascii="仿宋_GB2312" w:eastAsia="仿宋_GB2312" w:hAnsi="Times New Roman" w:cs="Times New Roman" w:hint="eastAsia"/>
          <w:color w:val="000000"/>
          <w:kern w:val="0"/>
          <w:sz w:val="32"/>
          <w:szCs w:val="32"/>
        </w:rPr>
        <w:t>一是明确工作责任、各股室要及时报送相关公开信息，经严格把关后，统一由局政务公开办公室进行网络上传。进一步完善信息公开的多样性，强化信息公开的科学性。二是强化整改提升，要定期组织开展信息公开工作培训和学习，提升业务水平，要结合每季度第三方测评工作，加强整改提升，保障群众对交通工作的知情权。三是纳入年度考评，将政务公开工作纳入年度全局重点工作考评，对政务公开工作落实不力的股室和单位，将余年度绩效挂钩。202</w:t>
      </w:r>
      <w:r>
        <w:rPr>
          <w:rFonts w:ascii="仿宋_GB2312" w:eastAsia="仿宋_GB2312" w:hAnsi="Times New Roman" w:cs="Times New Roman" w:hint="eastAsia"/>
          <w:color w:val="000000"/>
          <w:kern w:val="0"/>
          <w:sz w:val="32"/>
          <w:szCs w:val="32"/>
          <w:lang w:val="en-US" w:eastAsia="zh-CN"/>
        </w:rPr>
        <w:t>3</w:t>
      </w:r>
      <w:r>
        <w:rPr>
          <w:rFonts w:ascii="仿宋_GB2312" w:eastAsia="仿宋_GB2312" w:hAnsi="Times New Roman" w:cs="Times New Roman" w:hint="eastAsia"/>
          <w:color w:val="000000"/>
          <w:kern w:val="0"/>
          <w:sz w:val="32"/>
          <w:szCs w:val="32"/>
        </w:rPr>
        <w:t>年我</w:t>
      </w:r>
      <w:r>
        <w:rPr>
          <w:rFonts w:ascii="仿宋_GB2312" w:eastAsia="仿宋_GB2312" w:hAnsi="Times New Roman" w:cs="Times New Roman" w:hint="eastAsia"/>
          <w:color w:val="000000"/>
          <w:kern w:val="0"/>
          <w:sz w:val="32"/>
          <w:szCs w:val="32"/>
          <w:lang w:eastAsia="zh-CN"/>
        </w:rPr>
        <w:t>局</w:t>
      </w:r>
      <w:r>
        <w:rPr>
          <w:rFonts w:ascii="仿宋_GB2312" w:eastAsia="仿宋_GB2312" w:hAnsi="Times New Roman" w:cs="Times New Roman" w:hint="eastAsia"/>
          <w:color w:val="000000"/>
          <w:kern w:val="0"/>
          <w:sz w:val="32"/>
          <w:szCs w:val="32"/>
        </w:rPr>
        <w:t>工作考核</w:t>
      </w:r>
      <w:r>
        <w:rPr>
          <w:rFonts w:ascii="仿宋_GB2312" w:eastAsia="仿宋_GB2312" w:hAnsi="Times New Roman" w:cs="Times New Roman" w:hint="eastAsia"/>
          <w:color w:val="000000"/>
          <w:kern w:val="0"/>
          <w:sz w:val="32"/>
          <w:szCs w:val="32"/>
          <w:lang w:eastAsia="zh-CN"/>
        </w:rPr>
        <w:t>优异</w:t>
      </w:r>
      <w:r>
        <w:rPr>
          <w:rFonts w:ascii="仿宋_GB2312" w:eastAsia="仿宋_GB2312" w:hAnsi="Times New Roman" w:cs="Times New Roman" w:hint="eastAsia"/>
          <w:color w:val="000000"/>
          <w:kern w:val="0"/>
          <w:sz w:val="32"/>
          <w:szCs w:val="32"/>
        </w:rPr>
        <w:t>，社会评议良好，无产生责任追究结果。</w:t>
      </w:r>
    </w:p>
    <w:p>
      <w:pPr>
        <w:widowControl/>
        <w:shd w:val="clear" w:color="auto" w:fill="FFFFFF"/>
        <w:spacing w:line="560" w:lineRule="exact"/>
        <w:ind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二、主动公开政府信息情况</w:t>
      </w:r>
    </w:p>
    <w:tbl>
      <w:tblPr>
        <w:tblStyle w:val="TableNormal"/>
        <w:tblW w:w="8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
      <w:tblGrid>
        <w:gridCol w:w="2025"/>
        <w:gridCol w:w="2025"/>
        <w:gridCol w:w="2025"/>
        <w:gridCol w:w="2025"/>
      </w:tblGrid>
      <w:tr>
        <w:tblPrEx>
          <w:tblW w:w="8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377"/>
          <w:jc w:val="center"/>
        </w:trPr>
        <w:tc>
          <w:tcPr>
            <w:tcW w:w="8100" w:type="dxa"/>
            <w:gridSpan w:val="4"/>
            <w:tcBorders>
              <w:top w:val="single" w:sz="8" w:space="0" w:color="auto"/>
              <w:left w:val="single" w:sz="8" w:space="0" w:color="auto"/>
              <w:bottom w:val="single" w:sz="8" w:space="0" w:color="auto"/>
              <w:right w:val="single" w:sz="8" w:space="0" w:color="auto"/>
            </w:tcBorders>
            <w:shd w:val="clear" w:color="auto" w:fill="C6D9F1"/>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第二十条第（一）项</w:t>
            </w:r>
          </w:p>
        </w:tc>
      </w:tr>
      <w:tr>
        <w:tblPrEx>
          <w:tblW w:w="8100" w:type="dxa"/>
          <w:jc w:val="center"/>
          <w:shd w:val="clear" w:color="auto" w:fill="FFFFFF"/>
          <w:tblCellMar>
            <w:top w:w="0" w:type="dxa"/>
            <w:left w:w="0" w:type="dxa"/>
            <w:bottom w:w="0" w:type="dxa"/>
            <w:right w:w="0" w:type="dxa"/>
          </w:tblCellMar>
        </w:tblPrEx>
        <w:trPr>
          <w:trHeight w:val="377"/>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信息内容</w:t>
            </w:r>
          </w:p>
        </w:tc>
        <w:tc>
          <w:tcPr>
            <w:tcW w:w="2025" w:type="dxa"/>
            <w:tcBorders>
              <w:top w:val="single" w:sz="8" w:space="0" w:color="auto"/>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本年制发件数</w:t>
            </w:r>
          </w:p>
        </w:tc>
        <w:tc>
          <w:tcPr>
            <w:tcW w:w="2025" w:type="dxa"/>
            <w:tcBorders>
              <w:top w:val="single" w:sz="8" w:space="0" w:color="auto"/>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本年废止件数</w:t>
            </w:r>
          </w:p>
        </w:tc>
        <w:tc>
          <w:tcPr>
            <w:tcW w:w="2025" w:type="dxa"/>
            <w:tcBorders>
              <w:top w:val="single" w:sz="8" w:space="0" w:color="auto"/>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现行有效件数</w:t>
            </w:r>
          </w:p>
        </w:tc>
      </w:tr>
      <w:tr>
        <w:tblPrEx>
          <w:tblW w:w="8100" w:type="dxa"/>
          <w:jc w:val="center"/>
          <w:shd w:val="clear" w:color="auto" w:fill="FFFFFF"/>
          <w:tblCellMar>
            <w:top w:w="0" w:type="dxa"/>
            <w:left w:w="0" w:type="dxa"/>
            <w:bottom w:w="0" w:type="dxa"/>
            <w:right w:w="0" w:type="dxa"/>
          </w:tblCellMar>
        </w:tblPrEx>
        <w:trPr>
          <w:trHeight w:val="377"/>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规章</w:t>
            </w:r>
          </w:p>
        </w:tc>
        <w:tc>
          <w:tcPr>
            <w:tcW w:w="2025" w:type="dxa"/>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0</w:t>
            </w:r>
          </w:p>
        </w:tc>
        <w:tc>
          <w:tcPr>
            <w:tcW w:w="2025" w:type="dxa"/>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0</w:t>
            </w:r>
          </w:p>
        </w:tc>
        <w:tc>
          <w:tcPr>
            <w:tcW w:w="2025" w:type="dxa"/>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0</w:t>
            </w:r>
          </w:p>
        </w:tc>
      </w:tr>
      <w:tr>
        <w:tblPrEx>
          <w:tblW w:w="8100" w:type="dxa"/>
          <w:jc w:val="center"/>
          <w:shd w:val="clear" w:color="auto" w:fill="FFFFFF"/>
          <w:tblCellMar>
            <w:top w:w="0" w:type="dxa"/>
            <w:left w:w="0" w:type="dxa"/>
            <w:bottom w:w="0" w:type="dxa"/>
            <w:right w:w="0" w:type="dxa"/>
          </w:tblCellMar>
        </w:tblPrEx>
        <w:trPr>
          <w:trHeight w:val="377"/>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行政规范性文件</w:t>
            </w:r>
          </w:p>
        </w:tc>
        <w:tc>
          <w:tcPr>
            <w:tcW w:w="2025" w:type="dxa"/>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0</w:t>
            </w:r>
          </w:p>
        </w:tc>
        <w:tc>
          <w:tcPr>
            <w:tcW w:w="2025" w:type="dxa"/>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0</w:t>
            </w:r>
          </w:p>
        </w:tc>
        <w:tc>
          <w:tcPr>
            <w:tcW w:w="2025" w:type="dxa"/>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0</w:t>
            </w:r>
          </w:p>
        </w:tc>
      </w:tr>
      <w:tr>
        <w:tblPrEx>
          <w:tblW w:w="8100" w:type="dxa"/>
          <w:jc w:val="center"/>
          <w:shd w:val="clear" w:color="auto" w:fill="FFFFFF"/>
          <w:tblCellMar>
            <w:top w:w="0" w:type="dxa"/>
            <w:left w:w="0" w:type="dxa"/>
            <w:bottom w:w="0" w:type="dxa"/>
            <w:right w:w="0" w:type="dxa"/>
          </w:tblCellMar>
        </w:tblPrEx>
        <w:trPr>
          <w:trHeight w:val="377"/>
          <w:jc w:val="center"/>
        </w:trPr>
        <w:tc>
          <w:tcPr>
            <w:tcW w:w="8100" w:type="dxa"/>
            <w:gridSpan w:val="4"/>
            <w:tcBorders>
              <w:top w:val="nil"/>
              <w:left w:val="single" w:sz="8" w:space="0" w:color="auto"/>
              <w:bottom w:val="single" w:sz="8" w:space="0" w:color="auto"/>
              <w:right w:val="single" w:sz="8" w:space="0" w:color="auto"/>
            </w:tcBorders>
            <w:shd w:val="clear" w:color="auto" w:fill="C6D9F1"/>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第二十条第（五）项</w:t>
            </w:r>
          </w:p>
        </w:tc>
      </w:tr>
      <w:tr>
        <w:tblPrEx>
          <w:tblW w:w="8100" w:type="dxa"/>
          <w:jc w:val="center"/>
          <w:shd w:val="clear" w:color="auto" w:fill="FFFFFF"/>
          <w:tblCellMar>
            <w:top w:w="0" w:type="dxa"/>
            <w:left w:w="0" w:type="dxa"/>
            <w:bottom w:w="0" w:type="dxa"/>
            <w:right w:w="0" w:type="dxa"/>
          </w:tblCellMar>
        </w:tblPrEx>
        <w:trPr>
          <w:trHeight w:val="377"/>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信息内容</w:t>
            </w:r>
          </w:p>
        </w:tc>
        <w:tc>
          <w:tcPr>
            <w:tcW w:w="6075" w:type="dxa"/>
            <w:gridSpan w:val="3"/>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本年处理决定数量</w:t>
            </w:r>
          </w:p>
        </w:tc>
      </w:tr>
      <w:tr>
        <w:tblPrEx>
          <w:tblW w:w="8100" w:type="dxa"/>
          <w:jc w:val="center"/>
          <w:shd w:val="clear" w:color="auto" w:fill="FFFFFF"/>
          <w:tblCellMar>
            <w:top w:w="0" w:type="dxa"/>
            <w:left w:w="0" w:type="dxa"/>
            <w:bottom w:w="0" w:type="dxa"/>
            <w:right w:w="0" w:type="dxa"/>
          </w:tblCellMar>
        </w:tblPrEx>
        <w:trPr>
          <w:trHeight w:val="377"/>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行政许可</w:t>
            </w:r>
          </w:p>
        </w:tc>
        <w:tc>
          <w:tcPr>
            <w:tcW w:w="6075" w:type="dxa"/>
            <w:gridSpan w:val="3"/>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3</w:t>
            </w:r>
          </w:p>
        </w:tc>
      </w:tr>
      <w:tr>
        <w:tblPrEx>
          <w:tblW w:w="8100" w:type="dxa"/>
          <w:jc w:val="center"/>
          <w:shd w:val="clear" w:color="auto" w:fill="FFFFFF"/>
          <w:tblCellMar>
            <w:top w:w="0" w:type="dxa"/>
            <w:left w:w="0" w:type="dxa"/>
            <w:bottom w:w="0" w:type="dxa"/>
            <w:right w:w="0" w:type="dxa"/>
          </w:tblCellMar>
        </w:tblPrEx>
        <w:trPr>
          <w:trHeight w:val="377"/>
          <w:jc w:val="center"/>
        </w:trPr>
        <w:tc>
          <w:tcPr>
            <w:tcW w:w="8100" w:type="dxa"/>
            <w:gridSpan w:val="4"/>
            <w:tcBorders>
              <w:top w:val="nil"/>
              <w:left w:val="single" w:sz="8" w:space="0" w:color="auto"/>
              <w:bottom w:val="single" w:sz="8" w:space="0" w:color="auto"/>
              <w:right w:val="single" w:sz="8" w:space="0" w:color="auto"/>
            </w:tcBorders>
            <w:shd w:val="clear" w:color="auto" w:fill="C6D9F1"/>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第二十条第（六）项</w:t>
            </w:r>
          </w:p>
        </w:tc>
      </w:tr>
      <w:tr>
        <w:tblPrEx>
          <w:tblW w:w="8100" w:type="dxa"/>
          <w:jc w:val="center"/>
          <w:shd w:val="clear" w:color="auto" w:fill="FFFFFF"/>
          <w:tblCellMar>
            <w:top w:w="0" w:type="dxa"/>
            <w:left w:w="0" w:type="dxa"/>
            <w:bottom w:w="0" w:type="dxa"/>
            <w:right w:w="0" w:type="dxa"/>
          </w:tblCellMar>
        </w:tblPrEx>
        <w:trPr>
          <w:trHeight w:val="377"/>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信息内容</w:t>
            </w:r>
          </w:p>
        </w:tc>
        <w:tc>
          <w:tcPr>
            <w:tcW w:w="6075" w:type="dxa"/>
            <w:gridSpan w:val="3"/>
            <w:tcBorders>
              <w:top w:val="single" w:sz="8" w:space="0" w:color="auto"/>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本年处理决定数量</w:t>
            </w:r>
          </w:p>
        </w:tc>
      </w:tr>
      <w:tr>
        <w:tblPrEx>
          <w:tblW w:w="8100" w:type="dxa"/>
          <w:jc w:val="center"/>
          <w:shd w:val="clear" w:color="auto" w:fill="FFFFFF"/>
          <w:tblCellMar>
            <w:top w:w="0" w:type="dxa"/>
            <w:left w:w="0" w:type="dxa"/>
            <w:bottom w:w="0" w:type="dxa"/>
            <w:right w:w="0" w:type="dxa"/>
          </w:tblCellMar>
        </w:tblPrEx>
        <w:trPr>
          <w:trHeight w:val="377"/>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行政处罚</w:t>
            </w:r>
          </w:p>
        </w:tc>
        <w:tc>
          <w:tcPr>
            <w:tcW w:w="6075" w:type="dxa"/>
            <w:gridSpan w:val="3"/>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default"/>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10</w:t>
            </w:r>
          </w:p>
        </w:tc>
      </w:tr>
      <w:tr>
        <w:tblPrEx>
          <w:tblW w:w="8100" w:type="dxa"/>
          <w:jc w:val="center"/>
          <w:shd w:val="clear" w:color="auto" w:fill="FFFFFF"/>
          <w:tblCellMar>
            <w:top w:w="0" w:type="dxa"/>
            <w:left w:w="0" w:type="dxa"/>
            <w:bottom w:w="0" w:type="dxa"/>
            <w:right w:w="0" w:type="dxa"/>
          </w:tblCellMar>
        </w:tblPrEx>
        <w:trPr>
          <w:trHeight w:val="377"/>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行政强制</w:t>
            </w:r>
          </w:p>
        </w:tc>
        <w:tc>
          <w:tcPr>
            <w:tcW w:w="6075" w:type="dxa"/>
            <w:gridSpan w:val="3"/>
            <w:tcBorders>
              <w:top w:val="nil"/>
              <w:left w:val="nil"/>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0</w:t>
            </w:r>
          </w:p>
        </w:tc>
      </w:tr>
      <w:tr>
        <w:tblPrEx>
          <w:tblW w:w="8100" w:type="dxa"/>
          <w:jc w:val="center"/>
          <w:shd w:val="clear" w:color="auto" w:fill="FFFFFF"/>
          <w:tblCellMar>
            <w:top w:w="0" w:type="dxa"/>
            <w:left w:w="0" w:type="dxa"/>
            <w:bottom w:w="0" w:type="dxa"/>
            <w:right w:w="0" w:type="dxa"/>
          </w:tblCellMar>
        </w:tblPrEx>
        <w:trPr>
          <w:trHeight w:val="377"/>
          <w:jc w:val="center"/>
        </w:trPr>
        <w:tc>
          <w:tcPr>
            <w:tcW w:w="8100" w:type="dxa"/>
            <w:gridSpan w:val="4"/>
            <w:tcBorders>
              <w:top w:val="nil"/>
              <w:left w:val="single" w:sz="8" w:space="0" w:color="auto"/>
              <w:bottom w:val="single" w:sz="8" w:space="0" w:color="auto"/>
              <w:right w:val="single" w:sz="8" w:space="0" w:color="auto"/>
            </w:tcBorders>
            <w:shd w:val="clear" w:color="auto" w:fill="C6D9F1"/>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第二十条第（八）项</w:t>
            </w:r>
          </w:p>
        </w:tc>
      </w:tr>
      <w:tr>
        <w:tblPrEx>
          <w:tblW w:w="8100" w:type="dxa"/>
          <w:jc w:val="center"/>
          <w:shd w:val="clear" w:color="auto" w:fill="FFFFFF"/>
          <w:tblCellMar>
            <w:top w:w="0" w:type="dxa"/>
            <w:left w:w="0" w:type="dxa"/>
            <w:bottom w:w="0" w:type="dxa"/>
            <w:right w:w="0" w:type="dxa"/>
          </w:tblCellMar>
        </w:tblPrEx>
        <w:trPr>
          <w:trHeight w:val="377"/>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信息内容</w:t>
            </w:r>
          </w:p>
        </w:tc>
        <w:tc>
          <w:tcPr>
            <w:tcW w:w="6075" w:type="dxa"/>
            <w:gridSpan w:val="3"/>
            <w:tcBorders>
              <w:top w:val="nil"/>
              <w:left w:val="nil"/>
              <w:bottom w:val="single" w:sz="8" w:space="0" w:color="auto"/>
              <w:right w:val="single" w:sz="8" w:space="0" w:color="000000"/>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本年收费金额（单位：万元）</w:t>
            </w:r>
          </w:p>
        </w:tc>
      </w:tr>
      <w:tr>
        <w:tblPrEx>
          <w:tblW w:w="8100" w:type="dxa"/>
          <w:jc w:val="center"/>
          <w:shd w:val="clear" w:color="auto" w:fill="FFFFFF"/>
          <w:tblCellMar>
            <w:top w:w="0" w:type="dxa"/>
            <w:left w:w="0" w:type="dxa"/>
            <w:bottom w:w="0" w:type="dxa"/>
            <w:right w:w="0" w:type="dxa"/>
          </w:tblCellMar>
        </w:tblPrEx>
        <w:trPr>
          <w:trHeight w:val="415"/>
          <w:jc w:val="center"/>
        </w:trPr>
        <w:tc>
          <w:tcPr>
            <w:tcW w:w="2025" w:type="dxa"/>
            <w:tcBorders>
              <w:top w:val="nil"/>
              <w:left w:val="single" w:sz="8" w:space="0" w:color="auto"/>
              <w:bottom w:val="single" w:sz="8" w:space="0" w:color="auto"/>
              <w:right w:val="single" w:sz="8" w:space="0" w:color="auto"/>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行政事业性收费</w:t>
            </w:r>
          </w:p>
        </w:tc>
        <w:tc>
          <w:tcPr>
            <w:tcW w:w="6075" w:type="dxa"/>
            <w:gridSpan w:val="3"/>
            <w:tcBorders>
              <w:top w:val="nil"/>
              <w:left w:val="nil"/>
              <w:bottom w:val="single" w:sz="8" w:space="0" w:color="auto"/>
              <w:right w:val="single" w:sz="8" w:space="0" w:color="000000"/>
            </w:tcBorders>
            <w:shd w:val="clear" w:color="auto" w:fill="FFFFFF"/>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color w:val="000000"/>
                <w:kern w:val="0"/>
                <w:sz w:val="20"/>
                <w:szCs w:val="20"/>
                <w:lang w:val="en-US" w:eastAsia="zh-CN" w:bidi="ar"/>
              </w:rPr>
            </w:pPr>
            <w:r>
              <w:rPr>
                <w:rFonts w:ascii="宋体" w:eastAsia="宋体" w:hAnsi="宋体" w:cs="宋体" w:hint="eastAsia"/>
                <w:color w:val="000000"/>
                <w:kern w:val="0"/>
                <w:sz w:val="20"/>
                <w:szCs w:val="20"/>
                <w:lang w:val="en-US" w:eastAsia="zh-CN" w:bidi="ar"/>
              </w:rPr>
              <w:t>0</w:t>
            </w:r>
          </w:p>
        </w:tc>
      </w:tr>
    </w:tbl>
    <w:p>
      <w:pPr>
        <w:widowControl/>
        <w:numPr>
          <w:numId w:val="0"/>
        </w:numPr>
        <w:shd w:val="clear" w:color="auto" w:fill="FFFFFF"/>
        <w:spacing w:line="560" w:lineRule="exact"/>
        <w:ind w:firstLine="320" w:firstLineChars="10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lang w:eastAsia="zh-CN"/>
        </w:rPr>
        <w:t>三、</w:t>
      </w:r>
      <w:r>
        <w:rPr>
          <w:rFonts w:ascii="黑体" w:eastAsia="黑体" w:hAnsi="黑体" w:cs="宋体" w:hint="eastAsia"/>
          <w:color w:val="000000"/>
          <w:kern w:val="0"/>
          <w:sz w:val="32"/>
          <w:szCs w:val="32"/>
        </w:rPr>
        <w:t>收到和处理政府信息公开申请数量</w:t>
      </w:r>
    </w:p>
    <w:tbl>
      <w:tblPr>
        <w:tblStyle w:val="TableNormal"/>
        <w:tblW w:w="805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0" w:type="dxa"/>
          <w:left w:w="0" w:type="dxa"/>
          <w:bottom w:w="0" w:type="dxa"/>
          <w:right w:w="0" w:type="dxa"/>
        </w:tblCellMar>
      </w:tblPr>
      <w:tblGrid>
        <w:gridCol w:w="648"/>
        <w:gridCol w:w="917"/>
        <w:gridCol w:w="2573"/>
        <w:gridCol w:w="559"/>
        <w:gridCol w:w="559"/>
        <w:gridCol w:w="559"/>
        <w:gridCol w:w="559"/>
        <w:gridCol w:w="559"/>
        <w:gridCol w:w="565"/>
        <w:gridCol w:w="561"/>
      </w:tblGrid>
      <w:tr>
        <w:tblPrEx>
          <w:tblW w:w="805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0" w:type="dxa"/>
            <w:left w:w="0" w:type="dxa"/>
            <w:bottom w:w="0" w:type="dxa"/>
            <w:right w:w="0" w:type="dxa"/>
          </w:tblCellMar>
        </w:tblPrEx>
        <w:trPr>
          <w:trHeight w:val="340"/>
          <w:jc w:val="center"/>
        </w:trPr>
        <w:tc>
          <w:tcPr>
            <w:tcW w:w="4138" w:type="dxa"/>
            <w:gridSpan w:val="3"/>
            <w:vMerge w:val="restart"/>
            <w:tcBorders>
              <w:top w:val="single" w:sz="8" w:space="0" w:color="auto"/>
              <w:left w:val="single" w:sz="8" w:space="0" w:color="auto"/>
              <w:bottom w:val="outset"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（本列数据的勾稽关系为：第一项加第二项之和，等于第三项加第四项之和）</w:t>
            </w:r>
          </w:p>
        </w:tc>
        <w:tc>
          <w:tcPr>
            <w:tcW w:w="3921" w:type="dxa"/>
            <w:gridSpan w:val="7"/>
            <w:tcBorders>
              <w:top w:val="single" w:sz="8" w:space="0" w:color="auto"/>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申请人情况</w:t>
            </w:r>
          </w:p>
        </w:tc>
      </w:tr>
      <w:tr>
        <w:tblPrEx>
          <w:tblW w:w="8059" w:type="dxa"/>
          <w:jc w:val="center"/>
          <w:tblCellMar>
            <w:top w:w="0" w:type="dxa"/>
            <w:left w:w="0" w:type="dxa"/>
            <w:bottom w:w="0" w:type="dxa"/>
            <w:right w:w="0" w:type="dxa"/>
          </w:tblCellMar>
        </w:tblPrEx>
        <w:trPr>
          <w:trHeight w:val="340"/>
          <w:jc w:val="center"/>
        </w:trPr>
        <w:tc>
          <w:tcPr>
            <w:tcW w:w="4138" w:type="dxa"/>
            <w:gridSpan w:val="3"/>
            <w:vMerge/>
            <w:tcBorders>
              <w:top w:val="single" w:sz="8" w:space="0" w:color="auto"/>
              <w:left w:val="single" w:sz="8" w:space="0" w:color="auto"/>
              <w:bottom w:val="outset"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559" w:type="dxa"/>
            <w:vMerge w:val="restart"/>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自然人</w:t>
            </w:r>
          </w:p>
        </w:tc>
        <w:tc>
          <w:tcPr>
            <w:tcW w:w="2801" w:type="dxa"/>
            <w:gridSpan w:val="5"/>
            <w:tcBorders>
              <w:top w:val="single" w:sz="8" w:space="0" w:color="auto"/>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法人或其他组织</w:t>
            </w:r>
          </w:p>
        </w:tc>
        <w:tc>
          <w:tcPr>
            <w:tcW w:w="561" w:type="dxa"/>
            <w:vMerge w:val="restart"/>
            <w:tcBorders>
              <w:top w:val="single" w:sz="8" w:space="0" w:color="auto"/>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总计</w:t>
            </w:r>
          </w:p>
        </w:tc>
      </w:tr>
      <w:tr>
        <w:tblPrEx>
          <w:tblW w:w="8059" w:type="dxa"/>
          <w:jc w:val="center"/>
          <w:tblCellMar>
            <w:top w:w="0" w:type="dxa"/>
            <w:left w:w="0" w:type="dxa"/>
            <w:bottom w:w="0" w:type="dxa"/>
            <w:right w:w="0" w:type="dxa"/>
          </w:tblCellMar>
        </w:tblPrEx>
        <w:trPr>
          <w:trHeight w:val="1946"/>
          <w:jc w:val="center"/>
        </w:trPr>
        <w:tc>
          <w:tcPr>
            <w:tcW w:w="4138" w:type="dxa"/>
            <w:gridSpan w:val="3"/>
            <w:vMerge/>
            <w:tcBorders>
              <w:top w:val="single" w:sz="8" w:space="0" w:color="auto"/>
              <w:left w:val="single" w:sz="8" w:space="0" w:color="auto"/>
              <w:bottom w:val="outset"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559" w:type="dxa"/>
            <w:vMerge/>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商业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企业</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科研</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机构</w:t>
            </w:r>
          </w:p>
        </w:tc>
        <w:tc>
          <w:tcPr>
            <w:tcW w:w="559" w:type="dxa"/>
            <w:tcBorders>
              <w:top w:val="single" w:sz="8" w:space="0" w:color="auto"/>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社会公益组织</w:t>
            </w:r>
          </w:p>
        </w:tc>
        <w:tc>
          <w:tcPr>
            <w:tcW w:w="559" w:type="dxa"/>
            <w:tcBorders>
              <w:top w:val="single" w:sz="8" w:space="0" w:color="auto"/>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法律服务机构</w:t>
            </w:r>
          </w:p>
        </w:tc>
        <w:tc>
          <w:tcPr>
            <w:tcW w:w="565" w:type="dxa"/>
            <w:tcBorders>
              <w:top w:val="single" w:sz="8" w:space="0" w:color="auto"/>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其他</w:t>
            </w:r>
          </w:p>
        </w:tc>
        <w:tc>
          <w:tcPr>
            <w:tcW w:w="561" w:type="dxa"/>
            <w:vMerge/>
            <w:tcBorders>
              <w:top w:val="single" w:sz="8" w:space="0" w:color="auto"/>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p>
        </w:tc>
      </w:tr>
      <w:tr>
        <w:tblPrEx>
          <w:tblW w:w="8059" w:type="dxa"/>
          <w:jc w:val="center"/>
          <w:tblCellMar>
            <w:top w:w="0" w:type="dxa"/>
            <w:left w:w="0" w:type="dxa"/>
            <w:bottom w:w="0" w:type="dxa"/>
            <w:right w:w="0" w:type="dxa"/>
          </w:tblCellMar>
        </w:tblPrEx>
        <w:trPr>
          <w:trHeight w:val="661"/>
          <w:jc w:val="center"/>
        </w:trPr>
        <w:tc>
          <w:tcPr>
            <w:tcW w:w="4138" w:type="dxa"/>
            <w:gridSpan w:val="3"/>
            <w:tcBorders>
              <w:top w:val="nil"/>
              <w:left w:val="single" w:sz="8" w:space="0" w:color="auto"/>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一、本年新收政府信息公开申请数量</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4138" w:type="dxa"/>
            <w:gridSpan w:val="3"/>
            <w:tcBorders>
              <w:top w:val="nil"/>
              <w:left w:val="single" w:sz="8" w:space="0" w:color="auto"/>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二、上年结转政府信息公开申请数量</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340"/>
          <w:jc w:val="center"/>
        </w:trPr>
        <w:tc>
          <w:tcPr>
            <w:tcW w:w="648" w:type="dxa"/>
            <w:vMerge w:val="restart"/>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三、本年度办理结果</w:t>
            </w:r>
          </w:p>
        </w:tc>
        <w:tc>
          <w:tcPr>
            <w:tcW w:w="3490" w:type="dxa"/>
            <w:gridSpan w:val="2"/>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（一）予以公开</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single" w:sz="8" w:space="0" w:color="auto"/>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982"/>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3490" w:type="dxa"/>
            <w:gridSpan w:val="2"/>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（二）部分公开（区分处理的，只计这一情形，不计其他情形）</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340"/>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val="restart"/>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（三）不予公开</w:t>
            </w: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1.属于国家秘密</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single" w:sz="8" w:space="0" w:color="auto"/>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2.其他法律行政法规禁止公开</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3.危及“三安全一稳定”</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4.保护第三方合法权益</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5.属于三类内部事务信息</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6.属于四类过程性信息</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340"/>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7.属于行政执法案卷</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340"/>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8.属于行政查询事项</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val="restart"/>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（四）无法提供</w:t>
            </w: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1.本机关不掌握相关政府信息</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2.没有现成信息需要另行制作</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3.补正后申请内容仍不明确</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val="restart"/>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（五）不予处理</w:t>
            </w: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1.信访举报投诉类申请</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340"/>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2.重复申请</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3.要求提供公开出版物</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661"/>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4.无正当理由大量反复申请</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982"/>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5.要求行政机关确认或重新出具已获取信息</w:t>
            </w:r>
          </w:p>
        </w:tc>
        <w:tc>
          <w:tcPr>
            <w:tcW w:w="559" w:type="dxa"/>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1303"/>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val="restart"/>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（六）其他处理</w:t>
            </w: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1.申请人无正当理由逾期不补正、行政机关不再处理其政府信息公开申请</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1624"/>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2.申请人逾期未按收费通知要求缴纳费用、行政机关不再处理其政府信息公开申请</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340"/>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917" w:type="dxa"/>
            <w:vMerge/>
            <w:tcBorders>
              <w:top w:val="nil"/>
              <w:left w:val="nil"/>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2573"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3.其他</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340"/>
          <w:jc w:val="center"/>
        </w:trPr>
        <w:tc>
          <w:tcPr>
            <w:tcW w:w="648" w:type="dxa"/>
            <w:vMerge/>
            <w:tcBorders>
              <w:top w:val="nil"/>
              <w:left w:val="single" w:sz="8" w:space="0" w:color="auto"/>
              <w:bottom w:val="outset"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p>
        </w:tc>
        <w:tc>
          <w:tcPr>
            <w:tcW w:w="3490" w:type="dxa"/>
            <w:gridSpan w:val="2"/>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（七）总计</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r>
        <w:tblPrEx>
          <w:tblW w:w="8059" w:type="dxa"/>
          <w:jc w:val="center"/>
          <w:tblCellMar>
            <w:top w:w="0" w:type="dxa"/>
            <w:left w:w="0" w:type="dxa"/>
            <w:bottom w:w="0" w:type="dxa"/>
            <w:right w:w="0" w:type="dxa"/>
          </w:tblCellMar>
        </w:tblPrEx>
        <w:trPr>
          <w:trHeight w:val="357"/>
          <w:jc w:val="center"/>
        </w:trPr>
        <w:tc>
          <w:tcPr>
            <w:tcW w:w="4138" w:type="dxa"/>
            <w:gridSpan w:val="3"/>
            <w:tcBorders>
              <w:top w:val="nil"/>
              <w:left w:val="single" w:sz="8" w:space="0" w:color="auto"/>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四、结转下年度继续办理</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59"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5"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c>
          <w:tcPr>
            <w:tcW w:w="561" w:type="dxa"/>
            <w:tcBorders>
              <w:top w:val="nil"/>
              <w:left w:val="nil"/>
              <w:bottom w:val="single" w:sz="8" w:space="0" w:color="auto"/>
              <w:right w:val="single" w:sz="8" w:space="0" w:color="auto"/>
            </w:tcBorders>
            <w:noWrap w:val="0"/>
            <w:tcMar>
              <w:top w:w="0" w:type="dxa"/>
              <w:left w:w="57" w:type="dxa"/>
              <w:bottom w:w="0"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楷体" w:eastAsia="楷体" w:hAnsi="楷体" w:cs="楷体" w:hint="eastAsia"/>
                <w:kern w:val="0"/>
                <w:sz w:val="20"/>
                <w:szCs w:val="20"/>
                <w:lang w:val="en-US" w:eastAsia="zh-CN" w:bidi="ar"/>
              </w:rPr>
            </w:pPr>
            <w:r>
              <w:rPr>
                <w:rFonts w:ascii="楷体" w:eastAsia="楷体" w:hAnsi="楷体" w:cs="楷体" w:hint="eastAsia"/>
                <w:kern w:val="0"/>
                <w:sz w:val="20"/>
                <w:szCs w:val="20"/>
                <w:lang w:val="en-US" w:eastAsia="zh-CN" w:bidi="ar"/>
              </w:rPr>
              <w:t>0</w:t>
            </w:r>
          </w:p>
        </w:tc>
      </w:tr>
    </w:tbl>
    <w:p>
      <w:pPr>
        <w:widowControl/>
        <w:numPr>
          <w:numId w:val="0"/>
        </w:numPr>
        <w:shd w:val="clear" w:color="auto" w:fill="FFFFFF"/>
        <w:spacing w:line="560" w:lineRule="exact"/>
        <w:rPr>
          <w:rFonts w:ascii="黑体" w:eastAsia="黑体" w:hAnsi="黑体" w:cs="宋体" w:hint="eastAsia"/>
          <w:color w:val="000000"/>
          <w:kern w:val="0"/>
          <w:sz w:val="32"/>
          <w:szCs w:val="32"/>
        </w:rPr>
      </w:pPr>
    </w:p>
    <w:p>
      <w:pPr>
        <w:widowControl/>
        <w:shd w:val="clear" w:color="auto" w:fill="FFFFFF"/>
        <w:spacing w:line="560" w:lineRule="exact"/>
        <w:ind w:firstLine="640" w:firstLineChars="200"/>
        <w:rPr>
          <w:rFonts w:ascii="黑体" w:eastAsia="黑体" w:hAnsi="黑体" w:cs="宋体"/>
          <w:color w:val="000000"/>
          <w:kern w:val="0"/>
          <w:sz w:val="32"/>
          <w:szCs w:val="32"/>
        </w:rPr>
      </w:pPr>
      <w:r>
        <w:rPr>
          <w:rFonts w:ascii="黑体" w:eastAsia="黑体" w:hAnsi="黑体" w:cs="宋体" w:hint="eastAsia"/>
          <w:color w:val="000000"/>
          <w:kern w:val="0"/>
          <w:sz w:val="32"/>
          <w:szCs w:val="32"/>
        </w:rPr>
        <w:t>四、政府信息公开行政复议、行政诉讼情况</w:t>
      </w:r>
    </w:p>
    <w:tbl>
      <w:tblPr>
        <w:tblStyle w:val="TableNormal"/>
        <w:tblW w:w="804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536"/>
        <w:gridCol w:w="536"/>
        <w:gridCol w:w="536"/>
        <w:gridCol w:w="536"/>
        <w:gridCol w:w="536"/>
        <w:gridCol w:w="536"/>
        <w:gridCol w:w="536"/>
        <w:gridCol w:w="536"/>
        <w:gridCol w:w="536"/>
        <w:gridCol w:w="763"/>
        <w:gridCol w:w="467"/>
        <w:gridCol w:w="378"/>
        <w:gridCol w:w="536"/>
        <w:gridCol w:w="536"/>
        <w:gridCol w:w="536"/>
      </w:tblGrid>
      <w:tr>
        <w:tblPrEx>
          <w:tblW w:w="804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trHeight w:val="463"/>
          <w:jc w:val="center"/>
        </w:trPr>
        <w:tc>
          <w:tcPr>
            <w:tcW w:w="2680" w:type="dxa"/>
            <w:gridSpan w:val="5"/>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行政复议</w:t>
            </w:r>
          </w:p>
        </w:tc>
        <w:tc>
          <w:tcPr>
            <w:tcW w:w="5360" w:type="dxa"/>
            <w:gridSpan w:val="10"/>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行政诉讼</w:t>
            </w:r>
          </w:p>
        </w:tc>
      </w:tr>
      <w:tr>
        <w:tblPrEx>
          <w:tblW w:w="8040" w:type="dxa"/>
          <w:jc w:val="center"/>
          <w:tblLayout w:type="fixed"/>
          <w:tblCellMar>
            <w:top w:w="0" w:type="dxa"/>
            <w:left w:w="0" w:type="dxa"/>
            <w:bottom w:w="0" w:type="dxa"/>
            <w:right w:w="0" w:type="dxa"/>
          </w:tblCellMar>
        </w:tblPrEx>
        <w:trPr>
          <w:trHeight w:val="1000"/>
          <w:jc w:val="center"/>
        </w:trPr>
        <w:tc>
          <w:tcPr>
            <w:tcW w:w="536" w:type="dxa"/>
            <w:vMerge w:val="restart"/>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结果维持</w:t>
            </w:r>
          </w:p>
        </w:tc>
        <w:tc>
          <w:tcPr>
            <w:tcW w:w="53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结果</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纠正</w:t>
            </w:r>
          </w:p>
        </w:tc>
        <w:tc>
          <w:tcPr>
            <w:tcW w:w="536"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其他</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结果</w:t>
            </w:r>
          </w:p>
        </w:tc>
        <w:tc>
          <w:tcPr>
            <w:tcW w:w="536"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尚未</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审结</w:t>
            </w:r>
          </w:p>
        </w:tc>
        <w:tc>
          <w:tcPr>
            <w:tcW w:w="536"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总计</w:t>
            </w:r>
          </w:p>
        </w:tc>
        <w:tc>
          <w:tcPr>
            <w:tcW w:w="2907"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未经复议直接起诉</w:t>
            </w:r>
          </w:p>
        </w:tc>
        <w:tc>
          <w:tcPr>
            <w:tcW w:w="2453"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复议后起诉</w:t>
            </w:r>
          </w:p>
        </w:tc>
      </w:tr>
      <w:tr>
        <w:tblPrEx>
          <w:tblW w:w="8040" w:type="dxa"/>
          <w:jc w:val="center"/>
          <w:tblLayout w:type="fixed"/>
          <w:tblCellMar>
            <w:top w:w="0" w:type="dxa"/>
            <w:left w:w="0" w:type="dxa"/>
            <w:bottom w:w="0" w:type="dxa"/>
            <w:right w:w="0" w:type="dxa"/>
          </w:tblCellMar>
        </w:tblPrEx>
        <w:trPr>
          <w:trHeight w:val="640"/>
          <w:jc w:val="center"/>
        </w:trPr>
        <w:tc>
          <w:tcPr>
            <w:tcW w:w="536" w:type="dxa"/>
            <w:vMerge/>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p>
        </w:tc>
        <w:tc>
          <w:tcPr>
            <w:tcW w:w="536" w:type="dxa"/>
            <w:vMerge/>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p>
        </w:tc>
        <w:tc>
          <w:tcPr>
            <w:tcW w:w="536" w:type="dxa"/>
            <w:vMerge/>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p>
        </w:tc>
        <w:tc>
          <w:tcPr>
            <w:tcW w:w="536" w:type="dxa"/>
            <w:vMerge/>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p>
        </w:tc>
        <w:tc>
          <w:tcPr>
            <w:tcW w:w="536" w:type="dxa"/>
            <w:vMerge/>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结果</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维持</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结果</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纠正</w:t>
            </w:r>
          </w:p>
        </w:tc>
        <w:tc>
          <w:tcPr>
            <w:tcW w:w="53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其他</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结果</w:t>
            </w:r>
          </w:p>
        </w:tc>
        <w:tc>
          <w:tcPr>
            <w:tcW w:w="53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尚未</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审结</w:t>
            </w:r>
          </w:p>
        </w:tc>
        <w:tc>
          <w:tcPr>
            <w:tcW w:w="763"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总计</w:t>
            </w:r>
          </w:p>
        </w:tc>
        <w:tc>
          <w:tcPr>
            <w:tcW w:w="467"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结果</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维持</w:t>
            </w:r>
          </w:p>
        </w:tc>
        <w:tc>
          <w:tcPr>
            <w:tcW w:w="378"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结果</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纠正</w:t>
            </w:r>
          </w:p>
        </w:tc>
        <w:tc>
          <w:tcPr>
            <w:tcW w:w="53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其他</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结果</w:t>
            </w:r>
          </w:p>
        </w:tc>
        <w:tc>
          <w:tcPr>
            <w:tcW w:w="53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尚未</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审结</w:t>
            </w:r>
          </w:p>
        </w:tc>
        <w:tc>
          <w:tcPr>
            <w:tcW w:w="53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总计</w:t>
            </w:r>
          </w:p>
        </w:tc>
      </w:tr>
      <w:tr>
        <w:tblPrEx>
          <w:tblW w:w="8040" w:type="dxa"/>
          <w:jc w:val="center"/>
          <w:tblLayout w:type="fixed"/>
          <w:tblCellMar>
            <w:top w:w="0" w:type="dxa"/>
            <w:left w:w="0" w:type="dxa"/>
            <w:bottom w:w="0" w:type="dxa"/>
            <w:right w:w="0" w:type="dxa"/>
          </w:tblCellMar>
        </w:tblPrEx>
        <w:trPr>
          <w:trHeight w:val="468"/>
          <w:jc w:val="center"/>
        </w:trPr>
        <w:tc>
          <w:tcPr>
            <w:tcW w:w="536"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76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4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378"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c>
          <w:tcPr>
            <w:tcW w:w="5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eastAsia="宋体" w:hAnsi="宋体" w:cs="宋体" w:hint="eastAsia"/>
                <w:kern w:val="0"/>
                <w:sz w:val="20"/>
                <w:szCs w:val="20"/>
                <w:lang w:val="en-US" w:eastAsia="zh-CN" w:bidi="ar"/>
              </w:rPr>
            </w:pPr>
            <w:r>
              <w:rPr>
                <w:rFonts w:ascii="宋体" w:eastAsia="宋体" w:hAnsi="宋体" w:cs="宋体" w:hint="eastAsia"/>
                <w:kern w:val="0"/>
                <w:sz w:val="20"/>
                <w:szCs w:val="20"/>
                <w:lang w:val="en-US" w:eastAsia="zh-CN" w:bidi="ar"/>
              </w:rPr>
              <w:t>0</w:t>
            </w:r>
          </w:p>
        </w:tc>
      </w:tr>
    </w:tbl>
    <w:p>
      <w:pPr>
        <w:widowControl/>
        <w:shd w:val="clear" w:color="auto" w:fill="FFFFFF"/>
        <w:spacing w:line="560" w:lineRule="exact"/>
        <w:ind w:firstLine="640" w:firstLineChars="200"/>
        <w:rPr>
          <w:rFonts w:ascii="黑体" w:eastAsia="黑体" w:hAnsi="黑体" w:cs="宋体"/>
          <w:color w:val="333333"/>
          <w:kern w:val="0"/>
          <w:sz w:val="27"/>
          <w:szCs w:val="27"/>
        </w:rPr>
      </w:pPr>
      <w:r>
        <w:rPr>
          <w:rFonts w:ascii="黑体" w:eastAsia="黑体" w:hAnsi="黑体" w:cs="宋体" w:hint="eastAsia"/>
          <w:color w:val="000000"/>
          <w:kern w:val="0"/>
          <w:sz w:val="32"/>
          <w:szCs w:val="32"/>
        </w:rPr>
        <w:t>五、存在的主要问题及改进情况</w:t>
      </w:r>
    </w:p>
    <w:p>
      <w:pPr>
        <w:widowControl/>
        <w:shd w:val="clear" w:color="auto" w:fill="FFFFFF"/>
        <w:spacing w:line="560" w:lineRule="exact"/>
        <w:ind w:firstLine="640"/>
        <w:rPr>
          <w:rFonts w:ascii="楷体" w:eastAsia="楷体" w:hAnsi="楷体" w:cs="宋体"/>
          <w:color w:val="333333"/>
          <w:kern w:val="0"/>
          <w:sz w:val="27"/>
          <w:szCs w:val="27"/>
        </w:rPr>
      </w:pPr>
      <w:r>
        <w:rPr>
          <w:rFonts w:ascii="楷体" w:eastAsia="楷体" w:hAnsi="楷体" w:cs="宋体" w:hint="eastAsia"/>
          <w:color w:val="000000"/>
          <w:kern w:val="0"/>
          <w:sz w:val="32"/>
          <w:szCs w:val="32"/>
        </w:rPr>
        <w:t>（一）政务公开存在问题</w:t>
      </w:r>
    </w:p>
    <w:p>
      <w:pPr>
        <w:widowControl/>
        <w:shd w:val="clear" w:color="auto" w:fill="FFFFFF"/>
        <w:spacing w:line="560" w:lineRule="exact"/>
        <w:ind w:firstLine="643"/>
        <w:jc w:val="left"/>
        <w:rPr>
          <w:rFonts w:ascii="仿宋_GB2312" w:eastAsia="仿宋_GB2312" w:hAnsi="楷体" w:cs="宋体"/>
          <w:color w:val="000000"/>
          <w:kern w:val="0"/>
          <w:sz w:val="16"/>
          <w:szCs w:val="16"/>
        </w:rPr>
      </w:pPr>
      <w:r>
        <w:rPr>
          <w:rFonts w:ascii="仿宋_GB2312" w:eastAsia="仿宋_GB2312" w:hAnsi="楷体" w:cs="Times New Roman" w:hint="eastAsia"/>
          <w:b/>
          <w:bCs/>
          <w:color w:val="000000"/>
          <w:kern w:val="0"/>
          <w:sz w:val="32"/>
          <w:szCs w:val="32"/>
        </w:rPr>
        <w:t>1、政务公开的及时性还需加强</w:t>
      </w:r>
      <w:r>
        <w:rPr>
          <w:rFonts w:ascii="仿宋_GB2312" w:eastAsia="仿宋_GB2312" w:hAnsi="楷体" w:cs="Times New Roman" w:hint="eastAsia"/>
          <w:color w:val="000000"/>
          <w:sz w:val="32"/>
          <w:szCs w:val="32"/>
        </w:rPr>
        <w:t>。</w:t>
      </w:r>
      <w:r>
        <w:rPr>
          <w:rFonts w:ascii="仿宋_GB2312" w:eastAsia="仿宋_GB2312" w:hAnsi="楷体" w:cs="Times New Roman" w:hint="eastAsia"/>
          <w:color w:val="000000"/>
          <w:kern w:val="0"/>
          <w:sz w:val="32"/>
          <w:szCs w:val="32"/>
        </w:rPr>
        <w:t>公开工作的及时性将直接影响到人民群众多交通工作的参与度和知情度，2023年“两化”板块的公开力度，由于交通综合执法改革，海事部门未下划到县级部门管理，仍市级垂直管理，照成一定程度上水路交通相关信息公开不及时</w:t>
      </w:r>
    </w:p>
    <w:p>
      <w:pPr>
        <w:widowControl/>
        <w:shd w:val="clear" w:color="auto" w:fill="FFFFFF"/>
        <w:spacing w:line="560" w:lineRule="exact"/>
        <w:ind w:firstLine="643"/>
        <w:jc w:val="left"/>
        <w:rPr>
          <w:rFonts w:ascii="仿宋_GB2312" w:eastAsia="仿宋_GB2312" w:hAnsi="楷体" w:cs="宋体"/>
          <w:color w:val="333333"/>
          <w:kern w:val="0"/>
          <w:sz w:val="27"/>
          <w:szCs w:val="27"/>
        </w:rPr>
      </w:pPr>
      <w:r>
        <w:rPr>
          <w:rFonts w:ascii="仿宋_GB2312" w:eastAsia="仿宋_GB2312" w:hAnsi="楷体" w:cs="Times New Roman" w:hint="eastAsia"/>
          <w:b/>
          <w:bCs/>
          <w:color w:val="000000"/>
          <w:kern w:val="0"/>
          <w:sz w:val="32"/>
          <w:szCs w:val="32"/>
        </w:rPr>
        <w:t>2、政务公开的培训力度还学加强。</w:t>
      </w:r>
      <w:r>
        <w:rPr>
          <w:rFonts w:ascii="仿宋_GB2312" w:eastAsia="仿宋_GB2312" w:hAnsi="楷体" w:cs="Times New Roman" w:hint="eastAsia"/>
          <w:color w:val="000000"/>
          <w:kern w:val="0"/>
          <w:sz w:val="32"/>
          <w:szCs w:val="32"/>
        </w:rPr>
        <w:t>由于经费等原因，政务公开工作日常业务培训，还是主要靠上级部门每季度统一进行培训提升，单位内部自己邀请相关专家进行培训的机会较少，均是工作人员自学，培训提升力度不够。</w:t>
      </w:r>
    </w:p>
    <w:p>
      <w:pPr>
        <w:widowControl/>
        <w:shd w:val="clear" w:color="auto" w:fill="FFFFFF"/>
        <w:spacing w:line="560" w:lineRule="exact"/>
        <w:ind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（二）下一步改进的措施</w:t>
      </w:r>
    </w:p>
    <w:p>
      <w:pPr>
        <w:widowControl/>
        <w:shd w:val="clear" w:color="auto" w:fill="FFFFFF"/>
        <w:spacing w:line="560" w:lineRule="exact"/>
        <w:ind w:firstLine="643"/>
        <w:jc w:val="left"/>
        <w:rPr>
          <w:rFonts w:ascii="仿宋_GB2312" w:eastAsia="仿宋_GB2312" w:hAnsi="楷体" w:cs="Times New Roman"/>
          <w:color w:val="000000"/>
          <w:kern w:val="0"/>
          <w:sz w:val="32"/>
          <w:szCs w:val="32"/>
        </w:rPr>
      </w:pPr>
      <w:r>
        <w:rPr>
          <w:rFonts w:ascii="仿宋_GB2312" w:eastAsia="仿宋_GB2312" w:hAnsi="楷体" w:cs="Times New Roman"/>
          <w:color w:val="000000"/>
          <w:kern w:val="0"/>
          <w:sz w:val="32"/>
          <w:szCs w:val="32"/>
        </w:rPr>
        <w:t> </w:t>
      </w:r>
      <w:r>
        <w:rPr>
          <w:rFonts w:ascii="仿宋_GB2312" w:eastAsia="仿宋_GB2312" w:hAnsi="楷体" w:cs="Times New Roman"/>
          <w:b/>
          <w:bCs/>
          <w:color w:val="000000"/>
          <w:kern w:val="0"/>
          <w:sz w:val="32"/>
          <w:szCs w:val="32"/>
        </w:rPr>
        <w:t>1、</w:t>
      </w:r>
      <w:r>
        <w:rPr>
          <w:rFonts w:ascii="仿宋_GB2312" w:eastAsia="仿宋_GB2312" w:hAnsi="楷体" w:cs="Times New Roman" w:hint="eastAsia"/>
          <w:b/>
          <w:bCs/>
          <w:color w:val="000000"/>
          <w:kern w:val="0"/>
          <w:sz w:val="32"/>
          <w:szCs w:val="32"/>
        </w:rPr>
        <w:t>进一步</w:t>
      </w:r>
      <w:r>
        <w:rPr>
          <w:rFonts w:ascii="仿宋_GB2312" w:eastAsia="仿宋_GB2312" w:hAnsi="楷体" w:cs="Times New Roman"/>
          <w:b/>
          <w:bCs/>
          <w:color w:val="000000"/>
          <w:kern w:val="0"/>
          <w:sz w:val="32"/>
          <w:szCs w:val="32"/>
        </w:rPr>
        <w:t>加大信息公开的</w:t>
      </w:r>
      <w:r>
        <w:rPr>
          <w:rFonts w:ascii="仿宋_GB2312" w:eastAsia="仿宋_GB2312" w:hAnsi="楷体" w:cs="Times New Roman" w:hint="eastAsia"/>
          <w:b/>
          <w:bCs/>
          <w:color w:val="000000"/>
          <w:kern w:val="0"/>
          <w:sz w:val="32"/>
          <w:szCs w:val="32"/>
        </w:rPr>
        <w:t>丰富</w:t>
      </w:r>
      <w:r>
        <w:rPr>
          <w:rFonts w:ascii="仿宋_GB2312" w:eastAsia="仿宋_GB2312" w:hAnsi="楷体" w:cs="Times New Roman"/>
          <w:b/>
          <w:bCs/>
          <w:color w:val="000000"/>
          <w:kern w:val="0"/>
          <w:sz w:val="32"/>
          <w:szCs w:val="32"/>
        </w:rPr>
        <w:t>性。</w:t>
      </w:r>
      <w:r>
        <w:rPr>
          <w:rFonts w:ascii="仿宋_GB2312" w:eastAsia="仿宋_GB2312" w:hAnsi="楷体" w:cs="Times New Roman" w:hint="eastAsia"/>
          <w:color w:val="000000"/>
          <w:kern w:val="0"/>
          <w:sz w:val="32"/>
          <w:szCs w:val="32"/>
        </w:rPr>
        <w:t>积极</w:t>
      </w:r>
      <w:r>
        <w:rPr>
          <w:rFonts w:ascii="仿宋_GB2312" w:eastAsia="仿宋_GB2312" w:hAnsi="楷体" w:cs="Times New Roman"/>
          <w:color w:val="000000"/>
          <w:kern w:val="0"/>
          <w:sz w:val="32"/>
          <w:szCs w:val="32"/>
        </w:rPr>
        <w:t>协调交通运输系统相关部门实现信息共享及时公开，同时加大公开内容的丰富性</w:t>
      </w:r>
      <w:r>
        <w:rPr>
          <w:rFonts w:ascii="仿宋_GB2312" w:eastAsia="仿宋_GB2312" w:hAnsi="楷体" w:cs="Times New Roman" w:hint="eastAsia"/>
          <w:color w:val="000000"/>
          <w:kern w:val="0"/>
          <w:sz w:val="32"/>
          <w:szCs w:val="32"/>
        </w:rPr>
        <w:t>，</w:t>
      </w:r>
      <w:r>
        <w:rPr>
          <w:rFonts w:ascii="仿宋_GB2312" w:eastAsia="仿宋_GB2312" w:hAnsi="楷体" w:cs="Times New Roman"/>
          <w:color w:val="000000"/>
          <w:kern w:val="0"/>
          <w:sz w:val="32"/>
          <w:szCs w:val="32"/>
        </w:rPr>
        <w:t>探索进行图表性，漫画性信息公开，</w:t>
      </w:r>
      <w:r>
        <w:rPr>
          <w:rFonts w:ascii="仿宋_GB2312" w:eastAsia="仿宋_GB2312" w:hAnsi="楷体" w:cs="Times New Roman" w:hint="eastAsia"/>
          <w:color w:val="000000"/>
          <w:kern w:val="0"/>
          <w:sz w:val="32"/>
          <w:szCs w:val="32"/>
        </w:rPr>
        <w:t>让</w:t>
      </w:r>
      <w:r>
        <w:rPr>
          <w:rFonts w:ascii="仿宋_GB2312" w:eastAsia="仿宋_GB2312" w:hAnsi="楷体" w:cs="Times New Roman"/>
          <w:color w:val="000000"/>
          <w:kern w:val="0"/>
          <w:sz w:val="32"/>
          <w:szCs w:val="32"/>
        </w:rPr>
        <w:t>交通运输系统信息公开工作不断迈上新台阶</w:t>
      </w:r>
      <w:r>
        <w:rPr>
          <w:rFonts w:ascii="仿宋_GB2312" w:eastAsia="仿宋_GB2312" w:hAnsi="楷体" w:cs="Times New Roman" w:hint="eastAsia"/>
          <w:color w:val="000000"/>
          <w:kern w:val="0"/>
          <w:sz w:val="32"/>
          <w:szCs w:val="32"/>
        </w:rPr>
        <w:t>。</w:t>
      </w:r>
    </w:p>
    <w:p>
      <w:pPr>
        <w:widowControl/>
        <w:shd w:val="clear" w:color="auto" w:fill="FFFFFF"/>
        <w:spacing w:line="560" w:lineRule="exact"/>
        <w:ind w:firstLine="643"/>
        <w:jc w:val="left"/>
        <w:rPr>
          <w:rFonts w:ascii="仿宋_GB2312" w:eastAsia="仿宋_GB2312" w:hAnsi="楷体" w:cs="Times New Roman"/>
          <w:color w:val="000000"/>
          <w:kern w:val="0"/>
          <w:sz w:val="32"/>
          <w:szCs w:val="32"/>
        </w:rPr>
      </w:pPr>
      <w:r>
        <w:rPr>
          <w:rFonts w:ascii="仿宋_GB2312" w:eastAsia="仿宋_GB2312" w:hAnsi="楷体" w:cs="Times New Roman"/>
          <w:b/>
          <w:bCs/>
          <w:color w:val="000000"/>
          <w:kern w:val="0"/>
          <w:sz w:val="32"/>
          <w:szCs w:val="32"/>
        </w:rPr>
        <w:t> 2、</w:t>
      </w:r>
      <w:r>
        <w:rPr>
          <w:rFonts w:ascii="仿宋_GB2312" w:eastAsia="仿宋_GB2312" w:hAnsi="楷体" w:cs="Times New Roman" w:hint="eastAsia"/>
          <w:b/>
          <w:bCs/>
          <w:color w:val="000000"/>
          <w:kern w:val="0"/>
          <w:sz w:val="32"/>
          <w:szCs w:val="32"/>
        </w:rPr>
        <w:t>进一步</w:t>
      </w:r>
      <w:r>
        <w:rPr>
          <w:rFonts w:ascii="仿宋_GB2312" w:eastAsia="仿宋_GB2312" w:hAnsi="楷体" w:cs="Times New Roman"/>
          <w:b/>
          <w:bCs/>
          <w:color w:val="000000"/>
          <w:kern w:val="0"/>
          <w:sz w:val="32"/>
          <w:szCs w:val="32"/>
        </w:rPr>
        <w:t>提升培训工作的力度</w:t>
      </w:r>
      <w:r>
        <w:rPr>
          <w:rFonts w:ascii="仿宋_GB2312" w:eastAsia="仿宋_GB2312" w:hAnsi="楷体" w:cs="Times New Roman" w:hint="eastAsia"/>
          <w:b/>
          <w:bCs/>
          <w:color w:val="000000"/>
          <w:kern w:val="0"/>
          <w:sz w:val="32"/>
          <w:szCs w:val="32"/>
        </w:rPr>
        <w:t>。</w:t>
      </w:r>
      <w:r>
        <w:rPr>
          <w:rFonts w:ascii="仿宋_GB2312" w:eastAsia="仿宋_GB2312" w:hAnsi="楷体" w:cs="Times New Roman" w:hint="eastAsia"/>
          <w:color w:val="000000"/>
          <w:kern w:val="0"/>
          <w:sz w:val="32"/>
          <w:szCs w:val="32"/>
        </w:rPr>
        <w:t>要加强对业务人员的培训工作，不定期要求相关专家和领导开展政务公开工作集中授课，同时积极探索走出去，到政务公开先进单位和地方进行交流学习，不断提升信息公开业务水平。</w:t>
      </w:r>
    </w:p>
    <w:p>
      <w:pPr>
        <w:widowControl/>
        <w:shd w:val="clear" w:color="auto" w:fill="FFFFFF"/>
        <w:spacing w:line="560" w:lineRule="exact"/>
        <w:ind w:firstLine="640"/>
        <w:rPr>
          <w:rFonts w:ascii="黑体" w:eastAsia="黑体" w:hAnsi="黑体" w:cs="宋体"/>
          <w:color w:val="333333"/>
          <w:kern w:val="0"/>
          <w:sz w:val="27"/>
          <w:szCs w:val="27"/>
        </w:rPr>
      </w:pPr>
      <w:r>
        <w:rPr>
          <w:rFonts w:ascii="黑体" w:eastAsia="黑体" w:hAnsi="黑体" w:cs="宋体" w:hint="eastAsia"/>
          <w:color w:val="000000"/>
          <w:kern w:val="0"/>
          <w:sz w:val="32"/>
          <w:szCs w:val="32"/>
        </w:rPr>
        <w:t>六、其他需要报告的事项</w:t>
      </w:r>
    </w:p>
    <w:p>
      <w:pPr>
        <w:widowControl/>
        <w:shd w:val="clear" w:color="auto" w:fill="FFFFFF"/>
        <w:spacing w:line="560" w:lineRule="exact"/>
        <w:ind w:firstLine="640"/>
        <w:rPr>
          <w:rFonts w:ascii="仿宋_GB2312" w:eastAsia="仿宋_GB2312" w:hAnsi="微软雅黑" w:cs="宋体"/>
          <w:color w:val="333333"/>
          <w:kern w:val="0"/>
          <w:sz w:val="27"/>
          <w:szCs w:val="27"/>
        </w:rPr>
      </w:pPr>
      <w:r>
        <w:rPr>
          <w:rFonts w:ascii="仿宋_GB2312" w:eastAsia="仿宋_GB2312" w:hAnsi="Times New Roman" w:cs="Times New Roman" w:hint="eastAsia"/>
          <w:color w:val="000000"/>
          <w:kern w:val="0"/>
          <w:sz w:val="32"/>
          <w:szCs w:val="32"/>
        </w:rPr>
        <w:t>1、按照《国务院办公厅关于印发&lt;政府信息公开信息处理费管理办法&gt;的通知》(国办函〔2020〕109号)和《安徽省财政厅安徽省发展和改革委员会关于政府信息公开信息处理费用有关事项的通知》（皖财综〔2021〕28号）文件，本年度未收取信息处理费。</w:t>
      </w:r>
    </w:p>
    <w:p>
      <w:pPr>
        <w:widowControl/>
        <w:shd w:val="clear" w:color="auto" w:fill="FFFFFF"/>
        <w:spacing w:line="56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kern w:val="0"/>
          <w:sz w:val="32"/>
          <w:szCs w:val="32"/>
        </w:rPr>
        <w:t>2、依据《安徽省交通运输领域基层政务公开事项指引目录及安徽省公共交通企事业单位信息公开标准化规范化工作指引》，进一步完善了政务公开两化模块，</w:t>
      </w:r>
      <w:r>
        <w:rPr>
          <w:rFonts w:ascii="仿宋_GB2312" w:eastAsia="仿宋_GB2312" w:hAnsi="Times New Roman" w:cs="Times New Roman" w:hint="eastAsia"/>
          <w:color w:val="000000"/>
          <w:sz w:val="32"/>
          <w:szCs w:val="32"/>
        </w:rPr>
        <w:t>编制了“运输服务”，“乡村振兴”、“办事服务”3大板块7子版块；其中运输服务板块分为：道路运输、水路运输、城乡旅客运输、综合运输四个字板块。乡村振兴板块分为：四好农村路子板块；办事服务板块分为：办事指南和办事结果子板块。平台建设更加完善</w:t>
      </w:r>
    </w:p>
    <w:p>
      <w:pPr>
        <w:widowControl/>
        <w:shd w:val="clear" w:color="auto" w:fill="FFFFFF"/>
        <w:spacing w:line="560" w:lineRule="exact"/>
        <w:ind w:firstLine="5760" w:firstLineChars="1800"/>
        <w:rPr>
          <w:rFonts w:ascii="Times New Roman" w:eastAsia="仿宋_GB2312" w:hAnsi="Times New Roman" w:cs="Times New Roman"/>
          <w:color w:val="000000"/>
          <w:kern w:val="0"/>
          <w:sz w:val="32"/>
          <w:szCs w:val="32"/>
        </w:rPr>
      </w:pPr>
    </w:p>
    <w:p>
      <w:pPr>
        <w:widowControl/>
        <w:shd w:val="clear" w:color="auto" w:fill="FFFFFF"/>
        <w:spacing w:line="560" w:lineRule="exact"/>
        <w:ind w:firstLine="5760" w:firstLineChars="1800"/>
        <w:rPr>
          <w:rFonts w:ascii="仿宋_GB2312"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 </w:t>
      </w:r>
      <w:r>
        <w:rPr>
          <w:rFonts w:ascii="仿宋_GB2312" w:eastAsia="仿宋_GB2312" w:hAnsi="Times New Roman" w:cs="Times New Roman" w:hint="eastAsia"/>
          <w:color w:val="000000"/>
          <w:sz w:val="32"/>
          <w:szCs w:val="32"/>
        </w:rPr>
        <w:t>寿县交通运输局  </w:t>
      </w:r>
    </w:p>
    <w:p>
      <w:pPr>
        <w:widowControl/>
        <w:shd w:val="clear" w:color="auto" w:fill="FFFFFF"/>
        <w:spacing w:line="560" w:lineRule="exact"/>
        <w:jc w:val="righ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                                      2024年1月20日</w:t>
      </w:r>
    </w:p>
    <w:bookmarkEnd w:id="0"/>
    <w:p>
      <w:pPr>
        <w:spacing w:line="560" w:lineRule="exact"/>
        <w:rPr>
          <w:rFonts w:ascii="仿宋_GB2312" w:eastAsia="仿宋_GB231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13"/>
    <w:rsid w:val="000C48E6"/>
    <w:rsid w:val="000D594C"/>
    <w:rsid w:val="000E258D"/>
    <w:rsid w:val="00211C67"/>
    <w:rsid w:val="002F5DF1"/>
    <w:rsid w:val="002F7E18"/>
    <w:rsid w:val="003A47AC"/>
    <w:rsid w:val="0046300C"/>
    <w:rsid w:val="00480BB0"/>
    <w:rsid w:val="00533249"/>
    <w:rsid w:val="005620D3"/>
    <w:rsid w:val="005B40AB"/>
    <w:rsid w:val="005E1762"/>
    <w:rsid w:val="006801B7"/>
    <w:rsid w:val="00704BC4"/>
    <w:rsid w:val="0079376B"/>
    <w:rsid w:val="00836F15"/>
    <w:rsid w:val="0083782B"/>
    <w:rsid w:val="00852D14"/>
    <w:rsid w:val="0089593F"/>
    <w:rsid w:val="00911BFB"/>
    <w:rsid w:val="00945643"/>
    <w:rsid w:val="00AA6892"/>
    <w:rsid w:val="00B57974"/>
    <w:rsid w:val="00B90992"/>
    <w:rsid w:val="00C832D5"/>
    <w:rsid w:val="00D62E4C"/>
    <w:rsid w:val="00DC3D86"/>
    <w:rsid w:val="00E00413"/>
    <w:rsid w:val="0A5564D7"/>
    <w:rsid w:val="5269236B"/>
    <w:rsid w:val="6A302A15"/>
  </w:rsids>
  <w:docVars>
    <w:docVar w:name="commondata" w:val="eyJoZGlkIjoiNzUxZmU1NWNlMzU1NGE3M2QyODFhMDY2YjMxODk1M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Indent2"/>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BodyTextIndent2">
    <w:name w:val="Body Text Indent 2"/>
    <w:next w:val="Normal"/>
    <w:qFormat/>
    <w:pPr>
      <w:widowControl w:val="0"/>
      <w:spacing w:after="120" w:afterLines="0" w:line="480" w:lineRule="auto"/>
      <w:ind w:left="420" w:leftChars="200"/>
      <w:jc w:val="both"/>
    </w:pPr>
    <w:rPr>
      <w:rFonts w:ascii="Times New Roman" w:eastAsia="宋体" w:hAnsi="Times New Roman" w:cs="Times New Roman"/>
      <w:kern w:val="2"/>
      <w:sz w:val="21"/>
      <w:szCs w:val="24"/>
      <w:lang w:val="en-US" w:eastAsia="zh-CN" w:bidi="ar-SA"/>
    </w:rPr>
  </w:style>
  <w:style w:type="paragraph" w:styleId="Footer">
    <w:name w:val="footer"/>
    <w:basedOn w:val="Normal"/>
    <w:link w:val="Char0"/>
    <w:autoRedefine/>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p">
    <w:name w:val="p"/>
    <w:basedOn w:val="Normal"/>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DefaultParagraphFont"/>
    <w:link w:val="Heading1"/>
    <w:autoRedefine/>
    <w:uiPriority w:val="9"/>
    <w:qFormat/>
    <w:rPr>
      <w:rFonts w:ascii="宋体" w:eastAsia="宋体" w:hAnsi="宋体" w:cs="宋体"/>
      <w:b/>
      <w:bCs/>
      <w:kern w:val="36"/>
      <w:sz w:val="48"/>
      <w:szCs w:val="48"/>
    </w:rPr>
  </w:style>
  <w:style w:type="character" w:customStyle="1" w:styleId="Char">
    <w:name w:val="页眉 Char"/>
    <w:basedOn w:val="DefaultParagraphFont"/>
    <w:link w:val="Header"/>
    <w:autoRedefine/>
    <w:uiPriority w:val="99"/>
    <w:semiHidden/>
    <w:qFormat/>
    <w:rPr>
      <w:sz w:val="18"/>
      <w:szCs w:val="18"/>
    </w:rPr>
  </w:style>
  <w:style w:type="character" w:customStyle="1" w:styleId="Char0">
    <w:name w:val="页脚 Char"/>
    <w:basedOn w:val="DefaultParagraphFont"/>
    <w:link w:val="Footer"/>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686E1-3FBB-46F7-9997-145D5A794E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时光星噬</cp:lastModifiedBy>
  <cp:revision>3</cp:revision>
  <dcterms:created xsi:type="dcterms:W3CDTF">2024-01-20T02:49:00Z</dcterms:created>
  <dcterms:modified xsi:type="dcterms:W3CDTF">2024-02-01T06:52:13Z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6FB44F59063F4E4D8D283DB7C743847B_12</vt:lpwstr>
  </property>
  <property fmtid="{D5CDD505-2E9C-101B-9397-08002B2CF9AE}" pid="3" name="KSOProductBuildVer">
    <vt:lpwstr>2052-12.1.0.16250</vt:lpwstr>
  </property>
</Properties>
</file>