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仿宋" w:hAnsi="仿宋" w:eastAsia="仿宋" w:cs="仿宋"/>
          <w:b/>
          <w:bCs/>
          <w:i w:val="0"/>
          <w:iCs w:val="0"/>
          <w:caps w:val="0"/>
          <w:color w:val="333333"/>
          <w:spacing w:val="0"/>
          <w:sz w:val="44"/>
          <w:szCs w:val="44"/>
        </w:rPr>
      </w:pPr>
      <w:r>
        <w:rPr>
          <w:rFonts w:hint="eastAsia" w:ascii="仿宋" w:hAnsi="仿宋" w:eastAsia="仿宋" w:cs="仿宋"/>
          <w:b/>
          <w:bCs/>
          <w:i w:val="0"/>
          <w:iCs w:val="0"/>
          <w:caps w:val="0"/>
          <w:color w:val="333333"/>
          <w:spacing w:val="0"/>
          <w:sz w:val="44"/>
          <w:szCs w:val="44"/>
          <w:shd w:val="clear" w:fill="FFFFFF"/>
        </w:rPr>
        <w:t>寿县众兴镇</w:t>
      </w:r>
      <w:r>
        <w:rPr>
          <w:rFonts w:hint="eastAsia" w:ascii="仿宋" w:hAnsi="仿宋" w:eastAsia="仿宋" w:cs="仿宋"/>
          <w:b/>
          <w:bCs/>
          <w:i w:val="0"/>
          <w:iCs w:val="0"/>
          <w:caps w:val="0"/>
          <w:color w:val="333333"/>
          <w:spacing w:val="0"/>
          <w:sz w:val="44"/>
          <w:szCs w:val="44"/>
          <w:shd w:val="clear" w:fill="FFFFFF"/>
          <w:lang w:eastAsia="zh-CN"/>
        </w:rPr>
        <w:t>人民政府</w:t>
      </w:r>
      <w:r>
        <w:rPr>
          <w:rFonts w:hint="eastAsia" w:ascii="仿宋" w:hAnsi="仿宋" w:eastAsia="仿宋" w:cs="仿宋"/>
          <w:b/>
          <w:bCs/>
          <w:i w:val="0"/>
          <w:iCs w:val="0"/>
          <w:caps w:val="0"/>
          <w:color w:val="333333"/>
          <w:spacing w:val="0"/>
          <w:sz w:val="44"/>
          <w:szCs w:val="44"/>
          <w:shd w:val="clear" w:fill="FFFFFF"/>
        </w:rPr>
        <w:t>202</w:t>
      </w:r>
      <w:r>
        <w:rPr>
          <w:rFonts w:hint="eastAsia" w:ascii="仿宋" w:hAnsi="仿宋" w:eastAsia="仿宋" w:cs="仿宋"/>
          <w:b/>
          <w:bCs/>
          <w:i w:val="0"/>
          <w:iCs w:val="0"/>
          <w:caps w:val="0"/>
          <w:color w:val="333333"/>
          <w:spacing w:val="0"/>
          <w:sz w:val="44"/>
          <w:szCs w:val="44"/>
          <w:shd w:val="clear" w:fill="FFFFFF"/>
          <w:lang w:val="en-US" w:eastAsia="zh-CN"/>
        </w:rPr>
        <w:t>3</w:t>
      </w:r>
      <w:r>
        <w:rPr>
          <w:rFonts w:hint="eastAsia" w:ascii="仿宋" w:hAnsi="仿宋" w:eastAsia="仿宋" w:cs="仿宋"/>
          <w:b/>
          <w:bCs/>
          <w:i w:val="0"/>
          <w:iCs w:val="0"/>
          <w:caps w:val="0"/>
          <w:color w:val="333333"/>
          <w:spacing w:val="0"/>
          <w:sz w:val="44"/>
          <w:szCs w:val="44"/>
          <w:shd w:val="clear" w:fill="FFFFFF"/>
        </w:rPr>
        <w:t>年政府信息公开工作年度报告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leftChars="0" w:right="0"/>
        <w:jc w:val="both"/>
        <w:textAlignment w:val="auto"/>
        <w:rPr>
          <w:rFonts w:ascii="仿宋_GB2312" w:hAnsi="宋体" w:eastAsia="仿宋_GB2312" w:cs="仿宋_GB2312"/>
          <w:b/>
          <w:bCs/>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本报告依据</w:t>
      </w:r>
      <w:r>
        <w:rPr>
          <w:rFonts w:hint="default" w:ascii="Times New Roman" w:hAnsi="Times New Roman" w:eastAsia="方正仿宋_GBK" w:cs="Times New Roman"/>
          <w:i w:val="0"/>
          <w:iCs w:val="0"/>
          <w:caps w:val="0"/>
          <w:color w:val="333333"/>
          <w:spacing w:val="0"/>
          <w:sz w:val="32"/>
          <w:szCs w:val="32"/>
        </w:rPr>
        <w:t>《中华人民共和国政府信息公开条例》（国务院令第</w:t>
      </w:r>
      <w:r>
        <w:rPr>
          <w:rFonts w:hint="default" w:ascii="Times New Roman" w:hAnsi="Times New Roman" w:eastAsia="方正仿宋_GBK" w:cs="Times New Roman"/>
          <w:i w:val="0"/>
          <w:iCs w:val="0"/>
          <w:caps w:val="0"/>
          <w:color w:val="333333"/>
          <w:spacing w:val="0"/>
          <w:sz w:val="32"/>
          <w:szCs w:val="32"/>
          <w:shd w:val="clear" w:fill="FFFFFF"/>
        </w:rPr>
        <w:t>711</w:t>
      </w:r>
      <w:r>
        <w:rPr>
          <w:rFonts w:hint="default" w:ascii="Times New Roman" w:hAnsi="Times New Roman" w:eastAsia="方正仿宋_GBK" w:cs="Times New Roman"/>
          <w:i w:val="0"/>
          <w:iCs w:val="0"/>
          <w:caps w:val="0"/>
          <w:color w:val="333333"/>
          <w:spacing w:val="0"/>
          <w:sz w:val="32"/>
          <w:szCs w:val="32"/>
        </w:rPr>
        <w:t>号）</w:t>
      </w:r>
      <w:r>
        <w:rPr>
          <w:rFonts w:hint="default" w:ascii="Times New Roman" w:hAnsi="Times New Roman" w:eastAsia="方正仿宋_GBK" w:cs="Times New Roman"/>
          <w:i w:val="0"/>
          <w:iCs w:val="0"/>
          <w:caps w:val="0"/>
          <w:color w:val="333333"/>
          <w:spacing w:val="0"/>
          <w:sz w:val="32"/>
          <w:szCs w:val="32"/>
          <w:lang w:eastAsia="zh-CN"/>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国务院办公厅政府信息与政务公开办公室关于印发〈中华人民共和国政府信息公开工作年度报告格式〉的通知》（国办公开办函〔2021〕30号，以下简称《通知》）、《安徽省政务公开办公室关于做好2023年政府信息公开工作年度报告编制和数据报送工作的通知》（皖政务办秘〔2024〕2号）要求，结合众兴镇政府信息公开工作有关统计数据撰写。报告主要包括六个板块：1总体情况、2主动公开政府信息情况、3收到和处理政府信息公开申请情况、4政府信息公开行政复议、行政诉讼情况、5存在的主要问题及改进情况、6其他需要报告的事项。本报告中使用数据统计期限为2023年1月1日至12月31日。报告的电子版可在寿县政府信息公开网站下载。如对本报告有任何疑问，请与众兴镇人民政府联系（地址：淮南市寿县众兴镇人民政府，电话：0554-4699088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2"/>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2023年度在本镇政务信息公开网上主动公开信息737条。为让群众切实感受到政务公开带来的好处，我镇在政务公开上，重点公开与群众息息相关的民生问题，如招投标、环境保护。在公开的内容上，既以上级的要求为依据，又注意结合本镇的实际，不断健全和维护本镇新政务信息公开平台。</w:t>
      </w:r>
      <w:r>
        <w:rPr>
          <w:rFonts w:hint="default" w:ascii="Times New Roman" w:hAnsi="Times New Roman" w:eastAsia="方正仿宋_GBK" w:cs="Times New Roman"/>
          <w:i w:val="0"/>
          <w:iCs w:val="0"/>
          <w:caps w:val="0"/>
          <w:color w:val="000000"/>
          <w:spacing w:val="0"/>
          <w:sz w:val="32"/>
          <w:szCs w:val="32"/>
          <w:shd w:val="clear" w:color="auto" w:fill="FFFFFF"/>
        </w:rPr>
        <w:t>认真贯彻落实</w:t>
      </w:r>
      <w:r>
        <w:rPr>
          <w:rFonts w:hint="default" w:ascii="Times New Roman" w:hAnsi="Times New Roman" w:eastAsia="方正仿宋_GBK" w:cs="Times New Roman"/>
          <w:i w:val="0"/>
          <w:iCs w:val="0"/>
          <w:caps w:val="0"/>
          <w:color w:val="000000"/>
          <w:spacing w:val="0"/>
          <w:sz w:val="32"/>
          <w:szCs w:val="32"/>
          <w:shd w:val="clear" w:fill="FFFFFF"/>
        </w:rPr>
        <w:t>《寿县2023年度政务公开重点工作清单》</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对本单位政府信息公开网有所变动的栏目内容进行及时更新，如领导简介、分工、内部设置等，同时采用图表、图片等多种可视化形式进行政策解读、为民服务流程说明。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1、主动公开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紧紧围绕寿县和众兴镇政府的工作及人民群众重点关切问题，及时公开政府各类信息。经统计，众兴镇2023年政务公开发布公开信息共737条，其中，发布政策文件10条，财政资金33条，应急管理45条，政府会议26条，年度重点工作任务分解、执行及落实情况共21条，回应关切26条，为民服务栏目共32条，财政专项资金栏目258条，并对基层政务公开栏目进行定期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2、依申请公开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我镇2023年未收到政府信息公开申请。在全年的公开信息中，无因政府信息公开工作申请行政复议、提起行政诉讼的情况发生。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3、政府信息管理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一是明确领导同意。在镇政务公开领导小组统一管理下，镇党政办为牵头单位，各部门、单位负责协助，提供政务公开相关业务资料；二是明确职责划分。确定部门职能，按月按季收集整理各部门重点工作数据及文字，加强网站管理，完善公开栏目内容；三是严守信息发布准确性与保密性，由党政办牵头为每份文件进行审核，保障不泄密与文件准确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4、政府信息公开平台建设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众兴镇高度重视政务公开工作，我镇按要求统一对公开平台进行调整。按照上级要求，主动扩大公开栏目，完</w:t>
      </w:r>
      <w:bookmarkStart w:id="0" w:name="_GoBack"/>
      <w:bookmarkEnd w:id="0"/>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善公开栏目类型。在服务大厅设立了“政务专区”，配备相关设施以及相关政策宣传，并有专人负责。结合我镇实际工作部署，严格按照各级政府发布的规范公开要素，保证网站普查栏目信息齐全。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5、监督保障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2023年，众兴镇参加四次与本镇相关评估，共参与四次相关业务培训会，极大的提高了该镇政务公开业务能力，有力促进了各部门政务信息公开协作能力。完善社会评议制度，强化责任追究，严格遵守《淮南市政府信息公开社会评议制度》、《淮南市政府信息公开责任追究制度》，保障人民群众的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D3D3D"/>
          <w:spacing w:val="0"/>
          <w:kern w:val="0"/>
          <w:sz w:val="32"/>
          <w:szCs w:val="32"/>
          <w:shd w:val="clear" w:fill="FFFFFF"/>
          <w:lang w:val="en-US" w:eastAsia="zh-CN" w:bidi="ar"/>
        </w:rPr>
        <w:t>2023年我镇在县政务公开工作考核中取得了优秀成绩，接受各单位和群众的社会监督、社会评议，社会群众对我镇信息公开评议结果较好。2023年我镇未发生政务公开责任追究情况。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二、主动公开政府信息情况</w:t>
      </w:r>
    </w:p>
    <w:tbl>
      <w:tblPr>
        <w:tblStyle w:val="5"/>
        <w:tblpPr w:leftFromText="180" w:rightFromText="180" w:vertAnchor="text" w:horzAnchor="page" w:tblpX="2100" w:tblpY="256"/>
        <w:tblOverlap w:val="neve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25"/>
        <w:gridCol w:w="2025"/>
        <w:gridCol w:w="20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本年废止件数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规章</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行政规范性文件</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行政许可</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行政处罚</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行政强制</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行政事业性收费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562" w:firstLineChars="20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三、收到和处理政府信息公开申请情况</w:t>
      </w:r>
    </w:p>
    <w:tbl>
      <w:tblPr>
        <w:tblStyle w:val="5"/>
        <w:tblW w:w="83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591"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自然人</w:t>
            </w:r>
          </w:p>
        </w:tc>
        <w:tc>
          <w:tcPr>
            <w:tcW w:w="2957"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法人或其他组织</w:t>
            </w:r>
          </w:p>
        </w:tc>
        <w:tc>
          <w:tcPr>
            <w:tcW w:w="592"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591"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企业</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机构</w:t>
            </w:r>
          </w:p>
        </w:tc>
        <w:tc>
          <w:tcPr>
            <w:tcW w:w="59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社会公益组织</w:t>
            </w:r>
          </w:p>
        </w:tc>
        <w:tc>
          <w:tcPr>
            <w:tcW w:w="59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法律服务机构</w:t>
            </w:r>
          </w:p>
        </w:tc>
        <w:tc>
          <w:tcPr>
            <w:tcW w:w="593"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其他</w:t>
            </w:r>
          </w:p>
        </w:tc>
        <w:tc>
          <w:tcPr>
            <w:tcW w:w="592"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一、本年新收政府信息公开申请数量</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二、上年结转政府信息公开申请数量</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三、本年度办理结果</w:t>
            </w:r>
          </w:p>
        </w:tc>
        <w:tc>
          <w:tcPr>
            <w:tcW w:w="357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（一）予以公开</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357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（二）部分公开（区分处理的，只计这一情形，不计其他情形）</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（三）不予公开</w:t>
            </w: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1.属于国家秘密</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2.其他法律行政法规禁止公开</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3.危及“三安全一稳定”</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4.保护第三方合法权益</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5.属于三类内部事务信息</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6.属于四类过程性信息</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7.属于行政执法案卷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8.属于行政查询事项</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（四）无法提供</w:t>
            </w: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1.本机关不掌握相关政府信息</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2.没有现成信息需要另行制作</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3.补正后申请内容仍不明确</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（五）不予处理</w:t>
            </w: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1.信访举报投诉类申请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2.重复申请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3.要求提供公开出版物</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4.无正当理由大量反复申请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5.要求行政机关确认或重新出具已获取信息</w:t>
            </w:r>
          </w:p>
        </w:tc>
        <w:tc>
          <w:tcPr>
            <w:tcW w:w="5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（六）其他处理</w:t>
            </w: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81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276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3.其他</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p>
        </w:tc>
        <w:tc>
          <w:tcPr>
            <w:tcW w:w="3579"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（七）总计</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四、结转下年度继续办理</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c>
          <w:tcPr>
            <w:tcW w:w="5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562" w:firstLineChars="20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四、政府信息公开行政复议、</w:t>
      </w: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行政诉讼</w:t>
      </w:r>
      <w:r>
        <w:rPr>
          <w:rFonts w:hint="eastAsia" w:ascii="宋体" w:hAnsi="宋体" w:eastAsia="宋体" w:cs="宋体"/>
          <w:b/>
          <w:bCs/>
          <w:i w:val="0"/>
          <w:iCs w:val="0"/>
          <w:caps w:val="0"/>
          <w:color w:val="333333"/>
          <w:spacing w:val="0"/>
          <w:kern w:val="0"/>
          <w:sz w:val="28"/>
          <w:szCs w:val="28"/>
          <w:shd w:val="clear" w:fill="FFFFFF"/>
          <w:lang w:val="en-US" w:eastAsia="zh-CN" w:bidi="ar"/>
        </w:rPr>
        <w:t>情况</w:t>
      </w:r>
    </w:p>
    <w:tbl>
      <w:tblPr>
        <w:tblStyle w:val="5"/>
        <w:tblW w:w="77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行政复议</w:t>
            </w:r>
          </w:p>
        </w:tc>
        <w:tc>
          <w:tcPr>
            <w:tcW w:w="520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结果维持</w:t>
            </w:r>
          </w:p>
        </w:tc>
        <w:tc>
          <w:tcPr>
            <w:tcW w:w="51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纠正</w:t>
            </w:r>
          </w:p>
        </w:tc>
        <w:tc>
          <w:tcPr>
            <w:tcW w:w="51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tc>
        <w:tc>
          <w:tcPr>
            <w:tcW w:w="51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审结</w:t>
            </w:r>
          </w:p>
        </w:tc>
        <w:tc>
          <w:tcPr>
            <w:tcW w:w="52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总计</w:t>
            </w:r>
          </w:p>
        </w:tc>
        <w:tc>
          <w:tcPr>
            <w:tcW w:w="259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未经复议直接起诉</w:t>
            </w:r>
          </w:p>
        </w:tc>
        <w:tc>
          <w:tcPr>
            <w:tcW w:w="260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p>
        </w:tc>
        <w:tc>
          <w:tcPr>
            <w:tcW w:w="5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p>
        </w:tc>
        <w:tc>
          <w:tcPr>
            <w:tcW w:w="51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p>
        </w:tc>
        <w:tc>
          <w:tcPr>
            <w:tcW w:w="51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p>
        </w:tc>
        <w:tc>
          <w:tcPr>
            <w:tcW w:w="52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维持</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纠正</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审结</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总计</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维持</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纠正</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tc>
        <w:tc>
          <w:tcPr>
            <w:tcW w:w="5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审结</w:t>
            </w:r>
          </w:p>
        </w:tc>
        <w:tc>
          <w:tcPr>
            <w:tcW w:w="5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c>
          <w:tcPr>
            <w:tcW w:w="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2023年，我镇严格按照《条例》规定认真开展政务信息公开工作，但是从考评结果反映出我们当前的工作与《条例》要求相比，还有一定差距。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主要表现在：(一)栏目更新维护不及时、不到位，信息要素不全。(二)未运用简明问答、图片图表、音频视频、卡通动漫等群众喜闻乐见的展现形式对政策文件进行解读。（三）政务公开工作人员对于需要进行公开的内容了解不全面加上公开栏目太多，导致栏目更新维护不及时、不到位，信息要素不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right="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一是继续优化规范流程。做好政策性、规范性文件发布前置环节审核工作，起草拟稿、公示、征集意见、送审、文件发布和解读材料全过程的流程图模板，确保政务公开操作统一化、规范化。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二是持续完善专题。各个重点项目的专题网站，要进行持续优化和维护，并定期做好巡查，持续抓好信息格式、更新频率等薄弱环节，确保涉及群众切身利益的信息应公开尽公开。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三是加强信息公开工作培训。在积极参加县政府组织的政府信息公开工作培训的基础上，搞好信息公开工作人员业务培训工作。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3" w:firstLineChars="20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六、其他需要</w:t>
      </w:r>
      <w:r>
        <w:rPr>
          <w:rFonts w:hint="default"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报告</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1.按照《国务院办公厅关于印发〈政府信息公开信息处理费管理办法〉的通知》（国办函〔2020〕109号）规定的按件、按量收费标准，本年度没有产生信息公开处理费。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2.2023年的工作难点在于乡镇居民对于智能化服务端的不认知以及不会使用。所以2023年的工作重点为在众兴镇八个街道和村积极推广新媒体政务平台的使用和推广，第一季度主要着重于推广相关平台以及政务APP，包括市长热线、部门信箱、皖事通等平台，让群众接受并会用。第二季度着重于对于来政府实地办事的人员实地教学网上办理，达到让大家了解来了那些事就不用继续费腿脚。第三季度在了解目前群众对于我镇政务工作的建议与自身的问题，了解现有工作中那些方面可以优化，整理并收集。第四季度做好全年工作收尾工作，并对发现问题进行整改，并与上级积极沟通进行整改，并为来年工作打好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atLeast"/>
        <w:ind w:left="0" w:leftChars="0" w:right="0" w:firstLine="64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90" w:lineRule="atLeast"/>
        <w:ind w:left="0" w:leftChars="0" w:right="0" w:firstLine="640"/>
        <w:jc w:val="righ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寿县</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众兴镇人民政府</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90" w:lineRule="atLeast"/>
        <w:ind w:left="0" w:leftChars="0" w:right="0" w:firstLine="64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2023年1月17日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mU1NWNlMzU1NGE3M2QyODFhMDY2YjMxODk1MTEifQ=="/>
  </w:docVars>
  <w:rsids>
    <w:rsidRoot w:val="19822CE6"/>
    <w:rsid w:val="0E161733"/>
    <w:rsid w:val="0FF11E6D"/>
    <w:rsid w:val="19822CE6"/>
    <w:rsid w:val="1BEF016A"/>
    <w:rsid w:val="2520212D"/>
    <w:rsid w:val="2F6D41B2"/>
    <w:rsid w:val="34FD263D"/>
    <w:rsid w:val="53E84555"/>
    <w:rsid w:val="558E48F3"/>
    <w:rsid w:val="56995245"/>
    <w:rsid w:val="6510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rPr>
      <w:rFonts w:ascii="Times New Roman" w:hAnsi="Times New Roma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2024-01-22T07:28:00Z</dcterms:created>
  <dc:creator>Lazy Cat</dc:creator>
  <cp:lastModifiedBy>时光星噬</cp:lastModifiedBy>
  <dcterms:modified xsi:type="dcterms:W3CDTF">2024-01-31T10:12:48Z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97ABD6B02EF64A4BAB5F9AD49A821965_13</vt:lpwstr>
  </property>
</Properties>
</file>