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b/>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b/>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b/>
          <w:szCs w:val="32"/>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ascii="仿宋" w:eastAsia="仿宋" w:hAnsi="仿宋" w:cs="仿宋_GB2312"/>
          <w:b/>
          <w:szCs w:val="32"/>
        </w:rPr>
      </w:pPr>
    </w:p>
    <w:p>
      <w:pPr>
        <w:pStyle w:val="a"/>
        <w:keepNext w:val="0"/>
        <w:keepLines w:val="0"/>
        <w:pageBreakBefore w:val="0"/>
        <w:widowControl w:val="0"/>
        <w:kinsoku/>
        <w:wordWrap/>
        <w:overflowPunct/>
        <w:topLinePunct w:val="0"/>
        <w:autoSpaceDE/>
        <w:autoSpaceDN/>
        <w:bidi w:val="0"/>
        <w:adjustRightInd w:val="0"/>
        <w:snapToGrid w:val="0"/>
        <w:spacing w:before="0" w:after="438" w:afterLines="100" w:line="600" w:lineRule="exact"/>
        <w:textAlignment w:val="auto"/>
        <w:outlineLvl w:val="9"/>
        <w:rPr>
          <w:rFonts w:ascii="方正小标宋简体" w:eastAsia="方正小标宋简体" w:hAnsi="方正小标宋简体" w:cs="方正小标宋简体" w:hint="eastAsia"/>
          <w:b w:val="0"/>
          <w:bCs/>
          <w:sz w:val="44"/>
          <w:szCs w:val="44"/>
        </w:rPr>
      </w:pPr>
      <w:r>
        <w:rPr>
          <w:rFonts w:ascii="方正小标宋简体" w:eastAsia="方正小标宋简体" w:hAnsi="方正小标宋简体" w:cs="方正小标宋简体" w:hint="eastAsia"/>
          <w:b w:val="0"/>
          <w:bCs/>
          <w:sz w:val="44"/>
          <w:szCs w:val="44"/>
        </w:rPr>
        <w:t>寿县住房和城乡建设局部门绩效自评报告</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黑体" w:eastAsia="黑体" w:hAnsi="黑体" w:cs="黑体" w:hint="eastAsia"/>
          <w:b w:val="0"/>
          <w:bCs/>
          <w:sz w:val="32"/>
          <w:szCs w:val="32"/>
        </w:rPr>
      </w:pPr>
      <w:r>
        <w:rPr>
          <w:rFonts w:ascii="黑体" w:eastAsia="黑体" w:hAnsi="黑体" w:cs="黑体" w:hint="eastAsia"/>
          <w:b w:val="0"/>
          <w:bCs/>
          <w:sz w:val="32"/>
          <w:szCs w:val="32"/>
        </w:rPr>
        <w:t>部门基本概况</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ascii="楷体_GB2312" w:eastAsia="楷体_GB2312" w:hAnsi="宋体" w:cs="楷体_GB2312"/>
          <w:b/>
          <w:bCs/>
          <w:color w:val="000000"/>
          <w:kern w:val="0"/>
          <w:sz w:val="30"/>
          <w:szCs w:val="30"/>
        </w:rPr>
      </w:pPr>
      <w:r>
        <w:rPr>
          <w:rFonts w:ascii="楷体_GB2312" w:eastAsia="楷体_GB2312" w:hAnsi="宋体" w:cs="楷体_GB2312" w:hint="eastAsia"/>
          <w:b/>
          <w:bCs/>
          <w:color w:val="000000"/>
          <w:kern w:val="0"/>
          <w:sz w:val="30"/>
          <w:szCs w:val="30"/>
        </w:rPr>
        <w:t>（一）人员构成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b w:val="0"/>
          <w:bCs/>
          <w:kern w:val="0"/>
          <w:szCs w:val="32"/>
        </w:rPr>
      </w:pPr>
      <w:r>
        <w:rPr>
          <w:rFonts w:ascii="仿宋_GB2312" w:eastAsia="仿宋_GB2312" w:hint="eastAsia"/>
          <w:sz w:val="32"/>
          <w:szCs w:val="32"/>
        </w:rPr>
        <w:t>寿县住房和城乡建设局</w:t>
      </w:r>
      <w:r>
        <w:rPr>
          <w:rFonts w:ascii="仿宋_GB2312" w:eastAsia="仿宋_GB2312" w:hAnsi="ˎ̥" w:hint="eastAsia"/>
          <w:color w:val="000000"/>
          <w:sz w:val="32"/>
          <w:szCs w:val="32"/>
        </w:rPr>
        <w:t>是主管全县城乡建设管理的县政府职能局，在全县经济建设和城乡建设中发挥着重要的作用。</w:t>
      </w:r>
      <w:r>
        <w:rPr>
          <w:rFonts w:ascii="仿宋_GB2312" w:eastAsia="仿宋_GB2312" w:hAnsi="仿宋" w:cs="仿宋_GB2312" w:hint="eastAsia"/>
          <w:sz w:val="32"/>
          <w:szCs w:val="32"/>
        </w:rPr>
        <w:t>机关行政编制共</w:t>
      </w:r>
      <w:r>
        <w:rPr>
          <w:rFonts w:ascii="仿宋_GB2312" w:hAnsi="仿宋" w:cs="仿宋_GB2312" w:hint="eastAsia"/>
          <w:sz w:val="32"/>
          <w:szCs w:val="32"/>
          <w:lang w:val="en-US" w:eastAsia="zh-CN"/>
        </w:rPr>
        <w:t>16</w:t>
      </w:r>
      <w:r>
        <w:rPr>
          <w:rFonts w:ascii="仿宋_GB2312" w:eastAsia="仿宋_GB2312" w:hAnsi="仿宋" w:cs="仿宋_GB2312" w:hint="eastAsia"/>
          <w:sz w:val="32"/>
          <w:szCs w:val="32"/>
        </w:rPr>
        <w:t>名</w:t>
      </w:r>
      <w:r>
        <w:rPr>
          <w:rFonts w:ascii="仿宋_GB2312" w:hAnsi="仿宋" w:cs="仿宋_GB2312" w:hint="eastAsia"/>
          <w:sz w:val="32"/>
          <w:szCs w:val="32"/>
          <w:lang w:eastAsia="zh-CN"/>
        </w:rPr>
        <w:t>，</w:t>
      </w:r>
      <w:r>
        <w:rPr>
          <w:rFonts w:ascii="仿宋_GB2312" w:hAnsi="仿宋" w:cs="仿宋_GB2312" w:hint="eastAsia"/>
          <w:sz w:val="32"/>
          <w:szCs w:val="32"/>
          <w:lang w:val="en-US" w:eastAsia="zh-CN"/>
        </w:rPr>
        <w:t>事业编制51名。</w:t>
      </w:r>
    </w:p>
    <w:p>
      <w:pPr>
        <w:keepNext w:val="0"/>
        <w:keepLines w:val="0"/>
        <w:pageBreakBefore w:val="0"/>
        <w:kinsoku/>
        <w:wordWrap/>
        <w:overflowPunct/>
        <w:topLinePunct w:val="0"/>
        <w:autoSpaceDE/>
        <w:autoSpaceDN/>
        <w:bidi w:val="0"/>
        <w:adjustRightInd w:val="0"/>
        <w:snapToGrid w:val="0"/>
        <w:spacing w:line="600" w:lineRule="exact"/>
        <w:ind w:firstLine="600" w:firstLineChars="200"/>
        <w:textAlignment w:val="auto"/>
        <w:rPr>
          <w:rFonts w:ascii="楷体_GB2312" w:eastAsia="楷体_GB2312" w:hAnsi="宋体" w:cs="楷体_GB2312"/>
          <w:b/>
          <w:bCs/>
          <w:color w:val="000000"/>
          <w:kern w:val="0"/>
          <w:sz w:val="30"/>
          <w:szCs w:val="30"/>
        </w:rPr>
      </w:pPr>
      <w:r>
        <w:rPr>
          <w:rFonts w:ascii="楷体_GB2312" w:eastAsia="楷体_GB2312" w:hAnsi="宋体" w:cs="楷体_GB2312" w:hint="eastAsia"/>
          <w:b/>
          <w:bCs/>
          <w:color w:val="000000"/>
          <w:kern w:val="0"/>
          <w:sz w:val="30"/>
          <w:szCs w:val="30"/>
        </w:rPr>
        <w:t>（二）机构构成及其主要职责</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bookmarkStart w:id="0" w:name="bookmark4"/>
      <w:r>
        <w:rPr>
          <w:rFonts w:ascii="仿宋_GB2312" w:hAnsi="仿宋" w:cs="仿宋" w:hint="eastAsia"/>
          <w:szCs w:val="32"/>
        </w:rPr>
        <w:t>（</w:t>
      </w:r>
      <w:bookmarkEnd w:id="0"/>
      <w:r>
        <w:rPr>
          <w:rFonts w:ascii="仿宋_GB2312" w:hAnsi="仿宋" w:cs="仿宋" w:hint="eastAsia"/>
          <w:szCs w:val="32"/>
        </w:rPr>
        <w:t>一）贯彻执行国家和省市有关住房和城乡建设的法律法规规章和标准规范等，研究制定相关实施细则、管理办法和规定及规范性文件，并组织实施。</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bookmarkStart w:id="1" w:name="bookmark5"/>
      <w:r>
        <w:rPr>
          <w:rFonts w:ascii="仿宋_GB2312" w:hAnsi="仿宋" w:cs="仿宋" w:hint="eastAsia"/>
          <w:szCs w:val="32"/>
        </w:rPr>
        <w:t>（</w:t>
      </w:r>
      <w:bookmarkEnd w:id="1"/>
      <w:r>
        <w:rPr>
          <w:rFonts w:ascii="仿宋_GB2312" w:hAnsi="仿宋" w:cs="仿宋" w:hint="eastAsia"/>
          <w:szCs w:val="32"/>
        </w:rPr>
        <w:t>二）组织拟订全县城市建设、村镇建设、建筑业、房地产业、勘察设计、名城保护、人民防空的政策、法规及相关发展战略，改革方案及中长期规划和年度计划，并组织实施。</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bookmarkStart w:id="2" w:name="bookmark6"/>
      <w:r>
        <w:rPr>
          <w:rFonts w:ascii="仿宋_GB2312" w:hAnsi="仿宋" w:cs="仿宋" w:hint="eastAsia"/>
          <w:szCs w:val="32"/>
        </w:rPr>
        <w:t>（</w:t>
      </w:r>
      <w:bookmarkEnd w:id="2"/>
      <w:r>
        <w:rPr>
          <w:rFonts w:ascii="仿宋_GB2312" w:hAnsi="仿宋" w:cs="仿宋" w:hint="eastAsia"/>
          <w:szCs w:val="32"/>
        </w:rPr>
        <w:t>三）承担住房保障工作责任。负责制定全县住房保障规划和年度保障计划并指导实施；负责住房保障工作的监督检查；指导协调廉租房、经济适用住房、棚户区改造和公共租赁住房等保障性住房的建设和管理；会同有关部门做好保障性住房资金安排 并监督实施。</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bookmarkStart w:id="3" w:name="bookmark7"/>
      <w:r>
        <w:rPr>
          <w:rFonts w:ascii="仿宋_GB2312" w:hAnsi="仿宋" w:cs="仿宋" w:hint="eastAsia"/>
          <w:szCs w:val="32"/>
        </w:rPr>
        <w:t>（</w:t>
      </w:r>
      <w:bookmarkEnd w:id="3"/>
      <w:r>
        <w:rPr>
          <w:rFonts w:ascii="仿宋_GB2312" w:hAnsi="仿宋" w:cs="仿宋" w:hint="eastAsia"/>
          <w:szCs w:val="32"/>
        </w:rPr>
        <w:t>四）承担规范房地产市场秩序、监督管理房地产市场的责任。会同或配合有关部门组织拟订房地产市场监管政策并监督执行；负责城市综合开发管理、办理资质审查，对房地产开发项目进行动态监控；负责房地产开发项目的预售审批、网签备案，项目保证金和房地产开发项目资本金监管工作，负责房地产市场管理；负责房地产交易管理；指导房产测绘及成果应用；参与核定廉租房租金标准和经济适用房的销售指导价格。</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bookmarkStart w:id="4" w:name="bookmark8"/>
      <w:r>
        <w:rPr>
          <w:rFonts w:ascii="仿宋_GB2312" w:hAnsi="仿宋" w:cs="仿宋" w:hint="eastAsia"/>
          <w:szCs w:val="32"/>
        </w:rPr>
        <w:t>（</w:t>
      </w:r>
      <w:bookmarkEnd w:id="4"/>
      <w:r>
        <w:rPr>
          <w:rFonts w:ascii="仿宋_GB2312" w:hAnsi="仿宋" w:cs="仿宋" w:hint="eastAsia"/>
          <w:szCs w:val="32"/>
        </w:rPr>
        <w:t>五）负责住房建设管理工作。负责制定和实施全县中长期住宅发展规划和短期计划；指导全县房屋重置价格测算、发布；指导城镇房屋拆迁管理；指导房地产业协会工作。指导制定全县物业管理发展规划；指导房屋安全鉴定、白蚁防治等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bookmarkStart w:id="5" w:name="bookmark9"/>
      <w:r>
        <w:rPr>
          <w:rFonts w:ascii="仿宋_GB2312" w:hAnsi="仿宋" w:cs="仿宋" w:hint="eastAsia"/>
          <w:szCs w:val="32"/>
        </w:rPr>
        <w:t>（</w:t>
      </w:r>
      <w:bookmarkEnd w:id="5"/>
      <w:r>
        <w:rPr>
          <w:rFonts w:ascii="仿宋_GB2312" w:hAnsi="仿宋" w:cs="仿宋" w:hint="eastAsia"/>
          <w:szCs w:val="32"/>
        </w:rPr>
        <w:t>六）负责全县建筑市场监督管理，规范市场秩序，推动建筑行业发展;负责全县城乡工程建设的勘察设计、建筑施工、建筑安装、房屋建筑装饰装修等行业管理；负责建筑市场主体资质、资格管理以及工程质量、安全及监管工作；负责全县建设工程消防设计审查验收工作；负责全县房地产企业资质管理，协调综合开发中的有关问题；负责城乡建设相关社会中介组织的监督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bookmarkStart w:id="6" w:name="bookmark10"/>
      <w:r>
        <w:rPr>
          <w:rFonts w:ascii="仿宋_GB2312" w:hAnsi="仿宋" w:cs="仿宋" w:hint="eastAsia"/>
          <w:szCs w:val="32"/>
        </w:rPr>
        <w:t>（</w:t>
      </w:r>
      <w:bookmarkEnd w:id="6"/>
      <w:r>
        <w:rPr>
          <w:rFonts w:ascii="仿宋_GB2312" w:hAnsi="仿宋" w:cs="仿宋" w:hint="eastAsia"/>
          <w:szCs w:val="32"/>
        </w:rPr>
        <w:t>七）负责市政公用基础设施重点项目前期工作；负责城市市政基础设施、园林绿化、公园等建设与养护工作；负责全县城乡建设行业科技管理和技术推广工作；负责建筑节能和指导城镇减排工作。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bookmarkStart w:id="7" w:name="bookmark11"/>
      <w:r>
        <w:rPr>
          <w:rFonts w:ascii="仿宋_GB2312" w:hAnsi="仿宋" w:cs="仿宋" w:hint="eastAsia"/>
          <w:szCs w:val="32"/>
        </w:rPr>
        <w:t>（</w:t>
      </w:r>
      <w:bookmarkEnd w:id="7"/>
      <w:r>
        <w:rPr>
          <w:rFonts w:ascii="仿宋_GB2312" w:hAnsi="仿宋" w:cs="仿宋" w:hint="eastAsia"/>
          <w:szCs w:val="32"/>
        </w:rPr>
        <w:t>八）负责全县公用事业的行业管理工作，负责城市供水、节水、管道燃气、集中供热、污水处理、路灯照明的管理；指导乡镇公用事业的发展；负责公用事业特许经营权的授予与管理。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bookmarkStart w:id="8" w:name="bookmark12"/>
      <w:r>
        <w:rPr>
          <w:rFonts w:ascii="仿宋_GB2312" w:hAnsi="仿宋" w:cs="仿宋" w:hint="eastAsia"/>
          <w:szCs w:val="32"/>
        </w:rPr>
        <w:t>（</w:t>
      </w:r>
      <w:bookmarkEnd w:id="8"/>
      <w:r>
        <w:rPr>
          <w:rFonts w:ascii="仿宋_GB2312" w:hAnsi="仿宋" w:cs="仿宋" w:hint="eastAsia"/>
          <w:szCs w:val="32"/>
        </w:rPr>
        <w:t>九）指导、规范全县村镇建设管理工作。负责村镇工程建设管理、指导和技术服务；制定村镇建设工作技术标准；指导农村危房改造工作。会同文物主管部门负责历史文化名城保护和监督管理工作。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r>
        <w:rPr>
          <w:rFonts w:ascii="仿宋_GB2312" w:hAnsi="仿宋" w:cs="仿宋" w:hint="eastAsia"/>
          <w:szCs w:val="32"/>
        </w:rPr>
        <w:t>（十）研究制定全县城乡建设信息化发展战略；负责城乡建设信息、数据的收集、存储、运用；指导乡镇组织实施信息资源的开发利用；指导全县城乡建设档案管理工作。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r>
        <w:rPr>
          <w:rFonts w:ascii="仿宋_GB2312" w:hAnsi="仿宋" w:cs="仿宋" w:hint="eastAsia"/>
          <w:szCs w:val="32"/>
        </w:rPr>
        <w:t>（十一）负责编制城乡建设、维护资金计划，负责资金的调配和管理，监督资金计划的落实；参与建设资金审计工作。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r>
        <w:rPr>
          <w:rFonts w:ascii="仿宋_GB2312" w:hAnsi="仿宋" w:cs="仿宋" w:hint="eastAsia"/>
          <w:szCs w:val="32"/>
        </w:rPr>
        <w:t>（十二）监督指导各类建设工程标准定额的实施；组织实施建设工程造价计价法规；管理和指导全县工程造价工作。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r>
        <w:rPr>
          <w:rFonts w:ascii="仿宋_GB2312" w:hAnsi="仿宋" w:cs="仿宋" w:hint="eastAsia"/>
          <w:szCs w:val="32"/>
        </w:rPr>
        <w:t>（十三）组织开展人民防空和民防指挥工作。指导乡镇制定防空袭及保障方案并监督检查，战时组织开展城市人民防空袭斗争；指导防空防灾专业队伍和群众防空队伍建设与训练工作；实施组织有关防空防灾演练。</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r>
        <w:rPr>
          <w:rFonts w:ascii="仿宋_GB2312" w:hAnsi="仿宋" w:cs="仿宋" w:hint="eastAsia"/>
          <w:szCs w:val="32"/>
        </w:rPr>
        <w:t>（十四）负责人民防空通信警报工作，协同军事部门搞好城市防空等战备工作。拟订人口疏散计划，搞好疏散基地建设。</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r>
        <w:rPr>
          <w:rFonts w:ascii="仿宋_GB2312" w:hAnsi="仿宋" w:cs="仿宋" w:hint="eastAsia"/>
          <w:szCs w:val="32"/>
        </w:rPr>
        <w:t>（十五）负责人民防空工程建设与管理，组织开展人民防空与经济社会融合发展及平战结合工作，组织开展人防（民防）宣传教育。实施人民防空国有资产的管理。指导和监督乡镇、社区人防工作站开展工作。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r>
        <w:rPr>
          <w:rFonts w:ascii="仿宋_GB2312" w:hAnsi="仿宋" w:cs="仿宋" w:hint="eastAsia"/>
          <w:szCs w:val="32"/>
        </w:rPr>
        <w:t>（十六）负责县委、县政府和县委编委明确的安全生产职责。</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_GB2312" w:hAnsi="仿宋" w:cs="仿宋"/>
          <w:szCs w:val="32"/>
        </w:rPr>
      </w:pPr>
      <w:r>
        <w:rPr>
          <w:rFonts w:ascii="仿宋_GB2312" w:hAnsi="仿宋" w:cs="仿宋" w:hint="eastAsia"/>
          <w:szCs w:val="32"/>
        </w:rPr>
        <w:t>（十七）配合县委非公有制经济和社会组织工作委员会做好 非公企业和社会组织相关党建工作。</w:t>
      </w:r>
    </w:p>
    <w:p>
      <w:pPr>
        <w:keepNext w:val="0"/>
        <w:keepLines w:val="0"/>
        <w:pageBreakBefore w:val="0"/>
        <w:kinsoku/>
        <w:wordWrap/>
        <w:overflowPunct/>
        <w:topLinePunct w:val="0"/>
        <w:autoSpaceDE/>
        <w:autoSpaceDN/>
        <w:bidi w:val="0"/>
        <w:spacing w:line="600" w:lineRule="exact"/>
        <w:ind w:left="627"/>
        <w:textAlignment w:val="auto"/>
        <w:rPr>
          <w:rFonts w:ascii="仿宋_GB2312" w:hAnsi="仿宋" w:cs="仿宋"/>
          <w:szCs w:val="32"/>
        </w:rPr>
      </w:pPr>
      <w:r>
        <w:rPr>
          <w:rFonts w:ascii="仿宋_GB2312" w:hAnsi="仿宋" w:cs="仿宋" w:hint="eastAsia"/>
          <w:szCs w:val="32"/>
        </w:rPr>
        <w:t>（十八）完成县委、县政府交办的其他任务。</w:t>
      </w:r>
    </w:p>
    <w:p>
      <w:pPr>
        <w:pStyle w:val="NormalWeb"/>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00" w:firstLineChars="200"/>
        <w:textAlignment w:val="auto"/>
        <w:rPr>
          <w:rFonts w:ascii="楷体_GB2312" w:eastAsia="楷体_GB2312" w:cs="楷体_GB2312"/>
          <w:b/>
          <w:bCs/>
          <w:color w:val="000000"/>
          <w:sz w:val="30"/>
          <w:szCs w:val="30"/>
        </w:rPr>
      </w:pPr>
      <w:r>
        <w:rPr>
          <w:rFonts w:ascii="楷体_GB2312" w:eastAsia="楷体_GB2312" w:cs="楷体_GB2312" w:hint="eastAsia"/>
          <w:b/>
          <w:bCs/>
          <w:color w:val="000000"/>
          <w:sz w:val="30"/>
          <w:szCs w:val="30"/>
        </w:rPr>
        <w:t>（三）机构设置</w:t>
      </w: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27" w:firstLineChars="196"/>
        <w:jc w:val="both"/>
        <w:textAlignment w:val="auto"/>
        <w:rPr>
          <w:rFonts w:ascii="仿宋_GB2312" w:eastAsia="仿宋_GB2312" w:hAnsi="仿宋"/>
          <w:sz w:val="32"/>
          <w:szCs w:val="32"/>
        </w:rPr>
      </w:pPr>
      <w:r>
        <w:rPr>
          <w:rFonts w:ascii="仿宋_GB2312" w:eastAsia="仿宋_GB2312" w:hAnsi="仿宋" w:hint="eastAsia"/>
          <w:sz w:val="32"/>
          <w:szCs w:val="32"/>
        </w:rPr>
        <w:t>从预算单位构成看，</w:t>
      </w:r>
      <w:r>
        <w:rPr>
          <w:rFonts w:ascii="仿宋_GB2312" w:eastAsia="仿宋_GB2312" w:hAnsi="仿宋" w:cs="仿宋" w:hint="eastAsia"/>
          <w:bCs/>
          <w:sz w:val="32"/>
          <w:szCs w:val="32"/>
        </w:rPr>
        <w:t>寿县住房和城乡建设局</w:t>
      </w:r>
      <w:r>
        <w:rPr>
          <w:rFonts w:ascii="仿宋_GB2312" w:eastAsia="仿宋_GB2312" w:hAnsi="仿宋" w:hint="eastAsia"/>
          <w:sz w:val="32"/>
          <w:szCs w:val="32"/>
        </w:rPr>
        <w:t>202</w:t>
      </w:r>
      <w:r>
        <w:rPr>
          <w:rFonts w:ascii="仿宋_GB2312" w:eastAsia="仿宋_GB2312" w:hAnsi="仿宋"/>
          <w:sz w:val="32"/>
          <w:szCs w:val="32"/>
        </w:rPr>
        <w:t>3</w:t>
      </w:r>
      <w:r>
        <w:rPr>
          <w:rFonts w:ascii="仿宋_GB2312" w:eastAsia="仿宋_GB2312" w:hAnsi="仿宋" w:hint="eastAsia"/>
          <w:sz w:val="32"/>
          <w:szCs w:val="32"/>
        </w:rPr>
        <w:t>年度部门预算包括局本级预算和局下属单位预算，纳入部门预算编制范围的单位共</w:t>
      </w:r>
      <w:r>
        <w:rPr>
          <w:rFonts w:ascii="仿宋_GB2312" w:eastAsia="仿宋_GB2312" w:hAnsi="仿宋"/>
          <w:sz w:val="32"/>
          <w:szCs w:val="32"/>
        </w:rPr>
        <w:t>1</w:t>
      </w:r>
      <w:r>
        <w:rPr>
          <w:rFonts w:ascii="仿宋_GB2312" w:eastAsia="仿宋_GB2312" w:hAnsi="仿宋" w:hint="eastAsia"/>
          <w:sz w:val="32"/>
          <w:szCs w:val="32"/>
        </w:rPr>
        <w:t>个，具体情况见下表。</w:t>
      </w:r>
    </w:p>
    <w:tbl>
      <w:tblPr>
        <w:tblStyle w:val="TableNormal"/>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tblW w:w="9000" w:type="dxa"/>
          <w:tblInd w:w="288" w:type="dxa"/>
          <w:shd w:val="clear" w:color="auto" w:fill="FFFFFF"/>
          <w:tblLayout w:type="fixed"/>
        </w:tblPrEx>
        <w:trPr>
          <w:trHeight w:hRule="exact" w:val="679"/>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仿宋_GB2312" w:hAnsi="宋体"/>
                <w:szCs w:val="32"/>
              </w:rPr>
            </w:pPr>
            <w:r>
              <w:rPr>
                <w:rFonts w:ascii="仿宋_GB2312" w:hAnsi="宋体" w:hint="eastAsia"/>
                <w:szCs w:val="32"/>
              </w:rPr>
              <w:t>序号</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仿宋_GB2312" w:hAnsi="宋体"/>
                <w:szCs w:val="32"/>
              </w:rPr>
            </w:pPr>
            <w:r>
              <w:rPr>
                <w:rFonts w:ascii="仿宋_GB2312" w:hAnsi="宋体" w:hint="eastAsia"/>
                <w:szCs w:val="32"/>
              </w:rPr>
              <w:t>单位名称</w:t>
            </w:r>
          </w:p>
        </w:tc>
        <w:tc>
          <w:tcPr>
            <w:tcW w:w="4500" w:type="dxa"/>
            <w:tcBorders>
              <w:top w:val="single" w:sz="8" w:space="0" w:color="auto"/>
              <w:left w:val="nil"/>
              <w:bottom w:val="single" w:sz="8" w:space="0" w:color="auto"/>
              <w:right w:val="single" w:sz="8" w:space="0" w:color="auto"/>
            </w:tcBorders>
            <w:shd w:val="clear" w:color="auto" w:fill="FFFFFF"/>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仿宋_GB2312" w:hAnsi="宋体"/>
                <w:szCs w:val="32"/>
              </w:rPr>
            </w:pPr>
            <w:r>
              <w:rPr>
                <w:rFonts w:ascii="仿宋_GB2312" w:hAnsi="宋体" w:hint="eastAsia"/>
                <w:szCs w:val="32"/>
              </w:rPr>
              <w:t>单位性质</w:t>
            </w:r>
          </w:p>
        </w:tc>
      </w:tr>
      <w:tr>
        <w:tblPrEx>
          <w:tblW w:w="9000" w:type="dxa"/>
          <w:tblInd w:w="288" w:type="dxa"/>
          <w:shd w:val="clear" w:color="auto" w:fill="FFFFFF"/>
          <w:tblLayout w:type="fixed"/>
        </w:tblPrEx>
        <w:trPr>
          <w:trHeight w:hRule="exact" w:val="832"/>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仿宋_GB2312" w:hAnsi="仿宋" w:cs="宋体"/>
                <w:kern w:val="0"/>
                <w:szCs w:val="32"/>
              </w:rPr>
            </w:pPr>
            <w:r>
              <w:rPr>
                <w:rFonts w:ascii="仿宋_GB2312" w:hAnsi="仿宋" w:cs="宋体" w:hint="eastAsia"/>
                <w:kern w:val="0"/>
                <w:szCs w:val="32"/>
              </w:rPr>
              <w:t>1</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仿宋_GB2312" w:hAnsi="仿宋" w:cs="宋体"/>
                <w:kern w:val="0"/>
                <w:szCs w:val="32"/>
              </w:rPr>
            </w:pPr>
            <w:r>
              <w:rPr>
                <w:rFonts w:ascii="仿宋_GB2312" w:hAnsi="仿宋" w:cs="宋体" w:hint="eastAsia"/>
                <w:kern w:val="0"/>
                <w:szCs w:val="32"/>
              </w:rPr>
              <w:t>寿县住房和城乡建设局本级</w:t>
            </w:r>
          </w:p>
        </w:tc>
        <w:tc>
          <w:tcPr>
            <w:tcW w:w="4500" w:type="dxa"/>
            <w:tcBorders>
              <w:top w:val="nil"/>
              <w:left w:val="nil"/>
              <w:bottom w:val="single" w:sz="8" w:space="0" w:color="auto"/>
              <w:right w:val="single" w:sz="8" w:space="0" w:color="auto"/>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ascii="仿宋_GB2312" w:hAnsi="仿宋" w:cs="宋体"/>
                <w:kern w:val="0"/>
                <w:szCs w:val="32"/>
              </w:rPr>
            </w:pPr>
            <w:r>
              <w:rPr>
                <w:rFonts w:ascii="仿宋_GB2312" w:hAnsi="仿宋" w:cs="宋体" w:hint="eastAsia"/>
                <w:kern w:val="0"/>
                <w:szCs w:val="32"/>
              </w:rPr>
              <w:t>行政单位</w:t>
            </w:r>
          </w:p>
        </w:tc>
      </w:tr>
    </w:tbl>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黑体" w:eastAsia="黑体" w:hAnsi="黑体" w:cs="黑体" w:hint="eastAsia"/>
          <w:b w:val="0"/>
          <w:bCs/>
          <w:sz w:val="32"/>
          <w:szCs w:val="32"/>
        </w:rPr>
      </w:pPr>
      <w:r>
        <w:rPr>
          <w:rFonts w:ascii="黑体" w:eastAsia="黑体" w:hAnsi="黑体" w:cs="黑体" w:hint="eastAsia"/>
          <w:b w:val="0"/>
          <w:bCs/>
          <w:sz w:val="32"/>
          <w:szCs w:val="32"/>
        </w:rPr>
        <w:t>二、部门预算执行和管理情况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cs="仿宋"/>
          <w:szCs w:val="32"/>
        </w:rPr>
      </w:pPr>
      <w:r>
        <w:rPr>
          <w:rFonts w:ascii="仿宋_GB2312" w:hAnsi="仿宋" w:cs="仿宋" w:hint="eastAsia"/>
          <w:szCs w:val="32"/>
        </w:rPr>
        <w:t>202</w:t>
      </w:r>
      <w:r>
        <w:rPr>
          <w:rFonts w:ascii="仿宋_GB2312" w:hAnsi="仿宋" w:cs="仿宋"/>
          <w:szCs w:val="32"/>
        </w:rPr>
        <w:t>3</w:t>
      </w:r>
      <w:r>
        <w:rPr>
          <w:rFonts w:ascii="仿宋_GB2312" w:hAnsi="仿宋" w:cs="仿宋" w:hint="eastAsia"/>
          <w:szCs w:val="32"/>
        </w:rPr>
        <w:t>年度部门整体支出规模</w:t>
      </w:r>
      <w:r>
        <w:rPr>
          <w:rFonts w:ascii="仿宋_GB2312" w:hAnsi="仿宋" w:cs="仿宋"/>
          <w:szCs w:val="32"/>
        </w:rPr>
        <w:t>13172.72</w:t>
      </w:r>
      <w:r>
        <w:rPr>
          <w:rFonts w:ascii="仿宋_GB2312" w:hAnsi="仿宋" w:cs="仿宋" w:hint="eastAsia"/>
          <w:szCs w:val="32"/>
        </w:rPr>
        <w:t>万元、预算执行完成</w:t>
      </w:r>
      <w:r>
        <w:rPr>
          <w:rFonts w:ascii="仿宋_GB2312" w:hAnsi="仿宋" w:cs="仿宋"/>
          <w:szCs w:val="32"/>
        </w:rPr>
        <w:t>48.7</w:t>
      </w:r>
      <w:r>
        <w:rPr>
          <w:rFonts w:ascii="仿宋_GB2312" w:hAnsi="仿宋" w:cs="仿宋" w:hint="eastAsia"/>
          <w:szCs w:val="32"/>
        </w:rPr>
        <w:t>%。全年支出能够认真落实我县《关于全面实施预算绩效管理的落实意见》（寿发[2019]20号）文件精神，进一步强化绩效意识，提高财政资金使用效益。</w:t>
      </w:r>
    </w:p>
    <w:p>
      <w:pPr>
        <w:pStyle w:val="BodyTextIndent"/>
        <w:keepNext w:val="0"/>
        <w:keepLines w:val="0"/>
        <w:pageBreakBefore w:val="0"/>
        <w:kinsoku/>
        <w:wordWrap/>
        <w:overflowPunct/>
        <w:topLinePunct w:val="0"/>
        <w:autoSpaceDE/>
        <w:autoSpaceDN/>
        <w:bidi w:val="0"/>
        <w:spacing w:line="600" w:lineRule="exact"/>
        <w:ind w:firstLine="723"/>
        <w:textAlignment w:val="auto"/>
        <w:rPr>
          <w:rFonts w:ascii="黑体" w:eastAsia="黑体" w:hAnsi="黑体" w:cs="黑体" w:hint="eastAsia"/>
          <w:b w:val="0"/>
          <w:bCs/>
          <w:sz w:val="32"/>
          <w:szCs w:val="32"/>
        </w:rPr>
      </w:pPr>
      <w:r>
        <w:rPr>
          <w:rFonts w:ascii="黑体" w:eastAsia="黑体" w:hAnsi="黑体" w:cs="黑体" w:hint="eastAsia"/>
          <w:b w:val="0"/>
          <w:bCs/>
          <w:sz w:val="32"/>
          <w:szCs w:val="32"/>
        </w:rPr>
        <w:t>三、项目支出绩效目标实现情况分析</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cs="仿宋"/>
          <w:szCs w:val="32"/>
        </w:rPr>
      </w:pPr>
      <w:r>
        <w:rPr>
          <w:rFonts w:ascii="仿宋_GB2312" w:hAnsi="仿宋" w:cs="仿宋" w:hint="eastAsia"/>
          <w:szCs w:val="32"/>
        </w:rPr>
        <w:t>先对本单位各项目支出指标绩效评价自评表总平均得分</w:t>
      </w:r>
      <w:r>
        <w:rPr>
          <w:rFonts w:ascii="仿宋_GB2312" w:hAnsi="仿宋" w:cs="仿宋"/>
          <w:szCs w:val="32"/>
        </w:rPr>
        <w:t>91</w:t>
      </w:r>
      <w:r>
        <w:rPr>
          <w:rFonts w:ascii="仿宋_GB2312" w:hAnsi="仿宋" w:cs="仿宋" w:hint="eastAsia"/>
          <w:szCs w:val="32"/>
        </w:rPr>
        <w:t>分依据对项目的申报管理，资金落实情况，项目管理，财务管理，项目产出，项目效益等二级指标做的细分指标打分，项目指标编制不够完善，指标名称过于简单，具体指标不能量化，有无细化的二级指标，要点不明确，项目资料不完善，项目指标有待进一步的提高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cs="仿宋"/>
          <w:szCs w:val="32"/>
        </w:rPr>
      </w:pPr>
      <w:r>
        <w:rPr>
          <w:rFonts w:ascii="仿宋_GB2312" w:hAnsi="仿宋" w:cs="仿宋" w:hint="eastAsia"/>
          <w:szCs w:val="32"/>
        </w:rPr>
        <w:t>202</w:t>
      </w:r>
      <w:r>
        <w:rPr>
          <w:rFonts w:ascii="仿宋_GB2312" w:hAnsi="仿宋" w:cs="仿宋"/>
          <w:szCs w:val="32"/>
        </w:rPr>
        <w:t>3</w:t>
      </w:r>
      <w:r>
        <w:rPr>
          <w:rFonts w:ascii="仿宋_GB2312" w:hAnsi="仿宋" w:cs="仿宋" w:hint="eastAsia"/>
          <w:szCs w:val="32"/>
        </w:rPr>
        <w:t>年我局绩效目标符合</w:t>
      </w:r>
      <w:r>
        <w:rPr>
          <w:rFonts w:ascii="仿宋_GB2312" w:hAnsi="仿宋" w:cs="仿宋"/>
          <w:szCs w:val="32"/>
        </w:rPr>
        <w:t>100</w:t>
      </w:r>
      <w:r>
        <w:rPr>
          <w:rFonts w:ascii="仿宋_GB2312" w:hAnsi="仿宋" w:cs="仿宋" w:hint="eastAsia"/>
          <w:szCs w:val="32"/>
        </w:rPr>
        <w:t>万元以上设定的项目30多个：其中“人员经费”</w:t>
      </w:r>
      <w:r>
        <w:rPr>
          <w:rFonts w:ascii="仿宋_GB2312" w:hAnsi="仿宋" w:cs="仿宋"/>
          <w:szCs w:val="32"/>
        </w:rPr>
        <w:t>244</w:t>
      </w:r>
      <w:r>
        <w:rPr>
          <w:rFonts w:ascii="仿宋_GB2312" w:hAnsi="仿宋" w:cs="仿宋" w:hint="eastAsia"/>
          <w:szCs w:val="32"/>
        </w:rPr>
        <w:t>万元，项目支出指标绩效评价自评分别是</w:t>
      </w:r>
      <w:r>
        <w:rPr>
          <w:rFonts w:ascii="仿宋_GB2312" w:hAnsi="仿宋" w:cs="仿宋"/>
          <w:szCs w:val="32"/>
        </w:rPr>
        <w:t>93</w:t>
      </w:r>
      <w:r>
        <w:rPr>
          <w:rFonts w:ascii="仿宋_GB2312" w:hAnsi="仿宋" w:cs="仿宋" w:hint="eastAsia"/>
          <w:szCs w:val="32"/>
        </w:rPr>
        <w:t>分；其中“拨付定湖大道、双桥路路面维修维护工程”</w:t>
      </w:r>
      <w:r>
        <w:rPr>
          <w:rFonts w:ascii="仿宋_GB2312" w:hAnsi="仿宋" w:cs="仿宋"/>
          <w:szCs w:val="32"/>
        </w:rPr>
        <w:t>216.34</w:t>
      </w:r>
      <w:r>
        <w:rPr>
          <w:rFonts w:ascii="仿宋_GB2312" w:hAnsi="仿宋" w:cs="仿宋" w:hint="eastAsia"/>
          <w:szCs w:val="32"/>
        </w:rPr>
        <w:t>万元，项目支出指标绩效评价自评分别是</w:t>
      </w:r>
      <w:r>
        <w:rPr>
          <w:rFonts w:ascii="仿宋_GB2312" w:hAnsi="仿宋" w:cs="仿宋"/>
          <w:szCs w:val="32"/>
        </w:rPr>
        <w:t>91</w:t>
      </w:r>
      <w:r>
        <w:rPr>
          <w:rFonts w:ascii="仿宋_GB2312" w:hAnsi="仿宋" w:cs="仿宋" w:hint="eastAsia"/>
          <w:szCs w:val="32"/>
        </w:rPr>
        <w:t>分；其中“拨付寿县市政排水网地理信息系统建设项目附属工程款”</w:t>
      </w:r>
      <w:r>
        <w:rPr>
          <w:rFonts w:ascii="仿宋_GB2312" w:hAnsi="仿宋" w:cs="仿宋"/>
          <w:szCs w:val="32"/>
        </w:rPr>
        <w:t>377.34</w:t>
      </w:r>
      <w:r>
        <w:rPr>
          <w:rFonts w:ascii="仿宋_GB2312" w:hAnsi="仿宋" w:cs="仿宋" w:hint="eastAsia"/>
          <w:szCs w:val="32"/>
        </w:rPr>
        <w:t>万元，项目支出指标绩效评价自评分别是</w:t>
      </w:r>
      <w:r>
        <w:rPr>
          <w:rFonts w:ascii="仿宋_GB2312" w:hAnsi="仿宋" w:cs="仿宋"/>
          <w:szCs w:val="32"/>
        </w:rPr>
        <w:t>92</w:t>
      </w:r>
      <w:r>
        <w:rPr>
          <w:rFonts w:ascii="仿宋_GB2312" w:hAnsi="仿宋" w:cs="仿宋" w:hint="eastAsia"/>
          <w:szCs w:val="32"/>
        </w:rPr>
        <w:t>分；其中“拨付寿县新城区正阳关路与东津大道交叉口东北侧街头游园工程款”</w:t>
      </w:r>
      <w:r>
        <w:rPr>
          <w:rFonts w:ascii="仿宋_GB2312" w:hAnsi="仿宋" w:cs="仿宋"/>
          <w:szCs w:val="32"/>
        </w:rPr>
        <w:t>294.58</w:t>
      </w:r>
      <w:r>
        <w:rPr>
          <w:rFonts w:ascii="仿宋_GB2312" w:hAnsi="仿宋" w:cs="仿宋" w:hint="eastAsia"/>
          <w:szCs w:val="32"/>
        </w:rPr>
        <w:t>万元，项目支出指标绩效评价自评分别是</w:t>
      </w:r>
      <w:r>
        <w:rPr>
          <w:rFonts w:ascii="仿宋_GB2312" w:hAnsi="仿宋" w:cs="仿宋"/>
          <w:szCs w:val="32"/>
        </w:rPr>
        <w:t>92</w:t>
      </w:r>
      <w:r>
        <w:rPr>
          <w:rFonts w:ascii="仿宋_GB2312" w:hAnsi="仿宋" w:cs="仿宋" w:hint="eastAsia"/>
          <w:szCs w:val="32"/>
        </w:rPr>
        <w:t>分；其中“拨付寿县宾阳大道、春申大道沥青路面零星维修维护工程”</w:t>
      </w:r>
      <w:r>
        <w:rPr>
          <w:rFonts w:ascii="仿宋_GB2312" w:hAnsi="仿宋" w:cs="仿宋"/>
          <w:szCs w:val="32"/>
        </w:rPr>
        <w:t>259.17</w:t>
      </w:r>
      <w:r>
        <w:rPr>
          <w:rFonts w:ascii="仿宋_GB2312" w:hAnsi="仿宋" w:cs="仿宋" w:hint="eastAsia"/>
          <w:szCs w:val="32"/>
        </w:rPr>
        <w:t>万元，项目支出指标绩效评价自评分别是</w:t>
      </w:r>
      <w:r>
        <w:rPr>
          <w:rFonts w:ascii="仿宋_GB2312" w:hAnsi="仿宋" w:cs="仿宋"/>
          <w:szCs w:val="32"/>
        </w:rPr>
        <w:t>93</w:t>
      </w:r>
      <w:r>
        <w:rPr>
          <w:rFonts w:ascii="仿宋_GB2312" w:hAnsi="仿宋" w:cs="仿宋" w:hint="eastAsia"/>
          <w:szCs w:val="32"/>
        </w:rPr>
        <w:t>分；其中“拨付寿县滨湖大道、明珠大道、大顺路局部路沥青砼路面维修工程款”</w:t>
      </w:r>
      <w:r>
        <w:rPr>
          <w:rFonts w:ascii="仿宋_GB2312" w:hAnsi="仿宋" w:cs="仿宋"/>
          <w:szCs w:val="32"/>
        </w:rPr>
        <w:t>97.70</w:t>
      </w:r>
      <w:r>
        <w:rPr>
          <w:rFonts w:ascii="仿宋_GB2312" w:hAnsi="仿宋" w:cs="仿宋" w:hint="eastAsia"/>
          <w:szCs w:val="32"/>
        </w:rPr>
        <w:t>万元，项目支出指标绩效评价自评分别是</w:t>
      </w:r>
      <w:r>
        <w:rPr>
          <w:rFonts w:ascii="仿宋_GB2312" w:hAnsi="仿宋" w:cs="仿宋"/>
          <w:szCs w:val="32"/>
        </w:rPr>
        <w:t>93</w:t>
      </w:r>
      <w:r>
        <w:rPr>
          <w:rFonts w:ascii="仿宋_GB2312" w:hAnsi="仿宋" w:cs="仿宋" w:hint="eastAsia"/>
          <w:szCs w:val="32"/>
        </w:rPr>
        <w:t>分。</w:t>
      </w:r>
    </w:p>
    <w:p>
      <w:pPr>
        <w:pStyle w:val="BodyTextIndent"/>
        <w:keepNext w:val="0"/>
        <w:keepLines w:val="0"/>
        <w:pageBreakBefore w:val="0"/>
        <w:kinsoku/>
        <w:wordWrap/>
        <w:overflowPunct/>
        <w:topLinePunct w:val="0"/>
        <w:autoSpaceDE/>
        <w:autoSpaceDN/>
        <w:bidi w:val="0"/>
        <w:spacing w:line="600" w:lineRule="exact"/>
        <w:ind w:firstLine="723"/>
        <w:textAlignment w:val="auto"/>
        <w:rPr>
          <w:rFonts w:ascii="黑体" w:eastAsia="黑体" w:hAnsi="黑体" w:cs="黑体" w:hint="eastAsia"/>
          <w:b w:val="0"/>
          <w:bCs/>
          <w:sz w:val="32"/>
          <w:szCs w:val="32"/>
        </w:rPr>
      </w:pPr>
      <w:r>
        <w:rPr>
          <w:rFonts w:ascii="黑体" w:eastAsia="黑体" w:hAnsi="黑体" w:cs="黑体" w:hint="eastAsia"/>
          <w:b w:val="0"/>
          <w:bCs/>
          <w:sz w:val="32"/>
          <w:szCs w:val="32"/>
        </w:rPr>
        <w:t>四、部门整体绩效情况分析</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202</w:t>
      </w:r>
      <w:r>
        <w:rPr>
          <w:rFonts w:ascii="仿宋_GB2312" w:hAnsi="仿宋" w:cs="仿宋"/>
          <w:kern w:val="2"/>
          <w:szCs w:val="32"/>
        </w:rPr>
        <w:t>3</w:t>
      </w:r>
      <w:r>
        <w:rPr>
          <w:rFonts w:ascii="仿宋_GB2312" w:hAnsi="仿宋" w:cs="仿宋" w:hint="eastAsia"/>
          <w:kern w:val="2"/>
          <w:szCs w:val="32"/>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ascii="仿宋_GB2312" w:hAnsi="仿宋" w:cs="仿宋"/>
          <w:kern w:val="2"/>
          <w:szCs w:val="32"/>
        </w:rPr>
        <w:t>3</w:t>
      </w:r>
      <w:r>
        <w:rPr>
          <w:rFonts w:ascii="仿宋_GB2312" w:hAnsi="仿宋" w:cs="仿宋" w:hint="eastAsia"/>
          <w:kern w:val="2"/>
          <w:szCs w:val="32"/>
        </w:rPr>
        <w:t>年度评价得分为</w:t>
      </w:r>
      <w:r>
        <w:rPr>
          <w:rFonts w:ascii="仿宋_GB2312" w:hAnsi="仿宋" w:cs="仿宋"/>
          <w:kern w:val="2"/>
          <w:szCs w:val="32"/>
        </w:rPr>
        <w:t>91</w:t>
      </w:r>
      <w:r>
        <w:rPr>
          <w:rFonts w:ascii="仿宋_GB2312" w:hAnsi="仿宋" w:cs="仿宋" w:hint="eastAsia"/>
          <w:kern w:val="2"/>
          <w:szCs w:val="32"/>
        </w:rPr>
        <w:t>分。部门整体支出绩效情况如下：</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1. 规划（得分13分）</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 xml:space="preserve">基础信息完整性：部门及所属二级单位预算基础信息符合相关规定，信息资料是真实、完整. </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工作计划：部门及所属二级单位年度工作计划制定完整；部门及所属二级单位年度工作计划制定明确。</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 xml:space="preserve">绩效指标明确性：部门及所属的二级单位依据整体绩效目标所设定的绩效指标项目指标编制不够完善，指标名称过于简单，具体指标不能量化，有无细化的二级指标。 </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绩效指标科学合理性：部门及所属的二级单位依据整体绩效目标所设定的部门项目绩效指标科学、合理，用以反映和考核部门（单位）预算项目绩效指标设 置的科学合理性。</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2.执行（得分3</w:t>
      </w:r>
      <w:r>
        <w:rPr>
          <w:rFonts w:ascii="仿宋_GB2312" w:hAnsi="仿宋" w:cs="仿宋"/>
          <w:kern w:val="2"/>
          <w:szCs w:val="32"/>
        </w:rPr>
        <w:t>1</w:t>
      </w:r>
      <w:r>
        <w:rPr>
          <w:rFonts w:ascii="仿宋_GB2312" w:hAnsi="仿宋" w:cs="仿宋" w:hint="eastAsia"/>
          <w:kern w:val="2"/>
          <w:szCs w:val="32"/>
        </w:rPr>
        <w:t>分）预算执行率、重点项目预算执行率、公用经费控制率、</w:t>
      </w:r>
      <w:r>
        <w:rPr>
          <w:rFonts w:ascii="仿宋_GB2312" w:hAnsi="仿宋" w:cs="仿宋" w:hint="eastAsia"/>
          <w:kern w:val="2"/>
          <w:szCs w:val="32"/>
        </w:rPr>
        <w:t>“三公”经费</w:t>
      </w:r>
      <w:r>
        <w:rPr>
          <w:rFonts w:ascii="仿宋_GB2312" w:hAnsi="仿宋" w:cs="仿宋" w:hint="eastAsia"/>
          <w:kern w:val="2"/>
          <w:szCs w:val="32"/>
        </w:rPr>
        <w:t>控制 率、政府采购执行情况、等相关制度合法、合规有效的执行预算支出。（其中因疫情和政策影响支付进度缓慢但成效显著。）；预算管理部门及所属二级单位为加强预算管理、规范财务行为而制定的管理制度逐步健全完整，合法合规，执行到位。资产管理部门及所属二级单位为加强资产管理、规范资产管理行为而制定完整的管理制度，用以反映和考核部门（单位）资产管理。</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3. 产出（得分2</w:t>
      </w:r>
      <w:r>
        <w:rPr>
          <w:rFonts w:ascii="仿宋_GB2312" w:hAnsi="仿宋" w:cs="仿宋"/>
          <w:kern w:val="2"/>
          <w:szCs w:val="32"/>
        </w:rPr>
        <w:t>7</w:t>
      </w:r>
      <w:r>
        <w:rPr>
          <w:rFonts w:ascii="仿宋_GB2312" w:hAnsi="仿宋" w:cs="仿宋" w:hint="eastAsia"/>
          <w:kern w:val="2"/>
          <w:szCs w:val="32"/>
        </w:rPr>
        <w:t>分）：工作任务完成率、项目实施完成情况、工作质量情况、重点工作办理情况等按时按效完成。（因疫情和政策影响支付进度缓慢但成效显著。）</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4. 效果（得分</w:t>
      </w:r>
      <w:r>
        <w:rPr>
          <w:rFonts w:ascii="仿宋_GB2312" w:hAnsi="仿宋" w:cs="仿宋"/>
          <w:kern w:val="2"/>
          <w:szCs w:val="32"/>
        </w:rPr>
        <w:t>20</w:t>
      </w:r>
      <w:r>
        <w:rPr>
          <w:rFonts w:ascii="仿宋_GB2312" w:hAnsi="仿宋" w:cs="仿宋" w:hint="eastAsia"/>
          <w:kern w:val="2"/>
          <w:szCs w:val="32"/>
        </w:rPr>
        <w:t>分）从经济效益、社会效益、生态效益、社会公众或服务对象满意度、通过全面统筹，有效提升住建局凝聚力，得到了广大社会的认可。</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2023年，寿县住建局预算项目具有明确的目标，制定了科学的实施计划，保证资金到位及时，严格按照有关管理规定使用资金，厉行节约，讲究效益，做到专款专用，实现了先有预算、后有执行、执行必有成效的新常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黑体" w:eastAsia="黑体" w:hAnsi="黑体" w:cs="黑体" w:hint="eastAsia"/>
          <w:b w:val="0"/>
          <w:bCs/>
          <w:sz w:val="32"/>
          <w:szCs w:val="32"/>
        </w:rPr>
      </w:pPr>
      <w:r>
        <w:rPr>
          <w:rFonts w:ascii="黑体" w:eastAsia="黑体" w:hAnsi="黑体" w:cs="黑体" w:hint="eastAsia"/>
          <w:b w:val="0"/>
          <w:bCs/>
          <w:sz w:val="32"/>
          <w:szCs w:val="32"/>
        </w:rPr>
        <w:t>五、绩效自评结果拟应用和公开情况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_GB2312" w:hAnsi="仿宋" w:cs="仿宋"/>
          <w:szCs w:val="32"/>
        </w:rPr>
      </w:pPr>
      <w:r>
        <w:rPr>
          <w:rFonts w:ascii="仿宋_GB2312" w:hAnsi="仿宋" w:cs="仿宋" w:hint="eastAsia"/>
          <w:szCs w:val="32"/>
        </w:rPr>
        <w:t>结果拟在政务公开中公开，接受各方面的监督。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黑体" w:eastAsia="黑体" w:hAnsi="黑体" w:cs="黑体" w:hint="eastAsia"/>
          <w:b w:val="0"/>
          <w:bCs/>
          <w:sz w:val="32"/>
          <w:szCs w:val="32"/>
        </w:rPr>
      </w:pPr>
      <w:r>
        <w:rPr>
          <w:rFonts w:ascii="黑体" w:eastAsia="黑体" w:hAnsi="黑体" w:cs="黑体" w:hint="eastAsia"/>
          <w:b w:val="0"/>
          <w:bCs/>
          <w:sz w:val="32"/>
          <w:szCs w:val="32"/>
        </w:rPr>
        <w:t>六、绩效自评工作开展情况、存在问题和下一步措施</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整体支出绩效管理中存在的问题主要是一、绩效考评是新的提法，作为县直部门的财务没有专门培训，指标的设定和考评没有经验和知识，关门操作。二、各单位存在是财政部门</w:t>
      </w:r>
      <w:r>
        <w:rPr>
          <w:rFonts w:ascii="仿宋_GB2312" w:hAnsi="仿宋" w:cs="仿宋" w:hint="eastAsia"/>
          <w:kern w:val="2"/>
          <w:szCs w:val="32"/>
          <w:lang w:val="en-US" w:eastAsia="zh-CN"/>
        </w:rPr>
        <w:t>安</w:t>
      </w:r>
      <w:bookmarkStart w:id="9" w:name="_GoBack"/>
      <w:bookmarkEnd w:id="9"/>
      <w:r>
        <w:rPr>
          <w:rFonts w:ascii="仿宋_GB2312" w:hAnsi="仿宋" w:cs="仿宋" w:hint="eastAsia"/>
          <w:kern w:val="2"/>
          <w:szCs w:val="32"/>
        </w:rPr>
        <w:t>排，而县直单位的财务大多不是专门人才，本身不能适应和担当此项任务，同时单位内部不能落实到其他部门，形成预算数字是数字，绩效是绩效的情况。</w:t>
      </w:r>
    </w:p>
    <w:p>
      <w:pPr>
        <w:pStyle w:val="BodyTextIndent"/>
        <w:keepNext w:val="0"/>
        <w:keepLines w:val="0"/>
        <w:pageBreakBefore w:val="0"/>
        <w:kinsoku/>
        <w:wordWrap/>
        <w:overflowPunct/>
        <w:topLinePunct w:val="0"/>
        <w:autoSpaceDE/>
        <w:autoSpaceDN/>
        <w:bidi w:val="0"/>
        <w:spacing w:line="600" w:lineRule="exact"/>
        <w:textAlignment w:val="auto"/>
        <w:rPr>
          <w:rFonts w:ascii="仿宋_GB2312" w:hAnsi="仿宋" w:cs="仿宋"/>
          <w:kern w:val="2"/>
          <w:szCs w:val="32"/>
        </w:rPr>
      </w:pPr>
      <w:r>
        <w:rPr>
          <w:rFonts w:ascii="仿宋_GB2312" w:hAnsi="仿宋" w:cs="仿宋" w:hint="eastAsia"/>
          <w:kern w:val="2"/>
          <w:szCs w:val="32"/>
        </w:rPr>
        <w:t>下一步提高本部门财政资金使用效益的措施是，一是建议各单位配备合适的懂财务的专业人员；二是加大培训。</w:t>
      </w:r>
    </w:p>
    <w:p>
      <w:pPr>
        <w:keepNext w:val="0"/>
        <w:keepLines w:val="0"/>
        <w:pageBreakBefore w:val="0"/>
        <w:widowControl/>
        <w:shd w:val="clear" w:color="auto" w:fill="FFFFFF"/>
        <w:kinsoku/>
        <w:wordWrap/>
        <w:overflowPunct/>
        <w:topLinePunct w:val="0"/>
        <w:autoSpaceDE/>
        <w:autoSpaceDN/>
        <w:bidi w:val="0"/>
        <w:spacing w:line="600" w:lineRule="exact"/>
        <w:ind w:firstLine="482"/>
        <w:textAlignment w:val="auto"/>
        <w:rPr>
          <w:rFonts w:ascii="仿宋_GB2312" w:hAnsi="仿宋" w:cs="仿宋"/>
          <w:szCs w:val="32"/>
        </w:rPr>
      </w:pPr>
      <w:r>
        <w:rPr>
          <w:rFonts w:ascii="仿宋_GB2312" w:hAnsi="仿宋" w:cs="仿宋" w:hint="eastAsia"/>
          <w:szCs w:val="32"/>
        </w:rPr>
        <w:t>202</w:t>
      </w:r>
      <w:r>
        <w:rPr>
          <w:rFonts w:ascii="仿宋_GB2312" w:hAnsi="仿宋" w:cs="仿宋"/>
          <w:szCs w:val="32"/>
        </w:rPr>
        <w:t>3</w:t>
      </w:r>
      <w:r>
        <w:rPr>
          <w:rFonts w:ascii="仿宋_GB2312" w:hAnsi="仿宋" w:cs="仿宋" w:hint="eastAsia"/>
          <w:szCs w:val="32"/>
        </w:rPr>
        <w:t>年我单位认真执行国家的相关法律法规，坚持“三重一大”等制度，厉行节约，严格控制开支范围和标准，特别是公务接待、公务用车运行维护、出国（境）考察学习等“三公”经费和其他行政办公经费的管理和控制，努力降低行政成本。资产购置、网</w:t>
      </w:r>
      <w:r>
        <w:rPr>
          <w:rFonts w:ascii="仿宋_GB2312" w:hAnsi="仿宋" w:cs="仿宋" w:hint="eastAsia"/>
          <w:b w:val="0"/>
          <w:bCs w:val="0"/>
          <w:szCs w:val="32"/>
        </w:rPr>
        <w:t>络维护、购买中介机构服务等事务严格按规定办理政府采购等。所有支出（包括项目支出）全部实行国库集中</w:t>
      </w:r>
      <w:r>
        <w:rPr>
          <w:rFonts w:ascii="仿宋_GB2312" w:hAnsi="仿宋" w:cs="仿宋" w:hint="eastAsia"/>
          <w:szCs w:val="32"/>
        </w:rPr>
        <w:t>支付，项目支出按规定专款专用，自觉接受财政部门的日常性监督。</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黑体" w:eastAsia="黑体" w:hAnsi="黑体" w:cs="黑体" w:hint="eastAsia"/>
          <w:b w:val="0"/>
          <w:bCs/>
          <w:sz w:val="32"/>
          <w:szCs w:val="32"/>
        </w:rPr>
      </w:pPr>
      <w:r>
        <w:rPr>
          <w:rFonts w:ascii="黑体" w:eastAsia="黑体" w:hAnsi="黑体" w:cs="黑体" w:hint="eastAsia"/>
          <w:b w:val="0"/>
          <w:bCs/>
          <w:sz w:val="32"/>
          <w:szCs w:val="32"/>
        </w:rPr>
        <w:t>七、附件</w:t>
      </w:r>
    </w:p>
    <w:p>
      <w:pPr>
        <w:keepNext w:val="0"/>
        <w:keepLines w:val="0"/>
        <w:pageBreakBefore w:val="0"/>
        <w:widowControl/>
        <w:shd w:val="clear" w:color="auto" w:fill="FFFFFF"/>
        <w:kinsoku/>
        <w:wordWrap/>
        <w:overflowPunct/>
        <w:topLinePunct w:val="0"/>
        <w:autoSpaceDE/>
        <w:autoSpaceDN/>
        <w:bidi w:val="0"/>
        <w:spacing w:line="600" w:lineRule="exact"/>
        <w:ind w:firstLine="482"/>
        <w:textAlignment w:val="auto"/>
        <w:rPr>
          <w:rFonts w:ascii="仿宋_GB2312" w:eastAsia="仿宋_GB2312" w:hAnsi="仿宋" w:cs="仿宋" w:hint="eastAsia"/>
          <w:b w:val="0"/>
          <w:bCs w:val="0"/>
          <w:szCs w:val="32"/>
          <w:lang w:eastAsia="zh-CN"/>
        </w:rPr>
      </w:pPr>
      <w:r>
        <w:rPr>
          <w:rFonts w:ascii="仿宋_GB2312" w:hAnsi="仿宋" w:cs="仿宋" w:hint="eastAsia"/>
          <w:b w:val="0"/>
          <w:bCs w:val="0"/>
          <w:szCs w:val="32"/>
        </w:rPr>
        <w:t>寿县</w:t>
      </w:r>
      <w:r>
        <w:rPr>
          <w:rFonts w:ascii="仿宋_GB2312" w:hAnsi="仿宋" w:cs="仿宋" w:hint="eastAsia"/>
          <w:b w:val="0"/>
          <w:bCs w:val="0"/>
          <w:szCs w:val="32"/>
          <w:lang w:val="en-US" w:eastAsia="zh-CN"/>
        </w:rPr>
        <w:t>住建局</w:t>
      </w:r>
      <w:r>
        <w:rPr>
          <w:rFonts w:ascii="仿宋_GB2312" w:hAnsi="仿宋" w:cs="仿宋" w:hint="eastAsia"/>
          <w:b w:val="0"/>
          <w:bCs w:val="0"/>
          <w:szCs w:val="32"/>
        </w:rPr>
        <w:t>2023年费用补贴类项目支出绩效评价自评表；寿县</w:t>
      </w:r>
      <w:r>
        <w:rPr>
          <w:rFonts w:ascii="仿宋_GB2312" w:hAnsi="仿宋" w:cs="仿宋" w:hint="eastAsia"/>
          <w:b w:val="0"/>
          <w:bCs w:val="0"/>
          <w:szCs w:val="32"/>
          <w:lang w:val="en-US" w:eastAsia="zh-CN"/>
        </w:rPr>
        <w:t>住建局</w:t>
      </w:r>
      <w:r>
        <w:rPr>
          <w:rFonts w:ascii="仿宋_GB2312" w:hAnsi="仿宋" w:cs="仿宋" w:hint="eastAsia"/>
          <w:b w:val="0"/>
          <w:bCs w:val="0"/>
          <w:szCs w:val="32"/>
        </w:rPr>
        <w:t>2023年部门整体绩效自评得分表</w:t>
      </w:r>
      <w:r>
        <w:rPr>
          <w:rFonts w:ascii="仿宋_GB2312" w:hAnsi="仿宋" w:cs="仿宋" w:hint="eastAsia"/>
          <w:b w:val="0"/>
          <w:bCs w:val="0"/>
          <w:szCs w:val="32"/>
          <w:lang w:eastAsia="zh-CN"/>
        </w:rPr>
        <w:t>。</w:t>
      </w:r>
    </w:p>
    <w:p>
      <w:pPr>
        <w:keepNext w:val="0"/>
        <w:keepLines w:val="0"/>
        <w:pageBreakBefore w:val="0"/>
        <w:widowControl/>
        <w:shd w:val="clear" w:color="auto" w:fill="FFFFFF"/>
        <w:kinsoku/>
        <w:wordWrap/>
        <w:overflowPunct/>
        <w:topLinePunct w:val="0"/>
        <w:autoSpaceDE/>
        <w:autoSpaceDN/>
        <w:bidi w:val="0"/>
        <w:spacing w:line="600" w:lineRule="exact"/>
        <w:ind w:firstLine="482"/>
        <w:textAlignment w:val="auto"/>
        <w:rPr>
          <w:rFonts w:ascii="仿宋_GB2312" w:hAnsi="仿宋" w:cs="仿宋" w:hint="eastAsia"/>
          <w:b w:val="0"/>
          <w:bCs w:val="0"/>
          <w:szCs w:val="32"/>
        </w:rPr>
      </w:pPr>
    </w:p>
    <w:p>
      <w:pPr>
        <w:keepNext w:val="0"/>
        <w:keepLines w:val="0"/>
        <w:pageBreakBefore w:val="0"/>
        <w:widowControl/>
        <w:shd w:val="clear" w:color="auto" w:fill="FFFFFF"/>
        <w:kinsoku/>
        <w:wordWrap/>
        <w:overflowPunct/>
        <w:topLinePunct w:val="0"/>
        <w:autoSpaceDE/>
        <w:autoSpaceDN/>
        <w:bidi w:val="0"/>
        <w:spacing w:line="600" w:lineRule="exact"/>
        <w:ind w:firstLine="482"/>
        <w:textAlignment w:val="auto"/>
        <w:rPr>
          <w:rFonts w:ascii="仿宋_GB2312" w:hAnsi="仿宋" w:cs="仿宋" w:hint="eastAsia"/>
          <w:b w:val="0"/>
          <w:bCs w:val="0"/>
          <w:szCs w:val="32"/>
        </w:rPr>
      </w:pPr>
    </w:p>
    <w:p>
      <w:pPr>
        <w:pStyle w:val="BodyTextIndent"/>
        <w:keepNext w:val="0"/>
        <w:keepLines w:val="0"/>
        <w:pageBreakBefore w:val="0"/>
        <w:kinsoku/>
        <w:wordWrap/>
        <w:overflowPunct/>
        <w:topLinePunct w:val="0"/>
        <w:autoSpaceDE/>
        <w:autoSpaceDN/>
        <w:bidi w:val="0"/>
        <w:spacing w:line="600" w:lineRule="exact"/>
        <w:ind w:firstLine="643"/>
        <w:textAlignment w:val="auto"/>
        <w:rPr>
          <w:rFonts w:ascii="仿宋" w:eastAsia="仿宋" w:hAnsi="仿宋" w:cs="仿宋_GB2312"/>
          <w:b/>
          <w:szCs w:val="32"/>
        </w:rPr>
      </w:pPr>
      <w:r>
        <w:rPr>
          <w:rFonts w:ascii="仿宋" w:eastAsia="仿宋" w:hAnsi="仿宋" w:cs="仿宋_GB2312"/>
          <w:b/>
          <w:szCs w:val="32"/>
        </w:rPr>
        <w:t xml:space="preserve">                             </w:t>
      </w:r>
      <w:r>
        <w:rPr>
          <w:rFonts w:ascii="仿宋" w:eastAsia="仿宋" w:hAnsi="仿宋" w:cs="仿宋_GB2312" w:hint="eastAsia"/>
          <w:szCs w:val="32"/>
        </w:rPr>
        <w:t>202</w:t>
      </w:r>
      <w:r>
        <w:rPr>
          <w:rFonts w:ascii="仿宋" w:eastAsia="仿宋" w:hAnsi="仿宋" w:cs="仿宋_GB2312"/>
          <w:szCs w:val="32"/>
        </w:rPr>
        <w:t>3</w:t>
      </w:r>
      <w:r>
        <w:rPr>
          <w:rFonts w:ascii="仿宋" w:eastAsia="仿宋" w:hAnsi="仿宋" w:cs="仿宋_GB2312" w:hint="eastAsia"/>
          <w:szCs w:val="32"/>
        </w:rPr>
        <w:t>年12月</w:t>
      </w:r>
      <w:r>
        <w:rPr>
          <w:rFonts w:ascii="仿宋" w:eastAsia="仿宋" w:hAnsi="仿宋" w:cs="仿宋_GB2312"/>
          <w:szCs w:val="32"/>
        </w:rPr>
        <w:t>10</w:t>
      </w:r>
      <w:r>
        <w:rPr>
          <w:rFonts w:ascii="仿宋" w:eastAsia="仿宋" w:hAnsi="仿宋" w:cs="仿宋_GB2312" w:hint="eastAsia"/>
          <w:szCs w:val="32"/>
        </w:rPr>
        <w:t>日</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仿宋" w:eastAsia="仿宋" w:hAnsi="仿宋" w:cs="仿宋_GB2312"/>
          <w:szCs w:val="32"/>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ascii="仿宋" w:eastAsia="仿宋" w:hAnsi="仿宋" w:cs="仿宋_GB2312"/>
          <w:szCs w:val="32"/>
        </w:rPr>
      </w:pPr>
      <w:r>
        <w:rPr>
          <w:rFonts w:ascii="仿宋" w:eastAsia="仿宋" w:hAnsi="仿宋" w:cs="仿宋_GB2312" w:hint="eastAsia"/>
          <w:szCs w:val="32"/>
        </w:rPr>
        <w:t xml:space="preserve">                          </w:t>
      </w:r>
    </w:p>
    <w:sectPr>
      <w:headerReference w:type="default" r:id="rId5"/>
      <w:footerReference w:type="default" r:id="rId6"/>
      <w:pgSz w:w="11906" w:h="16838"/>
      <w:pgMar w:top="2154" w:right="1531" w:bottom="1587" w:left="1587" w:header="851" w:footer="1417" w:gutter="0"/>
      <w:pgNumType w:start="4"/>
      <w:cols w:num="1" w:space="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03505" cy="209550"/>
              <wp:effectExtent l="0" t="0" r="0" b="0"/>
              <wp:wrapNone/>
              <wp:docPr id="1" name="文本框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505" cy="209550"/>
                      </a:xfrm>
                      <a:prstGeom prst="rect">
                        <a:avLst/>
                      </a:prstGeom>
                      <a:noFill/>
                      <a:ln w="9525">
                        <a:noFill/>
                      </a:ln>
                    </wps:spPr>
                    <wps:txbx>
                      <w:txbxContent>
                        <w:p>
                          <w:pPr>
                            <w:snapToGrid w:val="0"/>
                            <w:rPr>
                              <w:sz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1" o:spid="_x0000_s2049" type="#_x0000_t202" style="width:8.15pt;height:16.5pt;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snapToGrid w:val="0"/>
                      <w:rPr>
                        <w:sz w:val="18"/>
                      </w:rPr>
                    </w:pP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2CBC88C"/>
    <w:multiLevelType w:val="singleLevel"/>
    <w:tmpl w:val="82CBC88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891585"/>
    <w:rsid w:val="000054F6"/>
    <w:rsid w:val="00011B01"/>
    <w:rsid w:val="000137F7"/>
    <w:rsid w:val="00051810"/>
    <w:rsid w:val="000B7361"/>
    <w:rsid w:val="00111E63"/>
    <w:rsid w:val="001D6E1F"/>
    <w:rsid w:val="0022760D"/>
    <w:rsid w:val="002B1F36"/>
    <w:rsid w:val="00352C9D"/>
    <w:rsid w:val="003F56DB"/>
    <w:rsid w:val="0043768F"/>
    <w:rsid w:val="00472A00"/>
    <w:rsid w:val="004B43D1"/>
    <w:rsid w:val="004C7AC4"/>
    <w:rsid w:val="004D73FE"/>
    <w:rsid w:val="0051383D"/>
    <w:rsid w:val="00520A17"/>
    <w:rsid w:val="00530A83"/>
    <w:rsid w:val="00590EEE"/>
    <w:rsid w:val="00592CBD"/>
    <w:rsid w:val="005B112D"/>
    <w:rsid w:val="005B1679"/>
    <w:rsid w:val="00646210"/>
    <w:rsid w:val="00661536"/>
    <w:rsid w:val="006C5003"/>
    <w:rsid w:val="00700851"/>
    <w:rsid w:val="0071789C"/>
    <w:rsid w:val="0073489D"/>
    <w:rsid w:val="0081248C"/>
    <w:rsid w:val="00857ADE"/>
    <w:rsid w:val="00886185"/>
    <w:rsid w:val="00892C36"/>
    <w:rsid w:val="00897C8B"/>
    <w:rsid w:val="009E1D0F"/>
    <w:rsid w:val="009E5D64"/>
    <w:rsid w:val="00AE6362"/>
    <w:rsid w:val="00B275B6"/>
    <w:rsid w:val="00BB0F29"/>
    <w:rsid w:val="00BD7451"/>
    <w:rsid w:val="00C01919"/>
    <w:rsid w:val="00C94554"/>
    <w:rsid w:val="00DC3824"/>
    <w:rsid w:val="00E015CE"/>
    <w:rsid w:val="00E24193"/>
    <w:rsid w:val="00E74819"/>
    <w:rsid w:val="00F31825"/>
    <w:rsid w:val="00F3431D"/>
    <w:rsid w:val="00F43BFE"/>
    <w:rsid w:val="00F855BB"/>
    <w:rsid w:val="0186757E"/>
    <w:rsid w:val="01F43598"/>
    <w:rsid w:val="0632302F"/>
    <w:rsid w:val="08C474E1"/>
    <w:rsid w:val="0DC0428E"/>
    <w:rsid w:val="0E0C5D6A"/>
    <w:rsid w:val="0E891585"/>
    <w:rsid w:val="10FC6595"/>
    <w:rsid w:val="11AF21B7"/>
    <w:rsid w:val="18F81862"/>
    <w:rsid w:val="19FC7069"/>
    <w:rsid w:val="1DBC0AB6"/>
    <w:rsid w:val="24CB5D4F"/>
    <w:rsid w:val="262E616F"/>
    <w:rsid w:val="26660934"/>
    <w:rsid w:val="288D2DF8"/>
    <w:rsid w:val="291D583E"/>
    <w:rsid w:val="29ED31BE"/>
    <w:rsid w:val="2B615F6C"/>
    <w:rsid w:val="2C292A51"/>
    <w:rsid w:val="2CA361BA"/>
    <w:rsid w:val="2D807BA0"/>
    <w:rsid w:val="2E1F523F"/>
    <w:rsid w:val="30DA106B"/>
    <w:rsid w:val="316E3D90"/>
    <w:rsid w:val="369D111E"/>
    <w:rsid w:val="36C5234B"/>
    <w:rsid w:val="371B07A2"/>
    <w:rsid w:val="38C3312B"/>
    <w:rsid w:val="391A5782"/>
    <w:rsid w:val="3C3028E3"/>
    <w:rsid w:val="3F251EF5"/>
    <w:rsid w:val="3FE20BE4"/>
    <w:rsid w:val="40297D8F"/>
    <w:rsid w:val="4231164E"/>
    <w:rsid w:val="439975F9"/>
    <w:rsid w:val="43AE3E04"/>
    <w:rsid w:val="45FE10EC"/>
    <w:rsid w:val="46360B49"/>
    <w:rsid w:val="46550355"/>
    <w:rsid w:val="47327661"/>
    <w:rsid w:val="47540830"/>
    <w:rsid w:val="4AD11442"/>
    <w:rsid w:val="4D60672E"/>
    <w:rsid w:val="4F012518"/>
    <w:rsid w:val="4FCE1043"/>
    <w:rsid w:val="508E013C"/>
    <w:rsid w:val="50F24B97"/>
    <w:rsid w:val="51E07C85"/>
    <w:rsid w:val="520F0A33"/>
    <w:rsid w:val="539E3959"/>
    <w:rsid w:val="54D86E90"/>
    <w:rsid w:val="587E3F73"/>
    <w:rsid w:val="590C3BFF"/>
    <w:rsid w:val="5B1729F4"/>
    <w:rsid w:val="5FBE0A3A"/>
    <w:rsid w:val="60D810A8"/>
    <w:rsid w:val="6ADF6CA1"/>
    <w:rsid w:val="6B2B070D"/>
    <w:rsid w:val="6D287246"/>
    <w:rsid w:val="6D9C0456"/>
    <w:rsid w:val="73390157"/>
    <w:rsid w:val="741644B0"/>
    <w:rsid w:val="76D25234"/>
    <w:rsid w:val="79CF7F25"/>
    <w:rsid w:val="7E8F2284"/>
  </w:rsids>
  <w:docVars>
    <w:docVar w:name="commondata" w:val="eyJoZGlkIjoiYTY2MzJiZGY2MWI1YTZlZGEyMTAyMGRkNzFmOGVhN2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spacing w:line="360" w:lineRule="auto"/>
      <w:jc w:val="both"/>
    </w:pPr>
    <w:rPr>
      <w:rFonts w:eastAsia="仿宋_GB2312" w:asciiTheme="minorHAnsi" w:hAnsiTheme="minorHAnsi" w:cstheme="minorBidi"/>
      <w:kern w:val="2"/>
      <w:sz w:val="32"/>
      <w:szCs w:val="22"/>
      <w:lang w:val="en-US" w:eastAsia="zh-CN" w:bidi="ar-SA"/>
    </w:rPr>
  </w:style>
  <w:style w:type="character" w:default="1" w:styleId="DefaultParagraphFont">
    <w:name w:val="Default Paragraph Font"/>
    <w:autoRedefine/>
    <w:uiPriority w:val="1"/>
    <w:semiHidden/>
    <w:unhideWhenUsed/>
  </w:style>
  <w:style w:type="table" w:default="1" w:styleId="TableNormal">
    <w:name w:val="Normal Table"/>
    <w:autoRedefine/>
    <w:uiPriority w:val="99"/>
    <w:semiHidden/>
    <w:unhideWhenUsed/>
    <w:qFormat/>
    <w:tblPr>
      <w:tblInd w:w="0" w:type="dxa"/>
      <w:tblCellMar>
        <w:top w:w="0" w:type="dxa"/>
        <w:left w:w="108" w:type="dxa"/>
        <w:bottom w:w="0" w:type="dxa"/>
        <w:right w:w="108" w:type="dxa"/>
      </w:tblCellMar>
    </w:tblPr>
  </w:style>
  <w:style w:type="paragraph" w:styleId="BodyTextIndent">
    <w:name w:val="Body Text Indent"/>
    <w:basedOn w:val="Normal"/>
    <w:autoRedefine/>
    <w:qFormat/>
    <w:pPr>
      <w:adjustRightInd w:val="0"/>
      <w:snapToGrid w:val="0"/>
      <w:spacing w:line="560" w:lineRule="atLeast"/>
      <w:ind w:firstLine="640" w:firstLineChars="200"/>
    </w:pPr>
    <w:rPr>
      <w:kern w:val="0"/>
      <w:szCs w:val="28"/>
    </w:rPr>
  </w:style>
  <w:style w:type="paragraph" w:styleId="Footer">
    <w:name w:val="footer"/>
    <w:basedOn w:val="Normal"/>
    <w:link w:val="a0"/>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Times New Roman" w:hAnsi="Times New Roman"/>
      <w:sz w:val="18"/>
    </w:rPr>
  </w:style>
  <w:style w:type="paragraph" w:styleId="NormalWeb">
    <w:name w:val="Normal (Web)"/>
    <w:basedOn w:val="Normal"/>
    <w:autoRedefine/>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Title">
    <w:name w:val="Title"/>
    <w:basedOn w:val="Normal"/>
    <w:next w:val="Normal"/>
    <w:autoRedefine/>
    <w:qFormat/>
    <w:pPr>
      <w:spacing w:before="240" w:after="60"/>
      <w:jc w:val="center"/>
      <w:outlineLvl w:val="0"/>
    </w:pPr>
    <w:rPr>
      <w:rFonts w:ascii="Cambria" w:eastAsia="宋体" w:hAnsi="Cambria"/>
      <w:b/>
      <w:bCs/>
      <w:kern w:val="0"/>
      <w:szCs w:val="32"/>
    </w:rPr>
  </w:style>
  <w:style w:type="paragraph" w:customStyle="1" w:styleId="a">
    <w:name w:val="办公自动化专用标题"/>
    <w:basedOn w:val="Title"/>
    <w:autoRedefine/>
    <w:qFormat/>
    <w:pPr>
      <w:spacing w:line="560" w:lineRule="atLeast"/>
    </w:pPr>
    <w:rPr>
      <w:rFonts w:ascii="宋体" w:hAnsi="Arial" w:cs="Times New Roman"/>
      <w:bCs w:val="0"/>
      <w:sz w:val="44"/>
      <w:szCs w:val="20"/>
    </w:rPr>
  </w:style>
  <w:style w:type="character" w:customStyle="1" w:styleId="a0">
    <w:name w:val="页脚 字符"/>
    <w:link w:val="Footer"/>
    <w:autoRedefine/>
    <w:qFormat/>
    <w:rPr>
      <w:sz w:val="18"/>
    </w:rPr>
  </w:style>
  <w:style w:type="paragraph" w:customStyle="1" w:styleId="CharCharCharCharCharCharCharCharCharCharCharCharCharCharCharChar">
    <w:name w:val="Char Char Char Char Char Char Char Char Char Char Char Char Char Char Char Char"/>
    <w:basedOn w:val="Normal"/>
    <w:autoRedefine/>
    <w:qFormat/>
    <w:pPr>
      <w:tabs>
        <w:tab w:val="left" w:pos="360"/>
      </w:tabs>
      <w:spacing w:line="240" w:lineRule="auto"/>
    </w:pPr>
    <w:rPr>
      <w:rFonts w:ascii="Times New Roman" w:eastAsia="宋体" w:hAnsi="Times New Roman" w:cs="Times New Roman"/>
      <w:sz w:val="21"/>
      <w:szCs w:val="24"/>
    </w:rPr>
  </w:style>
  <w:style w:type="paragraph" w:customStyle="1" w:styleId="Char">
    <w:name w:val="Char"/>
    <w:basedOn w:val="Normal"/>
    <w:autoRedefine/>
    <w:qFormat/>
    <w:rPr>
      <w:rFonts w:ascii="Times New Roman" w:eastAsia="宋体"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liulu</dc:creator>
  <cp:lastModifiedBy>连城</cp:lastModifiedBy>
  <cp:revision>13</cp:revision>
  <cp:lastPrinted>2023-12-14T01:25:00Z</cp:lastPrinted>
  <dcterms:created xsi:type="dcterms:W3CDTF">2022-12-30T03:06:00Z</dcterms:created>
  <dcterms:modified xsi:type="dcterms:W3CDTF">2024-01-29T06:48:19Z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BC48D9C2851346739B5775D95661032C</vt:lpwstr>
  </property>
  <property fmtid="{D5CDD505-2E9C-101B-9397-08002B2CF9AE}" pid="3" name="KSOProductBuildVer">
    <vt:lpwstr>2052-12.1.0.16250</vt:lpwstr>
  </property>
</Properties>
</file>