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bookmarkStart w:id="0" w:name="_GoBack"/>
      <w:bookmarkEnd w:id="0"/>
    </w:p>
    <w:p>
      <w:pPr>
        <w:spacing w:line="560" w:lineRule="exact"/>
        <w:jc w:val="center"/>
        <w:rPr>
          <w:rFonts w:ascii="方正小标宋_GBK" w:hAnsi="TimesNewRoman" w:eastAsia="方正小标宋_GBK" w:cs="TimesNewRoman"/>
          <w:szCs w:val="32"/>
        </w:rPr>
      </w:pPr>
    </w:p>
    <w:p>
      <w:pPr>
        <w:spacing w:line="560" w:lineRule="exact"/>
        <w:jc w:val="center"/>
        <w:rPr>
          <w:rFonts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寿县养老保险管理服务中心2024年</w:t>
      </w:r>
    </w:p>
    <w:p>
      <w:pPr>
        <w:spacing w:line="560" w:lineRule="exact"/>
        <w:jc w:val="center"/>
        <w:rPr>
          <w:rFonts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单位预算</w:t>
      </w:r>
    </w:p>
    <w:p>
      <w:pPr>
        <w:pStyle w:val="3"/>
        <w:adjustRightInd w:val="0"/>
        <w:snapToGrid w:val="0"/>
        <w:spacing w:line="560" w:lineRule="exact"/>
        <w:jc w:val="center"/>
        <w:outlineLvl w:val="0"/>
        <w:rPr>
          <w:rFonts w:ascii="方正小标宋_GBK" w:hAnsi="TimesNewRoman" w:eastAsia="方正小标宋_GBK" w:cs="TimesNewRoman"/>
          <w:sz w:val="32"/>
          <w:szCs w:val="32"/>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ascii="仿宋_GB2312" w:hAnsi="TimesNewRoman" w:eastAsia="仿宋_GB2312" w:cs="TimesNewRoman"/>
          <w:bCs/>
          <w:sz w:val="32"/>
          <w:szCs w:val="32"/>
        </w:rPr>
      </w:pPr>
    </w:p>
    <w:p>
      <w:pPr>
        <w:pStyle w:val="3"/>
        <w:adjustRightInd w:val="0"/>
        <w:snapToGrid w:val="0"/>
        <w:spacing w:line="560" w:lineRule="exact"/>
        <w:jc w:val="center"/>
        <w:rPr>
          <w:rFonts w:ascii="仿宋_GB2312" w:hAnsi="TimesNewRoman" w:eastAsia="仿宋_GB2312" w:cs="TimesNewRoman"/>
          <w:bCs/>
          <w:sz w:val="36"/>
          <w:szCs w:val="32"/>
        </w:rPr>
      </w:pPr>
      <w:r>
        <w:rPr>
          <w:rFonts w:hint="eastAsia" w:ascii="仿宋_GB2312" w:hAnsi="TimesNewRoman" w:eastAsia="仿宋_GB2312" w:cs="TimesNewRoman"/>
          <w:bCs/>
          <w:sz w:val="36"/>
          <w:szCs w:val="32"/>
        </w:rPr>
        <w:t>2024年1月</w:t>
      </w:r>
    </w:p>
    <w:p>
      <w:pPr>
        <w:pStyle w:val="3"/>
        <w:adjustRightInd w:val="0"/>
        <w:snapToGrid w:val="0"/>
        <w:spacing w:line="560" w:lineRule="exact"/>
        <w:jc w:val="center"/>
        <w:rPr>
          <w:rFonts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部门（单位）概况</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2.部门（单位）预算构成</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年部门（单位）预算表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年收入总表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年支出总表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年财政拨款收支总表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年一般公共预算支出表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年一般公共预算基本支出表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年政府性基金预算支出表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年国有资本经营预算支出表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年项目支出表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年政府采购支出表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寿县养老保险管理服务中心2024</w:t>
      </w:r>
      <w:r>
        <w:rPr>
          <w:rFonts w:ascii="仿宋_GB2312" w:hAnsi="TimesNewRoman" w:eastAsia="仿宋_GB2312" w:cs="TimesNewRoman"/>
          <w:bCs/>
          <w:sz w:val="32"/>
          <w:szCs w:val="32"/>
        </w:rPr>
        <w:t>年政府购买服务支出表</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年部门（单位）预算情况说明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单位概况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pStyle w:val="3"/>
        <w:topLinePunct/>
        <w:adjustRightInd w:val="0"/>
        <w:snapToGrid w:val="0"/>
        <w:spacing w:beforeAutospacing="0" w:afterAutospacing="0" w:line="580" w:lineRule="exact"/>
        <w:ind w:firstLine="640" w:firstLineChars="200"/>
        <w:jc w:val="both"/>
        <w:rPr>
          <w:rFonts w:ascii="TimesNewRoman" w:hAnsi="TimesNewRoman" w:eastAsia="黑体" w:cs="TimesNewRoman"/>
          <w:bCs/>
          <w:sz w:val="32"/>
          <w:szCs w:val="32"/>
        </w:rPr>
      </w:pPr>
      <w:r>
        <w:rPr>
          <w:rFonts w:ascii="TimesNewRoman" w:hAnsi="TimesNewRoman" w:eastAsia="仿宋_GB2312" w:cs="TimesNewRoman"/>
          <w:bCs/>
          <w:sz w:val="32"/>
          <w:szCs w:val="32"/>
        </w:rPr>
        <w:t>（一）</w:t>
      </w:r>
      <w:r>
        <w:rPr>
          <w:rFonts w:hint="eastAsia" w:ascii="仿宋_GB2312" w:hAnsi="黑体" w:eastAsia="仿宋_GB2312"/>
          <w:bCs/>
          <w:sz w:val="32"/>
          <w:szCs w:val="32"/>
        </w:rPr>
        <w:t>贯彻执行上级政府和主管部门养老保险政策法规。</w:t>
      </w:r>
    </w:p>
    <w:p>
      <w:pPr>
        <w:pStyle w:val="3"/>
        <w:topLinePunct/>
        <w:adjustRightInd w:val="0"/>
        <w:snapToGrid w:val="0"/>
        <w:spacing w:beforeAutospacing="0" w:afterAutospacing="0" w:line="580" w:lineRule="exact"/>
        <w:ind w:firstLine="640" w:firstLineChars="200"/>
        <w:jc w:val="both"/>
        <w:rPr>
          <w:rFonts w:ascii="仿宋_GB2312" w:hAnsi="黑体" w:eastAsia="仿宋_GB2312"/>
          <w:bCs/>
          <w:sz w:val="32"/>
          <w:szCs w:val="32"/>
        </w:rPr>
      </w:pPr>
      <w:r>
        <w:rPr>
          <w:rFonts w:ascii="TimesNewRoman" w:hAnsi="TimesNewRoman" w:eastAsia="仿宋_GB2312" w:cs="TimesNewRoman"/>
          <w:bCs/>
          <w:sz w:val="32"/>
          <w:szCs w:val="32"/>
        </w:rPr>
        <w:t>（二）</w:t>
      </w:r>
      <w:r>
        <w:rPr>
          <w:rFonts w:hint="eastAsia" w:ascii="仿宋_GB2312" w:hAnsi="黑体" w:eastAsia="仿宋_GB2312"/>
          <w:bCs/>
          <w:sz w:val="32"/>
          <w:szCs w:val="32"/>
        </w:rPr>
        <w:t>负责养老保险基金的筹集、管理、支付；确保养老保险基金的安全增值；负责编制养老保险基金预、决算，按时上报各类财务统计报表；负责参保单位的登记，受理参保单位缴费、申报，稽核、发放离退休人员的养老金；审批死亡职工、遗属待遇和非因工伤残职工待遇。</w:t>
      </w:r>
    </w:p>
    <w:p>
      <w:pPr>
        <w:pStyle w:val="3"/>
        <w:adjustRightInd w:val="0"/>
        <w:snapToGrid w:val="0"/>
        <w:spacing w:beforeAutospacing="0" w:afterAutospacing="0" w:line="360" w:lineRule="auto"/>
        <w:ind w:firstLine="627" w:firstLineChars="196"/>
        <w:jc w:val="both"/>
        <w:rPr>
          <w:rFonts w:ascii="TimesNewRoman" w:hAnsi="TimesNewRoman" w:eastAsia="仿宋_GB2312" w:cs="TimesNewRoman"/>
          <w:bCs/>
          <w:sz w:val="32"/>
          <w:szCs w:val="32"/>
        </w:rPr>
      </w:pPr>
      <w:r>
        <w:rPr>
          <w:rFonts w:hint="eastAsia" w:ascii="仿宋_GB2312" w:hAnsi="黑体" w:eastAsia="仿宋_GB2312"/>
          <w:bCs/>
          <w:sz w:val="32"/>
          <w:szCs w:val="32"/>
        </w:rPr>
        <w:t>（三）承办国家规定由县级劳动和社会保障部门负责的企业职工提前退休和企业职工退休审批工作；负责养老保险业务宣传，受理参保单位和参保人保险业务的查询；做好相关配套服务工作等。</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单位预算构成</w:t>
      </w:r>
    </w:p>
    <w:p>
      <w:pPr>
        <w:pStyle w:val="3"/>
        <w:topLinePunct/>
        <w:adjustRightInd w:val="0"/>
        <w:snapToGrid w:val="0"/>
        <w:spacing w:beforeAutospacing="0" w:afterAutospacing="0" w:line="58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单位预算构成：寿县</w:t>
      </w:r>
      <w:r>
        <w:rPr>
          <w:rFonts w:hint="eastAsia" w:ascii="仿宋_GB2312" w:hAnsi="仿宋" w:eastAsia="仿宋_GB2312" w:cs="仿宋"/>
          <w:bCs/>
          <w:sz w:val="32"/>
          <w:szCs w:val="32"/>
        </w:rPr>
        <w:t>养老保险管理服务中心</w:t>
      </w:r>
      <w:r>
        <w:rPr>
          <w:rFonts w:hint="eastAsia" w:ascii="仿宋_GB2312" w:hAnsi="TimesNewRoman" w:eastAsia="仿宋_GB2312" w:cs="TimesNewRoman"/>
          <w:bCs/>
          <w:sz w:val="32"/>
          <w:szCs w:val="32"/>
        </w:rPr>
        <w:t>2024年度单位预算仅包括单位本级预算，无其他下属单位预算。</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pStyle w:val="3"/>
        <w:topLinePunct/>
        <w:adjustRightInd w:val="0"/>
        <w:snapToGrid w:val="0"/>
        <w:spacing w:beforeAutospacing="0" w:afterAutospacing="0" w:line="580" w:lineRule="exact"/>
        <w:ind w:firstLine="640" w:firstLineChars="200"/>
        <w:jc w:val="both"/>
        <w:rPr>
          <w:rFonts w:ascii="TimesNewRoman" w:hAnsi="TimesNewRoman" w:eastAsia="黑体" w:cs="TimesNewRoman"/>
          <w:bCs/>
          <w:sz w:val="32"/>
          <w:szCs w:val="32"/>
        </w:rPr>
      </w:pPr>
      <w:r>
        <w:rPr>
          <w:rFonts w:hint="eastAsia" w:ascii="仿宋_GB2312" w:hAnsi="黑体" w:eastAsia="仿宋_GB2312"/>
          <w:bCs/>
          <w:sz w:val="32"/>
          <w:szCs w:val="32"/>
        </w:rPr>
        <w:t>（一）贯彻执行上级政府和主管部门养老保险政策法规。</w:t>
      </w:r>
    </w:p>
    <w:p>
      <w:pPr>
        <w:pStyle w:val="3"/>
        <w:topLinePunct/>
        <w:adjustRightInd w:val="0"/>
        <w:snapToGrid w:val="0"/>
        <w:spacing w:beforeAutospacing="0" w:afterAutospacing="0" w:line="580" w:lineRule="exact"/>
        <w:ind w:firstLine="640" w:firstLineChars="200"/>
        <w:jc w:val="both"/>
        <w:rPr>
          <w:rFonts w:ascii="仿宋_GB2312" w:hAnsi="黑体" w:eastAsia="仿宋_GB2312"/>
          <w:bCs/>
          <w:sz w:val="32"/>
          <w:szCs w:val="32"/>
        </w:rPr>
      </w:pPr>
      <w:r>
        <w:rPr>
          <w:rFonts w:hint="eastAsia" w:ascii="TimesNewRoman" w:hAnsi="TimesNewRoman" w:eastAsia="仿宋_GB2312" w:cs="TimesNewRoman"/>
          <w:bCs/>
          <w:sz w:val="32"/>
          <w:szCs w:val="32"/>
        </w:rPr>
        <w:t>（</w:t>
      </w:r>
      <w:r>
        <w:rPr>
          <w:rFonts w:ascii="TimesNewRoman" w:hAnsi="TimesNewRoman" w:eastAsia="仿宋_GB2312" w:cs="TimesNewRoman"/>
          <w:bCs/>
          <w:sz w:val="32"/>
          <w:szCs w:val="32"/>
        </w:rPr>
        <w:t>二）</w:t>
      </w:r>
      <w:r>
        <w:rPr>
          <w:rFonts w:hint="eastAsia" w:ascii="仿宋_GB2312" w:hAnsi="黑体" w:eastAsia="仿宋_GB2312"/>
          <w:bCs/>
          <w:sz w:val="32"/>
          <w:szCs w:val="32"/>
        </w:rPr>
        <w:t>负责2023年养老保险基金的筹集、管理、支付；确保养老保险基金的安全增值；</w:t>
      </w:r>
    </w:p>
    <w:p>
      <w:pPr>
        <w:pStyle w:val="3"/>
        <w:adjustRightInd w:val="0"/>
        <w:snapToGrid w:val="0"/>
        <w:spacing w:beforeAutospacing="0" w:afterAutospacing="0" w:line="360" w:lineRule="auto"/>
        <w:ind w:firstLine="627" w:firstLineChars="196"/>
        <w:jc w:val="both"/>
        <w:rPr>
          <w:rFonts w:ascii="仿宋_GB2312" w:hAnsi="黑体" w:eastAsia="仿宋_GB2312"/>
          <w:bCs/>
          <w:sz w:val="32"/>
          <w:szCs w:val="32"/>
        </w:rPr>
      </w:pPr>
      <w:r>
        <w:rPr>
          <w:rFonts w:hint="eastAsia" w:ascii="仿宋_GB2312" w:hAnsi="黑体" w:eastAsia="仿宋_GB2312"/>
          <w:bCs/>
          <w:sz w:val="32"/>
          <w:szCs w:val="32"/>
        </w:rPr>
        <w:t>（三）负责编制2023年养老保险基金预、决算，按时上报各类财务统计报表；负责参保单位的登记，受理参保单位缴费、申报，稽核、发放离退休人员的养老金；审批死亡职工、遗属待遇和非因工伤残职工待遇。</w:t>
      </w:r>
    </w:p>
    <w:p>
      <w:pPr>
        <w:pStyle w:val="3"/>
        <w:adjustRightInd w:val="0"/>
        <w:snapToGrid w:val="0"/>
        <w:spacing w:beforeAutospacing="0" w:afterAutospacing="0" w:line="360" w:lineRule="auto"/>
        <w:ind w:firstLine="627" w:firstLineChars="196"/>
        <w:jc w:val="both"/>
        <w:rPr>
          <w:rFonts w:ascii="仿宋_GB2312" w:hAnsi="黑体" w:eastAsia="仿宋_GB2312"/>
          <w:bCs/>
          <w:sz w:val="32"/>
          <w:szCs w:val="32"/>
        </w:rPr>
      </w:pPr>
      <w:r>
        <w:rPr>
          <w:rFonts w:hint="eastAsia" w:ascii="仿宋_GB2312" w:hAnsi="黑体" w:eastAsia="仿宋_GB2312"/>
          <w:bCs/>
          <w:sz w:val="32"/>
          <w:szCs w:val="32"/>
        </w:rPr>
        <w:t>（四）承办国家规定由县级劳动和社会保障部门负责的企业职工提前退休和企业职工退休审批工作；负责养老保险业务宣传，受理参保单位和参保人保险业务的查询；做好相关配套服务工作等。</w:t>
      </w:r>
    </w:p>
    <w:p>
      <w:pPr>
        <w:pStyle w:val="3"/>
        <w:topLinePunct/>
        <w:adjustRightInd w:val="0"/>
        <w:snapToGrid w:val="0"/>
        <w:spacing w:beforeAutospacing="0" w:afterAutospacing="0" w:line="580" w:lineRule="exact"/>
        <w:ind w:firstLine="640" w:firstLineChars="200"/>
        <w:jc w:val="both"/>
        <w:rPr>
          <w:rFonts w:ascii="仿宋_GB2312" w:hAnsi="黑体" w:eastAsia="仿宋_GB2312"/>
          <w:bCs/>
          <w:sz w:val="32"/>
          <w:szCs w:val="32"/>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adjustRightInd w:val="0"/>
        <w:snapToGrid w:val="0"/>
        <w:spacing w:line="560" w:lineRule="exact"/>
        <w:rPr>
          <w:rFonts w:ascii="TimesNewRoman" w:hAnsi="TimesNewRoman" w:eastAsia="黑体" w:cs="TimesNewRoman"/>
          <w:bCs/>
          <w:sz w:val="36"/>
          <w:szCs w:val="36"/>
        </w:rPr>
      </w:pPr>
    </w:p>
    <w:p>
      <w:pPr>
        <w:pStyle w:val="3"/>
        <w:numPr>
          <w:ilvl w:val="0"/>
          <w:numId w:val="1"/>
        </w:numPr>
        <w:topLinePunct/>
        <w:adjustRightInd w:val="0"/>
        <w:snapToGrid w:val="0"/>
        <w:spacing w:beforeAutospacing="0" w:afterAutospacing="0" w:line="560" w:lineRule="exact"/>
        <w:jc w:val="center"/>
        <w:rPr>
          <w:rFonts w:hint="eastAsia" w:ascii="黑体" w:eastAsia="黑体" w:cs="TimesNewRoman" w:hAnsiTheme="majorEastAsia"/>
          <w:bCs/>
          <w:sz w:val="36"/>
          <w:szCs w:val="36"/>
        </w:rPr>
      </w:pPr>
      <w:r>
        <w:rPr>
          <w:rFonts w:hint="eastAsia" w:ascii="黑体" w:eastAsia="黑体" w:cs="TimesNewRoman" w:hAnsiTheme="majorEastAsia"/>
          <w:bCs/>
          <w:sz w:val="36"/>
          <w:szCs w:val="36"/>
        </w:rPr>
        <w:t>2024年单位预算表</w:t>
      </w:r>
    </w:p>
    <w:p>
      <w:pPr>
        <w:pStyle w:val="3"/>
        <w:topLinePunct/>
        <w:adjustRightInd w:val="0"/>
        <w:snapToGrid w:val="0"/>
        <w:spacing w:beforeAutospacing="0" w:afterAutospacing="0" w:line="560" w:lineRule="exact"/>
        <w:jc w:val="both"/>
        <w:rPr>
          <w:rFonts w:ascii="TimesNewRoman" w:hAnsi="TimesNewRoman" w:eastAsia="黑体" w:cs="TimesNewRoman"/>
          <w:bCs/>
          <w:sz w:val="36"/>
          <w:szCs w:val="36"/>
        </w:rPr>
      </w:pPr>
    </w:p>
    <w:p>
      <w:pPr>
        <w:pStyle w:val="3"/>
        <w:adjustRightInd w:val="0"/>
        <w:snapToGrid w:val="0"/>
        <w:spacing w:beforeAutospacing="0" w:afterAutospacing="0" w:line="360" w:lineRule="auto"/>
        <w:jc w:val="center"/>
        <w:rPr>
          <w:rFonts w:ascii="仿宋_GB2312" w:hAnsi="黑体" w:eastAsia="仿宋_GB2312"/>
          <w:b/>
          <w:bCs/>
          <w:color w:val="FF0000"/>
          <w:sz w:val="32"/>
          <w:szCs w:val="32"/>
        </w:rPr>
      </w:pPr>
      <w:r>
        <w:rPr>
          <w:rFonts w:hint="eastAsia" w:ascii="仿宋_GB2312" w:hAnsi="仿宋" w:eastAsia="仿宋_GB2312"/>
          <w:bCs/>
          <w:sz w:val="32"/>
          <w:szCs w:val="32"/>
        </w:rPr>
        <w:t xml:space="preserve">  2024年部门预算表由11张表格构成，具体表格内容见附表。</w:t>
      </w:r>
    </w:p>
    <w:p>
      <w:pPr>
        <w:pStyle w:val="3"/>
        <w:topLinePunct/>
        <w:adjustRightInd w:val="0"/>
        <w:snapToGrid w:val="0"/>
        <w:spacing w:beforeAutospacing="0" w:afterAutospacing="0" w:line="560" w:lineRule="exact"/>
        <w:jc w:val="both"/>
        <w:rPr>
          <w:rFonts w:ascii="TimesNewRoman" w:hAnsi="TimesNewRoman" w:eastAsia="黑体" w:cs="TimesNewRoman"/>
          <w:bCs/>
          <w:sz w:val="36"/>
          <w:szCs w:val="36"/>
        </w:rPr>
      </w:pPr>
    </w:p>
    <w:p>
      <w:pPr>
        <w:widowControl/>
        <w:spacing w:line="560" w:lineRule="exact"/>
        <w:jc w:val="left"/>
        <w:rPr>
          <w:rFonts w:ascii="仿宋_GB2312" w:hAnsi="TimesNewRoman" w:eastAsia="仿宋_GB2312" w:cs="TimesNewRoman"/>
          <w:bCs/>
          <w:sz w:val="32"/>
          <w:szCs w:val="32"/>
        </w:rPr>
      </w:pPr>
      <w:r>
        <w:rPr>
          <w:rFonts w:hint="eastAsia" w:ascii="TimesNewRoman" w:hAnsi="TimesNewRoman" w:cs="TimesNewRoman"/>
          <w:kern w:val="0"/>
          <w:sz w:val="20"/>
        </w:rPr>
        <w:t xml:space="preserve">                                                                                                           </w:t>
      </w: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hint="eastAsia" w:ascii="黑体" w:hAnsi="TimesNewRoman" w:eastAsia="黑体" w:cs="TimesNewRoman"/>
          <w:bCs/>
          <w:sz w:val="36"/>
          <w:szCs w:val="36"/>
        </w:rPr>
      </w:pPr>
      <w:r>
        <w:rPr>
          <w:rFonts w:hint="eastAsia" w:ascii="黑体" w:hAnsi="TimesNewRoman" w:eastAsia="黑体" w:cs="TimesNewRoman"/>
          <w:bCs/>
          <w:sz w:val="36"/>
          <w:szCs w:val="36"/>
        </w:rPr>
        <w:t>第三部分 2024年单位预算情况说明</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3"/>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养老中心所有收入和支出均纳入部门（单位）预算管理。寿县养老中心2024年收支总预算726.68万元，收入全部是一般公共预算拨款收入726.68万元，支出包括：社会保障和就业支出7049.91万元、卫生健康支出5.35万元、住房保障支出12.42万元。</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sz w:val="32"/>
          <w:szCs w:val="32"/>
        </w:rPr>
        <w:t>养老中心2024年收入预算7067.68万元，其中，本年收入7067.68万元。</w:t>
      </w:r>
    </w:p>
    <w:p>
      <w:pPr>
        <w:numPr>
          <w:ilvl w:val="0"/>
          <w:numId w:val="2"/>
        </w:num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本年收入7067.68万元，主要包括：一般公共预算拨款收入7067.68万元，占100%，比2023年预算增加6465.98万元，增长107.46%，增长原因主要是对机关事业单位养老保险的补助。</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支出预算7067.68万元，比2023年预算增加6465.98万元，增长107.46%，增长原因主要是对机关事业单位养老保险的补助。其中，基本支出159.1万元，占2.25%，主要用于保障机构日常运转、完成日常工作任务；项目支出6908.58万元，占97.75%，主要用于对机关事业单位养老保险的补助。</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3"/>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财政拨款收支预算726.68万元。收入按资金来源分为：一般公共预算拨款726.68万元；按资金年度分为：本年财政拨款收入726.68万元。支出按功能分类分为：社会保障和就业支出708.91万元，占97.55%；卫生健康支出5.35万元，占0.74%；住房保障支出12.42万元，占1.71%。</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3"/>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3"/>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寿县养老中心2024年一般公共预算支出726.68万元，比2023年预算增加124.98万元，增长20.77%，主要原因：一是未参保集体企业退休人员增加和补调资；二是庐剧团退休人员工资。</w:t>
      </w:r>
    </w:p>
    <w:p>
      <w:pPr>
        <w:pStyle w:val="3"/>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3"/>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社会保障和就业支出708.91万元，占97.55%；卫生健康支出5.35万元，占0.74%；住房保障支出12.42万元，占1.71%。</w:t>
      </w:r>
    </w:p>
    <w:p>
      <w:pPr>
        <w:numPr>
          <w:ilvl w:val="0"/>
          <w:numId w:val="2"/>
        </w:num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一般公共预算支出具体使用情况。</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1.社会保障和就业支出（类）人力资源和社会保障管理事务（款）社会保险经办机构（项）</w:t>
      </w:r>
      <w:r>
        <w:rPr>
          <w:rFonts w:hint="eastAsia" w:ascii="仿宋_GB2312" w:hAnsi="TimesNewRoman" w:eastAsia="仿宋_GB2312" w:cs="TimesNewRoman"/>
          <w:sz w:val="32"/>
          <w:szCs w:val="32"/>
        </w:rPr>
        <w:t>2024年预算678.02万元，比2023年预算增加115.76万元，增长20.59%，增长原因主要是发放退休人员退休费及回族人员伙食补助费。</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2.社会保障和就业支出（类）行政事业单位养老支出（款）事业单位离退休（项）</w:t>
      </w:r>
      <w:r>
        <w:rPr>
          <w:rFonts w:hint="eastAsia" w:ascii="仿宋_GB2312" w:hAnsi="TimesNewRoman" w:eastAsia="仿宋_GB2312" w:cs="TimesNewRoman"/>
          <w:sz w:val="32"/>
          <w:szCs w:val="32"/>
        </w:rPr>
        <w:t>2024年预算6.04万元，比2023年预算增加6.04万元，增长100%，增长原因主要是退休人员增加生活补贴。</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3.社会保障和就业支出（类）行政事业单位养老支出（款）机关事业单位基本养老保险缴费支出（项）</w:t>
      </w:r>
      <w:r>
        <w:rPr>
          <w:rFonts w:hint="eastAsia" w:ascii="仿宋_GB2312" w:hAnsi="TimesNewRoman" w:eastAsia="仿宋_GB2312" w:cs="TimesNewRoman"/>
          <w:sz w:val="32"/>
          <w:szCs w:val="32"/>
        </w:rPr>
        <w:t>2024年预算16.57万元，比2023年预算增加1.45万元，增长9.59%，增长原因主要是人员正常增资。</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4.社会保障和就业支出（类）行政事业单位养老支出（款）机关事业单位职业年金缴费支出（项）</w:t>
      </w:r>
      <w:r>
        <w:rPr>
          <w:rFonts w:hint="eastAsia" w:ascii="仿宋_GB2312" w:hAnsi="TimesNewRoman" w:eastAsia="仿宋_GB2312" w:cs="TimesNewRoman"/>
          <w:sz w:val="32"/>
          <w:szCs w:val="32"/>
        </w:rPr>
        <w:t>2024年预算8.28万元，比2023年预算增加0.72万元，增长9.52%，增长原因主要是人员正常增资。</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5.卫生健康支出（类）行政事业单位医疗（款）事业单位医疗（项）</w:t>
      </w:r>
      <w:r>
        <w:rPr>
          <w:rFonts w:hint="eastAsia" w:ascii="仿宋_GB2312" w:hAnsi="TimesNewRoman" w:eastAsia="仿宋_GB2312" w:cs="TimesNewRoman"/>
          <w:sz w:val="32"/>
          <w:szCs w:val="32"/>
        </w:rPr>
        <w:t>2024年预算5.35万元，比2023年预算增加0.44万元，增长8.96%，增长原因主要是人员正常增资。</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6.住房保障支出（类）住房改革支出（款）住房公积金（项）</w:t>
      </w:r>
      <w:r>
        <w:rPr>
          <w:rFonts w:hint="eastAsia" w:ascii="仿宋_GB2312" w:hAnsi="TimesNewRoman" w:eastAsia="仿宋_GB2312" w:cs="TimesNewRoman"/>
          <w:sz w:val="32"/>
          <w:szCs w:val="32"/>
        </w:rPr>
        <w:t>2024年预算12.42万元，比2023年预算增加1.08万元，增长9.52%，增长原因主要是人员正常增资。</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寿县养老中心2024年一般公共预算基本支出159.1万元，其中，人员经费153.98万元，公用经费5.12万元。</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（一）人员经费153.98万元，主要包括:基本工资、奖金、绩效工资、机关事业单位基本养老保险费、职业年金缴费、职工基本医疗保险缴费、其他社会保障缴费、住房公积金、退休费。</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（二）公用经费5.12万元，主要包括：办公费、公务接待费、工会经费、其他交通费用等。</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3"/>
        <w:topLinePunct/>
        <w:adjustRightInd w:val="0"/>
        <w:snapToGrid w:val="0"/>
        <w:spacing w:beforeAutospacing="0" w:afterAutospacing="0" w:line="580" w:lineRule="exact"/>
        <w:ind w:firstLine="640" w:firstLineChars="200"/>
        <w:jc w:val="both"/>
        <w:rPr>
          <w:rFonts w:ascii="楷体_GB2312" w:hAnsi="TimesNewRoman" w:eastAsia="楷体_GB2312" w:cs="TimesNewRoman"/>
          <w:b/>
          <w:sz w:val="32"/>
          <w:szCs w:val="32"/>
        </w:rPr>
      </w:pPr>
      <w:r>
        <w:rPr>
          <w:rFonts w:hint="eastAsia" w:ascii="仿宋_GB2312" w:hAnsi="TimesNewRoman" w:eastAsia="仿宋_GB2312" w:cs="TimesNewRoman"/>
          <w:sz w:val="32"/>
          <w:szCs w:val="32"/>
        </w:rPr>
        <w:t>寿县养老中心2024年没有政府性基金预算拨款收入，也没有使用政府性基金预算拨款安排的支出。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3"/>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3"/>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预算共安排项目支出567.58万元，比2023年预算增加104.98万元，增长22.69%，增长原因主要是退休人员退休费及伙食补助人员增加及调资。主要包括：本年财政拨款安排567.58万元（其中，一般公共预算拨款安排567.58万元）。</w:t>
      </w:r>
    </w:p>
    <w:p>
      <w:pPr>
        <w:pStyle w:val="3"/>
        <w:topLinePunct/>
        <w:adjustRightInd w:val="0"/>
        <w:snapToGrid w:val="0"/>
        <w:spacing w:beforeAutospacing="0" w:afterAutospacing="0" w:line="580" w:lineRule="exact"/>
        <w:ind w:firstLine="643" w:firstLineChars="200"/>
        <w:jc w:val="both"/>
        <w:rPr>
          <w:rFonts w:ascii="仿宋_GB2312" w:hAnsi="TimesNewRoman" w:eastAsia="仿宋_GB2312" w:cs="TimesNewRoman"/>
          <w:sz w:val="32"/>
          <w:szCs w:val="32"/>
        </w:rPr>
      </w:pPr>
      <w:r>
        <w:rPr>
          <w:rFonts w:hint="eastAsia" w:ascii="楷体_GB2312" w:hAnsi="TimesNewRoman" w:eastAsia="楷体_GB2312" w:cs="TimesNewRoman"/>
          <w:b/>
          <w:sz w:val="32"/>
          <w:szCs w:val="32"/>
        </w:rPr>
        <w:t>十、关于2024年政府采购支出表的说明</w:t>
      </w:r>
    </w:p>
    <w:p>
      <w:pPr>
        <w:pStyle w:val="3"/>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寿县养老中心2024年预算安排政府采购支出1.05万元，比2023年预算增加0.55万元，增长11%，增长原因主要是设备更新购置。其中，一般公共预算安排1.05万元，占100%。</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3"/>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寿县养老中心2024年没有安排政府购买服务支出。</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1.“</w:t>
      </w:r>
      <w:r>
        <w:rPr>
          <w:rFonts w:hint="eastAsia" w:ascii="仿宋_GB2312" w:hAnsi="楷体" w:eastAsia="仿宋_GB2312"/>
          <w:b/>
          <w:sz w:val="32"/>
          <w:szCs w:val="32"/>
        </w:rPr>
        <w:t>退休人员退休费及伙食补助费</w:t>
      </w:r>
      <w:r>
        <w:rPr>
          <w:rFonts w:hint="eastAsia" w:ascii="仿宋_GB2312" w:hAnsi="TimesNewRoman" w:eastAsia="仿宋_GB2312" w:cs="TimesNewRoman"/>
          <w:b/>
          <w:sz w:val="32"/>
          <w:szCs w:val="32"/>
        </w:rPr>
        <w:t>”项目。</w:t>
      </w:r>
    </w:p>
    <w:p>
      <w:pPr>
        <w:topLinePunct/>
        <w:adjustRightInd w:val="0"/>
        <w:snapToGrid w:val="0"/>
        <w:spacing w:line="58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（1）项目概述。</w:t>
      </w:r>
      <w:r>
        <w:rPr>
          <w:rFonts w:hint="eastAsia" w:ascii="仿宋_GB2312" w:hAnsi="仿宋" w:eastAsia="仿宋_GB2312"/>
          <w:sz w:val="32"/>
          <w:szCs w:val="32"/>
        </w:rPr>
        <w:t>主要解决退休人员退休费及回民伙食补助费费用。该项目由原来三个项目整合而来。</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w:t>
      </w:r>
      <w:r>
        <w:rPr>
          <w:rFonts w:hint="eastAsia" w:ascii="仿宋_GB2312" w:hAnsi="仿宋" w:eastAsia="仿宋_GB2312"/>
          <w:sz w:val="32"/>
          <w:szCs w:val="32"/>
        </w:rPr>
        <w:t>劳社</w:t>
      </w:r>
      <w:r>
        <w:rPr>
          <w:rFonts w:hint="eastAsia" w:ascii="仿宋_GB2312" w:hAnsi="仿宋_GB2312" w:eastAsia="仿宋_GB2312" w:cs="仿宋_GB2312"/>
          <w:sz w:val="32"/>
          <w:szCs w:val="32"/>
        </w:rPr>
        <w:t>[</w:t>
      </w:r>
      <w:r>
        <w:rPr>
          <w:rFonts w:hint="eastAsia" w:ascii="仿宋_GB2312" w:hAnsi="仿宋" w:eastAsia="仿宋_GB2312"/>
          <w:sz w:val="32"/>
          <w:szCs w:val="32"/>
        </w:rPr>
        <w:t>2005</w:t>
      </w:r>
      <w:r>
        <w:rPr>
          <w:rFonts w:hint="eastAsia" w:ascii="仿宋_GB2312" w:hAnsi="仿宋_GB2312" w:eastAsia="仿宋_GB2312" w:cs="仿宋_GB2312"/>
          <w:sz w:val="32"/>
          <w:szCs w:val="32"/>
        </w:rPr>
        <w:t>]84号文、寿办发[2010]53号文、县政府第60次常务会议纪要。</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（3）实施主体。寿</w:t>
      </w:r>
      <w:r>
        <w:rPr>
          <w:rFonts w:hint="eastAsia" w:ascii="仿宋_GB2312" w:hAnsi="仿宋" w:eastAsia="仿宋_GB2312"/>
          <w:sz w:val="32"/>
          <w:szCs w:val="32"/>
        </w:rPr>
        <w:t>县养老保险管理服务中心。</w:t>
      </w:r>
    </w:p>
    <w:p>
      <w:pPr>
        <w:topLinePunct/>
        <w:adjustRightInd w:val="0"/>
        <w:snapToGrid w:val="0"/>
        <w:spacing w:line="580" w:lineRule="exact"/>
        <w:ind w:firstLine="838" w:firstLineChars="262"/>
        <w:rPr>
          <w:rFonts w:ascii="仿宋_GB2312" w:hAnsi="仿宋" w:eastAsia="仿宋_GB2312"/>
          <w:sz w:val="32"/>
          <w:szCs w:val="32"/>
        </w:rPr>
      </w:pPr>
      <w:r>
        <w:rPr>
          <w:rFonts w:hint="eastAsia" w:ascii="仿宋_GB2312" w:hAnsi="TimesNewRoman" w:eastAsia="仿宋_GB2312" w:cs="TimesNewRoman"/>
          <w:sz w:val="32"/>
          <w:szCs w:val="32"/>
        </w:rPr>
        <w:t>（4）起止时间。</w:t>
      </w:r>
      <w:r>
        <w:rPr>
          <w:rFonts w:hint="eastAsia" w:ascii="仿宋_GB2312" w:hAnsi="仿宋" w:eastAsia="仿宋_GB2312"/>
          <w:sz w:val="32"/>
          <w:szCs w:val="32"/>
        </w:rPr>
        <w:t>2024年1月1日至2024年12月31日。</w:t>
      </w:r>
    </w:p>
    <w:p>
      <w:pPr>
        <w:topLinePunct/>
        <w:adjustRightInd w:val="0"/>
        <w:snapToGrid w:val="0"/>
        <w:spacing w:line="580" w:lineRule="exact"/>
        <w:ind w:firstLine="838" w:firstLineChars="262"/>
        <w:rPr>
          <w:rFonts w:ascii="仿宋_GB2312" w:hAnsi="TimesNewRoman" w:eastAsia="仿宋_GB2312" w:cs="TimesNewRoman"/>
          <w:sz w:val="32"/>
          <w:szCs w:val="32"/>
        </w:rPr>
      </w:pPr>
      <w:r>
        <w:rPr>
          <w:rFonts w:hint="eastAsia" w:ascii="仿宋_GB2312" w:hAnsi="TimesNewRoman" w:eastAsia="仿宋_GB2312" w:cs="TimesNewRoman"/>
          <w:sz w:val="32"/>
          <w:szCs w:val="32"/>
        </w:rPr>
        <w:t>（5）项目内容。未参保集体企业退休人员基本生活补助，庐剧团退休人员退休费，葛广娟财政定补。</w:t>
      </w:r>
    </w:p>
    <w:p>
      <w:pPr>
        <w:topLinePunct/>
        <w:adjustRightInd w:val="0"/>
        <w:snapToGrid w:val="0"/>
        <w:spacing w:line="580" w:lineRule="exact"/>
        <w:ind w:firstLine="838" w:firstLineChars="262"/>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年度预算安排469.88万元。</w:t>
      </w:r>
    </w:p>
    <w:p>
      <w:pPr>
        <w:topLinePunct/>
        <w:adjustRightInd w:val="0"/>
        <w:snapToGrid w:val="0"/>
        <w:spacing w:line="580" w:lineRule="exact"/>
        <w:ind w:firstLine="838" w:firstLineChars="262"/>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（7）绩效目标。见附表。</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2.“</w:t>
      </w:r>
      <w:r>
        <w:rPr>
          <w:rFonts w:hint="eastAsia" w:ascii="仿宋_GB2312" w:hAnsi="楷体" w:eastAsia="仿宋_GB2312"/>
          <w:b/>
          <w:sz w:val="32"/>
          <w:szCs w:val="32"/>
        </w:rPr>
        <w:t>养老工作经费</w:t>
      </w:r>
      <w:r>
        <w:rPr>
          <w:rFonts w:hint="eastAsia" w:ascii="仿宋_GB2312" w:hAnsi="TimesNewRoman" w:eastAsia="仿宋_GB2312" w:cs="TimesNewRoman"/>
          <w:b/>
          <w:sz w:val="32"/>
          <w:szCs w:val="32"/>
        </w:rPr>
        <w:t>”项目。</w:t>
      </w:r>
    </w:p>
    <w:p>
      <w:pPr>
        <w:topLinePunct/>
        <w:spacing w:line="56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（1）项目概述。</w:t>
      </w:r>
      <w:r>
        <w:rPr>
          <w:rFonts w:hint="eastAsia" w:ascii="仿宋_GB2312" w:hAnsi="仿宋" w:eastAsia="仿宋_GB2312"/>
          <w:sz w:val="32"/>
          <w:szCs w:val="32"/>
        </w:rPr>
        <w:t>主要解决退休人员社会化发放管理服务和养老经办机构补助费。该项目由原三个项目整合而来。</w:t>
      </w:r>
    </w:p>
    <w:p>
      <w:pPr>
        <w:spacing w:line="600" w:lineRule="exact"/>
        <w:ind w:firstLine="585" w:firstLineChars="183"/>
        <w:rPr>
          <w:rFonts w:ascii="仿宋_GB2312" w:hAnsi="仿宋" w:eastAsia="仿宋_GB2312"/>
          <w:sz w:val="32"/>
          <w:szCs w:val="32"/>
          <w:u w:val="single"/>
        </w:rPr>
      </w:pPr>
      <w:r>
        <w:rPr>
          <w:rFonts w:hint="eastAsia" w:ascii="仿宋_GB2312" w:hAnsi="TimesNewRoman" w:eastAsia="仿宋_GB2312" w:cs="TimesNewRoman"/>
          <w:sz w:val="32"/>
          <w:szCs w:val="32"/>
        </w:rPr>
        <w:t>（2）立项依据。</w:t>
      </w:r>
      <w:r>
        <w:rPr>
          <w:rFonts w:hint="eastAsia" w:ascii="仿宋_GB2312" w:hAnsi="仿宋" w:eastAsia="仿宋_GB2312"/>
          <w:sz w:val="32"/>
          <w:szCs w:val="32"/>
        </w:rPr>
        <w:t>寿办发</w:t>
      </w:r>
      <w:r>
        <w:rPr>
          <w:rFonts w:hint="eastAsia" w:ascii="仿宋_GB2312" w:hAnsi="仿宋_GB2312" w:eastAsia="仿宋_GB2312" w:cs="仿宋_GB2312"/>
          <w:sz w:val="32"/>
          <w:szCs w:val="32"/>
        </w:rPr>
        <w:t>[</w:t>
      </w:r>
      <w:r>
        <w:rPr>
          <w:rFonts w:hint="eastAsia" w:ascii="仿宋_GB2312" w:hAnsi="仿宋" w:eastAsia="仿宋_GB2312"/>
          <w:sz w:val="32"/>
          <w:szCs w:val="32"/>
        </w:rPr>
        <w:t>2004</w:t>
      </w:r>
      <w:r>
        <w:rPr>
          <w:rFonts w:hint="eastAsia" w:ascii="仿宋_GB2312" w:hAnsi="仿宋_GB2312" w:eastAsia="仿宋_GB2312" w:cs="仿宋_GB2312"/>
          <w:sz w:val="32"/>
          <w:szCs w:val="32"/>
        </w:rPr>
        <w:t>]39号文、皖政[2015]120号文。</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（3）实施主体。寿县养老保险管理服务中心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w:t>
      </w:r>
      <w:r>
        <w:rPr>
          <w:rFonts w:hint="eastAsia" w:ascii="仿宋_GB2312" w:hAnsi="仿宋" w:eastAsia="仿宋_GB2312"/>
          <w:sz w:val="32"/>
          <w:szCs w:val="32"/>
        </w:rPr>
        <w:t>2024年1月1日至2024年12月31日。</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（5）项目内容。经办机构补助经费，企业退休人员退休费，养老保险扩面经费。</w:t>
      </w:r>
    </w:p>
    <w:p>
      <w:pPr>
        <w:topLinePunct/>
        <w:adjustRightInd w:val="0"/>
        <w:snapToGrid w:val="0"/>
        <w:spacing w:line="56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年度预算安排96.2万元。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（7）绩效目标。见附表。</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寿县养老中心为非参照公务员法管理的事业单位，按照部门预算机关运行经费口径，2024年运行经费财政拨款预算2.5万元，与2023年无增减。</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sz w:val="32"/>
          <w:szCs w:val="32"/>
        </w:rPr>
        <w:t>养老中心2024年政府采购预算1.05万元。</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截至2024年12月31日，</w:t>
      </w:r>
      <w:r>
        <w:rPr>
          <w:rFonts w:hint="eastAsia" w:ascii="仿宋_GB2312" w:hAnsi="TimesNewRoman" w:eastAsia="仿宋_GB2312" w:cs="TimesNewRoman"/>
          <w:kern w:val="0"/>
          <w:sz w:val="32"/>
          <w:szCs w:val="32"/>
        </w:rPr>
        <w:t>寿县养老中心</w:t>
      </w:r>
      <w:r>
        <w:rPr>
          <w:rFonts w:hint="eastAsia" w:ascii="仿宋_GB2312" w:hAnsi="TimesNewRoman" w:eastAsia="仿宋_GB2312" w:cs="TimesNewRoman"/>
          <w:sz w:val="32"/>
          <w:szCs w:val="32"/>
        </w:rPr>
        <w:t>共有车辆0辆，其中：副处（县）级及以上领导用车0辆、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2024年单位预算安排购置公务用车0辆，购置费0万元，其中：副处（县）级及以上领导用车0辆、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rPr>
        <w:t>寿县养老中心2</w:t>
      </w:r>
      <w:r>
        <w:rPr>
          <w:rFonts w:hint="eastAsia" w:ascii="仿宋_GB2312" w:hAnsi="TimesNewRoman" w:eastAsia="仿宋_GB2312" w:cs="TimesNewRoman"/>
          <w:sz w:val="32"/>
          <w:szCs w:val="32"/>
        </w:rPr>
        <w:t>个项目实行了绩效目标管理，涉及一般公共预算当年财政拨款566.08万元。</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县财政局</w:t>
      </w:r>
      <w:r>
        <w:rPr>
          <w:rFonts w:ascii="TimesNewRoman" w:hAnsi="TimesNewRoman" w:eastAsia="仿宋_GB2312" w:cs="TimesNewRoman"/>
          <w:sz w:val="32"/>
          <w:szCs w:val="32"/>
        </w:rPr>
        <w:t>用于国库集中收付业务方面的支出。</w:t>
      </w:r>
    </w:p>
    <w:p/>
    <w:sectPr>
      <w:footerReference r:id="rId3"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Constantia"/>
    <w:panose1 w:val="00000000000000000000"/>
    <w:charset w:val="00"/>
    <w:family w:val="auto"/>
    <w:pitch w:val="default"/>
    <w:sig w:usb0="00000000" w:usb1="00000000" w:usb2="00000029" w:usb3="00000000" w:csb0="600001FF" w:csb1="FFFF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300A3"/>
    <w:multiLevelType w:val="singleLevel"/>
    <w:tmpl w:val="E86300A3"/>
    <w:lvl w:ilvl="0" w:tentative="0">
      <w:start w:val="1"/>
      <w:numFmt w:val="chineseCounting"/>
      <w:suff w:val="nothing"/>
      <w:lvlText w:val="（%1）"/>
      <w:lvlJc w:val="left"/>
      <w:rPr>
        <w:rFonts w:hint="eastAsia"/>
      </w:rPr>
    </w:lvl>
  </w:abstractNum>
  <w:abstractNum w:abstractNumId="1">
    <w:nsid w:val="20413309"/>
    <w:multiLevelType w:val="singleLevel"/>
    <w:tmpl w:val="20413309"/>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004670B8"/>
    <w:rsid w:val="00646151"/>
    <w:rsid w:val="00872657"/>
    <w:rsid w:val="00916995"/>
    <w:rsid w:val="00A44E36"/>
    <w:rsid w:val="00CB5D6D"/>
    <w:rsid w:val="012970E9"/>
    <w:rsid w:val="02E95259"/>
    <w:rsid w:val="02EB3DE8"/>
    <w:rsid w:val="02EF1DBB"/>
    <w:rsid w:val="03D34D04"/>
    <w:rsid w:val="041678BF"/>
    <w:rsid w:val="06707587"/>
    <w:rsid w:val="073D1BD4"/>
    <w:rsid w:val="08E314FA"/>
    <w:rsid w:val="09624B89"/>
    <w:rsid w:val="0A214D7E"/>
    <w:rsid w:val="0AE716D5"/>
    <w:rsid w:val="0BBD1309"/>
    <w:rsid w:val="0BCD4E31"/>
    <w:rsid w:val="0C160837"/>
    <w:rsid w:val="106F2C10"/>
    <w:rsid w:val="107721F4"/>
    <w:rsid w:val="11140D3C"/>
    <w:rsid w:val="116F5DB3"/>
    <w:rsid w:val="11C15EA5"/>
    <w:rsid w:val="127C0181"/>
    <w:rsid w:val="129957EE"/>
    <w:rsid w:val="12E06B86"/>
    <w:rsid w:val="137A2B64"/>
    <w:rsid w:val="13C67D4E"/>
    <w:rsid w:val="14582FA5"/>
    <w:rsid w:val="146A5626"/>
    <w:rsid w:val="15B125F9"/>
    <w:rsid w:val="15B24878"/>
    <w:rsid w:val="15C140E2"/>
    <w:rsid w:val="15D23B45"/>
    <w:rsid w:val="168D41B4"/>
    <w:rsid w:val="1775315C"/>
    <w:rsid w:val="183C4F4D"/>
    <w:rsid w:val="1999612C"/>
    <w:rsid w:val="19C12FB2"/>
    <w:rsid w:val="1A107F5E"/>
    <w:rsid w:val="1B221F79"/>
    <w:rsid w:val="1BAA53A9"/>
    <w:rsid w:val="201974C1"/>
    <w:rsid w:val="20A07F66"/>
    <w:rsid w:val="20B21EA7"/>
    <w:rsid w:val="213F1A91"/>
    <w:rsid w:val="2170176E"/>
    <w:rsid w:val="22376642"/>
    <w:rsid w:val="22AA0A1D"/>
    <w:rsid w:val="22B4549B"/>
    <w:rsid w:val="242D3AD6"/>
    <w:rsid w:val="24734228"/>
    <w:rsid w:val="24D03DD6"/>
    <w:rsid w:val="25370EB2"/>
    <w:rsid w:val="27586A44"/>
    <w:rsid w:val="27891352"/>
    <w:rsid w:val="286773FD"/>
    <w:rsid w:val="29952D92"/>
    <w:rsid w:val="2A0F2CCB"/>
    <w:rsid w:val="2A280823"/>
    <w:rsid w:val="2B1821DC"/>
    <w:rsid w:val="2B595AA7"/>
    <w:rsid w:val="2BF56964"/>
    <w:rsid w:val="2C8C371F"/>
    <w:rsid w:val="2C8C4C10"/>
    <w:rsid w:val="2CEC6E77"/>
    <w:rsid w:val="2D775EBC"/>
    <w:rsid w:val="2DE143CC"/>
    <w:rsid w:val="2E29378A"/>
    <w:rsid w:val="2E3D57E2"/>
    <w:rsid w:val="2EF9580F"/>
    <w:rsid w:val="2F0C15F1"/>
    <w:rsid w:val="2FC70D19"/>
    <w:rsid w:val="307B04FB"/>
    <w:rsid w:val="31046FC4"/>
    <w:rsid w:val="31D001CC"/>
    <w:rsid w:val="31E435FD"/>
    <w:rsid w:val="321154BB"/>
    <w:rsid w:val="32436800"/>
    <w:rsid w:val="348E53DF"/>
    <w:rsid w:val="34C97AC9"/>
    <w:rsid w:val="350951AF"/>
    <w:rsid w:val="354940EB"/>
    <w:rsid w:val="373D1CB9"/>
    <w:rsid w:val="375F2DB6"/>
    <w:rsid w:val="38855136"/>
    <w:rsid w:val="39C96754"/>
    <w:rsid w:val="39DD24FF"/>
    <w:rsid w:val="3AE11567"/>
    <w:rsid w:val="3AE15BC8"/>
    <w:rsid w:val="3DF30428"/>
    <w:rsid w:val="3E741B2B"/>
    <w:rsid w:val="3EC618F8"/>
    <w:rsid w:val="3ECD274C"/>
    <w:rsid w:val="3EDD6345"/>
    <w:rsid w:val="3F103889"/>
    <w:rsid w:val="40931B6B"/>
    <w:rsid w:val="40D231B9"/>
    <w:rsid w:val="41647B26"/>
    <w:rsid w:val="42A04506"/>
    <w:rsid w:val="43111D95"/>
    <w:rsid w:val="43821AC2"/>
    <w:rsid w:val="43BA66BF"/>
    <w:rsid w:val="43FA78DC"/>
    <w:rsid w:val="442B20CB"/>
    <w:rsid w:val="44563CC4"/>
    <w:rsid w:val="455C4180"/>
    <w:rsid w:val="46121B0B"/>
    <w:rsid w:val="468215E6"/>
    <w:rsid w:val="46B9000D"/>
    <w:rsid w:val="494D0FB2"/>
    <w:rsid w:val="49C27ECC"/>
    <w:rsid w:val="4A116842"/>
    <w:rsid w:val="4A222BEF"/>
    <w:rsid w:val="4AF21F47"/>
    <w:rsid w:val="4B3A4789"/>
    <w:rsid w:val="4BD977C0"/>
    <w:rsid w:val="4D8C144C"/>
    <w:rsid w:val="4DBA079D"/>
    <w:rsid w:val="4DC45204"/>
    <w:rsid w:val="4F223968"/>
    <w:rsid w:val="4F23754E"/>
    <w:rsid w:val="4F996E58"/>
    <w:rsid w:val="50254350"/>
    <w:rsid w:val="508A4C1F"/>
    <w:rsid w:val="50B51A47"/>
    <w:rsid w:val="51522B2D"/>
    <w:rsid w:val="518718EC"/>
    <w:rsid w:val="51F1492E"/>
    <w:rsid w:val="521E1929"/>
    <w:rsid w:val="523C28F8"/>
    <w:rsid w:val="54515A85"/>
    <w:rsid w:val="559B060A"/>
    <w:rsid w:val="568766F9"/>
    <w:rsid w:val="58E3709B"/>
    <w:rsid w:val="5A0F4807"/>
    <w:rsid w:val="5B7A6817"/>
    <w:rsid w:val="5B8E4177"/>
    <w:rsid w:val="5BA72943"/>
    <w:rsid w:val="5BC87BAC"/>
    <w:rsid w:val="5BD80250"/>
    <w:rsid w:val="5C804491"/>
    <w:rsid w:val="5CC46874"/>
    <w:rsid w:val="5D1E0D64"/>
    <w:rsid w:val="5D50611C"/>
    <w:rsid w:val="5DA24745"/>
    <w:rsid w:val="5DF7690A"/>
    <w:rsid w:val="5E4F080B"/>
    <w:rsid w:val="5EAE4DE7"/>
    <w:rsid w:val="5F9F43AA"/>
    <w:rsid w:val="5FA47804"/>
    <w:rsid w:val="60702162"/>
    <w:rsid w:val="624767E9"/>
    <w:rsid w:val="62BB05D8"/>
    <w:rsid w:val="62F63FCE"/>
    <w:rsid w:val="64262F97"/>
    <w:rsid w:val="670C5E55"/>
    <w:rsid w:val="681C74BB"/>
    <w:rsid w:val="688853A9"/>
    <w:rsid w:val="689D4519"/>
    <w:rsid w:val="68A632D9"/>
    <w:rsid w:val="6907575E"/>
    <w:rsid w:val="695A09E4"/>
    <w:rsid w:val="6A006866"/>
    <w:rsid w:val="6A1E20AB"/>
    <w:rsid w:val="6AC74C4F"/>
    <w:rsid w:val="6B170474"/>
    <w:rsid w:val="6B786758"/>
    <w:rsid w:val="6C190A23"/>
    <w:rsid w:val="6D5772EC"/>
    <w:rsid w:val="6E643BCF"/>
    <w:rsid w:val="6EE222B7"/>
    <w:rsid w:val="6F587D80"/>
    <w:rsid w:val="6F9C484F"/>
    <w:rsid w:val="6FD97F02"/>
    <w:rsid w:val="6FF54DF8"/>
    <w:rsid w:val="70500BB3"/>
    <w:rsid w:val="70985B21"/>
    <w:rsid w:val="70C14932"/>
    <w:rsid w:val="714B2E6C"/>
    <w:rsid w:val="72D37DD5"/>
    <w:rsid w:val="735276D6"/>
    <w:rsid w:val="735E4831"/>
    <w:rsid w:val="75061AD9"/>
    <w:rsid w:val="759357A1"/>
    <w:rsid w:val="75D23651"/>
    <w:rsid w:val="75EB1B19"/>
    <w:rsid w:val="7642458A"/>
    <w:rsid w:val="76ED054C"/>
    <w:rsid w:val="77A11585"/>
    <w:rsid w:val="792755FD"/>
    <w:rsid w:val="7A2F4D76"/>
    <w:rsid w:val="7B9E64A8"/>
    <w:rsid w:val="7C307619"/>
    <w:rsid w:val="7C362102"/>
    <w:rsid w:val="7E986B8F"/>
    <w:rsid w:val="7F9A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Autospacing="1" w:afterAutospacing="1"/>
      <w:jc w:val="left"/>
    </w:pPr>
    <w:rPr>
      <w:rFonts w:ascii="Calibri" w:hAnsi="Calibri"/>
      <w:kern w:val="0"/>
      <w:sz w:val="24"/>
    </w:rPr>
  </w:style>
  <w:style w:type="character" w:styleId="6">
    <w:name w:val="Strong"/>
    <w:basedOn w:val="5"/>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778</Words>
  <Characters>4441</Characters>
  <Lines>37</Lines>
  <Paragraphs>10</Paragraphs>
  <TotalTime>29</TotalTime>
  <ScaleCrop>false</ScaleCrop>
  <LinksUpToDate>false</LinksUpToDate>
  <CharactersWithSpaces>5209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柱子</cp:lastModifiedBy>
  <dcterms:modified xsi:type="dcterms:W3CDTF">2024-01-29T07:22:33Z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767A9FB45DEF4120A1829B148E69D21E_13</vt:lpwstr>
  </property>
</Properties>
</file>